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glossary/document.xml" ContentType="application/vnd.openxmlformats-officedocument.wordprocessingml.document.glossary+xml"/>
  <Override PartName="/word/footer1.xml" ContentType="application/vnd.openxmlformats-officedocument.wordprocessingml.footer+xml"/>
  <Default Extension="tiff" ContentType="image/tiff"/>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1D60" w:rsidRDefault="00FF1D60" w:rsidP="00FF1D60">
      <w:bookmarkStart w:id="0" w:name="_Toc225151938"/>
    </w:p>
    <w:p w:rsidR="00FF1D60" w:rsidRDefault="00117C79" w:rsidP="00FF1D60">
      <w:pPr>
        <w:rPr>
          <w:lang w:eastAsia="en-AU"/>
        </w:rPr>
      </w:pPr>
      <w:r>
        <w:rPr>
          <w:noProof/>
          <w:lang w:eastAsia="en-AU"/>
        </w:rPr>
        <w:pict>
          <v:group id="_x0000_s1094" style="position:absolute;left:0;text-align:left;margin-left:370.1pt;margin-top:-28.7pt;width:154.6pt;height:81pt;z-index:251689984" coordorigin="8154,1824" coordsize="3092,1620">
            <v:shapetype id="_x0000_t202" coordsize="21600,21600" o:spt="202" path="m,l,21600r21600,l21600,xe">
              <v:stroke joinstyle="miter"/>
              <v:path gradientshapeok="t" o:connecttype="rect"/>
            </v:shapetype>
            <v:shape id="_x0000_s1095" type="#_x0000_t202" style="position:absolute;left:10194;top:2004;width:1052;height:1273" filled="f" fillcolor="#900" stroked="f" strokecolor="#900">
              <v:textbox style="mso-next-textbox:#_x0000_s1095" inset="0,0,0,0">
                <w:txbxContent>
                  <w:p w:rsidR="00C60E61" w:rsidRPr="003F33EE" w:rsidRDefault="00C60E61" w:rsidP="00FF1D60">
                    <w:pPr>
                      <w:jc w:val="center"/>
                      <w:rPr>
                        <w:rFonts w:ascii="Arial Narrow" w:hAnsi="Arial Narrow"/>
                        <w:b/>
                        <w:spacing w:val="-4"/>
                        <w:w w:val="50"/>
                        <w:sz w:val="120"/>
                        <w:szCs w:val="120"/>
                      </w:rPr>
                    </w:pPr>
                    <w:r>
                      <w:rPr>
                        <w:rFonts w:ascii="Arial Narrow" w:hAnsi="Arial Narrow"/>
                        <w:b/>
                        <w:spacing w:val="-4"/>
                        <w:w w:val="50"/>
                        <w:sz w:val="120"/>
                        <w:szCs w:val="120"/>
                      </w:rPr>
                      <w:t>206</w:t>
                    </w:r>
                  </w:p>
                </w:txbxContent>
              </v:textbox>
            </v:shape>
            <v:shape id="_x0000_s1096" type="#_x0000_t202" style="position:absolute;left:8154;top:1824;width:1847;height:1620" stroked="f">
              <v:textbox style="mso-next-textbox:#_x0000_s1096">
                <w:txbxContent>
                  <w:p w:rsidR="00C60E61" w:rsidRPr="0086045D" w:rsidRDefault="00C60E61" w:rsidP="00FF1D60">
                    <w:pPr>
                      <w:spacing w:after="0" w:line="400" w:lineRule="exact"/>
                      <w:jc w:val="right"/>
                      <w:rPr>
                        <w:rFonts w:ascii="Garamond" w:hAnsi="Garamond"/>
                        <w:i/>
                        <w:spacing w:val="20"/>
                        <w:sz w:val="32"/>
                        <w:szCs w:val="32"/>
                      </w:rPr>
                    </w:pPr>
                    <w:proofErr w:type="gramStart"/>
                    <w:r w:rsidRPr="0081510B">
                      <w:rPr>
                        <w:rFonts w:ascii="Garamond" w:hAnsi="Garamond"/>
                        <w:i/>
                        <w:spacing w:val="20"/>
                        <w:sz w:val="32"/>
                        <w:szCs w:val="32"/>
                      </w:rPr>
                      <w:t>supervising</w:t>
                    </w:r>
                    <w:proofErr w:type="gramEnd"/>
                    <w:r w:rsidRPr="0081510B">
                      <w:rPr>
                        <w:rFonts w:ascii="Garamond" w:hAnsi="Garamond"/>
                        <w:i/>
                        <w:spacing w:val="20"/>
                        <w:sz w:val="32"/>
                        <w:szCs w:val="32"/>
                      </w:rPr>
                      <w:t xml:space="preserve"> scientist </w:t>
                    </w:r>
                    <w:r w:rsidRPr="0086045D">
                      <w:rPr>
                        <w:rFonts w:ascii="Garamond" w:hAnsi="Garamond"/>
                        <w:i/>
                        <w:spacing w:val="20"/>
                        <w:sz w:val="32"/>
                        <w:szCs w:val="32"/>
                      </w:rPr>
                      <w:t xml:space="preserve"> report</w:t>
                    </w:r>
                  </w:p>
                </w:txbxContent>
              </v:textbox>
            </v:shape>
          </v:group>
        </w:pict>
      </w:r>
    </w:p>
    <w:p w:rsidR="00FF1D60" w:rsidRDefault="00FF1D60" w:rsidP="00FF1D60">
      <w:pPr>
        <w:rPr>
          <w:lang w:eastAsia="en-AU"/>
        </w:rPr>
      </w:pPr>
    </w:p>
    <w:p w:rsidR="00FF1D60" w:rsidRDefault="00FF1D60" w:rsidP="00FF1D60">
      <w:pPr>
        <w:rPr>
          <w:lang w:eastAsia="en-AU"/>
        </w:rPr>
      </w:pPr>
    </w:p>
    <w:p w:rsidR="00FF1D60" w:rsidRDefault="00FF1D60" w:rsidP="00FF1D60">
      <w:pPr>
        <w:rPr>
          <w:lang w:eastAsia="en-AU"/>
        </w:rPr>
      </w:pPr>
    </w:p>
    <w:p w:rsidR="00FF1D60" w:rsidRDefault="00FF1D60" w:rsidP="00FF1D60">
      <w:pPr>
        <w:rPr>
          <w:lang w:eastAsia="en-AU"/>
        </w:rPr>
      </w:pPr>
    </w:p>
    <w:p w:rsidR="00FF1D60" w:rsidRDefault="00FF1D60" w:rsidP="00FF1D60">
      <w:pPr>
        <w:rPr>
          <w:lang w:eastAsia="en-AU"/>
        </w:rPr>
      </w:pPr>
    </w:p>
    <w:p w:rsidR="00FF1D60" w:rsidRDefault="00FF1D60" w:rsidP="00FF1D60">
      <w:pPr>
        <w:rPr>
          <w:lang w:eastAsia="en-AU"/>
        </w:rPr>
      </w:pPr>
    </w:p>
    <w:p w:rsidR="00FF1D60" w:rsidRDefault="00FF1D60" w:rsidP="00FF1D60">
      <w:pPr>
        <w:rPr>
          <w:lang w:eastAsia="en-AU"/>
        </w:rPr>
      </w:pPr>
    </w:p>
    <w:p w:rsidR="00FF1D60" w:rsidRDefault="00FF1D60" w:rsidP="00FF1D60">
      <w:pPr>
        <w:rPr>
          <w:lang w:eastAsia="en-AU"/>
        </w:rPr>
      </w:pPr>
    </w:p>
    <w:p w:rsidR="00FF1D60" w:rsidRDefault="00FF1D60" w:rsidP="00FF1D60">
      <w:pPr>
        <w:rPr>
          <w:lang w:eastAsia="en-AU"/>
        </w:rPr>
      </w:pPr>
    </w:p>
    <w:p w:rsidR="00FF1D60" w:rsidRDefault="00117C79" w:rsidP="00FF1D60">
      <w:pPr>
        <w:rPr>
          <w:lang w:eastAsia="en-AU"/>
        </w:rPr>
        <w:sectPr w:rsidR="00FF1D60" w:rsidSect="006156D1">
          <w:headerReference w:type="even" r:id="rId8"/>
          <w:headerReference w:type="default" r:id="rId9"/>
          <w:footerReference w:type="even" r:id="rId10"/>
          <w:footerReference w:type="default" r:id="rId11"/>
          <w:headerReference w:type="first" r:id="rId12"/>
          <w:footerReference w:type="first" r:id="rId13"/>
          <w:footnotePr>
            <w:numRestart w:val="eachSect"/>
          </w:footnotePr>
          <w:pgSz w:w="11906" w:h="16838" w:code="9"/>
          <w:pgMar w:top="567" w:right="567" w:bottom="567" w:left="567" w:header="1077" w:footer="833" w:gutter="0"/>
          <w:pgNumType w:fmt="lowerRoman"/>
          <w:cols w:space="360"/>
          <w:noEndnote/>
          <w:titlePg/>
        </w:sectPr>
      </w:pPr>
      <w:r>
        <w:rPr>
          <w:noProof/>
          <w:lang w:eastAsia="en-AU"/>
        </w:rPr>
        <w:pict>
          <v:shape id="_x0000_s1097" type="#_x0000_t202" style="position:absolute;left:0;text-align:left;margin-left:11.7pt;margin-top:71.3pt;width:522.4pt;height:357.1pt;z-index:251691008" filled="f" stroked="f">
            <v:textbox style="mso-next-textbox:#_x0000_s1097">
              <w:txbxContent>
                <w:p w:rsidR="00C60E61" w:rsidRPr="008639B9" w:rsidRDefault="00C60E61" w:rsidP="00FF1D60">
                  <w:pPr>
                    <w:pStyle w:val="Heading1"/>
                    <w:spacing w:line="640" w:lineRule="exact"/>
                    <w:ind w:left="5103"/>
                    <w:jc w:val="left"/>
                    <w:rPr>
                      <w:b w:val="0"/>
                    </w:rPr>
                  </w:pPr>
                  <w:bookmarkStart w:id="1" w:name="_Toc390416642"/>
                  <w:bookmarkStart w:id="2" w:name="_Toc390417959"/>
                  <w:bookmarkStart w:id="3" w:name="_Toc390420947"/>
                  <w:bookmarkStart w:id="4" w:name="_Toc390432811"/>
                  <w:bookmarkStart w:id="5" w:name="_Toc390432871"/>
                  <w:bookmarkStart w:id="6" w:name="_Toc390432982"/>
                  <w:bookmarkStart w:id="7" w:name="_Toc390445669"/>
                  <w:bookmarkStart w:id="8" w:name="_Toc390679338"/>
                  <w:bookmarkStart w:id="9" w:name="_Toc390684364"/>
                  <w:bookmarkStart w:id="10" w:name="_Toc390766560"/>
                  <w:bookmarkStart w:id="11" w:name="OLE_LINK3"/>
                  <w:r>
                    <w:rPr>
                      <w:b w:val="0"/>
                    </w:rPr>
                    <w:t>Interim Report: Investigation into the environmental impacts of the leach tank failure at Ranger uranium mine, December 2013</w:t>
                  </w:r>
                  <w:bookmarkEnd w:id="1"/>
                  <w:bookmarkEnd w:id="2"/>
                  <w:bookmarkEnd w:id="3"/>
                  <w:bookmarkEnd w:id="4"/>
                  <w:bookmarkEnd w:id="5"/>
                  <w:bookmarkEnd w:id="6"/>
                  <w:bookmarkEnd w:id="7"/>
                  <w:bookmarkEnd w:id="8"/>
                  <w:bookmarkEnd w:id="9"/>
                  <w:bookmarkEnd w:id="10"/>
                  <w:bookmarkEnd w:id="11"/>
                </w:p>
                <w:p w:rsidR="00C60E61" w:rsidRPr="003F33EE" w:rsidRDefault="00C60E61" w:rsidP="00FF1D60"/>
                <w:p w:rsidR="00C60E61" w:rsidRDefault="00C60E61" w:rsidP="00FF1D60">
                  <w:pPr>
                    <w:jc w:val="right"/>
                  </w:pPr>
                  <w:r>
                    <w:rPr>
                      <w:noProof/>
                      <w:lang w:eastAsia="en-AU"/>
                    </w:rPr>
                    <w:drawing>
                      <wp:inline distT="0" distB="0" distL="0" distR="0">
                        <wp:extent cx="3962400" cy="139700"/>
                        <wp:effectExtent l="19050" t="0" r="0" b="0"/>
                        <wp:docPr id="4" name="Picture 74" descr="Wave-s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Wave-short"/>
                                <pic:cNvPicPr>
                                  <a:picLocks noChangeAspect="1" noChangeArrowheads="1"/>
                                </pic:cNvPicPr>
                              </pic:nvPicPr>
                              <pic:blipFill>
                                <a:blip r:embed="rId14"/>
                                <a:srcRect/>
                                <a:stretch>
                                  <a:fillRect/>
                                </a:stretch>
                              </pic:blipFill>
                              <pic:spPr bwMode="auto">
                                <a:xfrm>
                                  <a:off x="0" y="0"/>
                                  <a:ext cx="3962400" cy="139700"/>
                                </a:xfrm>
                                <a:prstGeom prst="rect">
                                  <a:avLst/>
                                </a:prstGeom>
                                <a:noFill/>
                                <a:ln w="9525">
                                  <a:noFill/>
                                  <a:miter lim="800000"/>
                                  <a:headEnd/>
                                  <a:tailEnd/>
                                </a:ln>
                              </pic:spPr>
                            </pic:pic>
                          </a:graphicData>
                        </a:graphic>
                      </wp:inline>
                    </w:drawing>
                  </w:r>
                </w:p>
                <w:p w:rsidR="00C60E61" w:rsidRPr="003F33EE" w:rsidRDefault="00C60E61" w:rsidP="00FF1D60">
                  <w:pPr>
                    <w:jc w:val="right"/>
                  </w:pPr>
                </w:p>
                <w:p w:rsidR="00C60E61" w:rsidRPr="00FF1D60" w:rsidRDefault="00C60E61" w:rsidP="00FF1D60">
                  <w:pPr>
                    <w:pStyle w:val="Heading1"/>
                    <w:spacing w:line="640" w:lineRule="exact"/>
                    <w:ind w:left="5103"/>
                    <w:jc w:val="left"/>
                    <w:rPr>
                      <w:b w:val="0"/>
                      <w:sz w:val="32"/>
                      <w:szCs w:val="32"/>
                    </w:rPr>
                  </w:pPr>
                  <w:bookmarkStart w:id="12" w:name="_Toc390416643"/>
                  <w:bookmarkStart w:id="13" w:name="_Toc390417960"/>
                  <w:bookmarkStart w:id="14" w:name="_Toc390420948"/>
                  <w:bookmarkStart w:id="15" w:name="_Toc390432812"/>
                  <w:bookmarkStart w:id="16" w:name="_Toc390432872"/>
                  <w:bookmarkStart w:id="17" w:name="_Toc390432983"/>
                  <w:bookmarkStart w:id="18" w:name="_Toc390445670"/>
                  <w:bookmarkStart w:id="19" w:name="_Toc390679339"/>
                  <w:bookmarkStart w:id="20" w:name="_Toc390684365"/>
                  <w:bookmarkStart w:id="21" w:name="_Toc390766561"/>
                  <w:r>
                    <w:rPr>
                      <w:b w:val="0"/>
                      <w:sz w:val="32"/>
                      <w:szCs w:val="32"/>
                    </w:rPr>
                    <w:t>Supervising Scientist</w:t>
                  </w:r>
                  <w:bookmarkEnd w:id="12"/>
                  <w:bookmarkEnd w:id="13"/>
                  <w:bookmarkEnd w:id="14"/>
                  <w:bookmarkEnd w:id="15"/>
                  <w:bookmarkEnd w:id="16"/>
                  <w:bookmarkEnd w:id="17"/>
                  <w:bookmarkEnd w:id="18"/>
                  <w:bookmarkEnd w:id="19"/>
                  <w:bookmarkEnd w:id="20"/>
                  <w:bookmarkEnd w:id="21"/>
                </w:p>
              </w:txbxContent>
            </v:textbox>
          </v:shape>
        </w:pict>
      </w:r>
      <w:r w:rsidRPr="00117C79">
        <w:rPr>
          <w:noProof/>
          <w:lang w:val="en-US" w:eastAsia="zh-TW"/>
        </w:rPr>
        <w:pict>
          <v:shape id="_x0000_s1099" type="#_x0000_t202" style="position:absolute;left:0;text-align:left;margin-left:39.9pt;margin-top:474.25pt;width:484.8pt;height:75.6pt;z-index:251693056;mso-width-relative:margin;mso-height-relative:margin" stroked="f">
            <v:textbox>
              <w:txbxContent>
                <w:p w:rsidR="00C60E61" w:rsidRDefault="00C60E61">
                  <w:r>
                    <w:rPr>
                      <w:noProof/>
                      <w:lang w:eastAsia="en-AU"/>
                    </w:rPr>
                    <w:drawing>
                      <wp:inline distT="0" distB="0" distL="0" distR="0">
                        <wp:extent cx="2866473" cy="809625"/>
                        <wp:effectExtent l="19050" t="0" r="0" b="0"/>
                        <wp:docPr id="9" name="Picture 0" descr="DE_SSD_inline_nosp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_SSD_inline_nospace.jpg"/>
                                <pic:cNvPicPr/>
                              </pic:nvPicPr>
                              <pic:blipFill>
                                <a:blip r:embed="rId15"/>
                                <a:stretch>
                                  <a:fillRect/>
                                </a:stretch>
                              </pic:blipFill>
                              <pic:spPr>
                                <a:xfrm>
                                  <a:off x="0" y="0"/>
                                  <a:ext cx="2873823" cy="811701"/>
                                </a:xfrm>
                                <a:prstGeom prst="rect">
                                  <a:avLst/>
                                </a:prstGeom>
                              </pic:spPr>
                            </pic:pic>
                          </a:graphicData>
                        </a:graphic>
                      </wp:inline>
                    </w:drawing>
                  </w:r>
                </w:p>
              </w:txbxContent>
            </v:textbox>
          </v:shape>
        </w:pict>
      </w:r>
    </w:p>
    <w:bookmarkEnd w:id="0"/>
    <w:p w:rsidR="002E1B53" w:rsidRDefault="002E1B53" w:rsidP="002E1B53">
      <w:pPr>
        <w:spacing w:line="260" w:lineRule="atLeast"/>
        <w:ind w:right="567"/>
        <w:jc w:val="left"/>
        <w:rPr>
          <w:rFonts w:ascii="Arial" w:hAnsi="Arial" w:cs="Arial"/>
          <w:sz w:val="18"/>
          <w:szCs w:val="18"/>
          <w:lang w:eastAsia="en-AU"/>
        </w:rPr>
      </w:pPr>
      <w:r>
        <w:rPr>
          <w:rFonts w:ascii="Arial" w:hAnsi="Arial" w:cs="Arial"/>
          <w:sz w:val="18"/>
          <w:szCs w:val="18"/>
          <w:lang w:eastAsia="en-AU"/>
        </w:rPr>
        <w:lastRenderedPageBreak/>
        <w:t xml:space="preserve">It is </w:t>
      </w:r>
      <w:r w:rsidRPr="00B75B5B">
        <w:rPr>
          <w:rFonts w:ascii="Arial" w:hAnsi="Arial" w:cs="Arial"/>
          <w:sz w:val="18"/>
          <w:szCs w:val="18"/>
          <w:lang w:eastAsia="en-AU"/>
        </w:rPr>
        <w:t xml:space="preserve">Supervising Scientist Division </w:t>
      </w:r>
      <w:r>
        <w:rPr>
          <w:rFonts w:ascii="Arial" w:hAnsi="Arial" w:cs="Arial"/>
          <w:sz w:val="18"/>
          <w:szCs w:val="18"/>
          <w:lang w:eastAsia="en-AU"/>
        </w:rPr>
        <w:t xml:space="preserve">policy for reports in the SSR series to be reviewed as part of the publications process. </w:t>
      </w:r>
      <w:r w:rsidRPr="00CF1E45">
        <w:rPr>
          <w:rFonts w:ascii="Arial" w:hAnsi="Arial" w:cs="Arial"/>
          <w:sz w:val="18"/>
          <w:szCs w:val="18"/>
          <w:lang w:eastAsia="en-AU"/>
        </w:rPr>
        <w:t xml:space="preserve">This Supervising Scientist Report has been </w:t>
      </w:r>
      <w:r>
        <w:rPr>
          <w:rFonts w:ascii="Arial" w:hAnsi="Arial" w:cs="Arial"/>
          <w:sz w:val="18"/>
          <w:szCs w:val="18"/>
          <w:lang w:eastAsia="en-AU"/>
        </w:rPr>
        <w:t>reviewed internally by senior staff.</w:t>
      </w:r>
    </w:p>
    <w:p w:rsidR="002E1B53" w:rsidRPr="0049780C" w:rsidRDefault="002E1B53" w:rsidP="002E1B53">
      <w:pPr>
        <w:pBdr>
          <w:bottom w:val="single" w:sz="2" w:space="0" w:color="auto"/>
          <w:between w:val="single" w:sz="2" w:space="9" w:color="auto"/>
        </w:pBdr>
        <w:autoSpaceDE w:val="0"/>
        <w:autoSpaceDN w:val="0"/>
        <w:adjustRightInd w:val="0"/>
        <w:spacing w:after="80" w:line="240" w:lineRule="atLeast"/>
        <w:ind w:right="567"/>
        <w:jc w:val="left"/>
        <w:rPr>
          <w:rFonts w:ascii="Arial" w:hAnsi="Arial" w:cs="Arial"/>
          <w:sz w:val="18"/>
          <w:szCs w:val="18"/>
          <w:lang w:eastAsia="en-AU"/>
        </w:rPr>
      </w:pPr>
    </w:p>
    <w:p w:rsidR="002E1B53" w:rsidRPr="003C6EFF" w:rsidRDefault="002E1B53" w:rsidP="002E1B53">
      <w:pPr>
        <w:spacing w:line="260" w:lineRule="atLeast"/>
        <w:ind w:right="567"/>
        <w:jc w:val="left"/>
        <w:rPr>
          <w:rFonts w:ascii="Arial" w:hAnsi="Arial" w:cs="Arial"/>
          <w:iCs/>
          <w:sz w:val="18"/>
          <w:szCs w:val="18"/>
          <w:lang w:eastAsia="en-AU"/>
        </w:rPr>
      </w:pPr>
      <w:r w:rsidRPr="003C6EFF">
        <w:rPr>
          <w:rFonts w:ascii="Arial" w:hAnsi="Arial" w:cs="Arial"/>
          <w:iCs/>
          <w:sz w:val="18"/>
          <w:szCs w:val="18"/>
          <w:lang w:eastAsia="en-AU"/>
        </w:rPr>
        <w:t>Editor</w:t>
      </w:r>
    </w:p>
    <w:p w:rsidR="002E1B53" w:rsidRPr="003C6EFF" w:rsidRDefault="002E1B53" w:rsidP="002E1B53">
      <w:pPr>
        <w:spacing w:line="260" w:lineRule="atLeast"/>
        <w:ind w:right="567"/>
        <w:jc w:val="left"/>
        <w:rPr>
          <w:rFonts w:ascii="Arial" w:hAnsi="Arial" w:cs="Arial"/>
          <w:i/>
          <w:iCs/>
          <w:sz w:val="18"/>
          <w:szCs w:val="18"/>
          <w:lang w:eastAsia="en-AU"/>
        </w:rPr>
      </w:pPr>
      <w:r w:rsidRPr="003C6EFF">
        <w:rPr>
          <w:rFonts w:ascii="Arial" w:hAnsi="Arial" w:cs="Arial"/>
          <w:sz w:val="18"/>
          <w:szCs w:val="18"/>
          <w:lang w:eastAsia="en-AU"/>
        </w:rPr>
        <w:t xml:space="preserve">Supervising Scientist –Supervising Scientist Division, GPO Box 461, Darwin NT 0801, </w:t>
      </w:r>
      <w:proofErr w:type="gramStart"/>
      <w:r w:rsidRPr="003C6EFF">
        <w:rPr>
          <w:rFonts w:ascii="Arial" w:hAnsi="Arial" w:cs="Arial"/>
          <w:sz w:val="18"/>
          <w:szCs w:val="18"/>
          <w:lang w:eastAsia="en-AU"/>
        </w:rPr>
        <w:t>Australia</w:t>
      </w:r>
      <w:proofErr w:type="gramEnd"/>
      <w:r w:rsidRPr="003C6EFF">
        <w:rPr>
          <w:rFonts w:ascii="Arial" w:hAnsi="Arial" w:cs="Arial"/>
          <w:sz w:val="18"/>
          <w:szCs w:val="18"/>
          <w:lang w:eastAsia="en-AU"/>
        </w:rPr>
        <w:t>.</w:t>
      </w:r>
    </w:p>
    <w:p w:rsidR="002E1B53" w:rsidRPr="0049780C" w:rsidRDefault="002E1B53" w:rsidP="002E1B53">
      <w:pPr>
        <w:spacing w:line="260" w:lineRule="atLeast"/>
        <w:ind w:right="567"/>
        <w:jc w:val="left"/>
        <w:rPr>
          <w:rFonts w:ascii="Arial" w:hAnsi="Arial" w:cs="Arial"/>
          <w:sz w:val="18"/>
          <w:szCs w:val="18"/>
          <w:lang w:eastAsia="en-AU"/>
        </w:rPr>
      </w:pPr>
      <w:r w:rsidRPr="0049780C">
        <w:rPr>
          <w:rFonts w:ascii="Arial" w:hAnsi="Arial" w:cs="Arial"/>
          <w:i/>
          <w:iCs/>
          <w:spacing w:val="15"/>
          <w:sz w:val="18"/>
          <w:szCs w:val="18"/>
          <w:lang w:eastAsia="en-AU"/>
        </w:rPr>
        <w:t>This report should be cited as follows:</w:t>
      </w:r>
    </w:p>
    <w:p w:rsidR="002E1B53" w:rsidRPr="00CF1E45" w:rsidRDefault="002E1B53" w:rsidP="002E1B53">
      <w:pPr>
        <w:spacing w:line="260" w:lineRule="atLeast"/>
        <w:ind w:left="357" w:right="567"/>
        <w:jc w:val="left"/>
        <w:rPr>
          <w:rFonts w:ascii="Arial" w:hAnsi="Arial" w:cs="Arial"/>
          <w:sz w:val="18"/>
          <w:szCs w:val="18"/>
          <w:lang w:eastAsia="en-AU"/>
        </w:rPr>
      </w:pPr>
      <w:proofErr w:type="gramStart"/>
      <w:r>
        <w:rPr>
          <w:rFonts w:ascii="Arial" w:hAnsi="Arial" w:cs="Arial"/>
          <w:sz w:val="18"/>
          <w:szCs w:val="18"/>
          <w:lang w:eastAsia="en-AU"/>
        </w:rPr>
        <w:t xml:space="preserve">Supervising Scientist </w:t>
      </w:r>
      <w:r w:rsidRPr="00CF1E45">
        <w:rPr>
          <w:rFonts w:ascii="Arial" w:hAnsi="Arial" w:cs="Arial"/>
          <w:sz w:val="18"/>
          <w:szCs w:val="18"/>
          <w:lang w:eastAsia="en-AU"/>
        </w:rPr>
        <w:t>2014.</w:t>
      </w:r>
      <w:proofErr w:type="gramEnd"/>
      <w:r w:rsidRPr="00CF1E45">
        <w:rPr>
          <w:rFonts w:ascii="Arial" w:hAnsi="Arial" w:cs="Arial"/>
          <w:sz w:val="18"/>
          <w:szCs w:val="18"/>
          <w:lang w:eastAsia="en-AU"/>
        </w:rPr>
        <w:t xml:space="preserve"> </w:t>
      </w:r>
      <w:r w:rsidRPr="006725F3">
        <w:rPr>
          <w:rFonts w:ascii="Arial" w:hAnsi="Arial" w:cs="Arial"/>
          <w:i/>
          <w:sz w:val="18"/>
          <w:szCs w:val="18"/>
          <w:lang w:eastAsia="en-AU"/>
        </w:rPr>
        <w:t>Interim Report:</w:t>
      </w:r>
      <w:r>
        <w:rPr>
          <w:rFonts w:ascii="Arial" w:hAnsi="Arial" w:cs="Arial"/>
          <w:sz w:val="18"/>
          <w:szCs w:val="18"/>
          <w:lang w:eastAsia="en-AU"/>
        </w:rPr>
        <w:t xml:space="preserve"> </w:t>
      </w:r>
      <w:r w:rsidRPr="00CF1E45">
        <w:rPr>
          <w:rFonts w:ascii="Arial" w:hAnsi="Arial" w:cs="Arial"/>
          <w:i/>
          <w:sz w:val="18"/>
          <w:szCs w:val="18"/>
          <w:lang w:eastAsia="en-AU"/>
        </w:rPr>
        <w:t xml:space="preserve">Investigation into the environmental impacts of the leach tank failure </w:t>
      </w:r>
      <w:r>
        <w:rPr>
          <w:rFonts w:ascii="Arial" w:hAnsi="Arial" w:cs="Arial"/>
          <w:i/>
          <w:sz w:val="18"/>
          <w:szCs w:val="18"/>
          <w:lang w:eastAsia="en-AU"/>
        </w:rPr>
        <w:t>at Ranger uranium mine, December 2013</w:t>
      </w:r>
      <w:r w:rsidRPr="00CF1E45">
        <w:rPr>
          <w:rFonts w:ascii="Arial" w:hAnsi="Arial" w:cs="Arial"/>
          <w:sz w:val="18"/>
          <w:szCs w:val="18"/>
          <w:lang w:eastAsia="en-AU"/>
        </w:rPr>
        <w:t>. Supervising Scientist Report 206, Supervising Scientist, Darwin NT.</w:t>
      </w:r>
    </w:p>
    <w:p w:rsidR="002E1B53" w:rsidRDefault="002E1B53" w:rsidP="002E1B53">
      <w:pPr>
        <w:spacing w:line="260" w:lineRule="atLeast"/>
        <w:ind w:right="567"/>
        <w:jc w:val="left"/>
        <w:rPr>
          <w:rFonts w:ascii="Arial" w:hAnsi="Arial" w:cs="Arial"/>
          <w:b/>
          <w:bCs/>
          <w:sz w:val="18"/>
          <w:szCs w:val="18"/>
          <w:lang w:eastAsia="en-AU"/>
        </w:rPr>
      </w:pPr>
      <w:r w:rsidRPr="0049780C">
        <w:rPr>
          <w:rFonts w:ascii="Arial" w:hAnsi="Arial" w:cs="Arial"/>
          <w:b/>
          <w:bCs/>
          <w:sz w:val="18"/>
          <w:szCs w:val="18"/>
          <w:lang w:eastAsia="en-AU"/>
        </w:rPr>
        <w:t xml:space="preserve">The Supervising Scientist is part of the Australian Government </w:t>
      </w:r>
      <w:r w:rsidRPr="00874862">
        <w:rPr>
          <w:rFonts w:ascii="Arial" w:hAnsi="Arial" w:cs="Arial"/>
          <w:b/>
          <w:bCs/>
          <w:sz w:val="18"/>
          <w:szCs w:val="18"/>
          <w:lang w:val="en-US" w:eastAsia="en-AU"/>
        </w:rPr>
        <w:t xml:space="preserve">Department of </w:t>
      </w:r>
      <w:r>
        <w:rPr>
          <w:rFonts w:ascii="Arial" w:hAnsi="Arial" w:cs="Arial"/>
          <w:b/>
          <w:bCs/>
          <w:sz w:val="18"/>
          <w:szCs w:val="18"/>
          <w:lang w:val="en-US" w:eastAsia="en-AU"/>
        </w:rPr>
        <w:t>the Environment</w:t>
      </w:r>
    </w:p>
    <w:p w:rsidR="002E1B53" w:rsidRPr="0049780C" w:rsidRDefault="002E1B53" w:rsidP="002E1B53">
      <w:pPr>
        <w:pBdr>
          <w:bottom w:val="single" w:sz="2" w:space="0" w:color="auto"/>
          <w:between w:val="single" w:sz="2" w:space="9" w:color="auto"/>
        </w:pBdr>
        <w:autoSpaceDE w:val="0"/>
        <w:autoSpaceDN w:val="0"/>
        <w:adjustRightInd w:val="0"/>
        <w:spacing w:after="80" w:line="240" w:lineRule="atLeast"/>
        <w:ind w:right="567"/>
        <w:jc w:val="left"/>
        <w:rPr>
          <w:rFonts w:ascii="Arial" w:hAnsi="Arial" w:cs="Arial"/>
          <w:sz w:val="18"/>
          <w:szCs w:val="18"/>
          <w:lang w:eastAsia="en-AU"/>
        </w:rPr>
      </w:pPr>
    </w:p>
    <w:p w:rsidR="002E1B53" w:rsidRPr="00AC1AB6" w:rsidRDefault="002E1B53" w:rsidP="002E1B53">
      <w:pPr>
        <w:spacing w:line="260" w:lineRule="atLeast"/>
        <w:ind w:right="567"/>
        <w:jc w:val="left"/>
        <w:rPr>
          <w:rFonts w:ascii="Arial" w:hAnsi="Arial"/>
          <w:sz w:val="18"/>
        </w:rPr>
      </w:pPr>
      <w:r w:rsidRPr="00AC1AB6">
        <w:rPr>
          <w:rFonts w:ascii="Arial" w:hAnsi="Arial"/>
          <w:sz w:val="18"/>
        </w:rPr>
        <w:t>© Copyright</w:t>
      </w:r>
      <w:r>
        <w:rPr>
          <w:rFonts w:ascii="Arial" w:hAnsi="Arial"/>
          <w:sz w:val="18"/>
        </w:rPr>
        <w:t xml:space="preserve"> Commonwealth of Australia, 2014</w:t>
      </w:r>
    </w:p>
    <w:p w:rsidR="002E1B53" w:rsidRDefault="002E1B53" w:rsidP="002E1B53">
      <w:r>
        <w:t xml:space="preserve"> </w:t>
      </w:r>
      <w:r w:rsidRPr="003C6EFF">
        <w:rPr>
          <w:noProof/>
          <w:lang w:eastAsia="en-AU"/>
        </w:rPr>
        <w:drawing>
          <wp:inline distT="0" distB="0" distL="0" distR="0">
            <wp:extent cx="1524000" cy="533400"/>
            <wp:effectExtent l="19050" t="0" r="0" b="0"/>
            <wp:docPr id="7" name="Picture 0" descr="Copyright Ima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right Image.tif"/>
                    <pic:cNvPicPr/>
                  </pic:nvPicPr>
                  <pic:blipFill>
                    <a:blip r:embed="rId16" cstate="screen"/>
                    <a:stretch>
                      <a:fillRect/>
                    </a:stretch>
                  </pic:blipFill>
                  <pic:spPr>
                    <a:xfrm>
                      <a:off x="0" y="0"/>
                      <a:ext cx="1524000" cy="533400"/>
                    </a:xfrm>
                    <a:prstGeom prst="rect">
                      <a:avLst/>
                    </a:prstGeom>
                  </pic:spPr>
                </pic:pic>
              </a:graphicData>
            </a:graphic>
          </wp:inline>
        </w:drawing>
      </w:r>
    </w:p>
    <w:p w:rsidR="002E1B53" w:rsidRPr="00AC1AB6" w:rsidRDefault="002E1B53" w:rsidP="002E1B53">
      <w:pPr>
        <w:spacing w:line="260" w:lineRule="atLeast"/>
        <w:ind w:right="567"/>
        <w:jc w:val="left"/>
        <w:rPr>
          <w:rFonts w:ascii="Arial" w:hAnsi="Arial" w:cs="Arial"/>
          <w:sz w:val="18"/>
          <w:szCs w:val="18"/>
        </w:rPr>
      </w:pPr>
      <w:r>
        <w:rPr>
          <w:rFonts w:ascii="Arial" w:hAnsi="Arial" w:cs="Arial"/>
          <w:sz w:val="18"/>
          <w:szCs w:val="18"/>
        </w:rPr>
        <w:t>SSR206</w:t>
      </w:r>
      <w:r w:rsidRPr="00AC1AB6">
        <w:rPr>
          <w:rFonts w:ascii="Arial" w:hAnsi="Arial" w:cs="Arial"/>
          <w:sz w:val="18"/>
          <w:szCs w:val="18"/>
        </w:rPr>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http://creativecommons.org/licenses/by/3.0/au/ </w:t>
      </w:r>
    </w:p>
    <w:p w:rsidR="002E1B53" w:rsidRPr="00AC1AB6" w:rsidRDefault="002E1B53" w:rsidP="002E1B53">
      <w:pPr>
        <w:spacing w:line="260" w:lineRule="atLeast"/>
        <w:ind w:right="567"/>
        <w:jc w:val="left"/>
        <w:rPr>
          <w:rFonts w:ascii="Arial" w:hAnsi="Arial" w:cs="Arial"/>
          <w:b/>
          <w:sz w:val="18"/>
          <w:szCs w:val="18"/>
        </w:rPr>
      </w:pPr>
      <w:proofErr w:type="gramStart"/>
      <w:r w:rsidRPr="00AC1AB6">
        <w:rPr>
          <w:rFonts w:ascii="Arial" w:hAnsi="Arial" w:cs="Arial"/>
          <w:b/>
          <w:sz w:val="18"/>
          <w:szCs w:val="18"/>
        </w:rPr>
        <w:t xml:space="preserve">ISSN  </w:t>
      </w:r>
      <w:r w:rsidR="0048631C" w:rsidRPr="0048631C">
        <w:rPr>
          <w:rFonts w:ascii="Arial" w:hAnsi="Arial" w:cs="Arial"/>
          <w:b/>
          <w:sz w:val="18"/>
          <w:szCs w:val="18"/>
        </w:rPr>
        <w:t>1325</w:t>
      </w:r>
      <w:proofErr w:type="gramEnd"/>
      <w:r w:rsidR="0048631C" w:rsidRPr="0048631C">
        <w:rPr>
          <w:rFonts w:ascii="Arial" w:hAnsi="Arial" w:cs="Arial"/>
          <w:b/>
          <w:sz w:val="18"/>
          <w:szCs w:val="18"/>
        </w:rPr>
        <w:t xml:space="preserve">-1554 </w:t>
      </w:r>
      <w:r w:rsidRPr="00AC1AB6">
        <w:rPr>
          <w:rFonts w:ascii="Arial" w:hAnsi="Arial" w:cs="Arial"/>
          <w:b/>
          <w:sz w:val="18"/>
          <w:szCs w:val="18"/>
        </w:rPr>
        <w:t>(online)</w:t>
      </w:r>
    </w:p>
    <w:p w:rsidR="002E1B53" w:rsidRPr="00AC1AB6" w:rsidRDefault="002E1B53" w:rsidP="002E1B53">
      <w:pPr>
        <w:spacing w:line="260" w:lineRule="atLeast"/>
        <w:ind w:right="567"/>
        <w:jc w:val="left"/>
        <w:rPr>
          <w:rFonts w:ascii="Arial" w:hAnsi="Arial" w:cs="Arial"/>
          <w:b/>
          <w:sz w:val="18"/>
          <w:szCs w:val="18"/>
        </w:rPr>
      </w:pPr>
      <w:proofErr w:type="gramStart"/>
      <w:r w:rsidRPr="00AC1AB6">
        <w:rPr>
          <w:rFonts w:ascii="Arial" w:hAnsi="Arial" w:cs="Arial"/>
          <w:b/>
          <w:sz w:val="18"/>
          <w:szCs w:val="18"/>
        </w:rPr>
        <w:t>ISBN  978</w:t>
      </w:r>
      <w:proofErr w:type="gramEnd"/>
      <w:r w:rsidRPr="00AC1AB6">
        <w:rPr>
          <w:rFonts w:ascii="Arial" w:hAnsi="Arial" w:cs="Arial"/>
          <w:b/>
          <w:sz w:val="18"/>
          <w:szCs w:val="18"/>
        </w:rPr>
        <w:t>-1-921069-24-6</w:t>
      </w:r>
    </w:p>
    <w:p w:rsidR="002E1B53" w:rsidRPr="00AC1AB6" w:rsidRDefault="002E1B53" w:rsidP="002E1B53">
      <w:pPr>
        <w:spacing w:line="260" w:lineRule="atLeast"/>
        <w:ind w:right="567"/>
        <w:jc w:val="left"/>
        <w:rPr>
          <w:rFonts w:ascii="Arial" w:hAnsi="Arial" w:cs="Arial"/>
          <w:sz w:val="18"/>
          <w:szCs w:val="18"/>
        </w:rPr>
      </w:pPr>
      <w:r w:rsidRPr="00AC1AB6">
        <w:rPr>
          <w:rFonts w:ascii="Arial" w:hAnsi="Arial" w:cs="Arial"/>
          <w:sz w:val="18"/>
          <w:szCs w:val="18"/>
        </w:rPr>
        <w:t xml:space="preserve">Internet: </w:t>
      </w:r>
      <w:r w:rsidRPr="00AC1AB6">
        <w:rPr>
          <w:rFonts w:ascii="Arial" w:hAnsi="Arial" w:cs="Arial"/>
          <w:b/>
          <w:sz w:val="18"/>
          <w:szCs w:val="18"/>
        </w:rPr>
        <w:t>environment</w:t>
      </w:r>
      <w:r w:rsidRPr="00AC1AB6">
        <w:rPr>
          <w:rFonts w:ascii="Arial" w:hAnsi="Arial" w:cs="Arial"/>
          <w:sz w:val="18"/>
          <w:szCs w:val="18"/>
        </w:rPr>
        <w:t>.gov.au/</w:t>
      </w:r>
      <w:proofErr w:type="spellStart"/>
      <w:r w:rsidRPr="00AC1AB6">
        <w:rPr>
          <w:rFonts w:ascii="Arial" w:hAnsi="Arial" w:cs="Arial"/>
          <w:sz w:val="18"/>
          <w:szCs w:val="18"/>
        </w:rPr>
        <w:t>ssd</w:t>
      </w:r>
      <w:proofErr w:type="spellEnd"/>
      <w:r w:rsidRPr="00AC1AB6">
        <w:rPr>
          <w:rFonts w:ascii="Arial" w:hAnsi="Arial" w:cs="Arial"/>
          <w:sz w:val="18"/>
          <w:szCs w:val="18"/>
        </w:rPr>
        <w:t>/publications</w:t>
      </w:r>
    </w:p>
    <w:p w:rsidR="002E1B53" w:rsidRPr="00AC1AB6" w:rsidRDefault="002E1B53" w:rsidP="002E1B53">
      <w:pPr>
        <w:spacing w:line="260" w:lineRule="atLeast"/>
        <w:ind w:right="567"/>
        <w:jc w:val="left"/>
        <w:rPr>
          <w:rFonts w:ascii="Arial" w:hAnsi="Arial" w:cs="Arial"/>
          <w:sz w:val="18"/>
          <w:szCs w:val="18"/>
        </w:rPr>
      </w:pPr>
      <w:r w:rsidRPr="00AC1AB6">
        <w:rPr>
          <w:rFonts w:ascii="Arial" w:hAnsi="Arial" w:cs="Arial"/>
          <w:sz w:val="18"/>
          <w:szCs w:val="18"/>
        </w:rPr>
        <w:t xml:space="preserve">The views and opinions expressed in this publication are those of the authors and do not necessarily reflect those of the Australian Government or the Minister for the Environment. </w:t>
      </w:r>
    </w:p>
    <w:p w:rsidR="002E1B53" w:rsidRDefault="002E1B53" w:rsidP="002E1B53">
      <w:pPr>
        <w:spacing w:line="260" w:lineRule="atLeast"/>
        <w:ind w:right="567"/>
        <w:jc w:val="left"/>
        <w:rPr>
          <w:rFonts w:ascii="Arial" w:hAnsi="Arial" w:cs="Arial"/>
          <w:sz w:val="18"/>
          <w:szCs w:val="18"/>
        </w:rPr>
      </w:pPr>
      <w:r w:rsidRPr="00AC1AB6">
        <w:rPr>
          <w:rFonts w:ascii="Arial" w:hAnsi="Arial" w:cs="Arial"/>
          <w:sz w:val="18"/>
          <w:szCs w:val="18"/>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2E1B53" w:rsidRDefault="002E1B53" w:rsidP="002E1B53">
      <w:pPr>
        <w:spacing w:line="260" w:lineRule="atLeast"/>
        <w:ind w:right="567"/>
        <w:jc w:val="left"/>
        <w:rPr>
          <w:rFonts w:ascii="Arial" w:hAnsi="Arial" w:cs="Arial"/>
          <w:sz w:val="18"/>
          <w:szCs w:val="18"/>
        </w:rPr>
      </w:pPr>
    </w:p>
    <w:p w:rsidR="002E1B53" w:rsidRDefault="002E1B53" w:rsidP="002E1B53">
      <w:pPr>
        <w:spacing w:line="260" w:lineRule="atLeast"/>
        <w:ind w:right="567"/>
        <w:jc w:val="left"/>
        <w:rPr>
          <w:rFonts w:ascii="Arial" w:hAnsi="Arial" w:cs="Arial"/>
          <w:sz w:val="18"/>
          <w:szCs w:val="18"/>
        </w:rPr>
      </w:pPr>
    </w:p>
    <w:p w:rsidR="002E1B53" w:rsidRPr="00F70A46" w:rsidRDefault="002E1B53" w:rsidP="002E1B53"/>
    <w:p w:rsidR="000D0385" w:rsidRDefault="000D0385" w:rsidP="000D0385"/>
    <w:p w:rsidR="000D0385" w:rsidRDefault="000D0385" w:rsidP="000D0385">
      <w:pPr>
        <w:pStyle w:val="Heading1"/>
        <w:sectPr w:rsidR="000D0385" w:rsidSect="00FF1D60">
          <w:headerReference w:type="even" r:id="rId17"/>
          <w:footerReference w:type="even" r:id="rId18"/>
          <w:footerReference w:type="default" r:id="rId19"/>
          <w:pgSz w:w="11906" w:h="16838" w:code="9"/>
          <w:pgMar w:top="1440" w:right="1800" w:bottom="1440" w:left="1800" w:header="1080" w:footer="835" w:gutter="0"/>
          <w:pgNumType w:fmt="lowerRoman"/>
          <w:cols w:space="360"/>
          <w:noEndnote/>
        </w:sectPr>
      </w:pPr>
      <w:bookmarkStart w:id="23" w:name="_Toc513964642"/>
      <w:bookmarkStart w:id="24" w:name="_Toc529153317"/>
      <w:bookmarkStart w:id="25" w:name="_Toc529257114"/>
      <w:bookmarkStart w:id="26" w:name="_Toc530561182"/>
      <w:bookmarkStart w:id="27" w:name="_Toc328494"/>
      <w:bookmarkStart w:id="28" w:name="_Toc10348567"/>
      <w:bookmarkStart w:id="29" w:name="_Toc10440452"/>
      <w:bookmarkStart w:id="30" w:name="_Toc14069262"/>
      <w:bookmarkStart w:id="31" w:name="_Toc44923914"/>
      <w:bookmarkStart w:id="32" w:name="_Toc44999410"/>
      <w:bookmarkStart w:id="33" w:name="_Toc45098428"/>
      <w:bookmarkStart w:id="34" w:name="_Toc45703076"/>
    </w:p>
    <w:p w:rsidR="000D0385" w:rsidRDefault="000D0385" w:rsidP="000D0385">
      <w:pPr>
        <w:pStyle w:val="Heading1"/>
      </w:pPr>
      <w:bookmarkStart w:id="35" w:name="_Toc52076361"/>
      <w:bookmarkStart w:id="36" w:name="_Toc52076386"/>
      <w:bookmarkStart w:id="37" w:name="_Toc225151939"/>
      <w:bookmarkStart w:id="38" w:name="_Toc309728464"/>
      <w:bookmarkStart w:id="39" w:name="_Toc311104940"/>
      <w:bookmarkStart w:id="40" w:name="_Toc390416644"/>
      <w:bookmarkStart w:id="41" w:name="_Toc390417961"/>
      <w:bookmarkStart w:id="42" w:name="_Toc390420949"/>
      <w:bookmarkStart w:id="43" w:name="_Toc390432813"/>
      <w:bookmarkStart w:id="44" w:name="_Toc390432873"/>
      <w:bookmarkStart w:id="45" w:name="_Toc390432984"/>
      <w:bookmarkStart w:id="46" w:name="_Toc390445671"/>
      <w:bookmarkStart w:id="47" w:name="_Toc390766562"/>
      <w:r>
        <w:lastRenderedPageBreak/>
        <w:t>Contents</w:t>
      </w:r>
      <w:bookmarkStart w:id="48" w:name="_Toc529153318"/>
      <w:bookmarkStart w:id="49" w:name="_Toc529257115"/>
      <w:bookmarkStart w:id="50" w:name="_Toc530561183"/>
      <w:bookmarkStart w:id="51" w:name="_Toc10348566"/>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rsidR="006A42AC" w:rsidRDefault="00117C79">
      <w:pPr>
        <w:pStyle w:val="TOC1"/>
        <w:rPr>
          <w:rFonts w:asciiTheme="minorHAnsi" w:eastAsiaTheme="minorEastAsia" w:hAnsiTheme="minorHAnsi" w:cstheme="minorBidi"/>
          <w:b w:val="0"/>
          <w:noProof/>
          <w:sz w:val="22"/>
          <w:szCs w:val="22"/>
          <w:lang w:eastAsia="en-AU"/>
        </w:rPr>
      </w:pPr>
      <w:r w:rsidRPr="00117C79">
        <w:fldChar w:fldCharType="begin"/>
      </w:r>
      <w:r w:rsidR="000D0385">
        <w:instrText xml:space="preserve"> TOC \o "1-1" \t "Heading 2,2,Heading 3,3" </w:instrText>
      </w:r>
      <w:r w:rsidRPr="00117C79">
        <w:fldChar w:fldCharType="separate"/>
      </w:r>
      <w:r w:rsidR="006A42AC">
        <w:rPr>
          <w:noProof/>
        </w:rPr>
        <w:t>Contents</w:t>
      </w:r>
      <w:r w:rsidR="006A42AC">
        <w:rPr>
          <w:noProof/>
        </w:rPr>
        <w:tab/>
      </w:r>
      <w:r>
        <w:rPr>
          <w:noProof/>
        </w:rPr>
        <w:fldChar w:fldCharType="begin"/>
      </w:r>
      <w:r w:rsidR="006A42AC">
        <w:rPr>
          <w:noProof/>
        </w:rPr>
        <w:instrText xml:space="preserve"> PAGEREF _Toc390766562 \h </w:instrText>
      </w:r>
      <w:r>
        <w:rPr>
          <w:noProof/>
        </w:rPr>
      </w:r>
      <w:r>
        <w:rPr>
          <w:noProof/>
        </w:rPr>
        <w:fldChar w:fldCharType="separate"/>
      </w:r>
      <w:r w:rsidR="00BC139B">
        <w:rPr>
          <w:noProof/>
        </w:rPr>
        <w:t>iii</w:t>
      </w:r>
      <w:r>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Tables</w:t>
      </w:r>
      <w:r>
        <w:rPr>
          <w:noProof/>
        </w:rPr>
        <w:tab/>
      </w:r>
      <w:r w:rsidR="00117C79">
        <w:rPr>
          <w:noProof/>
        </w:rPr>
        <w:fldChar w:fldCharType="begin"/>
      </w:r>
      <w:r>
        <w:rPr>
          <w:noProof/>
        </w:rPr>
        <w:instrText xml:space="preserve"> PAGEREF _Toc390766563 \h </w:instrText>
      </w:r>
      <w:r w:rsidR="00117C79">
        <w:rPr>
          <w:noProof/>
        </w:rPr>
      </w:r>
      <w:r w:rsidR="00117C79">
        <w:rPr>
          <w:noProof/>
        </w:rPr>
        <w:fldChar w:fldCharType="separate"/>
      </w:r>
      <w:r w:rsidR="00BC139B">
        <w:rPr>
          <w:noProof/>
        </w:rPr>
        <w:t>iv</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Figures</w:t>
      </w:r>
      <w:r>
        <w:rPr>
          <w:noProof/>
        </w:rPr>
        <w:tab/>
      </w:r>
      <w:r w:rsidR="00117C79">
        <w:rPr>
          <w:noProof/>
        </w:rPr>
        <w:fldChar w:fldCharType="begin"/>
      </w:r>
      <w:r>
        <w:rPr>
          <w:noProof/>
        </w:rPr>
        <w:instrText xml:space="preserve"> PAGEREF _Toc390766564 \h </w:instrText>
      </w:r>
      <w:r w:rsidR="00117C79">
        <w:rPr>
          <w:noProof/>
        </w:rPr>
      </w:r>
      <w:r w:rsidR="00117C79">
        <w:rPr>
          <w:noProof/>
        </w:rPr>
        <w:fldChar w:fldCharType="separate"/>
      </w:r>
      <w:r w:rsidR="00BC139B">
        <w:rPr>
          <w:noProof/>
        </w:rPr>
        <w:t>v</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Executive summary</w:t>
      </w:r>
      <w:r>
        <w:rPr>
          <w:noProof/>
        </w:rPr>
        <w:tab/>
      </w:r>
      <w:r w:rsidR="00117C79">
        <w:rPr>
          <w:noProof/>
        </w:rPr>
        <w:fldChar w:fldCharType="begin"/>
      </w:r>
      <w:r>
        <w:rPr>
          <w:noProof/>
        </w:rPr>
        <w:instrText xml:space="preserve"> PAGEREF _Toc390766565 \h </w:instrText>
      </w:r>
      <w:r w:rsidR="00117C79">
        <w:rPr>
          <w:noProof/>
        </w:rPr>
      </w:r>
      <w:r w:rsidR="00117C79">
        <w:rPr>
          <w:noProof/>
        </w:rPr>
        <w:fldChar w:fldCharType="separate"/>
      </w:r>
      <w:r w:rsidR="00BC139B">
        <w:rPr>
          <w:noProof/>
        </w:rPr>
        <w:t>1</w:t>
      </w:r>
      <w:r w:rsidR="00117C79">
        <w:rPr>
          <w:noProof/>
        </w:rPr>
        <w:fldChar w:fldCharType="end"/>
      </w:r>
    </w:p>
    <w:p w:rsidR="006A42AC" w:rsidRDefault="006A42AC">
      <w:pPr>
        <w:pStyle w:val="TOC1"/>
        <w:rPr>
          <w:rFonts w:asciiTheme="minorHAnsi" w:eastAsiaTheme="minorEastAsia" w:hAnsiTheme="minorHAnsi" w:cstheme="minorBidi"/>
          <w:b w:val="0"/>
          <w:noProof/>
          <w:sz w:val="22"/>
          <w:szCs w:val="22"/>
          <w:lang w:eastAsia="en-AU"/>
        </w:rPr>
      </w:pPr>
      <w:r>
        <w:rPr>
          <w:noProof/>
        </w:rPr>
        <w:t>1  Introduction</w:t>
      </w:r>
      <w:r>
        <w:rPr>
          <w:noProof/>
        </w:rPr>
        <w:tab/>
      </w:r>
      <w:r w:rsidR="00117C79">
        <w:rPr>
          <w:noProof/>
        </w:rPr>
        <w:fldChar w:fldCharType="begin"/>
      </w:r>
      <w:r>
        <w:rPr>
          <w:noProof/>
        </w:rPr>
        <w:instrText xml:space="preserve"> PAGEREF _Toc390766566 \h </w:instrText>
      </w:r>
      <w:r w:rsidR="00117C79">
        <w:rPr>
          <w:noProof/>
        </w:rPr>
      </w:r>
      <w:r w:rsidR="00117C79">
        <w:rPr>
          <w:noProof/>
        </w:rPr>
        <w:fldChar w:fldCharType="separate"/>
      </w:r>
      <w:r w:rsidR="00BC139B">
        <w:rPr>
          <w:noProof/>
        </w:rPr>
        <w:t>3</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1.1  Scope of investigation</w:t>
      </w:r>
      <w:r>
        <w:rPr>
          <w:noProof/>
        </w:rPr>
        <w:tab/>
      </w:r>
      <w:r w:rsidR="00117C79">
        <w:rPr>
          <w:noProof/>
        </w:rPr>
        <w:fldChar w:fldCharType="begin"/>
      </w:r>
      <w:r>
        <w:rPr>
          <w:noProof/>
        </w:rPr>
        <w:instrText xml:space="preserve"> PAGEREF _Toc390766567 \h </w:instrText>
      </w:r>
      <w:r w:rsidR="00117C79">
        <w:rPr>
          <w:noProof/>
        </w:rPr>
      </w:r>
      <w:r w:rsidR="00117C79">
        <w:rPr>
          <w:noProof/>
        </w:rPr>
        <w:fldChar w:fldCharType="separate"/>
      </w:r>
      <w:r w:rsidR="00BC139B">
        <w:rPr>
          <w:noProof/>
        </w:rPr>
        <w:t>3</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1.2  Ranger uranium mine</w:t>
      </w:r>
      <w:r>
        <w:rPr>
          <w:noProof/>
        </w:rPr>
        <w:tab/>
      </w:r>
      <w:r w:rsidR="00117C79">
        <w:rPr>
          <w:noProof/>
        </w:rPr>
        <w:fldChar w:fldCharType="begin"/>
      </w:r>
      <w:r>
        <w:rPr>
          <w:noProof/>
        </w:rPr>
        <w:instrText xml:space="preserve"> PAGEREF _Toc390766568 \h </w:instrText>
      </w:r>
      <w:r w:rsidR="00117C79">
        <w:rPr>
          <w:noProof/>
        </w:rPr>
      </w:r>
      <w:r w:rsidR="00117C79">
        <w:rPr>
          <w:noProof/>
        </w:rPr>
        <w:fldChar w:fldCharType="separate"/>
      </w:r>
      <w:r w:rsidR="00BC139B">
        <w:rPr>
          <w:noProof/>
        </w:rPr>
        <w:t>3</w:t>
      </w:r>
      <w:r w:rsidR="00117C79">
        <w:rPr>
          <w:noProof/>
        </w:rPr>
        <w:fldChar w:fldCharType="end"/>
      </w:r>
    </w:p>
    <w:p w:rsidR="006A42AC" w:rsidRDefault="006A42AC">
      <w:pPr>
        <w:pStyle w:val="TOC3"/>
        <w:rPr>
          <w:rFonts w:asciiTheme="minorHAnsi" w:eastAsiaTheme="minorEastAsia" w:hAnsiTheme="minorHAnsi" w:cstheme="minorBidi"/>
          <w:noProof/>
          <w:sz w:val="22"/>
          <w:szCs w:val="22"/>
          <w:lang w:eastAsia="en-AU"/>
        </w:rPr>
      </w:pPr>
      <w:r>
        <w:rPr>
          <w:noProof/>
          <w:lang w:eastAsia="en-AU"/>
        </w:rPr>
        <w:t xml:space="preserve">1.2.1 </w:t>
      </w:r>
      <w:r>
        <w:rPr>
          <w:noProof/>
        </w:rPr>
        <w:t>Overview</w:t>
      </w:r>
      <w:r>
        <w:rPr>
          <w:noProof/>
          <w:lang w:eastAsia="en-AU"/>
        </w:rPr>
        <w:t xml:space="preserve"> of Ranger water classes</w:t>
      </w:r>
      <w:r>
        <w:rPr>
          <w:noProof/>
        </w:rPr>
        <w:tab/>
      </w:r>
      <w:r w:rsidR="00117C79">
        <w:rPr>
          <w:noProof/>
        </w:rPr>
        <w:fldChar w:fldCharType="begin"/>
      </w:r>
      <w:r>
        <w:rPr>
          <w:noProof/>
        </w:rPr>
        <w:instrText xml:space="preserve"> PAGEREF _Toc390766569 \h </w:instrText>
      </w:r>
      <w:r w:rsidR="00117C79">
        <w:rPr>
          <w:noProof/>
        </w:rPr>
      </w:r>
      <w:r w:rsidR="00117C79">
        <w:rPr>
          <w:noProof/>
        </w:rPr>
        <w:fldChar w:fldCharType="separate"/>
      </w:r>
      <w:r w:rsidR="00BC139B">
        <w:rPr>
          <w:noProof/>
        </w:rPr>
        <w:t>3</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1.3  Legislative framework</w:t>
      </w:r>
      <w:r>
        <w:rPr>
          <w:noProof/>
        </w:rPr>
        <w:tab/>
      </w:r>
      <w:r w:rsidR="00117C79">
        <w:rPr>
          <w:noProof/>
        </w:rPr>
        <w:fldChar w:fldCharType="begin"/>
      </w:r>
      <w:r>
        <w:rPr>
          <w:noProof/>
        </w:rPr>
        <w:instrText xml:space="preserve"> PAGEREF _Toc390766570 \h </w:instrText>
      </w:r>
      <w:r w:rsidR="00117C79">
        <w:rPr>
          <w:noProof/>
        </w:rPr>
      </w:r>
      <w:r w:rsidR="00117C79">
        <w:rPr>
          <w:noProof/>
        </w:rPr>
        <w:fldChar w:fldCharType="separate"/>
      </w:r>
      <w:r w:rsidR="00BC139B">
        <w:rPr>
          <w:noProof/>
        </w:rPr>
        <w:t>5</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1.4  The Supervising Scientist monitoring program</w:t>
      </w:r>
      <w:r>
        <w:rPr>
          <w:noProof/>
        </w:rPr>
        <w:tab/>
      </w:r>
      <w:r w:rsidR="00117C79">
        <w:rPr>
          <w:noProof/>
        </w:rPr>
        <w:fldChar w:fldCharType="begin"/>
      </w:r>
      <w:r>
        <w:rPr>
          <w:noProof/>
        </w:rPr>
        <w:instrText xml:space="preserve"> PAGEREF _Toc390766571 \h </w:instrText>
      </w:r>
      <w:r w:rsidR="00117C79">
        <w:rPr>
          <w:noProof/>
        </w:rPr>
      </w:r>
      <w:r w:rsidR="00117C79">
        <w:rPr>
          <w:noProof/>
        </w:rPr>
        <w:fldChar w:fldCharType="separate"/>
      </w:r>
      <w:r w:rsidR="00BC139B">
        <w:rPr>
          <w:noProof/>
        </w:rPr>
        <w:t>5</w:t>
      </w:r>
      <w:r w:rsidR="00117C79">
        <w:rPr>
          <w:noProof/>
        </w:rPr>
        <w:fldChar w:fldCharType="end"/>
      </w:r>
    </w:p>
    <w:p w:rsidR="006A42AC" w:rsidRDefault="006A42AC">
      <w:pPr>
        <w:pStyle w:val="TOC1"/>
        <w:rPr>
          <w:rFonts w:asciiTheme="minorHAnsi" w:eastAsiaTheme="minorEastAsia" w:hAnsiTheme="minorHAnsi" w:cstheme="minorBidi"/>
          <w:b w:val="0"/>
          <w:noProof/>
          <w:sz w:val="22"/>
          <w:szCs w:val="22"/>
          <w:lang w:eastAsia="en-AU"/>
        </w:rPr>
      </w:pPr>
      <w:r>
        <w:rPr>
          <w:noProof/>
        </w:rPr>
        <w:t>2  Description of the incident</w:t>
      </w:r>
      <w:r>
        <w:rPr>
          <w:noProof/>
        </w:rPr>
        <w:tab/>
      </w:r>
      <w:r w:rsidR="00117C79">
        <w:rPr>
          <w:noProof/>
        </w:rPr>
        <w:fldChar w:fldCharType="begin"/>
      </w:r>
      <w:r>
        <w:rPr>
          <w:noProof/>
        </w:rPr>
        <w:instrText xml:space="preserve"> PAGEREF _Toc390766572 \h </w:instrText>
      </w:r>
      <w:r w:rsidR="00117C79">
        <w:rPr>
          <w:noProof/>
        </w:rPr>
      </w:r>
      <w:r w:rsidR="00117C79">
        <w:rPr>
          <w:noProof/>
        </w:rPr>
        <w:fldChar w:fldCharType="separate"/>
      </w:r>
      <w:r w:rsidR="00BC139B">
        <w:rPr>
          <w:noProof/>
        </w:rPr>
        <w:t>8</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2.1  Incident summary</w:t>
      </w:r>
      <w:r>
        <w:rPr>
          <w:noProof/>
        </w:rPr>
        <w:tab/>
      </w:r>
      <w:r w:rsidR="00117C79">
        <w:rPr>
          <w:noProof/>
        </w:rPr>
        <w:fldChar w:fldCharType="begin"/>
      </w:r>
      <w:r>
        <w:rPr>
          <w:noProof/>
        </w:rPr>
        <w:instrText xml:space="preserve"> PAGEREF _Toc390766573 \h </w:instrText>
      </w:r>
      <w:r w:rsidR="00117C79">
        <w:rPr>
          <w:noProof/>
        </w:rPr>
      </w:r>
      <w:r w:rsidR="00117C79">
        <w:rPr>
          <w:noProof/>
        </w:rPr>
        <w:fldChar w:fldCharType="separate"/>
      </w:r>
      <w:r w:rsidR="00BC139B">
        <w:rPr>
          <w:noProof/>
        </w:rPr>
        <w:t>8</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2.2  Ranger mine Leach Tank Incident Task Force</w:t>
      </w:r>
      <w:r>
        <w:rPr>
          <w:noProof/>
        </w:rPr>
        <w:tab/>
      </w:r>
      <w:r w:rsidR="00117C79">
        <w:rPr>
          <w:noProof/>
        </w:rPr>
        <w:fldChar w:fldCharType="begin"/>
      </w:r>
      <w:r>
        <w:rPr>
          <w:noProof/>
        </w:rPr>
        <w:instrText xml:space="preserve"> PAGEREF _Toc390766574 \h </w:instrText>
      </w:r>
      <w:r w:rsidR="00117C79">
        <w:rPr>
          <w:noProof/>
        </w:rPr>
      </w:r>
      <w:r w:rsidR="00117C79">
        <w:rPr>
          <w:noProof/>
        </w:rPr>
        <w:fldChar w:fldCharType="separate"/>
      </w:r>
      <w:r w:rsidR="00BC139B">
        <w:rPr>
          <w:noProof/>
        </w:rPr>
        <w:t>8</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2.3  Leach slurry properties</w:t>
      </w:r>
      <w:r>
        <w:rPr>
          <w:noProof/>
        </w:rPr>
        <w:tab/>
      </w:r>
      <w:r w:rsidR="00117C79">
        <w:rPr>
          <w:noProof/>
        </w:rPr>
        <w:fldChar w:fldCharType="begin"/>
      </w:r>
      <w:r>
        <w:rPr>
          <w:noProof/>
        </w:rPr>
        <w:instrText xml:space="preserve"> PAGEREF _Toc390766575 \h </w:instrText>
      </w:r>
      <w:r w:rsidR="00117C79">
        <w:rPr>
          <w:noProof/>
        </w:rPr>
      </w:r>
      <w:r w:rsidR="00117C79">
        <w:rPr>
          <w:noProof/>
        </w:rPr>
        <w:fldChar w:fldCharType="separate"/>
      </w:r>
      <w:r w:rsidR="00BC139B">
        <w:rPr>
          <w:noProof/>
        </w:rPr>
        <w:t>9</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752A88">
        <w:rPr>
          <w:noProof/>
          <w:lang w:val="en-US"/>
        </w:rPr>
        <w:t>2.4  Spatial extent of the spill</w:t>
      </w:r>
      <w:r>
        <w:rPr>
          <w:noProof/>
        </w:rPr>
        <w:tab/>
      </w:r>
      <w:r w:rsidR="00117C79">
        <w:rPr>
          <w:noProof/>
        </w:rPr>
        <w:fldChar w:fldCharType="begin"/>
      </w:r>
      <w:r>
        <w:rPr>
          <w:noProof/>
        </w:rPr>
        <w:instrText xml:space="preserve"> PAGEREF _Toc390766576 \h </w:instrText>
      </w:r>
      <w:r w:rsidR="00117C79">
        <w:rPr>
          <w:noProof/>
        </w:rPr>
      </w:r>
      <w:r w:rsidR="00117C79">
        <w:rPr>
          <w:noProof/>
        </w:rPr>
        <w:fldChar w:fldCharType="separate"/>
      </w:r>
      <w:r w:rsidR="00BC139B">
        <w:rPr>
          <w:noProof/>
        </w:rPr>
        <w:t>9</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2.5 Cleanup operation</w:t>
      </w:r>
      <w:r>
        <w:rPr>
          <w:noProof/>
        </w:rPr>
        <w:tab/>
      </w:r>
      <w:r w:rsidR="00117C79">
        <w:rPr>
          <w:noProof/>
        </w:rPr>
        <w:fldChar w:fldCharType="begin"/>
      </w:r>
      <w:r>
        <w:rPr>
          <w:noProof/>
        </w:rPr>
        <w:instrText xml:space="preserve"> PAGEREF _Toc390766577 \h </w:instrText>
      </w:r>
      <w:r w:rsidR="00117C79">
        <w:rPr>
          <w:noProof/>
        </w:rPr>
      </w:r>
      <w:r w:rsidR="00117C79">
        <w:rPr>
          <w:noProof/>
        </w:rPr>
        <w:fldChar w:fldCharType="separate"/>
      </w:r>
      <w:r w:rsidR="00BC139B">
        <w:rPr>
          <w:noProof/>
        </w:rPr>
        <w:t>12</w:t>
      </w:r>
      <w:r w:rsidR="00117C79">
        <w:rPr>
          <w:noProof/>
        </w:rPr>
        <w:fldChar w:fldCharType="end"/>
      </w:r>
    </w:p>
    <w:p w:rsidR="006A42AC" w:rsidRDefault="006A42AC">
      <w:pPr>
        <w:pStyle w:val="TOC1"/>
        <w:rPr>
          <w:rFonts w:asciiTheme="minorHAnsi" w:eastAsiaTheme="minorEastAsia" w:hAnsiTheme="minorHAnsi" w:cstheme="minorBidi"/>
          <w:b w:val="0"/>
          <w:noProof/>
          <w:sz w:val="22"/>
          <w:szCs w:val="22"/>
          <w:lang w:eastAsia="en-AU"/>
        </w:rPr>
      </w:pPr>
      <w:r>
        <w:rPr>
          <w:noProof/>
        </w:rPr>
        <w:t>3  Supervising Scientist Division Response</w:t>
      </w:r>
      <w:r>
        <w:rPr>
          <w:noProof/>
        </w:rPr>
        <w:tab/>
      </w:r>
      <w:r w:rsidR="00117C79">
        <w:rPr>
          <w:noProof/>
        </w:rPr>
        <w:fldChar w:fldCharType="begin"/>
      </w:r>
      <w:r>
        <w:rPr>
          <w:noProof/>
        </w:rPr>
        <w:instrText xml:space="preserve"> PAGEREF _Toc390766578 \h </w:instrText>
      </w:r>
      <w:r w:rsidR="00117C79">
        <w:rPr>
          <w:noProof/>
        </w:rPr>
      </w:r>
      <w:r w:rsidR="00117C79">
        <w:rPr>
          <w:noProof/>
        </w:rPr>
        <w:fldChar w:fldCharType="separate"/>
      </w:r>
      <w:r w:rsidR="00BC139B">
        <w:rPr>
          <w:noProof/>
        </w:rPr>
        <w:t>13</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3.1  Initial response</w:t>
      </w:r>
      <w:r>
        <w:rPr>
          <w:noProof/>
        </w:rPr>
        <w:tab/>
      </w:r>
      <w:r w:rsidR="00117C79">
        <w:rPr>
          <w:noProof/>
        </w:rPr>
        <w:fldChar w:fldCharType="begin"/>
      </w:r>
      <w:r>
        <w:rPr>
          <w:noProof/>
        </w:rPr>
        <w:instrText xml:space="preserve"> PAGEREF _Toc390766579 \h </w:instrText>
      </w:r>
      <w:r w:rsidR="00117C79">
        <w:rPr>
          <w:noProof/>
        </w:rPr>
      </w:r>
      <w:r w:rsidR="00117C79">
        <w:rPr>
          <w:noProof/>
        </w:rPr>
        <w:fldChar w:fldCharType="separate"/>
      </w:r>
      <w:r w:rsidR="00BC139B">
        <w:rPr>
          <w:noProof/>
        </w:rPr>
        <w:t>13</w:t>
      </w:r>
      <w:r w:rsidR="00117C79">
        <w:rPr>
          <w:noProof/>
        </w:rPr>
        <w:fldChar w:fldCharType="end"/>
      </w:r>
    </w:p>
    <w:p w:rsidR="006A42AC" w:rsidRDefault="006A42AC">
      <w:pPr>
        <w:pStyle w:val="TOC3"/>
        <w:rPr>
          <w:rFonts w:asciiTheme="minorHAnsi" w:eastAsiaTheme="minorEastAsia" w:hAnsiTheme="minorHAnsi" w:cstheme="minorBidi"/>
          <w:noProof/>
          <w:sz w:val="22"/>
          <w:szCs w:val="22"/>
          <w:lang w:eastAsia="en-AU"/>
        </w:rPr>
      </w:pPr>
      <w:r>
        <w:rPr>
          <w:noProof/>
        </w:rPr>
        <w:t>3.1.1 SSD initial site inspection</w:t>
      </w:r>
      <w:r>
        <w:rPr>
          <w:noProof/>
        </w:rPr>
        <w:tab/>
      </w:r>
      <w:r w:rsidR="00117C79">
        <w:rPr>
          <w:noProof/>
        </w:rPr>
        <w:fldChar w:fldCharType="begin"/>
      </w:r>
      <w:r>
        <w:rPr>
          <w:noProof/>
        </w:rPr>
        <w:instrText xml:space="preserve"> PAGEREF _Toc390766580 \h </w:instrText>
      </w:r>
      <w:r w:rsidR="00117C79">
        <w:rPr>
          <w:noProof/>
        </w:rPr>
      </w:r>
      <w:r w:rsidR="00117C79">
        <w:rPr>
          <w:noProof/>
        </w:rPr>
        <w:fldChar w:fldCharType="separate"/>
      </w:r>
      <w:r w:rsidR="00BC139B">
        <w:rPr>
          <w:noProof/>
        </w:rPr>
        <w:t>13</w:t>
      </w:r>
      <w:r w:rsidR="00117C79">
        <w:rPr>
          <w:noProof/>
        </w:rPr>
        <w:fldChar w:fldCharType="end"/>
      </w:r>
    </w:p>
    <w:p w:rsidR="006A42AC" w:rsidRDefault="006A42AC">
      <w:pPr>
        <w:pStyle w:val="TOC3"/>
        <w:rPr>
          <w:rFonts w:asciiTheme="minorHAnsi" w:eastAsiaTheme="minorEastAsia" w:hAnsiTheme="minorHAnsi" w:cstheme="minorBidi"/>
          <w:noProof/>
          <w:sz w:val="22"/>
          <w:szCs w:val="22"/>
          <w:lang w:eastAsia="en-AU"/>
        </w:rPr>
      </w:pPr>
      <w:r>
        <w:rPr>
          <w:noProof/>
        </w:rPr>
        <w:t>3.1.2 Supervising Scientist’s inspection</w:t>
      </w:r>
      <w:r>
        <w:rPr>
          <w:noProof/>
        </w:rPr>
        <w:tab/>
      </w:r>
      <w:r w:rsidR="00117C79">
        <w:rPr>
          <w:noProof/>
        </w:rPr>
        <w:fldChar w:fldCharType="begin"/>
      </w:r>
      <w:r>
        <w:rPr>
          <w:noProof/>
        </w:rPr>
        <w:instrText xml:space="preserve"> PAGEREF _Toc390766581 \h </w:instrText>
      </w:r>
      <w:r w:rsidR="00117C79">
        <w:rPr>
          <w:noProof/>
        </w:rPr>
      </w:r>
      <w:r w:rsidR="00117C79">
        <w:rPr>
          <w:noProof/>
        </w:rPr>
        <w:fldChar w:fldCharType="separate"/>
      </w:r>
      <w:r w:rsidR="00BC139B">
        <w:rPr>
          <w:noProof/>
        </w:rPr>
        <w:t>14</w:t>
      </w:r>
      <w:r w:rsidR="00117C79">
        <w:rPr>
          <w:noProof/>
        </w:rPr>
        <w:fldChar w:fldCharType="end"/>
      </w:r>
    </w:p>
    <w:p w:rsidR="006A42AC" w:rsidRDefault="006A42AC">
      <w:pPr>
        <w:pStyle w:val="TOC3"/>
        <w:rPr>
          <w:rFonts w:asciiTheme="minorHAnsi" w:eastAsiaTheme="minorEastAsia" w:hAnsiTheme="minorHAnsi" w:cstheme="minorBidi"/>
          <w:noProof/>
          <w:sz w:val="22"/>
          <w:szCs w:val="22"/>
          <w:lang w:eastAsia="en-AU"/>
        </w:rPr>
      </w:pPr>
      <w:r>
        <w:rPr>
          <w:noProof/>
        </w:rPr>
        <w:t>3.1.3 Routine Periodic Inspection</w:t>
      </w:r>
      <w:r>
        <w:rPr>
          <w:noProof/>
        </w:rPr>
        <w:tab/>
      </w:r>
      <w:r w:rsidR="00117C79">
        <w:rPr>
          <w:noProof/>
        </w:rPr>
        <w:fldChar w:fldCharType="begin"/>
      </w:r>
      <w:r>
        <w:rPr>
          <w:noProof/>
        </w:rPr>
        <w:instrText xml:space="preserve"> PAGEREF _Toc390766582 \h </w:instrText>
      </w:r>
      <w:r w:rsidR="00117C79">
        <w:rPr>
          <w:noProof/>
        </w:rPr>
      </w:r>
      <w:r w:rsidR="00117C79">
        <w:rPr>
          <w:noProof/>
        </w:rPr>
        <w:fldChar w:fldCharType="separate"/>
      </w:r>
      <w:r w:rsidR="00BC139B">
        <w:rPr>
          <w:noProof/>
        </w:rPr>
        <w:t>14</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3.2  Surface Water</w:t>
      </w:r>
      <w:r>
        <w:rPr>
          <w:noProof/>
        </w:rPr>
        <w:tab/>
      </w:r>
      <w:r w:rsidR="00117C79">
        <w:rPr>
          <w:noProof/>
        </w:rPr>
        <w:fldChar w:fldCharType="begin"/>
      </w:r>
      <w:r>
        <w:rPr>
          <w:noProof/>
        </w:rPr>
        <w:instrText xml:space="preserve"> PAGEREF _Toc390766583 \h </w:instrText>
      </w:r>
      <w:r w:rsidR="00117C79">
        <w:rPr>
          <w:noProof/>
        </w:rPr>
      </w:r>
      <w:r w:rsidR="00117C79">
        <w:rPr>
          <w:noProof/>
        </w:rPr>
        <w:fldChar w:fldCharType="separate"/>
      </w:r>
      <w:r w:rsidR="00BC139B">
        <w:rPr>
          <w:noProof/>
        </w:rPr>
        <w:t>16</w:t>
      </w:r>
      <w:r w:rsidR="00117C79">
        <w:rPr>
          <w:noProof/>
        </w:rPr>
        <w:fldChar w:fldCharType="end"/>
      </w:r>
    </w:p>
    <w:p w:rsidR="006A42AC" w:rsidRDefault="006A42AC">
      <w:pPr>
        <w:pStyle w:val="TOC3"/>
        <w:rPr>
          <w:rFonts w:asciiTheme="minorHAnsi" w:eastAsiaTheme="minorEastAsia" w:hAnsiTheme="minorHAnsi" w:cstheme="minorBidi"/>
          <w:noProof/>
          <w:sz w:val="22"/>
          <w:szCs w:val="22"/>
          <w:lang w:eastAsia="en-AU"/>
        </w:rPr>
      </w:pPr>
      <w:r>
        <w:rPr>
          <w:noProof/>
        </w:rPr>
        <w:t>3.2.1  Onsite surface water</w:t>
      </w:r>
      <w:r>
        <w:rPr>
          <w:noProof/>
        </w:rPr>
        <w:tab/>
      </w:r>
      <w:r w:rsidR="00117C79">
        <w:rPr>
          <w:noProof/>
        </w:rPr>
        <w:fldChar w:fldCharType="begin"/>
      </w:r>
      <w:r>
        <w:rPr>
          <w:noProof/>
        </w:rPr>
        <w:instrText xml:space="preserve"> PAGEREF _Toc390766584 \h </w:instrText>
      </w:r>
      <w:r w:rsidR="00117C79">
        <w:rPr>
          <w:noProof/>
        </w:rPr>
      </w:r>
      <w:r w:rsidR="00117C79">
        <w:rPr>
          <w:noProof/>
        </w:rPr>
        <w:fldChar w:fldCharType="separate"/>
      </w:r>
      <w:r w:rsidR="00BC139B">
        <w:rPr>
          <w:noProof/>
        </w:rPr>
        <w:t>16</w:t>
      </w:r>
      <w:r w:rsidR="00117C79">
        <w:rPr>
          <w:noProof/>
        </w:rPr>
        <w:fldChar w:fldCharType="end"/>
      </w:r>
    </w:p>
    <w:p w:rsidR="006A42AC" w:rsidRDefault="006A42AC">
      <w:pPr>
        <w:pStyle w:val="TOC3"/>
        <w:rPr>
          <w:rFonts w:asciiTheme="minorHAnsi" w:eastAsiaTheme="minorEastAsia" w:hAnsiTheme="minorHAnsi" w:cstheme="minorBidi"/>
          <w:noProof/>
          <w:sz w:val="22"/>
          <w:szCs w:val="22"/>
          <w:lang w:eastAsia="en-AU"/>
        </w:rPr>
      </w:pPr>
      <w:r>
        <w:rPr>
          <w:noProof/>
        </w:rPr>
        <w:t>3.2.2  Offsite surface water</w:t>
      </w:r>
      <w:r>
        <w:rPr>
          <w:noProof/>
        </w:rPr>
        <w:tab/>
      </w:r>
      <w:r w:rsidR="00117C79">
        <w:rPr>
          <w:noProof/>
        </w:rPr>
        <w:fldChar w:fldCharType="begin"/>
      </w:r>
      <w:r>
        <w:rPr>
          <w:noProof/>
        </w:rPr>
        <w:instrText xml:space="preserve"> PAGEREF _Toc390766585 \h </w:instrText>
      </w:r>
      <w:r w:rsidR="00117C79">
        <w:rPr>
          <w:noProof/>
        </w:rPr>
      </w:r>
      <w:r w:rsidR="00117C79">
        <w:rPr>
          <w:noProof/>
        </w:rPr>
        <w:fldChar w:fldCharType="separate"/>
      </w:r>
      <w:r w:rsidR="00BC139B">
        <w:rPr>
          <w:noProof/>
        </w:rPr>
        <w:t>22</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3.3  Groundwater</w:t>
      </w:r>
      <w:r>
        <w:rPr>
          <w:noProof/>
        </w:rPr>
        <w:tab/>
      </w:r>
      <w:r w:rsidR="00117C79">
        <w:rPr>
          <w:noProof/>
        </w:rPr>
        <w:fldChar w:fldCharType="begin"/>
      </w:r>
      <w:r>
        <w:rPr>
          <w:noProof/>
        </w:rPr>
        <w:instrText xml:space="preserve"> PAGEREF _Toc390766586 \h </w:instrText>
      </w:r>
      <w:r w:rsidR="00117C79">
        <w:rPr>
          <w:noProof/>
        </w:rPr>
      </w:r>
      <w:r w:rsidR="00117C79">
        <w:rPr>
          <w:noProof/>
        </w:rPr>
        <w:fldChar w:fldCharType="separate"/>
      </w:r>
      <w:r w:rsidR="00BC139B">
        <w:rPr>
          <w:noProof/>
        </w:rPr>
        <w:t>23</w:t>
      </w:r>
      <w:r w:rsidR="00117C79">
        <w:rPr>
          <w:noProof/>
        </w:rPr>
        <w:fldChar w:fldCharType="end"/>
      </w:r>
    </w:p>
    <w:p w:rsidR="006A42AC" w:rsidRDefault="006A42AC">
      <w:pPr>
        <w:pStyle w:val="TOC3"/>
        <w:rPr>
          <w:rFonts w:asciiTheme="minorHAnsi" w:eastAsiaTheme="minorEastAsia" w:hAnsiTheme="minorHAnsi" w:cstheme="minorBidi"/>
          <w:noProof/>
          <w:sz w:val="22"/>
          <w:szCs w:val="22"/>
          <w:lang w:eastAsia="en-AU"/>
        </w:rPr>
      </w:pPr>
      <w:r>
        <w:rPr>
          <w:noProof/>
        </w:rPr>
        <w:t>3.3.1  Soil profiling</w:t>
      </w:r>
      <w:r>
        <w:rPr>
          <w:noProof/>
        </w:rPr>
        <w:tab/>
      </w:r>
      <w:r w:rsidR="00117C79">
        <w:rPr>
          <w:noProof/>
        </w:rPr>
        <w:fldChar w:fldCharType="begin"/>
      </w:r>
      <w:r>
        <w:rPr>
          <w:noProof/>
        </w:rPr>
        <w:instrText xml:space="preserve"> PAGEREF _Toc390766587 \h </w:instrText>
      </w:r>
      <w:r w:rsidR="00117C79">
        <w:rPr>
          <w:noProof/>
        </w:rPr>
      </w:r>
      <w:r w:rsidR="00117C79">
        <w:rPr>
          <w:noProof/>
        </w:rPr>
        <w:fldChar w:fldCharType="separate"/>
      </w:r>
      <w:r w:rsidR="00BC139B">
        <w:rPr>
          <w:noProof/>
        </w:rPr>
        <w:t>23</w:t>
      </w:r>
      <w:r w:rsidR="00117C79">
        <w:rPr>
          <w:noProof/>
        </w:rPr>
        <w:fldChar w:fldCharType="end"/>
      </w:r>
    </w:p>
    <w:p w:rsidR="006A42AC" w:rsidRDefault="006A42AC">
      <w:pPr>
        <w:pStyle w:val="TOC3"/>
        <w:rPr>
          <w:rFonts w:asciiTheme="minorHAnsi" w:eastAsiaTheme="minorEastAsia" w:hAnsiTheme="minorHAnsi" w:cstheme="minorBidi"/>
          <w:noProof/>
          <w:sz w:val="22"/>
          <w:szCs w:val="22"/>
          <w:lang w:eastAsia="en-AU"/>
        </w:rPr>
      </w:pPr>
      <w:r>
        <w:rPr>
          <w:noProof/>
        </w:rPr>
        <w:t>3.3.2 Groundwater impact assessment by Geoscience Australia</w:t>
      </w:r>
      <w:r>
        <w:rPr>
          <w:noProof/>
        </w:rPr>
        <w:tab/>
      </w:r>
      <w:r w:rsidR="00117C79">
        <w:rPr>
          <w:noProof/>
        </w:rPr>
        <w:fldChar w:fldCharType="begin"/>
      </w:r>
      <w:r>
        <w:rPr>
          <w:noProof/>
        </w:rPr>
        <w:instrText xml:space="preserve"> PAGEREF _Toc390766588 \h </w:instrText>
      </w:r>
      <w:r w:rsidR="00117C79">
        <w:rPr>
          <w:noProof/>
        </w:rPr>
      </w:r>
      <w:r w:rsidR="00117C79">
        <w:rPr>
          <w:noProof/>
        </w:rPr>
        <w:fldChar w:fldCharType="separate"/>
      </w:r>
      <w:r w:rsidR="00BC139B">
        <w:rPr>
          <w:noProof/>
        </w:rPr>
        <w:t>24</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3.4  Radiation exposure</w:t>
      </w:r>
      <w:r>
        <w:rPr>
          <w:noProof/>
        </w:rPr>
        <w:tab/>
      </w:r>
      <w:r w:rsidR="00117C79">
        <w:rPr>
          <w:noProof/>
        </w:rPr>
        <w:fldChar w:fldCharType="begin"/>
      </w:r>
      <w:r>
        <w:rPr>
          <w:noProof/>
        </w:rPr>
        <w:instrText xml:space="preserve"> PAGEREF _Toc390766589 \h </w:instrText>
      </w:r>
      <w:r w:rsidR="00117C79">
        <w:rPr>
          <w:noProof/>
        </w:rPr>
      </w:r>
      <w:r w:rsidR="00117C79">
        <w:rPr>
          <w:noProof/>
        </w:rPr>
        <w:fldChar w:fldCharType="separate"/>
      </w:r>
      <w:r w:rsidR="00BC139B">
        <w:rPr>
          <w:noProof/>
        </w:rPr>
        <w:t>25</w:t>
      </w:r>
      <w:r w:rsidR="00117C79">
        <w:rPr>
          <w:noProof/>
        </w:rPr>
        <w:fldChar w:fldCharType="end"/>
      </w:r>
    </w:p>
    <w:p w:rsidR="006A42AC" w:rsidRDefault="006A42AC">
      <w:pPr>
        <w:pStyle w:val="TOC1"/>
        <w:rPr>
          <w:rFonts w:asciiTheme="minorHAnsi" w:eastAsiaTheme="minorEastAsia" w:hAnsiTheme="minorHAnsi" w:cstheme="minorBidi"/>
          <w:b w:val="0"/>
          <w:noProof/>
          <w:sz w:val="22"/>
          <w:szCs w:val="22"/>
          <w:lang w:eastAsia="en-AU"/>
        </w:rPr>
      </w:pPr>
      <w:r>
        <w:rPr>
          <w:noProof/>
        </w:rPr>
        <w:t>4  Data analysis and discussion</w:t>
      </w:r>
      <w:r>
        <w:rPr>
          <w:noProof/>
        </w:rPr>
        <w:tab/>
      </w:r>
      <w:r w:rsidR="00117C79">
        <w:rPr>
          <w:noProof/>
        </w:rPr>
        <w:fldChar w:fldCharType="begin"/>
      </w:r>
      <w:r>
        <w:rPr>
          <w:noProof/>
        </w:rPr>
        <w:instrText xml:space="preserve"> PAGEREF _Toc390766590 \h </w:instrText>
      </w:r>
      <w:r w:rsidR="00117C79">
        <w:rPr>
          <w:noProof/>
        </w:rPr>
      </w:r>
      <w:r w:rsidR="00117C79">
        <w:rPr>
          <w:noProof/>
        </w:rPr>
        <w:fldChar w:fldCharType="separate"/>
      </w:r>
      <w:r w:rsidR="00BC139B">
        <w:rPr>
          <w:noProof/>
        </w:rPr>
        <w:t>28</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4.1  Surface Water</w:t>
      </w:r>
      <w:r>
        <w:rPr>
          <w:noProof/>
        </w:rPr>
        <w:tab/>
      </w:r>
      <w:r w:rsidR="00117C79">
        <w:rPr>
          <w:noProof/>
        </w:rPr>
        <w:fldChar w:fldCharType="begin"/>
      </w:r>
      <w:r>
        <w:rPr>
          <w:noProof/>
        </w:rPr>
        <w:instrText xml:space="preserve"> PAGEREF _Toc390766591 \h </w:instrText>
      </w:r>
      <w:r w:rsidR="00117C79">
        <w:rPr>
          <w:noProof/>
        </w:rPr>
      </w:r>
      <w:r w:rsidR="00117C79">
        <w:rPr>
          <w:noProof/>
        </w:rPr>
        <w:fldChar w:fldCharType="separate"/>
      </w:r>
      <w:r w:rsidR="00BC139B">
        <w:rPr>
          <w:noProof/>
        </w:rPr>
        <w:t>28</w:t>
      </w:r>
      <w:r w:rsidR="00117C79">
        <w:rPr>
          <w:noProof/>
        </w:rPr>
        <w:fldChar w:fldCharType="end"/>
      </w:r>
    </w:p>
    <w:p w:rsidR="006A42AC" w:rsidRDefault="006A42AC">
      <w:pPr>
        <w:pStyle w:val="TOC3"/>
        <w:rPr>
          <w:rFonts w:asciiTheme="minorHAnsi" w:eastAsiaTheme="minorEastAsia" w:hAnsiTheme="minorHAnsi" w:cstheme="minorBidi"/>
          <w:noProof/>
          <w:sz w:val="22"/>
          <w:szCs w:val="22"/>
          <w:lang w:eastAsia="en-AU"/>
        </w:rPr>
      </w:pPr>
      <w:r>
        <w:rPr>
          <w:noProof/>
        </w:rPr>
        <w:t>4.1.1  Onsite surface water</w:t>
      </w:r>
      <w:r>
        <w:rPr>
          <w:noProof/>
        </w:rPr>
        <w:tab/>
      </w:r>
      <w:r w:rsidR="00117C79">
        <w:rPr>
          <w:noProof/>
        </w:rPr>
        <w:fldChar w:fldCharType="begin"/>
      </w:r>
      <w:r>
        <w:rPr>
          <w:noProof/>
        </w:rPr>
        <w:instrText xml:space="preserve"> PAGEREF _Toc390766592 \h </w:instrText>
      </w:r>
      <w:r w:rsidR="00117C79">
        <w:rPr>
          <w:noProof/>
        </w:rPr>
      </w:r>
      <w:r w:rsidR="00117C79">
        <w:rPr>
          <w:noProof/>
        </w:rPr>
        <w:fldChar w:fldCharType="separate"/>
      </w:r>
      <w:r w:rsidR="00BC139B">
        <w:rPr>
          <w:noProof/>
        </w:rPr>
        <w:t>28</w:t>
      </w:r>
      <w:r w:rsidR="00117C79">
        <w:rPr>
          <w:noProof/>
        </w:rPr>
        <w:fldChar w:fldCharType="end"/>
      </w:r>
    </w:p>
    <w:p w:rsidR="006A42AC" w:rsidRDefault="006A42AC">
      <w:pPr>
        <w:pStyle w:val="TOC3"/>
        <w:rPr>
          <w:rFonts w:asciiTheme="minorHAnsi" w:eastAsiaTheme="minorEastAsia" w:hAnsiTheme="minorHAnsi" w:cstheme="minorBidi"/>
          <w:noProof/>
          <w:sz w:val="22"/>
          <w:szCs w:val="22"/>
          <w:lang w:eastAsia="en-AU"/>
        </w:rPr>
      </w:pPr>
      <w:r>
        <w:rPr>
          <w:noProof/>
        </w:rPr>
        <w:t>4.1.2  Offsite surface water</w:t>
      </w:r>
      <w:r>
        <w:rPr>
          <w:noProof/>
        </w:rPr>
        <w:tab/>
      </w:r>
      <w:r w:rsidR="00117C79">
        <w:rPr>
          <w:noProof/>
        </w:rPr>
        <w:fldChar w:fldCharType="begin"/>
      </w:r>
      <w:r>
        <w:rPr>
          <w:noProof/>
        </w:rPr>
        <w:instrText xml:space="preserve"> PAGEREF _Toc390766593 \h </w:instrText>
      </w:r>
      <w:r w:rsidR="00117C79">
        <w:rPr>
          <w:noProof/>
        </w:rPr>
      </w:r>
      <w:r w:rsidR="00117C79">
        <w:rPr>
          <w:noProof/>
        </w:rPr>
        <w:fldChar w:fldCharType="separate"/>
      </w:r>
      <w:r w:rsidR="00BC139B">
        <w:rPr>
          <w:noProof/>
        </w:rPr>
        <w:t>44</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4.2  Ground Water</w:t>
      </w:r>
      <w:r>
        <w:rPr>
          <w:noProof/>
        </w:rPr>
        <w:tab/>
      </w:r>
      <w:r w:rsidR="00117C79">
        <w:rPr>
          <w:noProof/>
        </w:rPr>
        <w:fldChar w:fldCharType="begin"/>
      </w:r>
      <w:r>
        <w:rPr>
          <w:noProof/>
        </w:rPr>
        <w:instrText xml:space="preserve"> PAGEREF _Toc390766594 \h </w:instrText>
      </w:r>
      <w:r w:rsidR="00117C79">
        <w:rPr>
          <w:noProof/>
        </w:rPr>
      </w:r>
      <w:r w:rsidR="00117C79">
        <w:rPr>
          <w:noProof/>
        </w:rPr>
        <w:fldChar w:fldCharType="separate"/>
      </w:r>
      <w:r w:rsidR="00BC139B">
        <w:rPr>
          <w:noProof/>
        </w:rPr>
        <w:t>52</w:t>
      </w:r>
      <w:r w:rsidR="00117C79">
        <w:rPr>
          <w:noProof/>
        </w:rPr>
        <w:fldChar w:fldCharType="end"/>
      </w:r>
    </w:p>
    <w:p w:rsidR="006A42AC" w:rsidRDefault="006A42AC">
      <w:pPr>
        <w:pStyle w:val="TOC3"/>
        <w:rPr>
          <w:rFonts w:asciiTheme="minorHAnsi" w:eastAsiaTheme="minorEastAsia" w:hAnsiTheme="minorHAnsi" w:cstheme="minorBidi"/>
          <w:noProof/>
          <w:sz w:val="22"/>
          <w:szCs w:val="22"/>
          <w:lang w:eastAsia="en-AU"/>
        </w:rPr>
      </w:pPr>
      <w:r>
        <w:rPr>
          <w:noProof/>
        </w:rPr>
        <w:t>4.2.1 Onsite soil profiling</w:t>
      </w:r>
      <w:r>
        <w:rPr>
          <w:noProof/>
        </w:rPr>
        <w:tab/>
      </w:r>
      <w:r w:rsidR="00117C79">
        <w:rPr>
          <w:noProof/>
        </w:rPr>
        <w:fldChar w:fldCharType="begin"/>
      </w:r>
      <w:r>
        <w:rPr>
          <w:noProof/>
        </w:rPr>
        <w:instrText xml:space="preserve"> PAGEREF _Toc390766595 \h </w:instrText>
      </w:r>
      <w:r w:rsidR="00117C79">
        <w:rPr>
          <w:noProof/>
        </w:rPr>
      </w:r>
      <w:r w:rsidR="00117C79">
        <w:rPr>
          <w:noProof/>
        </w:rPr>
        <w:fldChar w:fldCharType="separate"/>
      </w:r>
      <w:r w:rsidR="00BC139B">
        <w:rPr>
          <w:noProof/>
        </w:rPr>
        <w:t>52</w:t>
      </w:r>
      <w:r w:rsidR="00117C79">
        <w:rPr>
          <w:noProof/>
        </w:rPr>
        <w:fldChar w:fldCharType="end"/>
      </w:r>
    </w:p>
    <w:p w:rsidR="006A42AC" w:rsidRDefault="006A42AC">
      <w:pPr>
        <w:pStyle w:val="TOC3"/>
        <w:rPr>
          <w:rFonts w:asciiTheme="minorHAnsi" w:eastAsiaTheme="minorEastAsia" w:hAnsiTheme="minorHAnsi" w:cstheme="minorBidi"/>
          <w:noProof/>
          <w:sz w:val="22"/>
          <w:szCs w:val="22"/>
          <w:lang w:eastAsia="en-AU"/>
        </w:rPr>
      </w:pPr>
      <w:r>
        <w:rPr>
          <w:noProof/>
        </w:rPr>
        <w:t>4.2.2 Groundwater impact assessment by Geoscience Australia</w:t>
      </w:r>
      <w:r>
        <w:rPr>
          <w:noProof/>
        </w:rPr>
        <w:tab/>
      </w:r>
      <w:r w:rsidR="00117C79">
        <w:rPr>
          <w:noProof/>
        </w:rPr>
        <w:fldChar w:fldCharType="begin"/>
      </w:r>
      <w:r>
        <w:rPr>
          <w:noProof/>
        </w:rPr>
        <w:instrText xml:space="preserve"> PAGEREF _Toc390766596 \h </w:instrText>
      </w:r>
      <w:r w:rsidR="00117C79">
        <w:rPr>
          <w:noProof/>
        </w:rPr>
      </w:r>
      <w:r w:rsidR="00117C79">
        <w:rPr>
          <w:noProof/>
        </w:rPr>
        <w:fldChar w:fldCharType="separate"/>
      </w:r>
      <w:r w:rsidR="00BC139B">
        <w:rPr>
          <w:noProof/>
        </w:rPr>
        <w:t>56</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4.3 Radiation Exposure</w:t>
      </w:r>
      <w:r>
        <w:rPr>
          <w:noProof/>
        </w:rPr>
        <w:tab/>
      </w:r>
      <w:r w:rsidR="00117C79">
        <w:rPr>
          <w:noProof/>
        </w:rPr>
        <w:fldChar w:fldCharType="begin"/>
      </w:r>
      <w:r>
        <w:rPr>
          <w:noProof/>
        </w:rPr>
        <w:instrText xml:space="preserve"> PAGEREF _Toc390766597 \h </w:instrText>
      </w:r>
      <w:r w:rsidR="00117C79">
        <w:rPr>
          <w:noProof/>
        </w:rPr>
      </w:r>
      <w:r w:rsidR="00117C79">
        <w:rPr>
          <w:noProof/>
        </w:rPr>
        <w:fldChar w:fldCharType="separate"/>
      </w:r>
      <w:r w:rsidR="00BC139B">
        <w:rPr>
          <w:noProof/>
        </w:rPr>
        <w:t>65</w:t>
      </w:r>
      <w:r w:rsidR="00117C79">
        <w:rPr>
          <w:noProof/>
        </w:rPr>
        <w:fldChar w:fldCharType="end"/>
      </w:r>
    </w:p>
    <w:p w:rsidR="006A42AC" w:rsidRDefault="006A42AC">
      <w:pPr>
        <w:pStyle w:val="TOC3"/>
        <w:rPr>
          <w:rFonts w:asciiTheme="minorHAnsi" w:eastAsiaTheme="minorEastAsia" w:hAnsiTheme="minorHAnsi" w:cstheme="minorBidi"/>
          <w:noProof/>
          <w:sz w:val="22"/>
          <w:szCs w:val="22"/>
          <w:lang w:eastAsia="en-AU"/>
        </w:rPr>
      </w:pPr>
      <w:r>
        <w:rPr>
          <w:noProof/>
        </w:rPr>
        <w:t>4.3.1 Assessment of radiation dose to ERA staff and contractors</w:t>
      </w:r>
      <w:r>
        <w:rPr>
          <w:noProof/>
        </w:rPr>
        <w:tab/>
      </w:r>
      <w:r w:rsidR="00117C79">
        <w:rPr>
          <w:noProof/>
        </w:rPr>
        <w:fldChar w:fldCharType="begin"/>
      </w:r>
      <w:r>
        <w:rPr>
          <w:noProof/>
        </w:rPr>
        <w:instrText xml:space="preserve"> PAGEREF _Toc390766598 \h </w:instrText>
      </w:r>
      <w:r w:rsidR="00117C79">
        <w:rPr>
          <w:noProof/>
        </w:rPr>
      </w:r>
      <w:r w:rsidR="00117C79">
        <w:rPr>
          <w:noProof/>
        </w:rPr>
        <w:fldChar w:fldCharType="separate"/>
      </w:r>
      <w:r w:rsidR="00BC139B">
        <w:rPr>
          <w:noProof/>
        </w:rPr>
        <w:t>65</w:t>
      </w:r>
      <w:r w:rsidR="00117C79">
        <w:rPr>
          <w:noProof/>
        </w:rPr>
        <w:fldChar w:fldCharType="end"/>
      </w:r>
    </w:p>
    <w:p w:rsidR="006A42AC" w:rsidRDefault="006A42AC">
      <w:pPr>
        <w:pStyle w:val="TOC3"/>
        <w:rPr>
          <w:rFonts w:asciiTheme="minorHAnsi" w:eastAsiaTheme="minorEastAsia" w:hAnsiTheme="minorHAnsi" w:cstheme="minorBidi"/>
          <w:noProof/>
          <w:sz w:val="22"/>
          <w:szCs w:val="22"/>
          <w:lang w:eastAsia="en-AU"/>
        </w:rPr>
      </w:pPr>
      <w:r>
        <w:rPr>
          <w:noProof/>
        </w:rPr>
        <w:t>4.3.2  Assessment of radiological impacts to the public</w:t>
      </w:r>
      <w:r>
        <w:rPr>
          <w:noProof/>
        </w:rPr>
        <w:tab/>
      </w:r>
      <w:r w:rsidR="00117C79">
        <w:rPr>
          <w:noProof/>
        </w:rPr>
        <w:fldChar w:fldCharType="begin"/>
      </w:r>
      <w:r>
        <w:rPr>
          <w:noProof/>
        </w:rPr>
        <w:instrText xml:space="preserve"> PAGEREF _Toc390766599 \h </w:instrText>
      </w:r>
      <w:r w:rsidR="00117C79">
        <w:rPr>
          <w:noProof/>
        </w:rPr>
      </w:r>
      <w:r w:rsidR="00117C79">
        <w:rPr>
          <w:noProof/>
        </w:rPr>
        <w:fldChar w:fldCharType="separate"/>
      </w:r>
      <w:r w:rsidR="00BC139B">
        <w:rPr>
          <w:noProof/>
        </w:rPr>
        <w:t>73</w:t>
      </w:r>
      <w:r w:rsidR="00117C79">
        <w:rPr>
          <w:noProof/>
        </w:rPr>
        <w:fldChar w:fldCharType="end"/>
      </w:r>
    </w:p>
    <w:p w:rsidR="006A42AC" w:rsidRDefault="006A42AC">
      <w:pPr>
        <w:pStyle w:val="TOC1"/>
        <w:rPr>
          <w:rFonts w:asciiTheme="minorHAnsi" w:eastAsiaTheme="minorEastAsia" w:hAnsiTheme="minorHAnsi" w:cstheme="minorBidi"/>
          <w:b w:val="0"/>
          <w:noProof/>
          <w:sz w:val="22"/>
          <w:szCs w:val="22"/>
          <w:lang w:eastAsia="en-AU"/>
        </w:rPr>
      </w:pPr>
      <w:r>
        <w:rPr>
          <w:noProof/>
        </w:rPr>
        <w:t>5  Conclusions</w:t>
      </w:r>
      <w:r>
        <w:rPr>
          <w:noProof/>
        </w:rPr>
        <w:tab/>
      </w:r>
      <w:r w:rsidR="00117C79">
        <w:rPr>
          <w:noProof/>
        </w:rPr>
        <w:fldChar w:fldCharType="begin"/>
      </w:r>
      <w:r>
        <w:rPr>
          <w:noProof/>
        </w:rPr>
        <w:instrText xml:space="preserve"> PAGEREF _Toc390766600 \h </w:instrText>
      </w:r>
      <w:r w:rsidR="00117C79">
        <w:rPr>
          <w:noProof/>
        </w:rPr>
      </w:r>
      <w:r w:rsidR="00117C79">
        <w:rPr>
          <w:noProof/>
        </w:rPr>
        <w:fldChar w:fldCharType="separate"/>
      </w:r>
      <w:r w:rsidR="00BC139B">
        <w:rPr>
          <w:noProof/>
        </w:rPr>
        <w:t>79</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5.1  Surface water</w:t>
      </w:r>
      <w:r>
        <w:rPr>
          <w:noProof/>
        </w:rPr>
        <w:tab/>
      </w:r>
      <w:r w:rsidR="00117C79">
        <w:rPr>
          <w:noProof/>
        </w:rPr>
        <w:fldChar w:fldCharType="begin"/>
      </w:r>
      <w:r>
        <w:rPr>
          <w:noProof/>
        </w:rPr>
        <w:instrText xml:space="preserve"> PAGEREF _Toc390766601 \h </w:instrText>
      </w:r>
      <w:r w:rsidR="00117C79">
        <w:rPr>
          <w:noProof/>
        </w:rPr>
      </w:r>
      <w:r w:rsidR="00117C79">
        <w:rPr>
          <w:noProof/>
        </w:rPr>
        <w:fldChar w:fldCharType="separate"/>
      </w:r>
      <w:r w:rsidR="00BC139B">
        <w:rPr>
          <w:noProof/>
        </w:rPr>
        <w:t>79</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5.2  Groundwater and soils</w:t>
      </w:r>
      <w:r>
        <w:rPr>
          <w:noProof/>
        </w:rPr>
        <w:tab/>
      </w:r>
      <w:r w:rsidR="00117C79">
        <w:rPr>
          <w:noProof/>
        </w:rPr>
        <w:fldChar w:fldCharType="begin"/>
      </w:r>
      <w:r>
        <w:rPr>
          <w:noProof/>
        </w:rPr>
        <w:instrText xml:space="preserve"> PAGEREF _Toc390766602 \h </w:instrText>
      </w:r>
      <w:r w:rsidR="00117C79">
        <w:rPr>
          <w:noProof/>
        </w:rPr>
      </w:r>
      <w:r w:rsidR="00117C79">
        <w:rPr>
          <w:noProof/>
        </w:rPr>
        <w:fldChar w:fldCharType="separate"/>
      </w:r>
      <w:r w:rsidR="00BC139B">
        <w:rPr>
          <w:noProof/>
        </w:rPr>
        <w:t>80</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Pr>
          <w:noProof/>
        </w:rPr>
        <w:t>5.3  Radiation exposure</w:t>
      </w:r>
      <w:r>
        <w:rPr>
          <w:noProof/>
        </w:rPr>
        <w:tab/>
      </w:r>
      <w:r w:rsidR="00117C79">
        <w:rPr>
          <w:noProof/>
        </w:rPr>
        <w:fldChar w:fldCharType="begin"/>
      </w:r>
      <w:r>
        <w:rPr>
          <w:noProof/>
        </w:rPr>
        <w:instrText xml:space="preserve"> PAGEREF _Toc390766603 \h </w:instrText>
      </w:r>
      <w:r w:rsidR="00117C79">
        <w:rPr>
          <w:noProof/>
        </w:rPr>
      </w:r>
      <w:r w:rsidR="00117C79">
        <w:rPr>
          <w:noProof/>
        </w:rPr>
        <w:fldChar w:fldCharType="separate"/>
      </w:r>
      <w:r w:rsidR="00BC139B">
        <w:rPr>
          <w:noProof/>
        </w:rPr>
        <w:t>80</w:t>
      </w:r>
      <w:r w:rsidR="00117C79">
        <w:rPr>
          <w:noProof/>
        </w:rPr>
        <w:fldChar w:fldCharType="end"/>
      </w:r>
    </w:p>
    <w:p w:rsidR="006A42AC" w:rsidRDefault="006A42AC">
      <w:pPr>
        <w:pStyle w:val="TOC1"/>
        <w:rPr>
          <w:rFonts w:asciiTheme="minorHAnsi" w:eastAsiaTheme="minorEastAsia" w:hAnsiTheme="minorHAnsi" w:cstheme="minorBidi"/>
          <w:b w:val="0"/>
          <w:noProof/>
          <w:sz w:val="22"/>
          <w:szCs w:val="22"/>
          <w:lang w:eastAsia="en-AU"/>
        </w:rPr>
      </w:pPr>
      <w:r>
        <w:rPr>
          <w:noProof/>
        </w:rPr>
        <w:t>6 Recommendations</w:t>
      </w:r>
      <w:r>
        <w:rPr>
          <w:noProof/>
        </w:rPr>
        <w:tab/>
      </w:r>
      <w:r w:rsidR="00117C79">
        <w:rPr>
          <w:noProof/>
        </w:rPr>
        <w:fldChar w:fldCharType="begin"/>
      </w:r>
      <w:r>
        <w:rPr>
          <w:noProof/>
        </w:rPr>
        <w:instrText xml:space="preserve"> PAGEREF _Toc390766604 \h </w:instrText>
      </w:r>
      <w:r w:rsidR="00117C79">
        <w:rPr>
          <w:noProof/>
        </w:rPr>
      </w:r>
      <w:r w:rsidR="00117C79">
        <w:rPr>
          <w:noProof/>
        </w:rPr>
        <w:fldChar w:fldCharType="separate"/>
      </w:r>
      <w:r w:rsidR="00BC139B">
        <w:rPr>
          <w:noProof/>
        </w:rPr>
        <w:t>81</w:t>
      </w:r>
      <w:r w:rsidR="00117C79">
        <w:rPr>
          <w:noProof/>
        </w:rPr>
        <w:fldChar w:fldCharType="end"/>
      </w:r>
    </w:p>
    <w:p w:rsidR="006A42AC" w:rsidRDefault="006A42AC">
      <w:pPr>
        <w:pStyle w:val="TOC1"/>
        <w:rPr>
          <w:rFonts w:asciiTheme="minorHAnsi" w:eastAsiaTheme="minorEastAsia" w:hAnsiTheme="minorHAnsi" w:cstheme="minorBidi"/>
          <w:b w:val="0"/>
          <w:noProof/>
          <w:sz w:val="22"/>
          <w:szCs w:val="22"/>
          <w:lang w:eastAsia="en-AU"/>
        </w:rPr>
      </w:pPr>
      <w:r>
        <w:rPr>
          <w:noProof/>
        </w:rPr>
        <w:t>References</w:t>
      </w:r>
      <w:r>
        <w:rPr>
          <w:noProof/>
        </w:rPr>
        <w:tab/>
      </w:r>
      <w:r w:rsidR="00117C79">
        <w:rPr>
          <w:noProof/>
        </w:rPr>
        <w:fldChar w:fldCharType="begin"/>
      </w:r>
      <w:r>
        <w:rPr>
          <w:noProof/>
        </w:rPr>
        <w:instrText xml:space="preserve"> PAGEREF _Toc390766605 \h </w:instrText>
      </w:r>
      <w:r w:rsidR="00117C79">
        <w:rPr>
          <w:noProof/>
        </w:rPr>
      </w:r>
      <w:r w:rsidR="00117C79">
        <w:rPr>
          <w:noProof/>
        </w:rPr>
        <w:fldChar w:fldCharType="separate"/>
      </w:r>
      <w:r w:rsidR="00BC139B">
        <w:rPr>
          <w:noProof/>
        </w:rPr>
        <w:t>82</w:t>
      </w:r>
      <w:r w:rsidR="00117C79">
        <w:rPr>
          <w:noProof/>
        </w:rPr>
        <w:fldChar w:fldCharType="end"/>
      </w:r>
    </w:p>
    <w:p w:rsidR="00727345" w:rsidRDefault="00117C79" w:rsidP="000D0385">
      <w:r>
        <w:fldChar w:fldCharType="end"/>
      </w:r>
    </w:p>
    <w:p w:rsidR="000D0385" w:rsidRDefault="000D0385" w:rsidP="00266E77">
      <w:pPr>
        <w:pStyle w:val="Heading2"/>
      </w:pPr>
      <w:bookmarkStart w:id="52" w:name="_Toc309728465"/>
      <w:bookmarkStart w:id="53" w:name="_Toc311104941"/>
      <w:bookmarkStart w:id="54" w:name="_Toc390416645"/>
      <w:bookmarkStart w:id="55" w:name="_Toc390417962"/>
      <w:bookmarkStart w:id="56" w:name="_Toc390420950"/>
      <w:bookmarkStart w:id="57" w:name="_Toc390432814"/>
      <w:bookmarkStart w:id="58" w:name="_Toc390432874"/>
      <w:bookmarkStart w:id="59" w:name="_Toc390432985"/>
      <w:bookmarkStart w:id="60" w:name="_Toc390445672"/>
      <w:bookmarkStart w:id="61" w:name="_Toc390766563"/>
      <w:r>
        <w:t>Tables</w:t>
      </w:r>
      <w:bookmarkEnd w:id="52"/>
      <w:bookmarkEnd w:id="53"/>
      <w:bookmarkEnd w:id="54"/>
      <w:bookmarkEnd w:id="55"/>
      <w:bookmarkEnd w:id="56"/>
      <w:bookmarkEnd w:id="57"/>
      <w:bookmarkEnd w:id="58"/>
      <w:bookmarkEnd w:id="59"/>
      <w:bookmarkEnd w:id="60"/>
      <w:bookmarkEnd w:id="61"/>
    </w:p>
    <w:p w:rsidR="006A42AC" w:rsidRDefault="00117C79">
      <w:pPr>
        <w:pStyle w:val="TOC2"/>
        <w:rPr>
          <w:rFonts w:asciiTheme="minorHAnsi" w:eastAsiaTheme="minorEastAsia" w:hAnsiTheme="minorHAnsi" w:cstheme="minorBidi"/>
          <w:noProof/>
          <w:szCs w:val="22"/>
          <w:lang w:eastAsia="en-AU"/>
        </w:rPr>
      </w:pPr>
      <w:r w:rsidRPr="00117C79">
        <w:fldChar w:fldCharType="begin"/>
      </w:r>
      <w:r w:rsidR="000D0385">
        <w:instrText xml:space="preserve"> TOC \t "table caption,2" </w:instrText>
      </w:r>
      <w:r w:rsidRPr="00117C79">
        <w:fldChar w:fldCharType="separate"/>
      </w:r>
      <w:r w:rsidR="006A42AC" w:rsidRPr="00734916">
        <w:rPr>
          <w:b/>
          <w:noProof/>
          <w:lang w:val="en-US"/>
        </w:rPr>
        <w:t>Table 2.1</w:t>
      </w:r>
      <w:r w:rsidR="006A42AC" w:rsidRPr="00734916">
        <w:rPr>
          <w:noProof/>
          <w:lang w:val="en-US"/>
        </w:rPr>
        <w:t xml:space="preserve"> Slurry material and leach tank details.</w:t>
      </w:r>
      <w:r w:rsidR="006A42AC">
        <w:rPr>
          <w:noProof/>
        </w:rPr>
        <w:tab/>
      </w:r>
      <w:r>
        <w:rPr>
          <w:noProof/>
        </w:rPr>
        <w:fldChar w:fldCharType="begin"/>
      </w:r>
      <w:r w:rsidR="006A42AC">
        <w:rPr>
          <w:noProof/>
        </w:rPr>
        <w:instrText xml:space="preserve"> PAGEREF _Toc390766606 \h </w:instrText>
      </w:r>
      <w:r>
        <w:rPr>
          <w:noProof/>
        </w:rPr>
      </w:r>
      <w:r>
        <w:rPr>
          <w:noProof/>
        </w:rPr>
        <w:fldChar w:fldCharType="separate"/>
      </w:r>
      <w:r w:rsidR="00BC139B">
        <w:rPr>
          <w:noProof/>
        </w:rPr>
        <w:t>9</w:t>
      </w:r>
      <w:r>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734916">
        <w:rPr>
          <w:b/>
          <w:noProof/>
        </w:rPr>
        <w:t>Table 2.2</w:t>
      </w:r>
      <w:r>
        <w:rPr>
          <w:noProof/>
        </w:rPr>
        <w:t xml:space="preserve"> Slurry chemical properties</w:t>
      </w:r>
      <w:r>
        <w:rPr>
          <w:noProof/>
        </w:rPr>
        <w:tab/>
      </w:r>
      <w:r w:rsidR="00117C79">
        <w:rPr>
          <w:noProof/>
        </w:rPr>
        <w:fldChar w:fldCharType="begin"/>
      </w:r>
      <w:r>
        <w:rPr>
          <w:noProof/>
        </w:rPr>
        <w:instrText xml:space="preserve"> PAGEREF _Toc390766607 \h </w:instrText>
      </w:r>
      <w:r w:rsidR="00117C79">
        <w:rPr>
          <w:noProof/>
        </w:rPr>
      </w:r>
      <w:r w:rsidR="00117C79">
        <w:rPr>
          <w:noProof/>
        </w:rPr>
        <w:fldChar w:fldCharType="separate"/>
      </w:r>
      <w:r w:rsidR="00BC139B">
        <w:rPr>
          <w:noProof/>
        </w:rPr>
        <w:t>9</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734916">
        <w:rPr>
          <w:b/>
          <w:noProof/>
          <w:lang w:val="en-US"/>
        </w:rPr>
        <w:t>Table 2.3</w:t>
      </w:r>
      <w:r w:rsidRPr="00734916">
        <w:rPr>
          <w:noProof/>
          <w:lang w:val="en-US"/>
        </w:rPr>
        <w:t xml:space="preserve"> Estimated spill area by groundcover type (ERA data).</w:t>
      </w:r>
      <w:r>
        <w:rPr>
          <w:noProof/>
        </w:rPr>
        <w:tab/>
      </w:r>
      <w:r w:rsidR="00117C79">
        <w:rPr>
          <w:noProof/>
        </w:rPr>
        <w:fldChar w:fldCharType="begin"/>
      </w:r>
      <w:r>
        <w:rPr>
          <w:noProof/>
        </w:rPr>
        <w:instrText xml:space="preserve"> PAGEREF _Toc390766608 \h </w:instrText>
      </w:r>
      <w:r w:rsidR="00117C79">
        <w:rPr>
          <w:noProof/>
        </w:rPr>
      </w:r>
      <w:r w:rsidR="00117C79">
        <w:rPr>
          <w:noProof/>
        </w:rPr>
        <w:fldChar w:fldCharType="separate"/>
      </w:r>
      <w:r w:rsidR="00BC139B">
        <w:rPr>
          <w:noProof/>
        </w:rPr>
        <w:t>10</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734916">
        <w:rPr>
          <w:b/>
          <w:noProof/>
        </w:rPr>
        <w:t>Table 4.1</w:t>
      </w:r>
      <w:r>
        <w:rPr>
          <w:noProof/>
        </w:rPr>
        <w:t xml:space="preserve">  Percentage difference in the soil concentration between the exposed and the control soils for elements that were elevated in the exposed soil.</w:t>
      </w:r>
      <w:r>
        <w:rPr>
          <w:noProof/>
        </w:rPr>
        <w:tab/>
      </w:r>
      <w:r w:rsidR="00117C79">
        <w:rPr>
          <w:noProof/>
        </w:rPr>
        <w:fldChar w:fldCharType="begin"/>
      </w:r>
      <w:r>
        <w:rPr>
          <w:noProof/>
        </w:rPr>
        <w:instrText xml:space="preserve"> PAGEREF _Toc390766609 \h </w:instrText>
      </w:r>
      <w:r w:rsidR="00117C79">
        <w:rPr>
          <w:noProof/>
        </w:rPr>
      </w:r>
      <w:r w:rsidR="00117C79">
        <w:rPr>
          <w:noProof/>
        </w:rPr>
        <w:fldChar w:fldCharType="separate"/>
      </w:r>
      <w:r w:rsidR="00BC139B">
        <w:rPr>
          <w:noProof/>
        </w:rPr>
        <w:t>40</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734916">
        <w:rPr>
          <w:b/>
          <w:noProof/>
        </w:rPr>
        <w:t>Table 4.2</w:t>
      </w:r>
      <w:r>
        <w:rPr>
          <w:noProof/>
        </w:rPr>
        <w:t xml:space="preserve">  Estimated runoff concentrations when 25 kg of soil is exposed to 10 L of rainwater over a 24 hour period.</w:t>
      </w:r>
      <w:r>
        <w:rPr>
          <w:noProof/>
        </w:rPr>
        <w:tab/>
      </w:r>
      <w:r w:rsidR="00117C79">
        <w:rPr>
          <w:noProof/>
        </w:rPr>
        <w:fldChar w:fldCharType="begin"/>
      </w:r>
      <w:r>
        <w:rPr>
          <w:noProof/>
        </w:rPr>
        <w:instrText xml:space="preserve"> PAGEREF _Toc390766610 \h </w:instrText>
      </w:r>
      <w:r w:rsidR="00117C79">
        <w:rPr>
          <w:noProof/>
        </w:rPr>
      </w:r>
      <w:r w:rsidR="00117C79">
        <w:rPr>
          <w:noProof/>
        </w:rPr>
        <w:fldChar w:fldCharType="separate"/>
      </w:r>
      <w:r w:rsidR="00BC139B">
        <w:rPr>
          <w:noProof/>
        </w:rPr>
        <w:t>41</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734916">
        <w:rPr>
          <w:b/>
          <w:noProof/>
        </w:rPr>
        <w:t>Table 4.3</w:t>
      </w:r>
      <w:r>
        <w:rPr>
          <w:noProof/>
        </w:rPr>
        <w:t xml:space="preserve"> Key dissolved analyte concentrations measured in runoff from Zone 1</w:t>
      </w:r>
      <w:r>
        <w:rPr>
          <w:noProof/>
        </w:rPr>
        <w:tab/>
      </w:r>
      <w:r w:rsidR="00117C79">
        <w:rPr>
          <w:noProof/>
        </w:rPr>
        <w:fldChar w:fldCharType="begin"/>
      </w:r>
      <w:r>
        <w:rPr>
          <w:noProof/>
        </w:rPr>
        <w:instrText xml:space="preserve"> PAGEREF _Toc390766611 \h </w:instrText>
      </w:r>
      <w:r w:rsidR="00117C79">
        <w:rPr>
          <w:noProof/>
        </w:rPr>
      </w:r>
      <w:r w:rsidR="00117C79">
        <w:rPr>
          <w:noProof/>
        </w:rPr>
        <w:fldChar w:fldCharType="separate"/>
      </w:r>
      <w:r w:rsidR="00BC139B">
        <w:rPr>
          <w:noProof/>
        </w:rPr>
        <w:t>42</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734916">
        <w:rPr>
          <w:b/>
          <w:noProof/>
        </w:rPr>
        <w:t>Table 4.4</w:t>
      </w:r>
      <w:r>
        <w:rPr>
          <w:noProof/>
        </w:rPr>
        <w:t xml:space="preserve"> Key dissolved analyte concentrations measured in pooled rainfall from Zone 2</w:t>
      </w:r>
      <w:r>
        <w:rPr>
          <w:noProof/>
        </w:rPr>
        <w:tab/>
      </w:r>
      <w:r w:rsidR="00117C79">
        <w:rPr>
          <w:noProof/>
        </w:rPr>
        <w:fldChar w:fldCharType="begin"/>
      </w:r>
      <w:r>
        <w:rPr>
          <w:noProof/>
        </w:rPr>
        <w:instrText xml:space="preserve"> PAGEREF _Toc390766612 \h </w:instrText>
      </w:r>
      <w:r w:rsidR="00117C79">
        <w:rPr>
          <w:noProof/>
        </w:rPr>
      </w:r>
      <w:r w:rsidR="00117C79">
        <w:rPr>
          <w:noProof/>
        </w:rPr>
        <w:fldChar w:fldCharType="separate"/>
      </w:r>
      <w:r w:rsidR="00BC139B">
        <w:rPr>
          <w:noProof/>
        </w:rPr>
        <w:t>43</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734916">
        <w:rPr>
          <w:b/>
          <w:noProof/>
        </w:rPr>
        <w:t>Table 4.5</w:t>
      </w:r>
      <w:r>
        <w:rPr>
          <w:noProof/>
        </w:rPr>
        <w:t xml:space="preserve"> Key dissolved analyte concentrations measured in pooled rainfall from Zone 3</w:t>
      </w:r>
      <w:r>
        <w:rPr>
          <w:noProof/>
        </w:rPr>
        <w:tab/>
      </w:r>
      <w:r w:rsidR="00117C79">
        <w:rPr>
          <w:noProof/>
        </w:rPr>
        <w:fldChar w:fldCharType="begin"/>
      </w:r>
      <w:r>
        <w:rPr>
          <w:noProof/>
        </w:rPr>
        <w:instrText xml:space="preserve"> PAGEREF _Toc390766613 \h </w:instrText>
      </w:r>
      <w:r w:rsidR="00117C79">
        <w:rPr>
          <w:noProof/>
        </w:rPr>
      </w:r>
      <w:r w:rsidR="00117C79">
        <w:rPr>
          <w:noProof/>
        </w:rPr>
        <w:fldChar w:fldCharType="separate"/>
      </w:r>
      <w:r w:rsidR="00BC139B">
        <w:rPr>
          <w:noProof/>
        </w:rPr>
        <w:t>44</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734916">
        <w:rPr>
          <w:b/>
          <w:noProof/>
        </w:rPr>
        <w:t>Table 4.6</w:t>
      </w:r>
      <w:r>
        <w:rPr>
          <w:noProof/>
        </w:rPr>
        <w:t xml:space="preserve"> Results of ANOVA testing comparing Magela upstream-downstream difference values for mean snail egg number for different ‘before versus after’ wet season scenarios.</w:t>
      </w:r>
      <w:r>
        <w:rPr>
          <w:noProof/>
        </w:rPr>
        <w:tab/>
      </w:r>
      <w:r w:rsidR="00117C79">
        <w:rPr>
          <w:noProof/>
        </w:rPr>
        <w:fldChar w:fldCharType="begin"/>
      </w:r>
      <w:r>
        <w:rPr>
          <w:noProof/>
        </w:rPr>
        <w:instrText xml:space="preserve"> PAGEREF _Toc390766614 \h </w:instrText>
      </w:r>
      <w:r w:rsidR="00117C79">
        <w:rPr>
          <w:noProof/>
        </w:rPr>
      </w:r>
      <w:r w:rsidR="00117C79">
        <w:rPr>
          <w:noProof/>
        </w:rPr>
        <w:fldChar w:fldCharType="separate"/>
      </w:r>
      <w:r w:rsidR="00BC139B">
        <w:rPr>
          <w:noProof/>
        </w:rPr>
        <w:t>52</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734916">
        <w:rPr>
          <w:b/>
          <w:noProof/>
        </w:rPr>
        <w:t>Table 4.7</w:t>
      </w:r>
      <w:r>
        <w:rPr>
          <w:noProof/>
        </w:rPr>
        <w:t xml:space="preserve"> Slurry samples received for analysis</w:t>
      </w:r>
      <w:r>
        <w:rPr>
          <w:noProof/>
        </w:rPr>
        <w:tab/>
      </w:r>
      <w:r w:rsidR="00117C79">
        <w:rPr>
          <w:noProof/>
        </w:rPr>
        <w:fldChar w:fldCharType="begin"/>
      </w:r>
      <w:r>
        <w:rPr>
          <w:noProof/>
        </w:rPr>
        <w:instrText xml:space="preserve"> PAGEREF _Toc390766615 \h </w:instrText>
      </w:r>
      <w:r w:rsidR="00117C79">
        <w:rPr>
          <w:noProof/>
        </w:rPr>
      </w:r>
      <w:r w:rsidR="00117C79">
        <w:rPr>
          <w:noProof/>
        </w:rPr>
        <w:fldChar w:fldCharType="separate"/>
      </w:r>
      <w:r w:rsidR="00BC139B">
        <w:rPr>
          <w:noProof/>
        </w:rPr>
        <w:t>65</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734916">
        <w:rPr>
          <w:b/>
          <w:noProof/>
        </w:rPr>
        <w:t>Table 4.8</w:t>
      </w:r>
      <w:r>
        <w:rPr>
          <w:noProof/>
        </w:rPr>
        <w:t xml:space="preserve"> Initial results of radionuclide analysis (in Bq/g) and ore grade (% U</w:t>
      </w:r>
      <w:r w:rsidRPr="00734916">
        <w:rPr>
          <w:noProof/>
          <w:snapToGrid w:val="0"/>
          <w:color w:val="000000"/>
          <w:position w:val="-4"/>
          <w:u w:color="000000"/>
        </w:rPr>
        <w:t>3</w:t>
      </w:r>
      <w:r>
        <w:rPr>
          <w:noProof/>
        </w:rPr>
        <w:t>O</w:t>
      </w:r>
      <w:r w:rsidRPr="00734916">
        <w:rPr>
          <w:noProof/>
          <w:snapToGrid w:val="0"/>
          <w:color w:val="000000"/>
          <w:position w:val="-4"/>
          <w:u w:color="000000"/>
        </w:rPr>
        <w:t>8</w:t>
      </w:r>
      <w:r>
        <w:rPr>
          <w:noProof/>
        </w:rPr>
        <w:t>) in the dried slurry samples.</w:t>
      </w:r>
      <w:r>
        <w:rPr>
          <w:noProof/>
        </w:rPr>
        <w:tab/>
      </w:r>
      <w:r w:rsidR="00117C79">
        <w:rPr>
          <w:noProof/>
        </w:rPr>
        <w:fldChar w:fldCharType="begin"/>
      </w:r>
      <w:r>
        <w:rPr>
          <w:noProof/>
        </w:rPr>
        <w:instrText xml:space="preserve"> PAGEREF _Toc390766616 \h </w:instrText>
      </w:r>
      <w:r w:rsidR="00117C79">
        <w:rPr>
          <w:noProof/>
        </w:rPr>
      </w:r>
      <w:r w:rsidR="00117C79">
        <w:rPr>
          <w:noProof/>
        </w:rPr>
        <w:fldChar w:fldCharType="separate"/>
      </w:r>
      <w:r w:rsidR="00BC139B">
        <w:rPr>
          <w:noProof/>
        </w:rPr>
        <w:t>67</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734916">
        <w:rPr>
          <w:b/>
          <w:noProof/>
        </w:rPr>
        <w:t>Table 4.9</w:t>
      </w:r>
      <w:r>
        <w:rPr>
          <w:noProof/>
        </w:rPr>
        <w:t xml:space="preserve"> Results of radionuclide analysis in the slurry samples</w:t>
      </w:r>
      <w:r>
        <w:rPr>
          <w:noProof/>
        </w:rPr>
        <w:tab/>
      </w:r>
      <w:r w:rsidR="00117C79">
        <w:rPr>
          <w:noProof/>
        </w:rPr>
        <w:fldChar w:fldCharType="begin"/>
      </w:r>
      <w:r>
        <w:rPr>
          <w:noProof/>
        </w:rPr>
        <w:instrText xml:space="preserve"> PAGEREF _Toc390766617 \h </w:instrText>
      </w:r>
      <w:r w:rsidR="00117C79">
        <w:rPr>
          <w:noProof/>
        </w:rPr>
      </w:r>
      <w:r w:rsidR="00117C79">
        <w:rPr>
          <w:noProof/>
        </w:rPr>
        <w:fldChar w:fldCharType="separate"/>
      </w:r>
      <w:r w:rsidR="00BC139B">
        <w:rPr>
          <w:noProof/>
        </w:rPr>
        <w:t>68</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734916">
        <w:rPr>
          <w:b/>
          <w:noProof/>
        </w:rPr>
        <w:t>Table 4.10</w:t>
      </w:r>
      <w:r>
        <w:rPr>
          <w:noProof/>
        </w:rPr>
        <w:t xml:space="preserve"> Inhalation dose coefficients for radon decay products (RDP) and long lived alpha activity (LLAA) assuming an activity mean aerodynamic diameter (AMAD) of 5 </w:t>
      </w:r>
      <w:r w:rsidRPr="00734916">
        <w:rPr>
          <w:rFonts w:cs="Arial"/>
          <w:noProof/>
        </w:rPr>
        <w:t>µ</w:t>
      </w:r>
      <w:r>
        <w:rPr>
          <w:noProof/>
        </w:rPr>
        <w:t>m and 0% radon retention in the crushed and leached material.</w:t>
      </w:r>
      <w:r>
        <w:rPr>
          <w:noProof/>
        </w:rPr>
        <w:tab/>
      </w:r>
      <w:r w:rsidR="00117C79">
        <w:rPr>
          <w:noProof/>
        </w:rPr>
        <w:fldChar w:fldCharType="begin"/>
      </w:r>
      <w:r>
        <w:rPr>
          <w:noProof/>
        </w:rPr>
        <w:instrText xml:space="preserve"> PAGEREF _Toc390766618 \h </w:instrText>
      </w:r>
      <w:r w:rsidR="00117C79">
        <w:rPr>
          <w:noProof/>
        </w:rPr>
      </w:r>
      <w:r w:rsidR="00117C79">
        <w:rPr>
          <w:noProof/>
        </w:rPr>
        <w:fldChar w:fldCharType="separate"/>
      </w:r>
      <w:r w:rsidR="00BC139B">
        <w:rPr>
          <w:noProof/>
        </w:rPr>
        <w:t>70</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734916">
        <w:rPr>
          <w:b/>
          <w:noProof/>
        </w:rPr>
        <w:t>Table 4.11</w:t>
      </w:r>
      <w:r>
        <w:rPr>
          <w:noProof/>
        </w:rPr>
        <w:t xml:space="preserve"> Breathing rates (m</w:t>
      </w:r>
      <w:r w:rsidRPr="00734916">
        <w:rPr>
          <w:noProof/>
          <w:snapToGrid w:val="0"/>
          <w:color w:val="000000"/>
          <w:position w:val="4"/>
          <w:u w:color="000000"/>
        </w:rPr>
        <w:t>3</w:t>
      </w:r>
      <w:r>
        <w:rPr>
          <w:noProof/>
        </w:rPr>
        <w:t xml:space="preserve"> hr</w:t>
      </w:r>
      <w:r w:rsidRPr="00734916">
        <w:rPr>
          <w:noProof/>
          <w:snapToGrid w:val="0"/>
          <w:color w:val="000000"/>
          <w:position w:val="4"/>
          <w:u w:color="000000"/>
        </w:rPr>
        <w:t>-1</w:t>
      </w:r>
      <w:r>
        <w:rPr>
          <w:noProof/>
        </w:rPr>
        <w:t>) for a male adult and worker for different physical activities</w:t>
      </w:r>
      <w:r>
        <w:rPr>
          <w:noProof/>
        </w:rPr>
        <w:tab/>
      </w:r>
      <w:r w:rsidR="00117C79">
        <w:rPr>
          <w:noProof/>
        </w:rPr>
        <w:fldChar w:fldCharType="begin"/>
      </w:r>
      <w:r>
        <w:rPr>
          <w:noProof/>
        </w:rPr>
        <w:instrText xml:space="preserve"> PAGEREF _Toc390766619 \h </w:instrText>
      </w:r>
      <w:r w:rsidR="00117C79">
        <w:rPr>
          <w:noProof/>
        </w:rPr>
      </w:r>
      <w:r w:rsidR="00117C79">
        <w:rPr>
          <w:noProof/>
        </w:rPr>
        <w:fldChar w:fldCharType="separate"/>
      </w:r>
      <w:r w:rsidR="00BC139B">
        <w:rPr>
          <w:noProof/>
        </w:rPr>
        <w:t>70</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734916">
        <w:rPr>
          <w:b/>
          <w:noProof/>
        </w:rPr>
        <w:t>Table 4.12</w:t>
      </w:r>
      <w:r>
        <w:rPr>
          <w:noProof/>
        </w:rPr>
        <w:t xml:space="preserve"> Dose rates [µSv∙hr</w:t>
      </w:r>
      <w:r w:rsidRPr="00734916">
        <w:rPr>
          <w:noProof/>
          <w:snapToGrid w:val="0"/>
          <w:color w:val="000000"/>
          <w:position w:val="6"/>
          <w:u w:color="000000"/>
        </w:rPr>
        <w:t>-1</w:t>
      </w:r>
      <w:r>
        <w:rPr>
          <w:noProof/>
        </w:rPr>
        <w:t>] estimated for workers involved in the cleanup</w:t>
      </w:r>
      <w:r>
        <w:rPr>
          <w:noProof/>
        </w:rPr>
        <w:tab/>
      </w:r>
      <w:r w:rsidR="00117C79">
        <w:rPr>
          <w:noProof/>
        </w:rPr>
        <w:fldChar w:fldCharType="begin"/>
      </w:r>
      <w:r>
        <w:rPr>
          <w:noProof/>
        </w:rPr>
        <w:instrText xml:space="preserve"> PAGEREF _Toc390766620 \h </w:instrText>
      </w:r>
      <w:r w:rsidR="00117C79">
        <w:rPr>
          <w:noProof/>
        </w:rPr>
      </w:r>
      <w:r w:rsidR="00117C79">
        <w:rPr>
          <w:noProof/>
        </w:rPr>
        <w:fldChar w:fldCharType="separate"/>
      </w:r>
      <w:r w:rsidR="00BC139B">
        <w:rPr>
          <w:noProof/>
        </w:rPr>
        <w:t>72</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734916">
        <w:rPr>
          <w:b/>
          <w:noProof/>
        </w:rPr>
        <w:t>Table 4.13</w:t>
      </w:r>
      <w:r>
        <w:rPr>
          <w:noProof/>
        </w:rPr>
        <w:t xml:space="preserve">  Mean annual doses (in mSv) received by workers in the Processing Production working group in 2013 (ERA 2014) and estimated doses (in mSv) received during the cleanup operation.</w:t>
      </w:r>
      <w:r>
        <w:rPr>
          <w:noProof/>
        </w:rPr>
        <w:tab/>
      </w:r>
      <w:r w:rsidR="00117C79">
        <w:rPr>
          <w:noProof/>
        </w:rPr>
        <w:fldChar w:fldCharType="begin"/>
      </w:r>
      <w:r>
        <w:rPr>
          <w:noProof/>
        </w:rPr>
        <w:instrText xml:space="preserve"> PAGEREF _Toc390766621 \h </w:instrText>
      </w:r>
      <w:r w:rsidR="00117C79">
        <w:rPr>
          <w:noProof/>
        </w:rPr>
      </w:r>
      <w:r w:rsidR="00117C79">
        <w:rPr>
          <w:noProof/>
        </w:rPr>
        <w:fldChar w:fldCharType="separate"/>
      </w:r>
      <w:r w:rsidR="00BC139B">
        <w:rPr>
          <w:noProof/>
        </w:rPr>
        <w:t>73</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734916">
        <w:rPr>
          <w:b/>
          <w:noProof/>
        </w:rPr>
        <w:t>Table 4.14</w:t>
      </w:r>
      <w:r>
        <w:rPr>
          <w:noProof/>
        </w:rPr>
        <w:t xml:space="preserve"> Mean and standard deviation of average hourly radon progeny concentrations in air at Jabiru Town and Jabiru East in the two weeks before and two weeks after the incident.</w:t>
      </w:r>
      <w:r>
        <w:rPr>
          <w:noProof/>
        </w:rPr>
        <w:tab/>
      </w:r>
      <w:r w:rsidR="00117C79">
        <w:rPr>
          <w:noProof/>
        </w:rPr>
        <w:fldChar w:fldCharType="begin"/>
      </w:r>
      <w:r>
        <w:rPr>
          <w:noProof/>
        </w:rPr>
        <w:instrText xml:space="preserve"> PAGEREF _Toc390766622 \h </w:instrText>
      </w:r>
      <w:r w:rsidR="00117C79">
        <w:rPr>
          <w:noProof/>
        </w:rPr>
      </w:r>
      <w:r w:rsidR="00117C79">
        <w:rPr>
          <w:noProof/>
        </w:rPr>
        <w:fldChar w:fldCharType="separate"/>
      </w:r>
      <w:r w:rsidR="00BC139B">
        <w:rPr>
          <w:noProof/>
        </w:rPr>
        <w:t>78</w:t>
      </w:r>
      <w:r w:rsidR="00117C79">
        <w:rPr>
          <w:noProof/>
        </w:rPr>
        <w:fldChar w:fldCharType="end"/>
      </w:r>
    </w:p>
    <w:p w:rsidR="000D0385" w:rsidRDefault="00117C79" w:rsidP="000D0385">
      <w:r>
        <w:fldChar w:fldCharType="end"/>
      </w:r>
    </w:p>
    <w:p w:rsidR="000D0385" w:rsidRDefault="000D0385" w:rsidP="00266E77">
      <w:pPr>
        <w:pStyle w:val="Heading2"/>
      </w:pPr>
      <w:bookmarkStart w:id="62" w:name="_Toc309728466"/>
      <w:bookmarkStart w:id="63" w:name="_Toc311104942"/>
      <w:bookmarkStart w:id="64" w:name="_Toc390416646"/>
      <w:bookmarkStart w:id="65" w:name="_Toc390417963"/>
      <w:bookmarkStart w:id="66" w:name="_Toc390420951"/>
      <w:bookmarkStart w:id="67" w:name="_Toc390432815"/>
      <w:bookmarkStart w:id="68" w:name="_Toc390432875"/>
      <w:bookmarkStart w:id="69" w:name="_Toc390432986"/>
      <w:bookmarkStart w:id="70" w:name="_Toc390445673"/>
      <w:bookmarkStart w:id="71" w:name="_Toc390766564"/>
      <w:r>
        <w:t>Figures</w:t>
      </w:r>
      <w:bookmarkEnd w:id="62"/>
      <w:bookmarkEnd w:id="63"/>
      <w:bookmarkEnd w:id="64"/>
      <w:bookmarkEnd w:id="65"/>
      <w:bookmarkEnd w:id="66"/>
      <w:bookmarkEnd w:id="67"/>
      <w:bookmarkEnd w:id="68"/>
      <w:bookmarkEnd w:id="69"/>
      <w:bookmarkEnd w:id="70"/>
      <w:bookmarkEnd w:id="71"/>
    </w:p>
    <w:p w:rsidR="006A42AC" w:rsidRDefault="00117C79">
      <w:pPr>
        <w:pStyle w:val="TOC2"/>
        <w:rPr>
          <w:rFonts w:asciiTheme="minorHAnsi" w:eastAsiaTheme="minorEastAsia" w:hAnsiTheme="minorHAnsi" w:cstheme="minorBidi"/>
          <w:noProof/>
          <w:szCs w:val="22"/>
          <w:lang w:eastAsia="en-AU"/>
        </w:rPr>
      </w:pPr>
      <w:r w:rsidRPr="00117C79">
        <w:fldChar w:fldCharType="begin"/>
      </w:r>
      <w:r w:rsidR="000D0385">
        <w:instrText xml:space="preserve"> TOC \t "figure caption,2" </w:instrText>
      </w:r>
      <w:r w:rsidRPr="00117C79">
        <w:fldChar w:fldCharType="separate"/>
      </w:r>
      <w:r w:rsidR="006A42AC" w:rsidRPr="00940EAB">
        <w:rPr>
          <w:b/>
          <w:noProof/>
          <w:lang w:eastAsia="en-AU"/>
        </w:rPr>
        <w:t>Figure 1.1</w:t>
      </w:r>
      <w:r w:rsidR="006A42AC">
        <w:rPr>
          <w:noProof/>
          <w:lang w:eastAsia="en-AU"/>
        </w:rPr>
        <w:t xml:space="preserve"> Water class catchments on the Ranger mine site (ERA 2013).</w:t>
      </w:r>
      <w:r w:rsidR="006A42AC">
        <w:rPr>
          <w:noProof/>
        </w:rPr>
        <w:tab/>
      </w:r>
      <w:r>
        <w:rPr>
          <w:noProof/>
        </w:rPr>
        <w:fldChar w:fldCharType="begin"/>
      </w:r>
      <w:r w:rsidR="006A42AC">
        <w:rPr>
          <w:noProof/>
        </w:rPr>
        <w:instrText xml:space="preserve"> PAGEREF _Toc390766623 \h </w:instrText>
      </w:r>
      <w:r>
        <w:rPr>
          <w:noProof/>
        </w:rPr>
      </w:r>
      <w:r>
        <w:rPr>
          <w:noProof/>
        </w:rPr>
        <w:fldChar w:fldCharType="separate"/>
      </w:r>
      <w:r w:rsidR="00BC139B">
        <w:rPr>
          <w:noProof/>
        </w:rPr>
        <w:t>4</w:t>
      </w:r>
      <w:r>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1.2</w:t>
      </w:r>
      <w:r>
        <w:rPr>
          <w:noProof/>
        </w:rPr>
        <w:t xml:space="preserve"> The Alligator Rivers Region</w:t>
      </w:r>
      <w:r>
        <w:rPr>
          <w:noProof/>
        </w:rPr>
        <w:tab/>
      </w:r>
      <w:r w:rsidR="00117C79">
        <w:rPr>
          <w:noProof/>
        </w:rPr>
        <w:fldChar w:fldCharType="begin"/>
      </w:r>
      <w:r>
        <w:rPr>
          <w:noProof/>
        </w:rPr>
        <w:instrText xml:space="preserve"> PAGEREF _Toc390766624 \h </w:instrText>
      </w:r>
      <w:r w:rsidR="00117C79">
        <w:rPr>
          <w:noProof/>
        </w:rPr>
      </w:r>
      <w:r w:rsidR="00117C79">
        <w:rPr>
          <w:noProof/>
        </w:rPr>
        <w:fldChar w:fldCharType="separate"/>
      </w:r>
      <w:r w:rsidR="00BC139B">
        <w:rPr>
          <w:noProof/>
        </w:rPr>
        <w:t>6</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1.3</w:t>
      </w:r>
      <w:r>
        <w:rPr>
          <w:noProof/>
        </w:rPr>
        <w:t xml:space="preserve"> Ranger minesite</w:t>
      </w:r>
      <w:r>
        <w:rPr>
          <w:noProof/>
        </w:rPr>
        <w:tab/>
      </w:r>
      <w:r w:rsidR="00117C79">
        <w:rPr>
          <w:noProof/>
        </w:rPr>
        <w:fldChar w:fldCharType="begin"/>
      </w:r>
      <w:r>
        <w:rPr>
          <w:noProof/>
        </w:rPr>
        <w:instrText xml:space="preserve"> PAGEREF _Toc390766625 \h </w:instrText>
      </w:r>
      <w:r w:rsidR="00117C79">
        <w:rPr>
          <w:noProof/>
        </w:rPr>
      </w:r>
      <w:r w:rsidR="00117C79">
        <w:rPr>
          <w:noProof/>
        </w:rPr>
        <w:fldChar w:fldCharType="separate"/>
      </w:r>
      <w:r w:rsidR="00BC139B">
        <w:rPr>
          <w:noProof/>
        </w:rPr>
        <w:t>7</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snapToGrid w:val="0"/>
          <w:u w:color="000000"/>
        </w:rPr>
        <w:t>Figure 2.1</w:t>
      </w:r>
      <w:r w:rsidRPr="00940EAB">
        <w:rPr>
          <w:noProof/>
          <w:snapToGrid w:val="0"/>
          <w:u w:color="000000"/>
        </w:rPr>
        <w:t xml:space="preserve"> Collapsed Leach Tank 1.</w:t>
      </w:r>
      <w:r>
        <w:rPr>
          <w:noProof/>
        </w:rPr>
        <w:tab/>
      </w:r>
      <w:r w:rsidR="00117C79">
        <w:rPr>
          <w:noProof/>
        </w:rPr>
        <w:fldChar w:fldCharType="begin"/>
      </w:r>
      <w:r>
        <w:rPr>
          <w:noProof/>
        </w:rPr>
        <w:instrText xml:space="preserve"> PAGEREF _Toc390766626 \h </w:instrText>
      </w:r>
      <w:r w:rsidR="00117C79">
        <w:rPr>
          <w:noProof/>
        </w:rPr>
      </w:r>
      <w:r w:rsidR="00117C79">
        <w:rPr>
          <w:noProof/>
        </w:rPr>
        <w:fldChar w:fldCharType="separate"/>
      </w:r>
      <w:r w:rsidR="00BC139B">
        <w:rPr>
          <w:noProof/>
        </w:rPr>
        <w:t>8</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2.2</w:t>
      </w:r>
      <w:r>
        <w:rPr>
          <w:noProof/>
        </w:rPr>
        <w:t xml:space="preserve"> Ranger minesite showing spatial extent of the slurry spill.</w:t>
      </w:r>
      <w:r>
        <w:rPr>
          <w:noProof/>
        </w:rPr>
        <w:tab/>
      </w:r>
      <w:r w:rsidR="00117C79">
        <w:rPr>
          <w:noProof/>
        </w:rPr>
        <w:fldChar w:fldCharType="begin"/>
      </w:r>
      <w:r>
        <w:rPr>
          <w:noProof/>
        </w:rPr>
        <w:instrText xml:space="preserve"> PAGEREF _Toc390766627 \h </w:instrText>
      </w:r>
      <w:r w:rsidR="00117C79">
        <w:rPr>
          <w:noProof/>
        </w:rPr>
      </w:r>
      <w:r w:rsidR="00117C79">
        <w:rPr>
          <w:noProof/>
        </w:rPr>
        <w:fldChar w:fldCharType="separate"/>
      </w:r>
      <w:r w:rsidR="00BC139B">
        <w:rPr>
          <w:noProof/>
        </w:rPr>
        <w:t>10</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lang w:val="en-US"/>
        </w:rPr>
        <w:t>Figure 2.3</w:t>
      </w:r>
      <w:r w:rsidRPr="00940EAB">
        <w:rPr>
          <w:noProof/>
          <w:lang w:val="en-US"/>
        </w:rPr>
        <w:t xml:space="preserve"> Slurry spill area by groundcover type (ERA data).</w:t>
      </w:r>
      <w:r>
        <w:rPr>
          <w:noProof/>
        </w:rPr>
        <w:tab/>
      </w:r>
      <w:r w:rsidR="00117C79">
        <w:rPr>
          <w:noProof/>
        </w:rPr>
        <w:fldChar w:fldCharType="begin"/>
      </w:r>
      <w:r>
        <w:rPr>
          <w:noProof/>
        </w:rPr>
        <w:instrText xml:space="preserve"> PAGEREF _Toc390766628 \h </w:instrText>
      </w:r>
      <w:r w:rsidR="00117C79">
        <w:rPr>
          <w:noProof/>
        </w:rPr>
      </w:r>
      <w:r w:rsidR="00117C79">
        <w:rPr>
          <w:noProof/>
        </w:rPr>
        <w:fldChar w:fldCharType="separate"/>
      </w:r>
      <w:r w:rsidR="00BC139B">
        <w:rPr>
          <w:noProof/>
        </w:rPr>
        <w:t>11</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lang w:val="en-US"/>
        </w:rPr>
        <w:t>Figure 2.4</w:t>
      </w:r>
      <w:r w:rsidRPr="00940EAB">
        <w:rPr>
          <w:noProof/>
          <w:lang w:val="en-US"/>
        </w:rPr>
        <w:t xml:space="preserve"> Leach tank bund following the failure of Leach Tank 1.</w:t>
      </w:r>
      <w:r>
        <w:rPr>
          <w:noProof/>
        </w:rPr>
        <w:tab/>
      </w:r>
      <w:r w:rsidR="00117C79">
        <w:rPr>
          <w:noProof/>
        </w:rPr>
        <w:fldChar w:fldCharType="begin"/>
      </w:r>
      <w:r>
        <w:rPr>
          <w:noProof/>
        </w:rPr>
        <w:instrText xml:space="preserve"> PAGEREF _Toc390766629 \h </w:instrText>
      </w:r>
      <w:r w:rsidR="00117C79">
        <w:rPr>
          <w:noProof/>
        </w:rPr>
      </w:r>
      <w:r w:rsidR="00117C79">
        <w:rPr>
          <w:noProof/>
        </w:rPr>
        <w:fldChar w:fldCharType="separate"/>
      </w:r>
      <w:r w:rsidR="00BC139B">
        <w:rPr>
          <w:noProof/>
        </w:rPr>
        <w:t>11</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lang w:val="en-US"/>
        </w:rPr>
        <w:t>Figure 2.5</w:t>
      </w:r>
      <w:r w:rsidRPr="00940EAB">
        <w:rPr>
          <w:noProof/>
          <w:lang w:val="en-US"/>
        </w:rPr>
        <w:t xml:space="preserve"> Scraped verge following cleanup.</w:t>
      </w:r>
      <w:r>
        <w:rPr>
          <w:noProof/>
        </w:rPr>
        <w:tab/>
      </w:r>
      <w:r w:rsidR="00117C79">
        <w:rPr>
          <w:noProof/>
        </w:rPr>
        <w:fldChar w:fldCharType="begin"/>
      </w:r>
      <w:r>
        <w:rPr>
          <w:noProof/>
        </w:rPr>
        <w:instrText xml:space="preserve"> PAGEREF _Toc390766630 \h </w:instrText>
      </w:r>
      <w:r w:rsidR="00117C79">
        <w:rPr>
          <w:noProof/>
        </w:rPr>
      </w:r>
      <w:r w:rsidR="00117C79">
        <w:rPr>
          <w:noProof/>
        </w:rPr>
        <w:fldChar w:fldCharType="separate"/>
      </w:r>
      <w:r w:rsidR="00BC139B">
        <w:rPr>
          <w:noProof/>
        </w:rPr>
        <w:t>12</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3.1</w:t>
      </w:r>
      <w:r>
        <w:rPr>
          <w:noProof/>
        </w:rPr>
        <w:t xml:space="preserve">  Looking south east at the failed tank from the end of the slurry flow.</w:t>
      </w:r>
      <w:r>
        <w:rPr>
          <w:noProof/>
        </w:rPr>
        <w:tab/>
      </w:r>
      <w:r w:rsidR="00117C79">
        <w:rPr>
          <w:noProof/>
        </w:rPr>
        <w:fldChar w:fldCharType="begin"/>
      </w:r>
      <w:r>
        <w:rPr>
          <w:noProof/>
        </w:rPr>
        <w:instrText xml:space="preserve"> PAGEREF _Toc390766631 \h </w:instrText>
      </w:r>
      <w:r w:rsidR="00117C79">
        <w:rPr>
          <w:noProof/>
        </w:rPr>
      </w:r>
      <w:r w:rsidR="00117C79">
        <w:rPr>
          <w:noProof/>
        </w:rPr>
        <w:fldChar w:fldCharType="separate"/>
      </w:r>
      <w:r w:rsidR="00BC139B">
        <w:rPr>
          <w:noProof/>
        </w:rPr>
        <w:t>13</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3.2</w:t>
      </w:r>
      <w:r>
        <w:rPr>
          <w:noProof/>
        </w:rPr>
        <w:t xml:space="preserve">  Lateral spread of the slurry in low lying areas.</w:t>
      </w:r>
      <w:r>
        <w:rPr>
          <w:noProof/>
        </w:rPr>
        <w:tab/>
      </w:r>
      <w:r w:rsidR="00117C79">
        <w:rPr>
          <w:noProof/>
        </w:rPr>
        <w:fldChar w:fldCharType="begin"/>
      </w:r>
      <w:r>
        <w:rPr>
          <w:noProof/>
        </w:rPr>
        <w:instrText xml:space="preserve"> PAGEREF _Toc390766632 \h </w:instrText>
      </w:r>
      <w:r w:rsidR="00117C79">
        <w:rPr>
          <w:noProof/>
        </w:rPr>
      </w:r>
      <w:r w:rsidR="00117C79">
        <w:rPr>
          <w:noProof/>
        </w:rPr>
        <w:fldChar w:fldCharType="separate"/>
      </w:r>
      <w:r w:rsidR="00BC139B">
        <w:rPr>
          <w:noProof/>
        </w:rPr>
        <w:t>13</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lang w:eastAsia="en-AU"/>
        </w:rPr>
        <w:t>Figure 3.3</w:t>
      </w:r>
      <w:r>
        <w:rPr>
          <w:noProof/>
          <w:lang w:eastAsia="en-AU"/>
        </w:rPr>
        <w:t xml:space="preserve"> Containment bunding between RP2 &amp; leach tanks</w:t>
      </w:r>
      <w:r>
        <w:rPr>
          <w:noProof/>
        </w:rPr>
        <w:tab/>
      </w:r>
      <w:r w:rsidR="00117C79">
        <w:rPr>
          <w:noProof/>
        </w:rPr>
        <w:fldChar w:fldCharType="begin"/>
      </w:r>
      <w:r>
        <w:rPr>
          <w:noProof/>
        </w:rPr>
        <w:instrText xml:space="preserve"> PAGEREF _Toc390766633 \h </w:instrText>
      </w:r>
      <w:r w:rsidR="00117C79">
        <w:rPr>
          <w:noProof/>
        </w:rPr>
      </w:r>
      <w:r w:rsidR="00117C79">
        <w:rPr>
          <w:noProof/>
        </w:rPr>
        <w:fldChar w:fldCharType="separate"/>
      </w:r>
      <w:r w:rsidR="00BC139B">
        <w:rPr>
          <w:noProof/>
        </w:rPr>
        <w:t>15</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lang w:eastAsia="en-AU"/>
        </w:rPr>
        <w:t>Figure 3.4</w:t>
      </w:r>
      <w:r>
        <w:rPr>
          <w:noProof/>
          <w:lang w:eastAsia="en-AU"/>
        </w:rPr>
        <w:t xml:space="preserve">  Example of drain blockage</w:t>
      </w:r>
      <w:r>
        <w:rPr>
          <w:noProof/>
        </w:rPr>
        <w:tab/>
      </w:r>
      <w:r w:rsidR="00117C79">
        <w:rPr>
          <w:noProof/>
        </w:rPr>
        <w:fldChar w:fldCharType="begin"/>
      </w:r>
      <w:r>
        <w:rPr>
          <w:noProof/>
        </w:rPr>
        <w:instrText xml:space="preserve"> PAGEREF _Toc390766634 \h </w:instrText>
      </w:r>
      <w:r w:rsidR="00117C79">
        <w:rPr>
          <w:noProof/>
        </w:rPr>
      </w:r>
      <w:r w:rsidR="00117C79">
        <w:rPr>
          <w:noProof/>
        </w:rPr>
        <w:fldChar w:fldCharType="separate"/>
      </w:r>
      <w:r w:rsidR="00BC139B">
        <w:rPr>
          <w:noProof/>
        </w:rPr>
        <w:t>15</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3.5</w:t>
      </w:r>
      <w:r>
        <w:rPr>
          <w:noProof/>
        </w:rPr>
        <w:t xml:space="preserve">  Classification of impact zones for wash down purposes</w:t>
      </w:r>
      <w:r>
        <w:rPr>
          <w:noProof/>
        </w:rPr>
        <w:tab/>
      </w:r>
      <w:r w:rsidR="00117C79">
        <w:rPr>
          <w:noProof/>
        </w:rPr>
        <w:fldChar w:fldCharType="begin"/>
      </w:r>
      <w:r>
        <w:rPr>
          <w:noProof/>
        </w:rPr>
        <w:instrText xml:space="preserve"> PAGEREF _Toc390766635 \h </w:instrText>
      </w:r>
      <w:r w:rsidR="00117C79">
        <w:rPr>
          <w:noProof/>
        </w:rPr>
      </w:r>
      <w:r w:rsidR="00117C79">
        <w:rPr>
          <w:noProof/>
        </w:rPr>
        <w:fldChar w:fldCharType="separate"/>
      </w:r>
      <w:r w:rsidR="00BC139B">
        <w:rPr>
          <w:noProof/>
        </w:rPr>
        <w:t>17</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3.6</w:t>
      </w:r>
      <w:r>
        <w:rPr>
          <w:noProof/>
        </w:rPr>
        <w:t xml:space="preserve">  Sample locations for soil scrapes</w:t>
      </w:r>
      <w:r>
        <w:rPr>
          <w:noProof/>
        </w:rPr>
        <w:tab/>
      </w:r>
      <w:r w:rsidR="00117C79">
        <w:rPr>
          <w:noProof/>
        </w:rPr>
        <w:fldChar w:fldCharType="begin"/>
      </w:r>
      <w:r>
        <w:rPr>
          <w:noProof/>
        </w:rPr>
        <w:instrText xml:space="preserve"> PAGEREF _Toc390766636 \h </w:instrText>
      </w:r>
      <w:r w:rsidR="00117C79">
        <w:rPr>
          <w:noProof/>
        </w:rPr>
      </w:r>
      <w:r w:rsidR="00117C79">
        <w:rPr>
          <w:noProof/>
        </w:rPr>
        <w:fldChar w:fldCharType="separate"/>
      </w:r>
      <w:r w:rsidR="00BC139B">
        <w:rPr>
          <w:noProof/>
        </w:rPr>
        <w:t>18</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lang w:val="en-US"/>
        </w:rPr>
        <w:t>Figure 3.7</w:t>
      </w:r>
      <w:r w:rsidRPr="00940EAB">
        <w:rPr>
          <w:noProof/>
          <w:lang w:val="en-US"/>
        </w:rPr>
        <w:t xml:space="preserve"> Sample locations for Zone 1 clearance.</w:t>
      </w:r>
      <w:r>
        <w:rPr>
          <w:noProof/>
        </w:rPr>
        <w:tab/>
      </w:r>
      <w:r w:rsidR="00117C79">
        <w:rPr>
          <w:noProof/>
        </w:rPr>
        <w:fldChar w:fldCharType="begin"/>
      </w:r>
      <w:r>
        <w:rPr>
          <w:noProof/>
        </w:rPr>
        <w:instrText xml:space="preserve"> PAGEREF _Toc390766637 \h </w:instrText>
      </w:r>
      <w:r w:rsidR="00117C79">
        <w:rPr>
          <w:noProof/>
        </w:rPr>
      </w:r>
      <w:r w:rsidR="00117C79">
        <w:rPr>
          <w:noProof/>
        </w:rPr>
        <w:fldChar w:fldCharType="separate"/>
      </w:r>
      <w:r w:rsidR="00BC139B">
        <w:rPr>
          <w:noProof/>
        </w:rPr>
        <w:t>19</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lang w:val="en-US"/>
        </w:rPr>
        <w:t>Figure 3.8</w:t>
      </w:r>
      <w:r w:rsidRPr="00940EAB">
        <w:rPr>
          <w:noProof/>
          <w:lang w:val="en-US"/>
        </w:rPr>
        <w:t xml:space="preserve">  Sample locations for Zone 2</w:t>
      </w:r>
      <w:r>
        <w:rPr>
          <w:noProof/>
        </w:rPr>
        <w:tab/>
      </w:r>
      <w:r w:rsidR="00117C79">
        <w:rPr>
          <w:noProof/>
        </w:rPr>
        <w:fldChar w:fldCharType="begin"/>
      </w:r>
      <w:r>
        <w:rPr>
          <w:noProof/>
        </w:rPr>
        <w:instrText xml:space="preserve"> PAGEREF _Toc390766638 \h </w:instrText>
      </w:r>
      <w:r w:rsidR="00117C79">
        <w:rPr>
          <w:noProof/>
        </w:rPr>
      </w:r>
      <w:r w:rsidR="00117C79">
        <w:rPr>
          <w:noProof/>
        </w:rPr>
        <w:fldChar w:fldCharType="separate"/>
      </w:r>
      <w:r w:rsidR="00BC139B">
        <w:rPr>
          <w:noProof/>
        </w:rPr>
        <w:t>20</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3.9</w:t>
      </w:r>
      <w:r>
        <w:rPr>
          <w:noProof/>
        </w:rPr>
        <w:t xml:space="preserve">  Excavated area within Zone 3</w:t>
      </w:r>
      <w:r>
        <w:rPr>
          <w:noProof/>
        </w:rPr>
        <w:tab/>
      </w:r>
      <w:r w:rsidR="00117C79">
        <w:rPr>
          <w:noProof/>
        </w:rPr>
        <w:fldChar w:fldCharType="begin"/>
      </w:r>
      <w:r>
        <w:rPr>
          <w:noProof/>
        </w:rPr>
        <w:instrText xml:space="preserve"> PAGEREF _Toc390766639 \h </w:instrText>
      </w:r>
      <w:r w:rsidR="00117C79">
        <w:rPr>
          <w:noProof/>
        </w:rPr>
      </w:r>
      <w:r w:rsidR="00117C79">
        <w:rPr>
          <w:noProof/>
        </w:rPr>
        <w:fldChar w:fldCharType="separate"/>
      </w:r>
      <w:r w:rsidR="00BC139B">
        <w:rPr>
          <w:noProof/>
        </w:rPr>
        <w:t>21</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3.10</w:t>
      </w:r>
      <w:r>
        <w:rPr>
          <w:noProof/>
        </w:rPr>
        <w:t xml:space="preserve">  Excavated area within Zone 3</w:t>
      </w:r>
      <w:r>
        <w:rPr>
          <w:noProof/>
        </w:rPr>
        <w:tab/>
      </w:r>
      <w:r w:rsidR="00117C79">
        <w:rPr>
          <w:noProof/>
        </w:rPr>
        <w:fldChar w:fldCharType="begin"/>
      </w:r>
      <w:r>
        <w:rPr>
          <w:noProof/>
        </w:rPr>
        <w:instrText xml:space="preserve"> PAGEREF _Toc390766640 \h </w:instrText>
      </w:r>
      <w:r w:rsidR="00117C79">
        <w:rPr>
          <w:noProof/>
        </w:rPr>
      </w:r>
      <w:r w:rsidR="00117C79">
        <w:rPr>
          <w:noProof/>
        </w:rPr>
        <w:fldChar w:fldCharType="separate"/>
      </w:r>
      <w:r w:rsidR="00BC139B">
        <w:rPr>
          <w:noProof/>
        </w:rPr>
        <w:t>21</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3.11</w:t>
      </w:r>
      <w:r>
        <w:rPr>
          <w:noProof/>
        </w:rPr>
        <w:t xml:space="preserve">  Sample location for Zone 3</w:t>
      </w:r>
      <w:r>
        <w:rPr>
          <w:noProof/>
        </w:rPr>
        <w:tab/>
      </w:r>
      <w:r w:rsidR="00117C79">
        <w:rPr>
          <w:noProof/>
        </w:rPr>
        <w:fldChar w:fldCharType="begin"/>
      </w:r>
      <w:r>
        <w:rPr>
          <w:noProof/>
        </w:rPr>
        <w:instrText xml:space="preserve"> PAGEREF _Toc390766641 \h </w:instrText>
      </w:r>
      <w:r w:rsidR="00117C79">
        <w:rPr>
          <w:noProof/>
        </w:rPr>
      </w:r>
      <w:r w:rsidR="00117C79">
        <w:rPr>
          <w:noProof/>
        </w:rPr>
        <w:fldChar w:fldCharType="separate"/>
      </w:r>
      <w:r w:rsidR="00BC139B">
        <w:rPr>
          <w:noProof/>
        </w:rPr>
        <w:t>21</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3.12</w:t>
      </w:r>
      <w:r>
        <w:rPr>
          <w:noProof/>
        </w:rPr>
        <w:t xml:space="preserve"> Location of Magela Creek Upstream (MCUGT) and Magela Creek Downstream (MCDW) monitoring sites</w:t>
      </w:r>
      <w:r>
        <w:rPr>
          <w:noProof/>
        </w:rPr>
        <w:tab/>
      </w:r>
      <w:r w:rsidR="00117C79">
        <w:rPr>
          <w:noProof/>
        </w:rPr>
        <w:fldChar w:fldCharType="begin"/>
      </w:r>
      <w:r>
        <w:rPr>
          <w:noProof/>
        </w:rPr>
        <w:instrText xml:space="preserve"> PAGEREF _Toc390766642 \h </w:instrText>
      </w:r>
      <w:r w:rsidR="00117C79">
        <w:rPr>
          <w:noProof/>
        </w:rPr>
      </w:r>
      <w:r w:rsidR="00117C79">
        <w:rPr>
          <w:noProof/>
        </w:rPr>
        <w:fldChar w:fldCharType="separate"/>
      </w:r>
      <w:r w:rsidR="00BC139B">
        <w:rPr>
          <w:noProof/>
        </w:rPr>
        <w:t>22</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3.13</w:t>
      </w:r>
      <w:r>
        <w:rPr>
          <w:noProof/>
        </w:rPr>
        <w:t>: Location of soil profiles</w:t>
      </w:r>
      <w:r>
        <w:rPr>
          <w:noProof/>
        </w:rPr>
        <w:tab/>
      </w:r>
      <w:r w:rsidR="00117C79">
        <w:rPr>
          <w:noProof/>
        </w:rPr>
        <w:fldChar w:fldCharType="begin"/>
      </w:r>
      <w:r>
        <w:rPr>
          <w:noProof/>
        </w:rPr>
        <w:instrText xml:space="preserve"> PAGEREF _Toc390766643 \h </w:instrText>
      </w:r>
      <w:r w:rsidR="00117C79">
        <w:rPr>
          <w:noProof/>
        </w:rPr>
      </w:r>
      <w:r w:rsidR="00117C79">
        <w:rPr>
          <w:noProof/>
        </w:rPr>
        <w:fldChar w:fldCharType="separate"/>
      </w:r>
      <w:r w:rsidR="00BC139B">
        <w:rPr>
          <w:noProof/>
        </w:rPr>
        <w:t>24</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3.14</w:t>
      </w:r>
      <w:r>
        <w:rPr>
          <w:noProof/>
        </w:rPr>
        <w:t xml:space="preserve"> Results of the gamma dose rate measurements taken around the perimeter of the spill impacted area and within Zone 1, 8 December 2013.</w:t>
      </w:r>
      <w:r>
        <w:rPr>
          <w:noProof/>
        </w:rPr>
        <w:tab/>
      </w:r>
      <w:r w:rsidR="00117C79">
        <w:rPr>
          <w:noProof/>
        </w:rPr>
        <w:fldChar w:fldCharType="begin"/>
      </w:r>
      <w:r>
        <w:rPr>
          <w:noProof/>
        </w:rPr>
        <w:instrText xml:space="preserve"> PAGEREF _Toc390766644 \h </w:instrText>
      </w:r>
      <w:r w:rsidR="00117C79">
        <w:rPr>
          <w:noProof/>
        </w:rPr>
      </w:r>
      <w:r w:rsidR="00117C79">
        <w:rPr>
          <w:noProof/>
        </w:rPr>
        <w:fldChar w:fldCharType="separate"/>
      </w:r>
      <w:r w:rsidR="00BC139B">
        <w:rPr>
          <w:noProof/>
        </w:rPr>
        <w:t>26</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3.15</w:t>
      </w:r>
      <w:r>
        <w:rPr>
          <w:noProof/>
        </w:rPr>
        <w:t xml:space="preserve"> Results of the gamma dose rate measurements taken around the perimeter of the spill impacted area and within Zone 1, 12 December 2013.</w:t>
      </w:r>
      <w:r>
        <w:rPr>
          <w:noProof/>
        </w:rPr>
        <w:tab/>
      </w:r>
      <w:r w:rsidR="00117C79">
        <w:rPr>
          <w:noProof/>
        </w:rPr>
        <w:fldChar w:fldCharType="begin"/>
      </w:r>
      <w:r>
        <w:rPr>
          <w:noProof/>
        </w:rPr>
        <w:instrText xml:space="preserve"> PAGEREF _Toc390766645 \h </w:instrText>
      </w:r>
      <w:r w:rsidR="00117C79">
        <w:rPr>
          <w:noProof/>
        </w:rPr>
      </w:r>
      <w:r w:rsidR="00117C79">
        <w:rPr>
          <w:noProof/>
        </w:rPr>
        <w:fldChar w:fldCharType="separate"/>
      </w:r>
      <w:r w:rsidR="00BC139B">
        <w:rPr>
          <w:noProof/>
        </w:rPr>
        <w:t>27</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Figures 4.1A and 4.1B</w:t>
      </w:r>
      <w:r>
        <w:rPr>
          <w:noProof/>
        </w:rPr>
        <w:t xml:space="preserve"> ERA EC data from RP2;  </w:t>
      </w:r>
      <w:r w:rsidRPr="00940EAB">
        <w:rPr>
          <w:b/>
          <w:noProof/>
        </w:rPr>
        <w:t>4.1C</w:t>
      </w:r>
      <w:r>
        <w:rPr>
          <w:noProof/>
        </w:rPr>
        <w:t xml:space="preserve"> Box plots of ERA EC data from RP2 before and after the incident</w:t>
      </w:r>
      <w:r>
        <w:rPr>
          <w:noProof/>
        </w:rPr>
        <w:tab/>
      </w:r>
      <w:r w:rsidR="00117C79">
        <w:rPr>
          <w:noProof/>
        </w:rPr>
        <w:fldChar w:fldCharType="begin"/>
      </w:r>
      <w:r>
        <w:rPr>
          <w:noProof/>
        </w:rPr>
        <w:instrText xml:space="preserve"> PAGEREF _Toc390766646 \h </w:instrText>
      </w:r>
      <w:r w:rsidR="00117C79">
        <w:rPr>
          <w:noProof/>
        </w:rPr>
      </w:r>
      <w:r w:rsidR="00117C79">
        <w:rPr>
          <w:noProof/>
        </w:rPr>
        <w:fldChar w:fldCharType="separate"/>
      </w:r>
      <w:r w:rsidR="00BC139B">
        <w:rPr>
          <w:noProof/>
        </w:rPr>
        <w:t>29</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Figures 4.2A</w:t>
      </w:r>
      <w:r>
        <w:rPr>
          <w:noProof/>
        </w:rPr>
        <w:t xml:space="preserve"> </w:t>
      </w:r>
      <w:r w:rsidRPr="00940EAB">
        <w:rPr>
          <w:b/>
          <w:noProof/>
        </w:rPr>
        <w:t>and 4.2B</w:t>
      </w:r>
      <w:r>
        <w:rPr>
          <w:noProof/>
        </w:rPr>
        <w:t xml:space="preserve"> </w:t>
      </w:r>
      <w:r>
        <w:rPr>
          <w:noProof/>
          <w:lang w:eastAsia="en-AU"/>
        </w:rPr>
        <w:t xml:space="preserve">ERA pH data from RP2;  </w:t>
      </w:r>
      <w:r w:rsidRPr="00940EAB">
        <w:rPr>
          <w:b/>
          <w:noProof/>
          <w:lang w:eastAsia="en-AU"/>
        </w:rPr>
        <w:t xml:space="preserve">4.2C </w:t>
      </w:r>
      <w:r>
        <w:rPr>
          <w:noProof/>
          <w:lang w:eastAsia="en-AU"/>
        </w:rPr>
        <w:t>Box plots of ERA pH data from RP2 before and after the incident</w:t>
      </w:r>
      <w:r>
        <w:rPr>
          <w:noProof/>
        </w:rPr>
        <w:tab/>
      </w:r>
      <w:r w:rsidR="00117C79">
        <w:rPr>
          <w:noProof/>
        </w:rPr>
        <w:fldChar w:fldCharType="begin"/>
      </w:r>
      <w:r>
        <w:rPr>
          <w:noProof/>
        </w:rPr>
        <w:instrText xml:space="preserve"> PAGEREF _Toc390766647 \h </w:instrText>
      </w:r>
      <w:r w:rsidR="00117C79">
        <w:rPr>
          <w:noProof/>
        </w:rPr>
      </w:r>
      <w:r w:rsidR="00117C79">
        <w:rPr>
          <w:noProof/>
        </w:rPr>
        <w:fldChar w:fldCharType="separate"/>
      </w:r>
      <w:r w:rsidR="00BC139B">
        <w:rPr>
          <w:noProof/>
        </w:rPr>
        <w:t>30</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Figures 4.3A and 4.3B</w:t>
      </w:r>
      <w:r>
        <w:rPr>
          <w:noProof/>
        </w:rPr>
        <w:t xml:space="preserve"> SSD and ERA magnesium data from RP2;  </w:t>
      </w:r>
      <w:r w:rsidRPr="00940EAB">
        <w:rPr>
          <w:b/>
          <w:noProof/>
        </w:rPr>
        <w:t>4.3C</w:t>
      </w:r>
      <w:r>
        <w:rPr>
          <w:noProof/>
        </w:rPr>
        <w:t xml:space="preserve"> Box plots of SSD and ERA magnesium data from RP2 before and after the incident.</w:t>
      </w:r>
      <w:r>
        <w:rPr>
          <w:noProof/>
        </w:rPr>
        <w:tab/>
      </w:r>
      <w:r w:rsidR="00117C79">
        <w:rPr>
          <w:noProof/>
        </w:rPr>
        <w:fldChar w:fldCharType="begin"/>
      </w:r>
      <w:r>
        <w:rPr>
          <w:noProof/>
        </w:rPr>
        <w:instrText xml:space="preserve"> PAGEREF _Toc390766648 \h </w:instrText>
      </w:r>
      <w:r w:rsidR="00117C79">
        <w:rPr>
          <w:noProof/>
        </w:rPr>
      </w:r>
      <w:r w:rsidR="00117C79">
        <w:rPr>
          <w:noProof/>
        </w:rPr>
        <w:fldChar w:fldCharType="separate"/>
      </w:r>
      <w:r w:rsidR="00BC139B">
        <w:rPr>
          <w:noProof/>
        </w:rPr>
        <w:t>32</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Figures 4.4A</w:t>
      </w:r>
      <w:r>
        <w:rPr>
          <w:noProof/>
        </w:rPr>
        <w:t xml:space="preserve"> </w:t>
      </w:r>
      <w:r w:rsidRPr="00940EAB">
        <w:rPr>
          <w:b/>
          <w:noProof/>
        </w:rPr>
        <w:t>and 4.4B</w:t>
      </w:r>
      <w:r>
        <w:rPr>
          <w:noProof/>
        </w:rPr>
        <w:t xml:space="preserve"> SSD and </w:t>
      </w:r>
      <w:r>
        <w:rPr>
          <w:noProof/>
          <w:lang w:eastAsia="en-AU"/>
        </w:rPr>
        <w:t xml:space="preserve">ERA calcium data from RP2;  </w:t>
      </w:r>
      <w:r w:rsidRPr="00940EAB">
        <w:rPr>
          <w:b/>
          <w:noProof/>
          <w:lang w:eastAsia="en-AU"/>
        </w:rPr>
        <w:t>4.4C</w:t>
      </w:r>
      <w:r>
        <w:rPr>
          <w:noProof/>
          <w:lang w:eastAsia="en-AU"/>
        </w:rPr>
        <w:t xml:space="preserve"> Box plots of SSD and ERA calcium data from RP2 before and after the incident.</w:t>
      </w:r>
      <w:r>
        <w:rPr>
          <w:noProof/>
        </w:rPr>
        <w:tab/>
      </w:r>
      <w:r w:rsidR="00117C79">
        <w:rPr>
          <w:noProof/>
        </w:rPr>
        <w:fldChar w:fldCharType="begin"/>
      </w:r>
      <w:r>
        <w:rPr>
          <w:noProof/>
        </w:rPr>
        <w:instrText xml:space="preserve"> PAGEREF _Toc390766649 \h </w:instrText>
      </w:r>
      <w:r w:rsidR="00117C79">
        <w:rPr>
          <w:noProof/>
        </w:rPr>
      </w:r>
      <w:r w:rsidR="00117C79">
        <w:rPr>
          <w:noProof/>
        </w:rPr>
        <w:fldChar w:fldCharType="separate"/>
      </w:r>
      <w:r w:rsidR="00BC139B">
        <w:rPr>
          <w:noProof/>
        </w:rPr>
        <w:t>33</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Figures 4.5A and 4.5B</w:t>
      </w:r>
      <w:r>
        <w:rPr>
          <w:noProof/>
        </w:rPr>
        <w:t xml:space="preserve"> SSD and </w:t>
      </w:r>
      <w:r>
        <w:rPr>
          <w:noProof/>
          <w:lang w:eastAsia="en-AU"/>
        </w:rPr>
        <w:t xml:space="preserve">ERA manganese data from RP2;  </w:t>
      </w:r>
      <w:r w:rsidRPr="00940EAB">
        <w:rPr>
          <w:b/>
          <w:noProof/>
          <w:lang w:eastAsia="en-AU"/>
        </w:rPr>
        <w:t>4.5C</w:t>
      </w:r>
      <w:r>
        <w:rPr>
          <w:noProof/>
          <w:lang w:eastAsia="en-AU"/>
        </w:rPr>
        <w:t xml:space="preserve"> Box plots of SSD and ERA manganese data from RP2 before and after the incident.</w:t>
      </w:r>
      <w:r>
        <w:rPr>
          <w:noProof/>
        </w:rPr>
        <w:tab/>
      </w:r>
      <w:r w:rsidR="00117C79">
        <w:rPr>
          <w:noProof/>
        </w:rPr>
        <w:fldChar w:fldCharType="begin"/>
      </w:r>
      <w:r>
        <w:rPr>
          <w:noProof/>
        </w:rPr>
        <w:instrText xml:space="preserve"> PAGEREF _Toc390766650 \h </w:instrText>
      </w:r>
      <w:r w:rsidR="00117C79">
        <w:rPr>
          <w:noProof/>
        </w:rPr>
      </w:r>
      <w:r w:rsidR="00117C79">
        <w:rPr>
          <w:noProof/>
        </w:rPr>
        <w:fldChar w:fldCharType="separate"/>
      </w:r>
      <w:r w:rsidR="00BC139B">
        <w:rPr>
          <w:noProof/>
        </w:rPr>
        <w:t>34</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Figures 4.6A and 4.6B</w:t>
      </w:r>
      <w:r>
        <w:rPr>
          <w:noProof/>
        </w:rPr>
        <w:t xml:space="preserve"> SSD and </w:t>
      </w:r>
      <w:r>
        <w:rPr>
          <w:noProof/>
          <w:lang w:eastAsia="en-AU"/>
        </w:rPr>
        <w:t xml:space="preserve">ERA sulfate data from RP2;  </w:t>
      </w:r>
      <w:r w:rsidRPr="00940EAB">
        <w:rPr>
          <w:b/>
          <w:noProof/>
          <w:lang w:eastAsia="en-AU"/>
        </w:rPr>
        <w:t>4.6C</w:t>
      </w:r>
      <w:r>
        <w:rPr>
          <w:noProof/>
          <w:lang w:eastAsia="en-AU"/>
        </w:rPr>
        <w:t xml:space="preserve"> Box plots of SSD and ERA sulfate data from RP2 before and after the incident.</w:t>
      </w:r>
      <w:r>
        <w:rPr>
          <w:noProof/>
        </w:rPr>
        <w:tab/>
      </w:r>
      <w:r w:rsidR="00117C79">
        <w:rPr>
          <w:noProof/>
        </w:rPr>
        <w:fldChar w:fldCharType="begin"/>
      </w:r>
      <w:r>
        <w:rPr>
          <w:noProof/>
        </w:rPr>
        <w:instrText xml:space="preserve"> PAGEREF _Toc390766651 \h </w:instrText>
      </w:r>
      <w:r w:rsidR="00117C79">
        <w:rPr>
          <w:noProof/>
        </w:rPr>
      </w:r>
      <w:r w:rsidR="00117C79">
        <w:rPr>
          <w:noProof/>
        </w:rPr>
        <w:fldChar w:fldCharType="separate"/>
      </w:r>
      <w:r w:rsidR="00BC139B">
        <w:rPr>
          <w:noProof/>
        </w:rPr>
        <w:t>36</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Figures 4.7A and 4.7B</w:t>
      </w:r>
      <w:r>
        <w:rPr>
          <w:noProof/>
        </w:rPr>
        <w:t xml:space="preserve"> SSD and </w:t>
      </w:r>
      <w:r>
        <w:rPr>
          <w:noProof/>
          <w:lang w:eastAsia="en-AU"/>
        </w:rPr>
        <w:t xml:space="preserve">ERA uranium data from RP2;  </w:t>
      </w:r>
      <w:r w:rsidRPr="00940EAB">
        <w:rPr>
          <w:b/>
          <w:noProof/>
          <w:lang w:eastAsia="en-AU"/>
        </w:rPr>
        <w:t>4.7C</w:t>
      </w:r>
      <w:r>
        <w:rPr>
          <w:noProof/>
          <w:lang w:eastAsia="en-AU"/>
        </w:rPr>
        <w:t xml:space="preserve"> Box plots of SSD and ERA uranium data from RP2 before and after the incident.</w:t>
      </w:r>
      <w:r>
        <w:rPr>
          <w:noProof/>
        </w:rPr>
        <w:tab/>
      </w:r>
      <w:r w:rsidR="00117C79">
        <w:rPr>
          <w:noProof/>
        </w:rPr>
        <w:fldChar w:fldCharType="begin"/>
      </w:r>
      <w:r>
        <w:rPr>
          <w:noProof/>
        </w:rPr>
        <w:instrText xml:space="preserve"> PAGEREF _Toc390766652 \h </w:instrText>
      </w:r>
      <w:r w:rsidR="00117C79">
        <w:rPr>
          <w:noProof/>
        </w:rPr>
      </w:r>
      <w:r w:rsidR="00117C79">
        <w:rPr>
          <w:noProof/>
        </w:rPr>
        <w:fldChar w:fldCharType="separate"/>
      </w:r>
      <w:r w:rsidR="00BC139B">
        <w:rPr>
          <w:noProof/>
        </w:rPr>
        <w:t>37</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Figures 4.8A</w:t>
      </w:r>
      <w:r>
        <w:rPr>
          <w:noProof/>
        </w:rPr>
        <w:t xml:space="preserve"> SSD and </w:t>
      </w:r>
      <w:r>
        <w:rPr>
          <w:noProof/>
          <w:lang w:eastAsia="en-AU"/>
        </w:rPr>
        <w:t xml:space="preserve">ERA </w:t>
      </w:r>
      <w:r w:rsidRPr="00940EAB">
        <w:rPr>
          <w:noProof/>
          <w:snapToGrid w:val="0"/>
          <w:color w:val="000000"/>
          <w:position w:val="4"/>
          <w:u w:color="000000"/>
          <w:lang w:eastAsia="en-AU"/>
        </w:rPr>
        <w:t>226</w:t>
      </w:r>
      <w:r>
        <w:rPr>
          <w:noProof/>
          <w:lang w:eastAsia="en-AU"/>
        </w:rPr>
        <w:t xml:space="preserve">Ra filterable and residual activity concentrations data (ERA data sourced from Akber et al. 2011) from RP2; </w:t>
      </w:r>
      <w:r w:rsidRPr="00940EAB">
        <w:rPr>
          <w:b/>
          <w:noProof/>
        </w:rPr>
        <w:t>4.8B</w:t>
      </w:r>
      <w:r>
        <w:rPr>
          <w:noProof/>
        </w:rPr>
        <w:t xml:space="preserve"> SSD and </w:t>
      </w:r>
      <w:r>
        <w:rPr>
          <w:noProof/>
          <w:lang w:eastAsia="en-AU"/>
        </w:rPr>
        <w:t xml:space="preserve">ERA total </w:t>
      </w:r>
      <w:r w:rsidRPr="00940EAB">
        <w:rPr>
          <w:noProof/>
          <w:snapToGrid w:val="0"/>
          <w:color w:val="000000"/>
          <w:position w:val="4"/>
          <w:u w:color="000000"/>
          <w:lang w:eastAsia="en-AU"/>
        </w:rPr>
        <w:t>226</w:t>
      </w:r>
      <w:r>
        <w:rPr>
          <w:noProof/>
          <w:lang w:eastAsia="en-AU"/>
        </w:rPr>
        <w:t xml:space="preserve">Ra activity concentration data; </w:t>
      </w:r>
      <w:r w:rsidRPr="00940EAB">
        <w:rPr>
          <w:b/>
          <w:noProof/>
          <w:lang w:eastAsia="en-AU"/>
        </w:rPr>
        <w:t>4.8C</w:t>
      </w:r>
      <w:r>
        <w:rPr>
          <w:noProof/>
          <w:lang w:eastAsia="en-AU"/>
        </w:rPr>
        <w:t xml:space="preserve"> Box plots of ERA </w:t>
      </w:r>
      <w:r w:rsidRPr="00940EAB">
        <w:rPr>
          <w:noProof/>
          <w:snapToGrid w:val="0"/>
          <w:color w:val="000000"/>
          <w:position w:val="4"/>
          <w:u w:color="000000"/>
          <w:lang w:eastAsia="en-AU"/>
        </w:rPr>
        <w:t>226</w:t>
      </w:r>
      <w:r>
        <w:rPr>
          <w:noProof/>
          <w:lang w:eastAsia="en-AU"/>
        </w:rPr>
        <w:t>Ra relative proportion of filterable and residual data from RP2  (sourced from Akber et al. 2011) before the incident and SSD after the incident.</w:t>
      </w:r>
      <w:r>
        <w:rPr>
          <w:noProof/>
        </w:rPr>
        <w:tab/>
      </w:r>
      <w:r w:rsidR="00117C79">
        <w:rPr>
          <w:noProof/>
        </w:rPr>
        <w:fldChar w:fldCharType="begin"/>
      </w:r>
      <w:r>
        <w:rPr>
          <w:noProof/>
        </w:rPr>
        <w:instrText xml:space="preserve"> PAGEREF _Toc390766653 \h </w:instrText>
      </w:r>
      <w:r w:rsidR="00117C79">
        <w:rPr>
          <w:noProof/>
        </w:rPr>
      </w:r>
      <w:r w:rsidR="00117C79">
        <w:rPr>
          <w:noProof/>
        </w:rPr>
        <w:fldChar w:fldCharType="separate"/>
      </w:r>
      <w:r w:rsidR="00BC139B">
        <w:rPr>
          <w:noProof/>
        </w:rPr>
        <w:t>39</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4.9</w:t>
      </w:r>
      <w:r>
        <w:rPr>
          <w:noProof/>
        </w:rPr>
        <w:t xml:space="preserve"> SSD continuous EC data for Magela Creek from 28 November 2013–27 December 2013.</w:t>
      </w:r>
      <w:r>
        <w:rPr>
          <w:noProof/>
        </w:rPr>
        <w:tab/>
      </w:r>
      <w:r w:rsidR="00117C79">
        <w:rPr>
          <w:noProof/>
        </w:rPr>
        <w:fldChar w:fldCharType="begin"/>
      </w:r>
      <w:r>
        <w:rPr>
          <w:noProof/>
        </w:rPr>
        <w:instrText xml:space="preserve"> PAGEREF _Toc390766654 \h </w:instrText>
      </w:r>
      <w:r w:rsidR="00117C79">
        <w:rPr>
          <w:noProof/>
        </w:rPr>
      </w:r>
      <w:r w:rsidR="00117C79">
        <w:rPr>
          <w:noProof/>
        </w:rPr>
        <w:fldChar w:fldCharType="separate"/>
      </w:r>
      <w:r w:rsidR="00BC139B">
        <w:rPr>
          <w:noProof/>
        </w:rPr>
        <w:t>45</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4.10</w:t>
      </w:r>
      <w:r>
        <w:rPr>
          <w:noProof/>
        </w:rPr>
        <w:t xml:space="preserve"> SSD continuous pH data for Magela Creek from 28 November 2013–30 December 2013. The pH trigger values are provided for information only as these trigger values were determined statistically from historical weekly grab sampling data, and only apply to water quality measured in grab samples.</w:t>
      </w:r>
      <w:r>
        <w:rPr>
          <w:noProof/>
        </w:rPr>
        <w:tab/>
      </w:r>
      <w:r w:rsidR="00117C79">
        <w:rPr>
          <w:noProof/>
        </w:rPr>
        <w:fldChar w:fldCharType="begin"/>
      </w:r>
      <w:r>
        <w:rPr>
          <w:noProof/>
        </w:rPr>
        <w:instrText xml:space="preserve"> PAGEREF _Toc390766655 \h </w:instrText>
      </w:r>
      <w:r w:rsidR="00117C79">
        <w:rPr>
          <w:noProof/>
        </w:rPr>
      </w:r>
      <w:r w:rsidR="00117C79">
        <w:rPr>
          <w:noProof/>
        </w:rPr>
        <w:fldChar w:fldCharType="separate"/>
      </w:r>
      <w:r w:rsidR="00BC139B">
        <w:rPr>
          <w:noProof/>
        </w:rPr>
        <w:t>46</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4.11</w:t>
      </w:r>
      <w:r>
        <w:rPr>
          <w:noProof/>
        </w:rPr>
        <w:t xml:space="preserve">  SSD continuous turbidity data for Magela Creek from 28 November 2013–30 December 2013. The turbidity trigger values are provided for information only as these trigger values were determined statistically from historical weekly grab sampling data, and only apply to water quality measured in grab samples.</w:t>
      </w:r>
      <w:r>
        <w:rPr>
          <w:noProof/>
        </w:rPr>
        <w:tab/>
      </w:r>
      <w:r w:rsidR="00117C79">
        <w:rPr>
          <w:noProof/>
        </w:rPr>
        <w:fldChar w:fldCharType="begin"/>
      </w:r>
      <w:r>
        <w:rPr>
          <w:noProof/>
        </w:rPr>
        <w:instrText xml:space="preserve"> PAGEREF _Toc390766656 \h </w:instrText>
      </w:r>
      <w:r w:rsidR="00117C79">
        <w:rPr>
          <w:noProof/>
        </w:rPr>
      </w:r>
      <w:r w:rsidR="00117C79">
        <w:rPr>
          <w:noProof/>
        </w:rPr>
        <w:fldChar w:fldCharType="separate"/>
      </w:r>
      <w:r w:rsidR="00BC139B">
        <w:rPr>
          <w:noProof/>
        </w:rPr>
        <w:t>47</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4.12</w:t>
      </w:r>
      <w:r>
        <w:rPr>
          <w:noProof/>
        </w:rPr>
        <w:t xml:space="preserve"> SSD uranium concentration data for Magela Creek from 28 November 2013–30 December 2013.</w:t>
      </w:r>
      <w:r>
        <w:rPr>
          <w:noProof/>
        </w:rPr>
        <w:tab/>
      </w:r>
      <w:r w:rsidR="00117C79">
        <w:rPr>
          <w:noProof/>
        </w:rPr>
        <w:fldChar w:fldCharType="begin"/>
      </w:r>
      <w:r>
        <w:rPr>
          <w:noProof/>
        </w:rPr>
        <w:instrText xml:space="preserve"> PAGEREF _Toc390766657 \h </w:instrText>
      </w:r>
      <w:r w:rsidR="00117C79">
        <w:rPr>
          <w:noProof/>
        </w:rPr>
      </w:r>
      <w:r w:rsidR="00117C79">
        <w:rPr>
          <w:noProof/>
        </w:rPr>
        <w:fldChar w:fldCharType="separate"/>
      </w:r>
      <w:r w:rsidR="00BC139B">
        <w:rPr>
          <w:noProof/>
        </w:rPr>
        <w:t>48</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4.13</w:t>
      </w:r>
      <w:r>
        <w:rPr>
          <w:noProof/>
        </w:rPr>
        <w:t xml:space="preserve"> SSD manganese concentration data for Magela Creek from 28 November 2013–30 December 2013.</w:t>
      </w:r>
      <w:r>
        <w:rPr>
          <w:noProof/>
        </w:rPr>
        <w:tab/>
      </w:r>
      <w:r w:rsidR="00117C79">
        <w:rPr>
          <w:noProof/>
        </w:rPr>
        <w:fldChar w:fldCharType="begin"/>
      </w:r>
      <w:r>
        <w:rPr>
          <w:noProof/>
        </w:rPr>
        <w:instrText xml:space="preserve"> PAGEREF _Toc390766658 \h </w:instrText>
      </w:r>
      <w:r w:rsidR="00117C79">
        <w:rPr>
          <w:noProof/>
        </w:rPr>
      </w:r>
      <w:r w:rsidR="00117C79">
        <w:rPr>
          <w:noProof/>
        </w:rPr>
        <w:fldChar w:fldCharType="separate"/>
      </w:r>
      <w:r w:rsidR="00BC139B">
        <w:rPr>
          <w:noProof/>
        </w:rPr>
        <w:t>48</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4.14</w:t>
      </w:r>
      <w:r>
        <w:rPr>
          <w:noProof/>
        </w:rPr>
        <w:t xml:space="preserve"> SSD magnesium concentration data for Magela Creek for 28 November 2013–30 December 2013.</w:t>
      </w:r>
      <w:r>
        <w:rPr>
          <w:noProof/>
        </w:rPr>
        <w:tab/>
      </w:r>
      <w:r w:rsidR="00117C79">
        <w:rPr>
          <w:noProof/>
        </w:rPr>
        <w:fldChar w:fldCharType="begin"/>
      </w:r>
      <w:r>
        <w:rPr>
          <w:noProof/>
        </w:rPr>
        <w:instrText xml:space="preserve"> PAGEREF _Toc390766659 \h </w:instrText>
      </w:r>
      <w:r w:rsidR="00117C79">
        <w:rPr>
          <w:noProof/>
        </w:rPr>
      </w:r>
      <w:r w:rsidR="00117C79">
        <w:rPr>
          <w:noProof/>
        </w:rPr>
        <w:fldChar w:fldCharType="separate"/>
      </w:r>
      <w:r w:rsidR="00BC139B">
        <w:rPr>
          <w:noProof/>
        </w:rPr>
        <w:t>49</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4.15</w:t>
      </w:r>
      <w:r>
        <w:rPr>
          <w:noProof/>
        </w:rPr>
        <w:t xml:space="preserve"> SSD </w:t>
      </w:r>
      <w:r w:rsidRPr="00940EAB">
        <w:rPr>
          <w:noProof/>
          <w:snapToGrid w:val="0"/>
          <w:color w:val="000000"/>
          <w:position w:val="4"/>
          <w:u w:color="000000"/>
        </w:rPr>
        <w:t>226</w:t>
      </w:r>
      <w:r>
        <w:rPr>
          <w:noProof/>
        </w:rPr>
        <w:t>Ra activity concentration data during 7 December 2013–26 February 2014.</w:t>
      </w:r>
      <w:r>
        <w:rPr>
          <w:noProof/>
        </w:rPr>
        <w:tab/>
      </w:r>
      <w:r w:rsidR="00117C79">
        <w:rPr>
          <w:noProof/>
        </w:rPr>
        <w:fldChar w:fldCharType="begin"/>
      </w:r>
      <w:r>
        <w:rPr>
          <w:noProof/>
        </w:rPr>
        <w:instrText xml:space="preserve"> PAGEREF _Toc390766660 \h </w:instrText>
      </w:r>
      <w:r w:rsidR="00117C79">
        <w:rPr>
          <w:noProof/>
        </w:rPr>
      </w:r>
      <w:r w:rsidR="00117C79">
        <w:rPr>
          <w:noProof/>
        </w:rPr>
        <w:fldChar w:fldCharType="separate"/>
      </w:r>
      <w:r w:rsidR="00BC139B">
        <w:rPr>
          <w:noProof/>
        </w:rPr>
        <w:t>50</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4.16</w:t>
      </w:r>
      <w:r>
        <w:rPr>
          <w:noProof/>
        </w:rPr>
        <w:t xml:space="preserve"> Time-series of snail egg production data from toxicity monitoring tests conducted in Magela Creek.</w:t>
      </w:r>
      <w:r>
        <w:rPr>
          <w:noProof/>
        </w:rPr>
        <w:tab/>
      </w:r>
      <w:r w:rsidR="00117C79">
        <w:rPr>
          <w:noProof/>
        </w:rPr>
        <w:fldChar w:fldCharType="begin"/>
      </w:r>
      <w:r>
        <w:rPr>
          <w:noProof/>
        </w:rPr>
        <w:instrText xml:space="preserve"> PAGEREF _Toc390766661 \h </w:instrText>
      </w:r>
      <w:r w:rsidR="00117C79">
        <w:rPr>
          <w:noProof/>
        </w:rPr>
      </w:r>
      <w:r w:rsidR="00117C79">
        <w:rPr>
          <w:noProof/>
        </w:rPr>
        <w:fldChar w:fldCharType="separate"/>
      </w:r>
      <w:r w:rsidR="00BC139B">
        <w:rPr>
          <w:noProof/>
        </w:rPr>
        <w:t>51</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4.17</w:t>
      </w:r>
      <w:r>
        <w:rPr>
          <w:noProof/>
        </w:rPr>
        <w:t xml:space="preserve">  Depth profiles of radiation levels for Holes 1, 3, 4 and 5. Because Hole 2 was sampled with an auger, no profile image is available.</w:t>
      </w:r>
      <w:r>
        <w:rPr>
          <w:noProof/>
        </w:rPr>
        <w:tab/>
      </w:r>
      <w:r w:rsidR="00117C79">
        <w:rPr>
          <w:noProof/>
        </w:rPr>
        <w:fldChar w:fldCharType="begin"/>
      </w:r>
      <w:r>
        <w:rPr>
          <w:noProof/>
        </w:rPr>
        <w:instrText xml:space="preserve"> PAGEREF _Toc390766662 \h </w:instrText>
      </w:r>
      <w:r w:rsidR="00117C79">
        <w:rPr>
          <w:noProof/>
        </w:rPr>
      </w:r>
      <w:r w:rsidR="00117C79">
        <w:rPr>
          <w:noProof/>
        </w:rPr>
        <w:fldChar w:fldCharType="separate"/>
      </w:r>
      <w:r w:rsidR="00BC139B">
        <w:rPr>
          <w:noProof/>
        </w:rPr>
        <w:t>53</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4.18</w:t>
      </w:r>
      <w:r>
        <w:rPr>
          <w:noProof/>
        </w:rPr>
        <w:t xml:space="preserve">  Hole 1.</w:t>
      </w:r>
      <w:r>
        <w:rPr>
          <w:noProof/>
        </w:rPr>
        <w:tab/>
      </w:r>
      <w:r w:rsidR="00117C79">
        <w:rPr>
          <w:noProof/>
        </w:rPr>
        <w:fldChar w:fldCharType="begin"/>
      </w:r>
      <w:r>
        <w:rPr>
          <w:noProof/>
        </w:rPr>
        <w:instrText xml:space="preserve"> PAGEREF _Toc390766663 \h </w:instrText>
      </w:r>
      <w:r w:rsidR="00117C79">
        <w:rPr>
          <w:noProof/>
        </w:rPr>
      </w:r>
      <w:r w:rsidR="00117C79">
        <w:rPr>
          <w:noProof/>
        </w:rPr>
        <w:fldChar w:fldCharType="separate"/>
      </w:r>
      <w:r w:rsidR="00BC139B">
        <w:rPr>
          <w:noProof/>
        </w:rPr>
        <w:t>54</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4.19</w:t>
      </w:r>
      <w:r>
        <w:rPr>
          <w:noProof/>
        </w:rPr>
        <w:t xml:space="preserve">  Auger mounted on a bobcat used to drill Hole 2.</w:t>
      </w:r>
      <w:r>
        <w:rPr>
          <w:noProof/>
        </w:rPr>
        <w:tab/>
      </w:r>
      <w:r w:rsidR="00117C79">
        <w:rPr>
          <w:noProof/>
        </w:rPr>
        <w:fldChar w:fldCharType="begin"/>
      </w:r>
      <w:r>
        <w:rPr>
          <w:noProof/>
        </w:rPr>
        <w:instrText xml:space="preserve"> PAGEREF _Toc390766664 \h </w:instrText>
      </w:r>
      <w:r w:rsidR="00117C79">
        <w:rPr>
          <w:noProof/>
        </w:rPr>
      </w:r>
      <w:r w:rsidR="00117C79">
        <w:rPr>
          <w:noProof/>
        </w:rPr>
        <w:fldChar w:fldCharType="separate"/>
      </w:r>
      <w:r w:rsidR="00BC139B">
        <w:rPr>
          <w:noProof/>
        </w:rPr>
        <w:t>54</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4.20</w:t>
      </w:r>
      <w:r>
        <w:rPr>
          <w:noProof/>
        </w:rPr>
        <w:t xml:space="preserve">  Hole 3.</w:t>
      </w:r>
      <w:r>
        <w:rPr>
          <w:noProof/>
        </w:rPr>
        <w:tab/>
      </w:r>
      <w:r w:rsidR="00117C79">
        <w:rPr>
          <w:noProof/>
        </w:rPr>
        <w:fldChar w:fldCharType="begin"/>
      </w:r>
      <w:r>
        <w:rPr>
          <w:noProof/>
        </w:rPr>
        <w:instrText xml:space="preserve"> PAGEREF _Toc390766665 \h </w:instrText>
      </w:r>
      <w:r w:rsidR="00117C79">
        <w:rPr>
          <w:noProof/>
        </w:rPr>
      </w:r>
      <w:r w:rsidR="00117C79">
        <w:rPr>
          <w:noProof/>
        </w:rPr>
        <w:fldChar w:fldCharType="separate"/>
      </w:r>
      <w:r w:rsidR="00BC139B">
        <w:rPr>
          <w:noProof/>
        </w:rPr>
        <w:t>55</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4.21</w:t>
      </w:r>
      <w:r>
        <w:rPr>
          <w:noProof/>
        </w:rPr>
        <w:t xml:space="preserve">  Hole 4.</w:t>
      </w:r>
      <w:r>
        <w:rPr>
          <w:noProof/>
        </w:rPr>
        <w:tab/>
      </w:r>
      <w:r w:rsidR="00117C79">
        <w:rPr>
          <w:noProof/>
        </w:rPr>
        <w:fldChar w:fldCharType="begin"/>
      </w:r>
      <w:r>
        <w:rPr>
          <w:noProof/>
        </w:rPr>
        <w:instrText xml:space="preserve"> PAGEREF _Toc390766666 \h </w:instrText>
      </w:r>
      <w:r w:rsidR="00117C79">
        <w:rPr>
          <w:noProof/>
        </w:rPr>
      </w:r>
      <w:r w:rsidR="00117C79">
        <w:rPr>
          <w:noProof/>
        </w:rPr>
        <w:fldChar w:fldCharType="separate"/>
      </w:r>
      <w:r w:rsidR="00BC139B">
        <w:rPr>
          <w:noProof/>
        </w:rPr>
        <w:t>55</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4.22</w:t>
      </w:r>
      <w:r>
        <w:rPr>
          <w:noProof/>
        </w:rPr>
        <w:t xml:space="preserve">  Hole 5.</w:t>
      </w:r>
      <w:r>
        <w:rPr>
          <w:noProof/>
        </w:rPr>
        <w:tab/>
      </w:r>
      <w:r w:rsidR="00117C79">
        <w:rPr>
          <w:noProof/>
        </w:rPr>
        <w:fldChar w:fldCharType="begin"/>
      </w:r>
      <w:r>
        <w:rPr>
          <w:noProof/>
        </w:rPr>
        <w:instrText xml:space="preserve"> PAGEREF _Toc390766667 \h </w:instrText>
      </w:r>
      <w:r w:rsidR="00117C79">
        <w:rPr>
          <w:noProof/>
        </w:rPr>
      </w:r>
      <w:r w:rsidR="00117C79">
        <w:rPr>
          <w:noProof/>
        </w:rPr>
        <w:fldChar w:fldCharType="separate"/>
      </w:r>
      <w:r w:rsidR="00BC139B">
        <w:rPr>
          <w:noProof/>
        </w:rPr>
        <w:t>56</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4.23</w:t>
      </w:r>
      <w:r>
        <w:rPr>
          <w:noProof/>
        </w:rPr>
        <w:t xml:space="preserve"> Long-term average of wet season water-level records. Bores with fewer than 100 records have been labelled with the number of records available. Arrows indicate the direction of groundwater flow. (Image courtesy of Geoscience Australia).</w:t>
      </w:r>
      <w:r>
        <w:rPr>
          <w:noProof/>
        </w:rPr>
        <w:tab/>
      </w:r>
      <w:r w:rsidR="00117C79">
        <w:rPr>
          <w:noProof/>
        </w:rPr>
        <w:fldChar w:fldCharType="begin"/>
      </w:r>
      <w:r>
        <w:rPr>
          <w:noProof/>
        </w:rPr>
        <w:instrText xml:space="preserve"> PAGEREF _Toc390766668 \h </w:instrText>
      </w:r>
      <w:r w:rsidR="00117C79">
        <w:rPr>
          <w:noProof/>
        </w:rPr>
      </w:r>
      <w:r w:rsidR="00117C79">
        <w:rPr>
          <w:noProof/>
        </w:rPr>
        <w:fldChar w:fldCharType="separate"/>
      </w:r>
      <w:r w:rsidR="00BC139B">
        <w:rPr>
          <w:noProof/>
        </w:rPr>
        <w:t>58</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4.24</w:t>
      </w:r>
      <w:r>
        <w:rPr>
          <w:noProof/>
        </w:rPr>
        <w:t xml:space="preserve"> Long-term average of dry season water-level records. Bores with fewer than 100 records have been labelled with the number of records available. Arrows indicate general direction of groundwater flow. (Image courtesy of Geoscience Australia).</w:t>
      </w:r>
      <w:r>
        <w:rPr>
          <w:noProof/>
        </w:rPr>
        <w:tab/>
      </w:r>
      <w:r w:rsidR="00117C79">
        <w:rPr>
          <w:noProof/>
        </w:rPr>
        <w:fldChar w:fldCharType="begin"/>
      </w:r>
      <w:r>
        <w:rPr>
          <w:noProof/>
        </w:rPr>
        <w:instrText xml:space="preserve"> PAGEREF _Toc390766669 \h </w:instrText>
      </w:r>
      <w:r w:rsidR="00117C79">
        <w:rPr>
          <w:noProof/>
        </w:rPr>
      </w:r>
      <w:r w:rsidR="00117C79">
        <w:rPr>
          <w:noProof/>
        </w:rPr>
        <w:fldChar w:fldCharType="separate"/>
      </w:r>
      <w:r w:rsidR="00BC139B">
        <w:rPr>
          <w:noProof/>
        </w:rPr>
        <w:t>59</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4.25</w:t>
      </w:r>
      <w:r>
        <w:rPr>
          <w:noProof/>
        </w:rPr>
        <w:t xml:space="preserve">  Rainfall compared to GC2 discharge from July 2010 to February 2014 (rainfall data from BoM, 2014; GC2 discharge volumes supplied by ERA). (Image courtesy of Geoscience Australia).</w:t>
      </w:r>
      <w:r>
        <w:rPr>
          <w:noProof/>
        </w:rPr>
        <w:tab/>
      </w:r>
      <w:r w:rsidR="00117C79">
        <w:rPr>
          <w:noProof/>
        </w:rPr>
        <w:fldChar w:fldCharType="begin"/>
      </w:r>
      <w:r>
        <w:rPr>
          <w:noProof/>
        </w:rPr>
        <w:instrText xml:space="preserve"> PAGEREF _Toc390766670 \h </w:instrText>
      </w:r>
      <w:r w:rsidR="00117C79">
        <w:rPr>
          <w:noProof/>
        </w:rPr>
      </w:r>
      <w:r w:rsidR="00117C79">
        <w:rPr>
          <w:noProof/>
        </w:rPr>
        <w:fldChar w:fldCharType="separate"/>
      </w:r>
      <w:r w:rsidR="00BC139B">
        <w:rPr>
          <w:noProof/>
        </w:rPr>
        <w:t>60</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4.26</w:t>
      </w:r>
      <w:r>
        <w:rPr>
          <w:noProof/>
        </w:rPr>
        <w:t xml:space="preserve"> Natural neighbour interpolated surface of average SO</w:t>
      </w:r>
      <w:r w:rsidRPr="00940EAB">
        <w:rPr>
          <w:noProof/>
          <w:position w:val="-2"/>
          <w:vertAlign w:val="subscript"/>
        </w:rPr>
        <w:t>4</w:t>
      </w:r>
      <w:r>
        <w:rPr>
          <w:noProof/>
        </w:rPr>
        <w:t xml:space="preserve"> concentrations in groundwater between 2006 and 2013. Labelled bores are used for more detailed analysis. (Image courtesy of Geoscience Australia).</w:t>
      </w:r>
      <w:r>
        <w:rPr>
          <w:noProof/>
        </w:rPr>
        <w:tab/>
      </w:r>
      <w:r w:rsidR="00117C79">
        <w:rPr>
          <w:noProof/>
        </w:rPr>
        <w:fldChar w:fldCharType="begin"/>
      </w:r>
      <w:r>
        <w:rPr>
          <w:noProof/>
        </w:rPr>
        <w:instrText xml:space="preserve"> PAGEREF _Toc390766671 \h </w:instrText>
      </w:r>
      <w:r w:rsidR="00117C79">
        <w:rPr>
          <w:noProof/>
        </w:rPr>
      </w:r>
      <w:r w:rsidR="00117C79">
        <w:rPr>
          <w:noProof/>
        </w:rPr>
        <w:fldChar w:fldCharType="separate"/>
      </w:r>
      <w:r w:rsidR="00BC139B">
        <w:rPr>
          <w:noProof/>
        </w:rPr>
        <w:t>62</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4.27</w:t>
      </w:r>
      <w:r>
        <w:rPr>
          <w:noProof/>
        </w:rPr>
        <w:t xml:space="preserve"> Stiff Diagram from bores 35 and 36 on 15/01/2009 showing Mg/SO</w:t>
      </w:r>
      <w:r w:rsidRPr="00940EAB">
        <w:rPr>
          <w:noProof/>
          <w:position w:val="-2"/>
          <w:vertAlign w:val="subscript"/>
        </w:rPr>
        <w:t>4</w:t>
      </w:r>
      <w:r>
        <w:rPr>
          <w:noProof/>
        </w:rPr>
        <w:t xml:space="preserve"> and Na+K/SO</w:t>
      </w:r>
      <w:r w:rsidRPr="00940EAB">
        <w:rPr>
          <w:noProof/>
          <w:position w:val="-2"/>
          <w:vertAlign w:val="subscript"/>
        </w:rPr>
        <w:t>4</w:t>
      </w:r>
      <w:r>
        <w:rPr>
          <w:noProof/>
        </w:rPr>
        <w:t xml:space="preserve"> water types. (Image courtesy of Geoscience Australia).</w:t>
      </w:r>
      <w:r>
        <w:rPr>
          <w:noProof/>
        </w:rPr>
        <w:tab/>
      </w:r>
      <w:r w:rsidR="00117C79">
        <w:rPr>
          <w:noProof/>
        </w:rPr>
        <w:fldChar w:fldCharType="begin"/>
      </w:r>
      <w:r>
        <w:rPr>
          <w:noProof/>
        </w:rPr>
        <w:instrText xml:space="preserve"> PAGEREF _Toc390766672 \h </w:instrText>
      </w:r>
      <w:r w:rsidR="00117C79">
        <w:rPr>
          <w:noProof/>
        </w:rPr>
      </w:r>
      <w:r w:rsidR="00117C79">
        <w:rPr>
          <w:noProof/>
        </w:rPr>
        <w:fldChar w:fldCharType="separate"/>
      </w:r>
      <w:r w:rsidR="00BC139B">
        <w:rPr>
          <w:noProof/>
        </w:rPr>
        <w:t>63</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4.28</w:t>
      </w:r>
      <w:r>
        <w:rPr>
          <w:noProof/>
        </w:rPr>
        <w:t xml:space="preserve"> Stiff Diagrams from bores 35 and 36 post-spill composition. (Image courtesy of Geoscience Australia).</w:t>
      </w:r>
      <w:r>
        <w:rPr>
          <w:noProof/>
        </w:rPr>
        <w:tab/>
      </w:r>
      <w:r w:rsidR="00117C79">
        <w:rPr>
          <w:noProof/>
        </w:rPr>
        <w:fldChar w:fldCharType="begin"/>
      </w:r>
      <w:r>
        <w:rPr>
          <w:noProof/>
        </w:rPr>
        <w:instrText xml:space="preserve"> PAGEREF _Toc390766673 \h </w:instrText>
      </w:r>
      <w:r w:rsidR="00117C79">
        <w:rPr>
          <w:noProof/>
        </w:rPr>
      </w:r>
      <w:r w:rsidR="00117C79">
        <w:rPr>
          <w:noProof/>
        </w:rPr>
        <w:fldChar w:fldCharType="separate"/>
      </w:r>
      <w:r w:rsidR="00BC139B">
        <w:rPr>
          <w:noProof/>
        </w:rPr>
        <w:t>63</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4.29</w:t>
      </w:r>
      <w:r>
        <w:rPr>
          <w:noProof/>
        </w:rPr>
        <w:t xml:space="preserve"> Location of the samples collected by ERA in the morning of 7 December 2013.</w:t>
      </w:r>
      <w:r>
        <w:rPr>
          <w:noProof/>
        </w:rPr>
        <w:tab/>
      </w:r>
      <w:r w:rsidR="00117C79">
        <w:rPr>
          <w:noProof/>
        </w:rPr>
        <w:fldChar w:fldCharType="begin"/>
      </w:r>
      <w:r>
        <w:rPr>
          <w:noProof/>
        </w:rPr>
        <w:instrText xml:space="preserve"> PAGEREF _Toc390766674 \h </w:instrText>
      </w:r>
      <w:r w:rsidR="00117C79">
        <w:rPr>
          <w:noProof/>
        </w:rPr>
      </w:r>
      <w:r w:rsidR="00117C79">
        <w:rPr>
          <w:noProof/>
        </w:rPr>
        <w:fldChar w:fldCharType="separate"/>
      </w:r>
      <w:r w:rsidR="00BC139B">
        <w:rPr>
          <w:noProof/>
        </w:rPr>
        <w:t>66</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4.30</w:t>
      </w:r>
      <w:r>
        <w:rPr>
          <w:noProof/>
        </w:rPr>
        <w:t xml:space="preserve"> Effective gamma dose rates for various thicknesses of dried material with an activity concentration of </w:t>
      </w:r>
      <w:r w:rsidRPr="00940EAB">
        <w:rPr>
          <w:noProof/>
          <w:snapToGrid w:val="0"/>
          <w:color w:val="000000"/>
          <w:position w:val="4"/>
          <w:u w:color="000000"/>
        </w:rPr>
        <w:t>238</w:t>
      </w:r>
      <w:r>
        <w:rPr>
          <w:noProof/>
        </w:rPr>
        <w:t>U in equilibrium with its decay products of 21.6 Bq∙g</w:t>
      </w:r>
      <w:r w:rsidRPr="00940EAB">
        <w:rPr>
          <w:noProof/>
          <w:snapToGrid w:val="0"/>
          <w:color w:val="000000"/>
          <w:position w:val="6"/>
          <w:u w:color="000000"/>
        </w:rPr>
        <w:t>-1</w:t>
      </w:r>
      <w:r>
        <w:rPr>
          <w:noProof/>
        </w:rPr>
        <w:t>.</w:t>
      </w:r>
      <w:r>
        <w:rPr>
          <w:noProof/>
        </w:rPr>
        <w:tab/>
      </w:r>
      <w:r w:rsidR="00117C79">
        <w:rPr>
          <w:noProof/>
        </w:rPr>
        <w:fldChar w:fldCharType="begin"/>
      </w:r>
      <w:r>
        <w:rPr>
          <w:noProof/>
        </w:rPr>
        <w:instrText xml:space="preserve"> PAGEREF _Toc390766675 \h </w:instrText>
      </w:r>
      <w:r w:rsidR="00117C79">
        <w:rPr>
          <w:noProof/>
        </w:rPr>
      </w:r>
      <w:r w:rsidR="00117C79">
        <w:rPr>
          <w:noProof/>
        </w:rPr>
        <w:fldChar w:fldCharType="separate"/>
      </w:r>
      <w:r w:rsidR="00BC139B">
        <w:rPr>
          <w:noProof/>
        </w:rPr>
        <w:t>69</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4.31</w:t>
      </w:r>
      <w:r>
        <w:rPr>
          <w:noProof/>
        </w:rPr>
        <w:t xml:space="preserve"> Dose rate from the inhalation of radon decay products for various thicknesses of dried material with an activity concentration of </w:t>
      </w:r>
      <w:r w:rsidRPr="00940EAB">
        <w:rPr>
          <w:noProof/>
          <w:snapToGrid w:val="0"/>
          <w:color w:val="000000"/>
          <w:position w:val="4"/>
          <w:u w:color="000000"/>
        </w:rPr>
        <w:t>238</w:t>
      </w:r>
      <w:r>
        <w:rPr>
          <w:noProof/>
        </w:rPr>
        <w:t>U of 21.6 Bq∙g</w:t>
      </w:r>
      <w:r w:rsidRPr="00940EAB">
        <w:rPr>
          <w:noProof/>
          <w:snapToGrid w:val="0"/>
          <w:color w:val="000000"/>
          <w:position w:val="4"/>
          <w:u w:color="000000"/>
        </w:rPr>
        <w:t>-1</w:t>
      </w:r>
      <w:r>
        <w:rPr>
          <w:noProof/>
        </w:rPr>
        <w:t xml:space="preserve"> in radioactive equilibrium with its decay products. Dose rates were modelled using the ResRad computer code and assuming a worker is standing on top of the spilled material and assuming a low wind speed of &lt; 1 m</w:t>
      </w:r>
      <w:r w:rsidRPr="00940EAB">
        <w:rPr>
          <w:rFonts w:cs="Arial"/>
          <w:noProof/>
        </w:rPr>
        <w:t>·</w:t>
      </w:r>
      <w:r>
        <w:rPr>
          <w:noProof/>
        </w:rPr>
        <w:t>s</w:t>
      </w:r>
      <w:r w:rsidRPr="00940EAB">
        <w:rPr>
          <w:noProof/>
          <w:snapToGrid w:val="0"/>
          <w:color w:val="000000"/>
          <w:position w:val="4"/>
          <w:u w:color="000000"/>
        </w:rPr>
        <w:t>-1</w:t>
      </w:r>
      <w:r>
        <w:rPr>
          <w:noProof/>
        </w:rPr>
        <w:t xml:space="preserve"> and atmospheric stability class A.</w:t>
      </w:r>
      <w:r>
        <w:rPr>
          <w:noProof/>
        </w:rPr>
        <w:tab/>
      </w:r>
      <w:r w:rsidR="00117C79">
        <w:rPr>
          <w:noProof/>
        </w:rPr>
        <w:fldChar w:fldCharType="begin"/>
      </w:r>
      <w:r>
        <w:rPr>
          <w:noProof/>
        </w:rPr>
        <w:instrText xml:space="preserve"> PAGEREF _Toc390766676 \h </w:instrText>
      </w:r>
      <w:r w:rsidR="00117C79">
        <w:rPr>
          <w:noProof/>
        </w:rPr>
      </w:r>
      <w:r w:rsidR="00117C79">
        <w:rPr>
          <w:noProof/>
        </w:rPr>
        <w:fldChar w:fldCharType="separate"/>
      </w:r>
      <w:r w:rsidR="00BC139B">
        <w:rPr>
          <w:noProof/>
        </w:rPr>
        <w:t>71</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4.32</w:t>
      </w:r>
      <w:r>
        <w:rPr>
          <w:noProof/>
        </w:rPr>
        <w:t xml:space="preserve"> Histogram (left) and cumulative probability (right) of long lived alpha activity concentrations measured during the cleanup of the spill.</w:t>
      </w:r>
      <w:r>
        <w:rPr>
          <w:noProof/>
        </w:rPr>
        <w:tab/>
      </w:r>
      <w:r w:rsidR="00117C79">
        <w:rPr>
          <w:noProof/>
        </w:rPr>
        <w:fldChar w:fldCharType="begin"/>
      </w:r>
      <w:r>
        <w:rPr>
          <w:noProof/>
        </w:rPr>
        <w:instrText xml:space="preserve"> PAGEREF _Toc390766677 \h </w:instrText>
      </w:r>
      <w:r w:rsidR="00117C79">
        <w:rPr>
          <w:noProof/>
        </w:rPr>
      </w:r>
      <w:r w:rsidR="00117C79">
        <w:rPr>
          <w:noProof/>
        </w:rPr>
        <w:fldChar w:fldCharType="separate"/>
      </w:r>
      <w:r w:rsidR="00BC139B">
        <w:rPr>
          <w:noProof/>
        </w:rPr>
        <w:t>71</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4.33</w:t>
      </w:r>
      <w:r>
        <w:rPr>
          <w:noProof/>
        </w:rPr>
        <w:t xml:space="preserve"> Uranium-238 decay series showing radon progeny (red) and LLAA radionuclides (brown).</w:t>
      </w:r>
      <w:r>
        <w:rPr>
          <w:noProof/>
        </w:rPr>
        <w:tab/>
      </w:r>
      <w:r w:rsidR="00117C79">
        <w:rPr>
          <w:noProof/>
        </w:rPr>
        <w:fldChar w:fldCharType="begin"/>
      </w:r>
      <w:r>
        <w:rPr>
          <w:noProof/>
        </w:rPr>
        <w:instrText xml:space="preserve"> PAGEREF _Toc390766678 \h </w:instrText>
      </w:r>
      <w:r w:rsidR="00117C79">
        <w:rPr>
          <w:noProof/>
        </w:rPr>
      </w:r>
      <w:r w:rsidR="00117C79">
        <w:rPr>
          <w:noProof/>
        </w:rPr>
        <w:fldChar w:fldCharType="separate"/>
      </w:r>
      <w:r w:rsidR="00BC139B">
        <w:rPr>
          <w:noProof/>
        </w:rPr>
        <w:t>73</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4.34</w:t>
      </w:r>
      <w:r>
        <w:rPr>
          <w:noProof/>
        </w:rPr>
        <w:t xml:space="preserve"> Frequency histogram of half-hourly wind direction data from the BoM weather station at Jabiru Airport for the two weeks after the incident (7–20 December 2013). The blue sector represents the direction of Jabiru Town and the red sector represents the direction of Jabiru East from the Ranger mine. A wind direction of 0 indicates still conditions.</w:t>
      </w:r>
      <w:r>
        <w:rPr>
          <w:noProof/>
        </w:rPr>
        <w:tab/>
      </w:r>
      <w:r w:rsidR="00117C79">
        <w:rPr>
          <w:noProof/>
        </w:rPr>
        <w:fldChar w:fldCharType="begin"/>
      </w:r>
      <w:r>
        <w:rPr>
          <w:noProof/>
        </w:rPr>
        <w:instrText xml:space="preserve"> PAGEREF _Toc390766679 \h </w:instrText>
      </w:r>
      <w:r w:rsidR="00117C79">
        <w:rPr>
          <w:noProof/>
        </w:rPr>
      </w:r>
      <w:r w:rsidR="00117C79">
        <w:rPr>
          <w:noProof/>
        </w:rPr>
        <w:fldChar w:fldCharType="separate"/>
      </w:r>
      <w:r w:rsidR="00BC139B">
        <w:rPr>
          <w:noProof/>
        </w:rPr>
        <w:t>75</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4.35</w:t>
      </w:r>
      <w:r>
        <w:rPr>
          <w:noProof/>
        </w:rPr>
        <w:t xml:space="preserve"> Hourly radon progeny monitoring data and hourly rainfall data from two weeks before to two weeks after the incident</w:t>
      </w:r>
      <w:r>
        <w:rPr>
          <w:noProof/>
        </w:rPr>
        <w:tab/>
      </w:r>
      <w:r w:rsidR="00117C79">
        <w:rPr>
          <w:noProof/>
        </w:rPr>
        <w:fldChar w:fldCharType="begin"/>
      </w:r>
      <w:r>
        <w:rPr>
          <w:noProof/>
        </w:rPr>
        <w:instrText xml:space="preserve"> PAGEREF _Toc390766680 \h </w:instrText>
      </w:r>
      <w:r w:rsidR="00117C79">
        <w:rPr>
          <w:noProof/>
        </w:rPr>
      </w:r>
      <w:r w:rsidR="00117C79">
        <w:rPr>
          <w:noProof/>
        </w:rPr>
        <w:fldChar w:fldCharType="separate"/>
      </w:r>
      <w:r w:rsidR="00BC139B">
        <w:rPr>
          <w:noProof/>
        </w:rPr>
        <w:t>76</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4.36</w:t>
      </w:r>
      <w:r>
        <w:rPr>
          <w:noProof/>
        </w:rPr>
        <w:t xml:space="preserve"> Average hourly radon progeny concentration and average hourly wind speed from for the four week period from two weeks before to two weeks after the incident</w:t>
      </w:r>
      <w:r>
        <w:rPr>
          <w:noProof/>
        </w:rPr>
        <w:tab/>
      </w:r>
      <w:r w:rsidR="00117C79">
        <w:rPr>
          <w:noProof/>
        </w:rPr>
        <w:fldChar w:fldCharType="begin"/>
      </w:r>
      <w:r>
        <w:rPr>
          <w:noProof/>
        </w:rPr>
        <w:instrText xml:space="preserve"> PAGEREF _Toc390766681 \h </w:instrText>
      </w:r>
      <w:r w:rsidR="00117C79">
        <w:rPr>
          <w:noProof/>
        </w:rPr>
      </w:r>
      <w:r w:rsidR="00117C79">
        <w:rPr>
          <w:noProof/>
        </w:rPr>
        <w:fldChar w:fldCharType="separate"/>
      </w:r>
      <w:r w:rsidR="00BC139B">
        <w:rPr>
          <w:noProof/>
        </w:rPr>
        <w:t>77</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4.37</w:t>
      </w:r>
      <w:r>
        <w:rPr>
          <w:noProof/>
        </w:rPr>
        <w:t xml:space="preserve"> Comparison of average hourly radon progeny concentrations in air for the two weeks before (grey line) and two weeks after (black line) the incident</w:t>
      </w:r>
      <w:r>
        <w:rPr>
          <w:noProof/>
        </w:rPr>
        <w:tab/>
      </w:r>
      <w:r w:rsidR="00117C79">
        <w:rPr>
          <w:noProof/>
        </w:rPr>
        <w:fldChar w:fldCharType="begin"/>
      </w:r>
      <w:r>
        <w:rPr>
          <w:noProof/>
        </w:rPr>
        <w:instrText xml:space="preserve"> PAGEREF _Toc390766682 \h </w:instrText>
      </w:r>
      <w:r w:rsidR="00117C79">
        <w:rPr>
          <w:noProof/>
        </w:rPr>
      </w:r>
      <w:r w:rsidR="00117C79">
        <w:rPr>
          <w:noProof/>
        </w:rPr>
        <w:fldChar w:fldCharType="separate"/>
      </w:r>
      <w:r w:rsidR="00BC139B">
        <w:rPr>
          <w:noProof/>
        </w:rPr>
        <w:t>77</w:t>
      </w:r>
      <w:r w:rsidR="00117C79">
        <w:rPr>
          <w:noProof/>
        </w:rPr>
        <w:fldChar w:fldCharType="end"/>
      </w:r>
    </w:p>
    <w:p w:rsidR="006A42AC" w:rsidRDefault="006A42AC">
      <w:pPr>
        <w:pStyle w:val="TOC2"/>
        <w:rPr>
          <w:rFonts w:asciiTheme="minorHAnsi" w:eastAsiaTheme="minorEastAsia" w:hAnsiTheme="minorHAnsi" w:cstheme="minorBidi"/>
          <w:noProof/>
          <w:szCs w:val="22"/>
          <w:lang w:eastAsia="en-AU"/>
        </w:rPr>
      </w:pPr>
      <w:r w:rsidRPr="00940EAB">
        <w:rPr>
          <w:b/>
          <w:noProof/>
        </w:rPr>
        <w:t>Figure 4.38</w:t>
      </w:r>
      <w:r>
        <w:rPr>
          <w:noProof/>
        </w:rPr>
        <w:t xml:space="preserve"> LLAA concentrations measured in dust from approximately two weeks before to two weeks after the incident. The dotted lines represent two standard deviations of the measured value based on counting statistics.</w:t>
      </w:r>
      <w:r>
        <w:rPr>
          <w:noProof/>
        </w:rPr>
        <w:tab/>
      </w:r>
      <w:r w:rsidR="00117C79">
        <w:rPr>
          <w:noProof/>
        </w:rPr>
        <w:fldChar w:fldCharType="begin"/>
      </w:r>
      <w:r>
        <w:rPr>
          <w:noProof/>
        </w:rPr>
        <w:instrText xml:space="preserve"> PAGEREF _Toc390766683 \h </w:instrText>
      </w:r>
      <w:r w:rsidR="00117C79">
        <w:rPr>
          <w:noProof/>
        </w:rPr>
      </w:r>
      <w:r w:rsidR="00117C79">
        <w:rPr>
          <w:noProof/>
        </w:rPr>
        <w:fldChar w:fldCharType="separate"/>
      </w:r>
      <w:r w:rsidR="00BC139B">
        <w:rPr>
          <w:noProof/>
        </w:rPr>
        <w:t>78</w:t>
      </w:r>
      <w:r w:rsidR="00117C79">
        <w:rPr>
          <w:noProof/>
        </w:rPr>
        <w:fldChar w:fldCharType="end"/>
      </w:r>
    </w:p>
    <w:p w:rsidR="000D0385" w:rsidRDefault="00117C79" w:rsidP="000D0385">
      <w:r>
        <w:fldChar w:fldCharType="end"/>
      </w:r>
    </w:p>
    <w:p w:rsidR="00C35DFA" w:rsidRDefault="00C35DFA" w:rsidP="000D0385"/>
    <w:p w:rsidR="000D0385" w:rsidRDefault="000D0385" w:rsidP="000D0385"/>
    <w:p w:rsidR="000D0385" w:rsidRDefault="000D0385" w:rsidP="000D0385">
      <w:pPr>
        <w:pStyle w:val="Heading1"/>
        <w:sectPr w:rsidR="000D0385">
          <w:headerReference w:type="even" r:id="rId20"/>
          <w:footerReference w:type="even" r:id="rId21"/>
          <w:footerReference w:type="default" r:id="rId22"/>
          <w:headerReference w:type="first" r:id="rId23"/>
          <w:footerReference w:type="first" r:id="rId24"/>
          <w:pgSz w:w="11906" w:h="16838" w:code="9"/>
          <w:pgMar w:top="1440" w:right="1800" w:bottom="1440" w:left="1800" w:header="1080" w:footer="835" w:gutter="0"/>
          <w:pgNumType w:fmt="lowerRoman"/>
          <w:cols w:space="360"/>
          <w:noEndnote/>
        </w:sectPr>
      </w:pPr>
    </w:p>
    <w:p w:rsidR="000D0385" w:rsidRDefault="000D0385" w:rsidP="00266E77">
      <w:pPr>
        <w:pStyle w:val="Heading2"/>
      </w:pPr>
      <w:bookmarkStart w:id="72" w:name="_Toc390416647"/>
      <w:bookmarkStart w:id="73" w:name="_Toc390417964"/>
      <w:bookmarkStart w:id="74" w:name="_Toc390420952"/>
      <w:bookmarkStart w:id="75" w:name="_Toc390432816"/>
      <w:bookmarkStart w:id="76" w:name="_Toc390432876"/>
      <w:bookmarkStart w:id="77" w:name="_Toc390432987"/>
      <w:bookmarkStart w:id="78" w:name="_Toc390445674"/>
      <w:bookmarkStart w:id="79" w:name="_Toc390766565"/>
      <w:r>
        <w:t>Executive summary</w:t>
      </w:r>
      <w:bookmarkEnd w:id="72"/>
      <w:bookmarkEnd w:id="73"/>
      <w:bookmarkEnd w:id="74"/>
      <w:bookmarkEnd w:id="75"/>
      <w:bookmarkEnd w:id="76"/>
      <w:bookmarkEnd w:id="77"/>
      <w:bookmarkEnd w:id="78"/>
      <w:bookmarkEnd w:id="79"/>
    </w:p>
    <w:p w:rsidR="00512C07" w:rsidRDefault="00512C07" w:rsidP="00512C07">
      <w:pPr>
        <w:pStyle w:val="referencelist1"/>
        <w:ind w:left="0" w:firstLine="0"/>
        <w:rPr>
          <w:snapToGrid w:val="0"/>
          <w:color w:val="000000"/>
          <w:szCs w:val="0"/>
          <w:u w:color="000000"/>
        </w:rPr>
      </w:pPr>
      <w:r>
        <w:t>At 00:54 on 7 December 2013 Leach Tank No. 1 at the Energy Resources of Australia</w:t>
      </w:r>
      <w:r w:rsidR="00285815">
        <w:t xml:space="preserve"> Ltd</w:t>
      </w:r>
      <w:r>
        <w:t xml:space="preserve"> Ranger uranium mine collapsed, spilling approximately 1400 m</w:t>
      </w:r>
      <w:r>
        <w:rPr>
          <w:snapToGrid w:val="0"/>
          <w:color w:val="000000"/>
          <w:position w:val="5"/>
          <w:sz w:val="15"/>
          <w:szCs w:val="0"/>
          <w:u w:color="000000"/>
        </w:rPr>
        <w:t>3</w:t>
      </w:r>
      <w:r>
        <w:rPr>
          <w:snapToGrid w:val="0"/>
          <w:color w:val="000000"/>
          <w:szCs w:val="0"/>
          <w:u w:color="000000"/>
        </w:rPr>
        <w:t xml:space="preserve"> of slurry containing ground uranium ore, water and sulphuric acid into the processing area. The Supervising Scientist was advised of the incident at 06</w:t>
      </w:r>
      <w:r w:rsidR="00A72D13">
        <w:rPr>
          <w:snapToGrid w:val="0"/>
          <w:color w:val="000000"/>
          <w:szCs w:val="0"/>
          <w:u w:color="000000"/>
        </w:rPr>
        <w:t>:</w:t>
      </w:r>
      <w:r>
        <w:rPr>
          <w:snapToGrid w:val="0"/>
          <w:color w:val="000000"/>
          <w:szCs w:val="0"/>
          <w:u w:color="000000"/>
        </w:rPr>
        <w:t xml:space="preserve">20 on 7 December 2013, with Supervising Scientist Division staff </w:t>
      </w:r>
      <w:r w:rsidR="001013D4">
        <w:rPr>
          <w:snapToGrid w:val="0"/>
          <w:color w:val="000000"/>
          <w:szCs w:val="0"/>
          <w:u w:color="000000"/>
        </w:rPr>
        <w:t>onsite</w:t>
      </w:r>
      <w:r>
        <w:rPr>
          <w:snapToGrid w:val="0"/>
          <w:color w:val="000000"/>
          <w:szCs w:val="0"/>
          <w:u w:color="000000"/>
        </w:rPr>
        <w:t xml:space="preserve"> that morning to assess the scale of the incident and begin analysis of the potential environmental impacts.</w:t>
      </w:r>
    </w:p>
    <w:p w:rsidR="00512C07" w:rsidRDefault="00512C07" w:rsidP="00512C07">
      <w:pPr>
        <w:pStyle w:val="referencelist1"/>
        <w:ind w:left="0" w:firstLine="0"/>
        <w:rPr>
          <w:snapToGrid w:val="0"/>
          <w:color w:val="000000"/>
          <w:szCs w:val="0"/>
          <w:u w:color="000000"/>
        </w:rPr>
      </w:pPr>
      <w:r>
        <w:rPr>
          <w:snapToGrid w:val="0"/>
          <w:color w:val="000000"/>
          <w:szCs w:val="0"/>
          <w:u w:color="000000"/>
        </w:rPr>
        <w:t>No one was injured as a result of the incident and the spill remained within the processing area with an unknown quantity of slurry reporting to Retention Pond 2.</w:t>
      </w:r>
    </w:p>
    <w:p w:rsidR="00512C07" w:rsidRPr="00B14870" w:rsidRDefault="00512C07" w:rsidP="00512C07">
      <w:pPr>
        <w:pStyle w:val="referencelist1"/>
        <w:ind w:left="0" w:firstLine="0"/>
        <w:rPr>
          <w:snapToGrid w:val="0"/>
          <w:color w:val="000000"/>
          <w:szCs w:val="0"/>
          <w:u w:color="000000"/>
        </w:rPr>
      </w:pPr>
      <w:r w:rsidRPr="00B14870">
        <w:rPr>
          <w:snapToGrid w:val="0"/>
          <w:color w:val="000000"/>
          <w:szCs w:val="0"/>
          <w:u w:color="000000"/>
        </w:rPr>
        <w:t xml:space="preserve">A </w:t>
      </w:r>
      <w:r w:rsidR="00A72D13">
        <w:rPr>
          <w:snapToGrid w:val="0"/>
          <w:color w:val="000000"/>
          <w:szCs w:val="0"/>
          <w:u w:color="000000"/>
        </w:rPr>
        <w:t>j</w:t>
      </w:r>
      <w:r w:rsidRPr="00B14870">
        <w:rPr>
          <w:snapToGrid w:val="0"/>
          <w:color w:val="000000"/>
          <w:szCs w:val="0"/>
          <w:u w:color="000000"/>
        </w:rPr>
        <w:t>oint Commonwealth/NT Government Taskforce</w:t>
      </w:r>
      <w:r>
        <w:rPr>
          <w:snapToGrid w:val="0"/>
          <w:color w:val="000000"/>
          <w:szCs w:val="0"/>
          <w:u w:color="000000"/>
        </w:rPr>
        <w:t>,</w:t>
      </w:r>
      <w:r w:rsidRPr="00B14870">
        <w:rPr>
          <w:snapToGrid w:val="0"/>
          <w:color w:val="000000"/>
          <w:szCs w:val="0"/>
          <w:u w:color="000000"/>
        </w:rPr>
        <w:t xml:space="preserve"> with representation from the Supervising Scientist, the Australian Government Department of Industry, Northern Territory Department of Mines and Energy, Northern Territory </w:t>
      </w:r>
      <w:proofErr w:type="spellStart"/>
      <w:r w:rsidRPr="00B14870">
        <w:rPr>
          <w:snapToGrid w:val="0"/>
          <w:color w:val="000000"/>
          <w:szCs w:val="0"/>
          <w:u w:color="000000"/>
        </w:rPr>
        <w:t>WorkSafe</w:t>
      </w:r>
      <w:proofErr w:type="spellEnd"/>
      <w:r w:rsidRPr="00B14870">
        <w:rPr>
          <w:snapToGrid w:val="0"/>
          <w:color w:val="000000"/>
          <w:szCs w:val="0"/>
          <w:u w:color="000000"/>
        </w:rPr>
        <w:t xml:space="preserve">, Northern Land Council and the </w:t>
      </w:r>
      <w:proofErr w:type="spellStart"/>
      <w:r w:rsidRPr="00B14870">
        <w:rPr>
          <w:snapToGrid w:val="0"/>
          <w:color w:val="000000"/>
          <w:szCs w:val="0"/>
          <w:u w:color="000000"/>
        </w:rPr>
        <w:t>Gundjeihmi</w:t>
      </w:r>
      <w:proofErr w:type="spellEnd"/>
      <w:r w:rsidRPr="00B14870">
        <w:rPr>
          <w:snapToGrid w:val="0"/>
          <w:color w:val="000000"/>
          <w:szCs w:val="0"/>
          <w:u w:color="000000"/>
        </w:rPr>
        <w:t xml:space="preserve"> Aboriginal Corporation</w:t>
      </w:r>
      <w:r>
        <w:rPr>
          <w:snapToGrid w:val="0"/>
          <w:color w:val="000000"/>
          <w:szCs w:val="0"/>
          <w:u w:color="000000"/>
        </w:rPr>
        <w:t xml:space="preserve">, was </w:t>
      </w:r>
      <w:r w:rsidRPr="00B14870">
        <w:rPr>
          <w:snapToGrid w:val="0"/>
          <w:color w:val="000000"/>
          <w:szCs w:val="0"/>
          <w:u w:color="000000"/>
        </w:rPr>
        <w:t>established to coordinate the various incident investigations.</w:t>
      </w:r>
    </w:p>
    <w:p w:rsidR="00512C07" w:rsidRPr="00CA289C" w:rsidRDefault="00A72597" w:rsidP="00512C07">
      <w:pPr>
        <w:pStyle w:val="referencelist1"/>
        <w:ind w:left="0" w:firstLine="0"/>
        <w:rPr>
          <w:snapToGrid w:val="0"/>
          <w:color w:val="000000"/>
          <w:szCs w:val="0"/>
          <w:u w:color="000000"/>
        </w:rPr>
      </w:pPr>
      <w:r w:rsidRPr="00CA289C">
        <w:rPr>
          <w:snapToGrid w:val="0"/>
          <w:color w:val="000000"/>
          <w:szCs w:val="0"/>
          <w:u w:color="000000"/>
        </w:rPr>
        <w:t xml:space="preserve">The Supervising Scientist’s investigation </w:t>
      </w:r>
      <w:r w:rsidR="00512C07" w:rsidRPr="00CA289C">
        <w:rPr>
          <w:snapToGrid w:val="0"/>
          <w:color w:val="000000"/>
          <w:szCs w:val="0"/>
          <w:u w:color="000000"/>
        </w:rPr>
        <w:t xml:space="preserve">is confined to the assessment of the potential impacts on human health and the </w:t>
      </w:r>
      <w:r w:rsidR="001013D4">
        <w:rPr>
          <w:snapToGrid w:val="0"/>
          <w:color w:val="000000"/>
          <w:szCs w:val="0"/>
          <w:u w:color="000000"/>
        </w:rPr>
        <w:t>offsite</w:t>
      </w:r>
      <w:r w:rsidR="00512C07" w:rsidRPr="00CA289C">
        <w:rPr>
          <w:snapToGrid w:val="0"/>
          <w:color w:val="000000"/>
          <w:szCs w:val="0"/>
          <w:u w:color="000000"/>
        </w:rPr>
        <w:t xml:space="preserve"> environment, including Kakadu National Park, as a result of the incident. The Supervising Scientist’s investigation does not consider the cause of the leach tank failure, nor does it consider issues related to the condition of the Ranger </w:t>
      </w:r>
      <w:r w:rsidR="001013D4">
        <w:rPr>
          <w:snapToGrid w:val="0"/>
          <w:color w:val="000000"/>
          <w:szCs w:val="0"/>
          <w:u w:color="000000"/>
        </w:rPr>
        <w:t xml:space="preserve">uranium mine </w:t>
      </w:r>
      <w:r w:rsidR="00512C07" w:rsidRPr="00CA289C">
        <w:rPr>
          <w:snapToGrid w:val="0"/>
          <w:color w:val="000000"/>
          <w:szCs w:val="0"/>
          <w:u w:color="000000"/>
        </w:rPr>
        <w:t xml:space="preserve">processing facility, as this remains the subject of ongoing investigations by the Northern Territory Department of Mines and Energy and Northern Territory </w:t>
      </w:r>
      <w:proofErr w:type="spellStart"/>
      <w:r w:rsidR="00512C07" w:rsidRPr="00CA289C">
        <w:rPr>
          <w:snapToGrid w:val="0"/>
          <w:color w:val="000000"/>
          <w:szCs w:val="0"/>
          <w:u w:color="000000"/>
        </w:rPr>
        <w:t>WorkSafe</w:t>
      </w:r>
      <w:proofErr w:type="spellEnd"/>
      <w:r w:rsidR="00512C07" w:rsidRPr="00CA289C">
        <w:rPr>
          <w:snapToGrid w:val="0"/>
          <w:color w:val="000000"/>
          <w:szCs w:val="0"/>
          <w:u w:color="000000"/>
        </w:rPr>
        <w:t>.</w:t>
      </w:r>
    </w:p>
    <w:p w:rsidR="00512C07" w:rsidRDefault="00512C07" w:rsidP="00512C07">
      <w:pPr>
        <w:pStyle w:val="referencelist1"/>
        <w:ind w:left="0" w:firstLine="0"/>
        <w:rPr>
          <w:snapToGrid w:val="0"/>
          <w:color w:val="000000"/>
          <w:szCs w:val="0"/>
          <w:u w:color="000000"/>
        </w:rPr>
      </w:pPr>
      <w:r>
        <w:t>In assessing the environmental impacts from this incident, the Supervising Scientist undertook a comprehensive array of monitoring activities</w:t>
      </w:r>
      <w:r>
        <w:rPr>
          <w:snapToGrid w:val="0"/>
          <w:color w:val="000000"/>
          <w:szCs w:val="0"/>
          <w:u w:color="000000"/>
        </w:rPr>
        <w:t xml:space="preserve"> which included both </w:t>
      </w:r>
      <w:r w:rsidR="001013D4">
        <w:rPr>
          <w:snapToGrid w:val="0"/>
          <w:color w:val="000000"/>
          <w:szCs w:val="0"/>
          <w:u w:color="000000"/>
        </w:rPr>
        <w:t>onsite</w:t>
      </w:r>
      <w:r>
        <w:rPr>
          <w:snapToGrid w:val="0"/>
          <w:color w:val="000000"/>
          <w:szCs w:val="0"/>
          <w:u w:color="000000"/>
        </w:rPr>
        <w:t xml:space="preserve"> and </w:t>
      </w:r>
      <w:r w:rsidR="001013D4">
        <w:rPr>
          <w:snapToGrid w:val="0"/>
          <w:color w:val="000000"/>
          <w:szCs w:val="0"/>
          <w:u w:color="000000"/>
        </w:rPr>
        <w:t>offsite</w:t>
      </w:r>
      <w:r>
        <w:rPr>
          <w:snapToGrid w:val="0"/>
          <w:color w:val="000000"/>
          <w:szCs w:val="0"/>
          <w:u w:color="000000"/>
        </w:rPr>
        <w:t xml:space="preserve"> sampling and analysis of surface water, groundwater, radiation and soils. In addition </w:t>
      </w:r>
      <w:proofErr w:type="spellStart"/>
      <w:r>
        <w:rPr>
          <w:snapToGrid w:val="0"/>
          <w:color w:val="000000"/>
          <w:szCs w:val="0"/>
          <w:u w:color="000000"/>
        </w:rPr>
        <w:t>Geoscience</w:t>
      </w:r>
      <w:proofErr w:type="spellEnd"/>
      <w:r>
        <w:rPr>
          <w:snapToGrid w:val="0"/>
          <w:color w:val="000000"/>
          <w:szCs w:val="0"/>
          <w:u w:color="000000"/>
        </w:rPr>
        <w:t xml:space="preserve"> Australia was commissioned by the Supervising Scientist to investigate the potential impacts to groundwater as a result of the spill.</w:t>
      </w:r>
    </w:p>
    <w:p w:rsidR="00512C07" w:rsidRDefault="00512C07" w:rsidP="00512C07">
      <w:pPr>
        <w:pStyle w:val="referencelist1"/>
        <w:ind w:left="0" w:firstLine="0"/>
        <w:rPr>
          <w:snapToGrid w:val="0"/>
          <w:color w:val="000000"/>
          <w:szCs w:val="0"/>
          <w:u w:color="000000"/>
        </w:rPr>
      </w:pPr>
      <w:r>
        <w:rPr>
          <w:snapToGrid w:val="0"/>
          <w:color w:val="000000"/>
          <w:szCs w:val="0"/>
          <w:u w:color="000000"/>
        </w:rPr>
        <w:t>It is the conclusion of the Supervising Scientist that the leach tank failure has not resulted in any adverse impacts to human health or the surrounding environment, including Kakadu National Park.</w:t>
      </w:r>
    </w:p>
    <w:p w:rsidR="00512C07" w:rsidRDefault="00512C07" w:rsidP="00512C07">
      <w:pPr>
        <w:pStyle w:val="referencelist1"/>
        <w:ind w:left="0" w:firstLine="0"/>
        <w:rPr>
          <w:snapToGrid w:val="0"/>
          <w:color w:val="000000"/>
          <w:szCs w:val="0"/>
          <w:u w:color="000000"/>
        </w:rPr>
      </w:pPr>
      <w:r>
        <w:rPr>
          <w:snapToGrid w:val="0"/>
          <w:color w:val="000000"/>
          <w:szCs w:val="0"/>
          <w:u w:color="000000"/>
        </w:rPr>
        <w:t>Dose to workers involved in the cleanup activities was low and of no consequence to human health. No increase in airborne radionuclide concentrations as a result of the incident was detected at the S</w:t>
      </w:r>
      <w:r w:rsidR="00A72D13">
        <w:rPr>
          <w:snapToGrid w:val="0"/>
          <w:color w:val="000000"/>
          <w:szCs w:val="0"/>
          <w:u w:color="000000"/>
        </w:rPr>
        <w:t xml:space="preserve">upervising Scientist </w:t>
      </w:r>
      <w:r>
        <w:rPr>
          <w:snapToGrid w:val="0"/>
          <w:color w:val="000000"/>
          <w:szCs w:val="0"/>
          <w:u w:color="000000"/>
        </w:rPr>
        <w:t xml:space="preserve">monitoring stations in </w:t>
      </w:r>
      <w:r w:rsidR="00C16CE7">
        <w:rPr>
          <w:snapToGrid w:val="0"/>
          <w:color w:val="000000"/>
          <w:szCs w:val="0"/>
          <w:u w:color="000000"/>
        </w:rPr>
        <w:t>Jabiru town or at Jabiru E</w:t>
      </w:r>
      <w:r>
        <w:rPr>
          <w:snapToGrid w:val="0"/>
          <w:color w:val="000000"/>
          <w:szCs w:val="0"/>
          <w:u w:color="000000"/>
        </w:rPr>
        <w:t>ast</w:t>
      </w:r>
      <w:r w:rsidR="00A72D13">
        <w:rPr>
          <w:snapToGrid w:val="0"/>
          <w:color w:val="000000"/>
          <w:szCs w:val="0"/>
          <w:u w:color="000000"/>
        </w:rPr>
        <w:t>,</w:t>
      </w:r>
      <w:r>
        <w:rPr>
          <w:snapToGrid w:val="0"/>
          <w:color w:val="000000"/>
          <w:szCs w:val="0"/>
          <w:u w:color="000000"/>
        </w:rPr>
        <w:t xml:space="preserve"> indicating no impact to residents in the surrounding area.</w:t>
      </w:r>
    </w:p>
    <w:p w:rsidR="00512C07" w:rsidRDefault="00512C07" w:rsidP="00512C07">
      <w:pPr>
        <w:pStyle w:val="referencelist1"/>
        <w:ind w:left="0" w:firstLine="0"/>
      </w:pPr>
      <w:r>
        <w:rPr>
          <w:snapToGrid w:val="0"/>
          <w:color w:val="000000"/>
          <w:szCs w:val="0"/>
          <w:u w:color="000000"/>
        </w:rPr>
        <w:t>Chemical and biological monitoring by the Supervising Scientist in Magela Creek did not detect any effects related to the incident. L</w:t>
      </w:r>
      <w:r>
        <w:t>imited groundwater data available in the area of the spill,</w:t>
      </w:r>
      <w:r>
        <w:rPr>
          <w:color w:val="1F497D"/>
        </w:rPr>
        <w:t xml:space="preserve"> </w:t>
      </w:r>
      <w:r>
        <w:t xml:space="preserve">and </w:t>
      </w:r>
      <w:r w:rsidR="001235FC">
        <w:t xml:space="preserve">the six week timeframe for </w:t>
      </w:r>
      <w:r>
        <w:t>E</w:t>
      </w:r>
      <w:r w:rsidR="00A72D13">
        <w:t xml:space="preserve">nergy </w:t>
      </w:r>
      <w:r>
        <w:t>R</w:t>
      </w:r>
      <w:r w:rsidR="00A72D13">
        <w:t xml:space="preserve">esources of </w:t>
      </w:r>
      <w:r>
        <w:t>A</w:t>
      </w:r>
      <w:r w:rsidR="00A72D13">
        <w:t>ustralia Ltd</w:t>
      </w:r>
      <w:r>
        <w:t xml:space="preserve"> </w:t>
      </w:r>
      <w:r w:rsidR="001235FC">
        <w:t xml:space="preserve">to </w:t>
      </w:r>
      <w:r>
        <w:t>commenc</w:t>
      </w:r>
      <w:r w:rsidR="001235FC">
        <w:t>e</w:t>
      </w:r>
      <w:r>
        <w:t xml:space="preserve"> the requested groundwater monitoring program, </w:t>
      </w:r>
      <w:r w:rsidR="00A72D13">
        <w:t>restricted</w:t>
      </w:r>
      <w:r>
        <w:t xml:space="preserve"> the level of groundwater analysis which could be undertaken. Sufficient information was available, however, to conclude that due to the generally compacted nature of soils in the plant area only a small volume of contaminants may have entered the groundwater and</w:t>
      </w:r>
      <w:r w:rsidR="00BC68E6">
        <w:t xml:space="preserve"> </w:t>
      </w:r>
      <w:r>
        <w:t>this would not have any significant impact on groundwater quality</w:t>
      </w:r>
      <w:r w:rsidR="00A72D13">
        <w:t xml:space="preserve"> in the </w:t>
      </w:r>
      <w:r w:rsidR="001013D4">
        <w:t>offsite</w:t>
      </w:r>
      <w:r w:rsidR="00A72D13">
        <w:t xml:space="preserve"> environment</w:t>
      </w:r>
      <w:r>
        <w:t>.</w:t>
      </w:r>
    </w:p>
    <w:p w:rsidR="001235FC" w:rsidRDefault="001235FC" w:rsidP="001235FC">
      <w:r>
        <w:t xml:space="preserve">In response to </w:t>
      </w:r>
      <w:r w:rsidR="008C2C3B">
        <w:t xml:space="preserve">the </w:t>
      </w:r>
      <w:r>
        <w:t>need for additional groundwater data in the Corridor Creek area</w:t>
      </w:r>
      <w:r w:rsidR="00691951">
        <w:t>,</w:t>
      </w:r>
      <w:r>
        <w:t xml:space="preserve"> </w:t>
      </w:r>
      <w:r w:rsidR="00691951">
        <w:t xml:space="preserve">it is </w:t>
      </w:r>
      <w:r>
        <w:t>recommend</w:t>
      </w:r>
      <w:r w:rsidR="00691951">
        <w:t>ed</w:t>
      </w:r>
      <w:r>
        <w:t xml:space="preserve"> that </w:t>
      </w:r>
      <w:r w:rsidR="00691951">
        <w:t xml:space="preserve">Energy Resources of Australia Ltd </w:t>
      </w:r>
      <w:r>
        <w:t xml:space="preserve">provide the Ranger </w:t>
      </w:r>
      <w:proofErr w:type="spellStart"/>
      <w:r>
        <w:t>Minesite</w:t>
      </w:r>
      <w:proofErr w:type="spellEnd"/>
      <w:r>
        <w:t xml:space="preserve"> Technical Committee with an implementation plan to address the recommendations of the </w:t>
      </w:r>
      <w:proofErr w:type="spellStart"/>
      <w:r>
        <w:t>Geoscience</w:t>
      </w:r>
      <w:proofErr w:type="spellEnd"/>
      <w:r>
        <w:t xml:space="preserve"> Australia report including;</w:t>
      </w:r>
    </w:p>
    <w:p w:rsidR="001235FC" w:rsidRDefault="001235FC" w:rsidP="001235FC">
      <w:pPr>
        <w:pStyle w:val="ListParagraph"/>
        <w:numPr>
          <w:ilvl w:val="1"/>
          <w:numId w:val="21"/>
        </w:numPr>
      </w:pPr>
      <w:r>
        <w:t>an increase in the frequency and density of routine groundwater monitoring in both the plant area and the Corridor Creek region;</w:t>
      </w:r>
    </w:p>
    <w:p w:rsidR="001235FC" w:rsidRDefault="001235FC" w:rsidP="001235FC">
      <w:pPr>
        <w:pStyle w:val="ListParagraph"/>
        <w:numPr>
          <w:ilvl w:val="1"/>
          <w:numId w:val="21"/>
        </w:numPr>
      </w:pPr>
      <w:r>
        <w:t>investigate the role of geological structures in groundwater movement to the east of the plant area, and</w:t>
      </w:r>
    </w:p>
    <w:p w:rsidR="001235FC" w:rsidRDefault="001235FC" w:rsidP="001235FC">
      <w:pPr>
        <w:pStyle w:val="ListParagraph"/>
        <w:numPr>
          <w:ilvl w:val="1"/>
          <w:numId w:val="21"/>
        </w:numPr>
      </w:pPr>
      <w:proofErr w:type="gramStart"/>
      <w:r>
        <w:t>continue</w:t>
      </w:r>
      <w:proofErr w:type="gramEnd"/>
      <w:r>
        <w:t xml:space="preserve"> the development and maintenance of a spatial database of groundwater data for the Ranger uranium mine.</w:t>
      </w:r>
    </w:p>
    <w:p w:rsidR="00BF4E31" w:rsidRDefault="00BF4E31">
      <w:pPr>
        <w:spacing w:after="0" w:line="240" w:lineRule="auto"/>
        <w:jc w:val="left"/>
        <w:rPr>
          <w:rFonts w:ascii="Arial" w:hAnsi="Arial"/>
          <w:b/>
          <w:sz w:val="36"/>
        </w:rPr>
      </w:pPr>
      <w:bookmarkStart w:id="80" w:name="_Toc390766566"/>
      <w:bookmarkEnd w:id="48"/>
      <w:bookmarkEnd w:id="49"/>
      <w:bookmarkEnd w:id="50"/>
      <w:bookmarkEnd w:id="51"/>
      <w:r>
        <w:br w:type="page"/>
      </w:r>
    </w:p>
    <w:p w:rsidR="000D0385" w:rsidRDefault="000D0385" w:rsidP="008F55F0">
      <w:pPr>
        <w:pStyle w:val="Heading1"/>
        <w:spacing w:after="400"/>
      </w:pPr>
      <w:proofErr w:type="gramStart"/>
      <w:r>
        <w:t xml:space="preserve">1  </w:t>
      </w:r>
      <w:r w:rsidR="00B368AD">
        <w:t>Introduction</w:t>
      </w:r>
      <w:bookmarkEnd w:id="80"/>
      <w:proofErr w:type="gramEnd"/>
    </w:p>
    <w:p w:rsidR="000F7087" w:rsidRDefault="00A76370" w:rsidP="00266E77">
      <w:pPr>
        <w:pStyle w:val="Heading2"/>
      </w:pPr>
      <w:bookmarkStart w:id="81" w:name="_Toc390766567"/>
      <w:bookmarkStart w:id="82" w:name="_Toc390356154"/>
      <w:proofErr w:type="gramStart"/>
      <w:r>
        <w:t xml:space="preserve">1.1  </w:t>
      </w:r>
      <w:r w:rsidR="003922A8">
        <w:t>Scope</w:t>
      </w:r>
      <w:proofErr w:type="gramEnd"/>
      <w:r w:rsidR="003922A8">
        <w:t xml:space="preserve"> of i</w:t>
      </w:r>
      <w:r w:rsidR="000F7087">
        <w:t>nvestigation</w:t>
      </w:r>
      <w:bookmarkEnd w:id="81"/>
    </w:p>
    <w:p w:rsidR="000F7087" w:rsidRPr="00383C87" w:rsidRDefault="009D37A2" w:rsidP="000F7087">
      <w:r>
        <w:t xml:space="preserve">The Supervising Scientist’s investigation </w:t>
      </w:r>
      <w:r w:rsidR="000F7087">
        <w:t>into the Ranger leach tank failure of 7 December 2013 is confined to the assessment of the potential impacts</w:t>
      </w:r>
      <w:r w:rsidR="000F7087" w:rsidRPr="008D4234">
        <w:t xml:space="preserve"> on human health </w:t>
      </w:r>
      <w:r w:rsidR="000F7087">
        <w:t>and</w:t>
      </w:r>
      <w:r w:rsidR="000F7087" w:rsidRPr="008D4234">
        <w:t xml:space="preserve"> the </w:t>
      </w:r>
      <w:r w:rsidR="001013D4">
        <w:t>offsite</w:t>
      </w:r>
      <w:r w:rsidR="000F7087" w:rsidRPr="008D4234">
        <w:t xml:space="preserve"> environment, including Kakadu National Pa</w:t>
      </w:r>
      <w:r w:rsidR="000F7087">
        <w:t xml:space="preserve">rk, as a result of the incident. The Supervising Scientist’s investigation does not consider the cause of the leach tank failure, nor does it consider issues related to the condition of the Ranger processing facility, as this remains the subject of ongoing investigations by the Northern Territory Department of Mines and Energy and Northern Territory </w:t>
      </w:r>
      <w:proofErr w:type="spellStart"/>
      <w:r w:rsidR="000F7087">
        <w:t>WorkSafe</w:t>
      </w:r>
      <w:proofErr w:type="spellEnd"/>
      <w:r w:rsidR="000F7087">
        <w:t>.</w:t>
      </w:r>
    </w:p>
    <w:p w:rsidR="000F7087" w:rsidRPr="0000088F" w:rsidRDefault="000F7087" w:rsidP="00266E77">
      <w:pPr>
        <w:pStyle w:val="Heading2"/>
      </w:pPr>
      <w:bookmarkStart w:id="83" w:name="_Toc390766568"/>
      <w:proofErr w:type="gramStart"/>
      <w:r>
        <w:t xml:space="preserve">1.2  </w:t>
      </w:r>
      <w:r w:rsidRPr="0000088F">
        <w:t>Ranger</w:t>
      </w:r>
      <w:proofErr w:type="gramEnd"/>
      <w:r w:rsidRPr="0000088F">
        <w:t xml:space="preserve"> uranium </w:t>
      </w:r>
      <w:r>
        <w:t>m</w:t>
      </w:r>
      <w:r w:rsidRPr="0000088F">
        <w:t>ine</w:t>
      </w:r>
      <w:bookmarkEnd w:id="82"/>
      <w:bookmarkEnd w:id="83"/>
    </w:p>
    <w:p w:rsidR="000F7087" w:rsidRPr="0003532C" w:rsidRDefault="000F7087" w:rsidP="000F7087">
      <w:r>
        <w:t>The Ranger uranium mine (Ranger) is located in the Alligator Rivers Region, approximately 2</w:t>
      </w:r>
      <w:r w:rsidR="00A36EA5">
        <w:t>5</w:t>
      </w:r>
      <w:r>
        <w:t xml:space="preserve">0km east of Darwin and </w:t>
      </w:r>
      <w:r w:rsidR="00A36EA5">
        <w:t xml:space="preserve">6 </w:t>
      </w:r>
      <w:r>
        <w:t xml:space="preserve">km east of the township of Jabiru. Ranger is situated </w:t>
      </w:r>
      <w:r>
        <w:rPr>
          <w:snapToGrid w:val="0"/>
          <w:color w:val="000000"/>
          <w:szCs w:val="0"/>
          <w:u w:color="000000"/>
        </w:rPr>
        <w:t xml:space="preserve">adjacent to Magela </w:t>
      </w:r>
      <w:proofErr w:type="gramStart"/>
      <w:r>
        <w:rPr>
          <w:snapToGrid w:val="0"/>
          <w:color w:val="000000"/>
          <w:szCs w:val="0"/>
          <w:u w:color="000000"/>
        </w:rPr>
        <w:t>Creek,</w:t>
      </w:r>
      <w:proofErr w:type="gramEnd"/>
      <w:r>
        <w:rPr>
          <w:snapToGrid w:val="0"/>
          <w:color w:val="000000"/>
          <w:szCs w:val="0"/>
          <w:u w:color="000000"/>
        </w:rPr>
        <w:t xml:space="preserve"> upstream of the </w:t>
      </w:r>
      <w:proofErr w:type="spellStart"/>
      <w:r>
        <w:rPr>
          <w:snapToGrid w:val="0"/>
          <w:color w:val="000000"/>
          <w:szCs w:val="0"/>
          <w:u w:color="000000"/>
        </w:rPr>
        <w:t>Ramsar</w:t>
      </w:r>
      <w:proofErr w:type="spellEnd"/>
      <w:r>
        <w:rPr>
          <w:snapToGrid w:val="0"/>
          <w:color w:val="000000"/>
          <w:szCs w:val="0"/>
          <w:u w:color="000000"/>
        </w:rPr>
        <w:t xml:space="preserve"> listed </w:t>
      </w:r>
      <w:proofErr w:type="spellStart"/>
      <w:r>
        <w:rPr>
          <w:snapToGrid w:val="0"/>
          <w:color w:val="000000"/>
          <w:szCs w:val="0"/>
          <w:u w:color="000000"/>
        </w:rPr>
        <w:t>Magela</w:t>
      </w:r>
      <w:proofErr w:type="spellEnd"/>
      <w:r>
        <w:rPr>
          <w:snapToGrid w:val="0"/>
          <w:color w:val="000000"/>
          <w:szCs w:val="0"/>
          <w:u w:color="000000"/>
        </w:rPr>
        <w:t xml:space="preserve"> wetlands and surround by the World Heritage listed Kakadu National Park (Figure 1</w:t>
      </w:r>
      <w:r w:rsidR="00A057D3">
        <w:rPr>
          <w:snapToGrid w:val="0"/>
          <w:color w:val="000000"/>
          <w:szCs w:val="0"/>
          <w:u w:color="000000"/>
        </w:rPr>
        <w:t>.2</w:t>
      </w:r>
      <w:r>
        <w:rPr>
          <w:snapToGrid w:val="0"/>
          <w:color w:val="000000"/>
          <w:szCs w:val="0"/>
          <w:u w:color="000000"/>
        </w:rPr>
        <w:t>).</w:t>
      </w:r>
    </w:p>
    <w:p w:rsidR="000F7087" w:rsidRDefault="000F7087" w:rsidP="000F7087">
      <w:r w:rsidRPr="000C7C20">
        <w:t>Ranger is currently the only o</w:t>
      </w:r>
      <w:r>
        <w:t>perational uranium mine in the r</w:t>
      </w:r>
      <w:r w:rsidRPr="000C7C20">
        <w:t>egion, and is owned and operated by Energy Resources of Australia Ltd (ERA). Production commenced at Ranger in August 1981, with milling expected to continue until 202</w:t>
      </w:r>
      <w:r>
        <w:t>1</w:t>
      </w:r>
      <w:r w:rsidRPr="000C7C20">
        <w:t>.</w:t>
      </w:r>
      <w:r>
        <w:t xml:space="preserve"> Ranger is a conventional open pit mining operation utilising an acid leach process.  Mining in Pit #3 ceased in November 2012 with the operation now solely processing stockpiled ore.</w:t>
      </w:r>
    </w:p>
    <w:p w:rsidR="000F7087" w:rsidRDefault="000F7087" w:rsidP="000F7087">
      <w:r w:rsidRPr="00302F8B">
        <w:t>The climate of the Alligator Rivers Region is dominated by a seasonal wet-dry monsoon cycle. The wet season generally extends from late October to early April with predominantly westerly winds, while the dry season is dominated by easterly to south-easterly winds and extends from May to September.</w:t>
      </w:r>
      <w:r>
        <w:t xml:space="preserve"> The average annual rainfall is approximately 1600mm with the great majority falling between December and March.</w:t>
      </w:r>
    </w:p>
    <w:p w:rsidR="000F7087" w:rsidRDefault="000F7087" w:rsidP="000F7087">
      <w:r>
        <w:t>Ranger is located on gently undulating lowlands adjacent to the sandstone escarpment of the Arnhem Plateau. The primary land-cover is open savannah woodland with narrow zones of dense riparian vegetation restricted to watercourses and wetland fringes.</w:t>
      </w:r>
    </w:p>
    <w:p w:rsidR="00827C4B" w:rsidRPr="009A1F3A" w:rsidRDefault="00827C4B" w:rsidP="00827C4B">
      <w:pPr>
        <w:pStyle w:val="Heading3"/>
        <w:rPr>
          <w:lang w:eastAsia="en-AU"/>
        </w:rPr>
      </w:pPr>
      <w:bookmarkStart w:id="84" w:name="_Toc390766569"/>
      <w:r>
        <w:rPr>
          <w:lang w:eastAsia="en-AU"/>
        </w:rPr>
        <w:t>1.2.1</w:t>
      </w:r>
      <w:r w:rsidRPr="00A70E14">
        <w:rPr>
          <w:lang w:eastAsia="en-AU"/>
        </w:rPr>
        <w:t xml:space="preserve"> </w:t>
      </w:r>
      <w:r w:rsidRPr="00A70E14">
        <w:t>Overview</w:t>
      </w:r>
      <w:r w:rsidRPr="00A70E14">
        <w:rPr>
          <w:lang w:eastAsia="en-AU"/>
        </w:rPr>
        <w:t xml:space="preserve"> of Ranger water classes</w:t>
      </w:r>
      <w:bookmarkEnd w:id="84"/>
    </w:p>
    <w:p w:rsidR="00827C4B" w:rsidRDefault="00827C4B" w:rsidP="00827C4B">
      <w:pPr>
        <w:rPr>
          <w:lang w:eastAsia="en-AU"/>
        </w:rPr>
      </w:pPr>
      <w:r>
        <w:rPr>
          <w:lang w:eastAsia="en-AU"/>
        </w:rPr>
        <w:t xml:space="preserve">There </w:t>
      </w:r>
      <w:proofErr w:type="gramStart"/>
      <w:r w:rsidR="00B87218">
        <w:rPr>
          <w:lang w:eastAsia="en-AU"/>
        </w:rPr>
        <w:t>are</w:t>
      </w:r>
      <w:proofErr w:type="gramEnd"/>
      <w:r w:rsidR="00B87218">
        <w:rPr>
          <w:lang w:eastAsia="en-AU"/>
        </w:rPr>
        <w:t xml:space="preserve"> several</w:t>
      </w:r>
      <w:r>
        <w:rPr>
          <w:lang w:eastAsia="en-AU"/>
        </w:rPr>
        <w:t xml:space="preserve"> water classes used at Ranger based </w:t>
      </w:r>
      <w:r w:rsidR="00652C7F">
        <w:rPr>
          <w:lang w:eastAsia="en-AU"/>
        </w:rPr>
        <w:t xml:space="preserve">on </w:t>
      </w:r>
      <w:r w:rsidR="00B87218">
        <w:rPr>
          <w:lang w:eastAsia="en-AU"/>
        </w:rPr>
        <w:t>water quality</w:t>
      </w:r>
      <w:r>
        <w:rPr>
          <w:lang w:eastAsia="en-AU"/>
        </w:rPr>
        <w:t>. Classes include Process water,</w:t>
      </w:r>
      <w:r>
        <w:rPr>
          <w:rFonts w:ascii="SymbolMT" w:hAnsi="SymbolMT" w:cs="SymbolMT"/>
          <w:lang w:eastAsia="en-AU"/>
        </w:rPr>
        <w:t xml:space="preserve"> </w:t>
      </w:r>
      <w:r>
        <w:rPr>
          <w:lang w:eastAsia="en-AU"/>
        </w:rPr>
        <w:t>Pond water and</w:t>
      </w:r>
      <w:r>
        <w:rPr>
          <w:rFonts w:ascii="SymbolMT" w:hAnsi="SymbolMT" w:cs="SymbolMT"/>
          <w:lang w:eastAsia="en-AU"/>
        </w:rPr>
        <w:t xml:space="preserve"> </w:t>
      </w:r>
      <w:r>
        <w:rPr>
          <w:lang w:eastAsia="en-AU"/>
        </w:rPr>
        <w:t xml:space="preserve">Release water as shown in Figure </w:t>
      </w:r>
      <w:r w:rsidR="00A057D3">
        <w:rPr>
          <w:lang w:eastAsia="en-AU"/>
        </w:rPr>
        <w:t>1</w:t>
      </w:r>
      <w:r>
        <w:rPr>
          <w:lang w:eastAsia="en-AU"/>
        </w:rPr>
        <w:t>.1.</w:t>
      </w:r>
    </w:p>
    <w:p w:rsidR="00827C4B" w:rsidRPr="00125CCF" w:rsidRDefault="00827C4B" w:rsidP="00827C4B">
      <w:pPr>
        <w:jc w:val="center"/>
        <w:rPr>
          <w:szCs w:val="24"/>
        </w:rPr>
      </w:pPr>
      <w:r w:rsidRPr="003E43EF">
        <w:rPr>
          <w:noProof/>
          <w:szCs w:val="24"/>
          <w:lang w:eastAsia="en-AU"/>
        </w:rPr>
        <w:drawing>
          <wp:inline distT="0" distB="0" distL="0" distR="0">
            <wp:extent cx="4221898" cy="4467225"/>
            <wp:effectExtent l="19050" t="19050" r="26252" b="28575"/>
            <wp:docPr id="2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screen"/>
                    <a:srcRect/>
                    <a:stretch>
                      <a:fillRect/>
                    </a:stretch>
                  </pic:blipFill>
                  <pic:spPr bwMode="auto">
                    <a:xfrm>
                      <a:off x="0" y="0"/>
                      <a:ext cx="4221898" cy="4467225"/>
                    </a:xfrm>
                    <a:prstGeom prst="rect">
                      <a:avLst/>
                    </a:prstGeom>
                    <a:noFill/>
                    <a:ln w="19050">
                      <a:solidFill>
                        <a:schemeClr val="tx1"/>
                      </a:solidFill>
                      <a:miter lim="800000"/>
                      <a:headEnd/>
                      <a:tailEnd/>
                    </a:ln>
                  </pic:spPr>
                </pic:pic>
              </a:graphicData>
            </a:graphic>
          </wp:inline>
        </w:drawing>
      </w:r>
    </w:p>
    <w:p w:rsidR="00827C4B" w:rsidRPr="00125CCF" w:rsidRDefault="00827C4B" w:rsidP="00827C4B">
      <w:pPr>
        <w:pStyle w:val="figurecaption"/>
        <w:rPr>
          <w:lang w:eastAsia="en-AU"/>
        </w:rPr>
      </w:pPr>
      <w:bookmarkStart w:id="85" w:name="_Toc382468411"/>
      <w:bookmarkStart w:id="86" w:name="_Toc390766623"/>
      <w:r w:rsidRPr="0092297C">
        <w:rPr>
          <w:b/>
          <w:lang w:eastAsia="en-AU"/>
        </w:rPr>
        <w:t xml:space="preserve">Figure </w:t>
      </w:r>
      <w:r w:rsidR="0092297C" w:rsidRPr="0092297C">
        <w:rPr>
          <w:b/>
          <w:lang w:eastAsia="en-AU"/>
        </w:rPr>
        <w:t>1.1</w:t>
      </w:r>
      <w:r>
        <w:rPr>
          <w:lang w:eastAsia="en-AU"/>
        </w:rPr>
        <w:t xml:space="preserve"> </w:t>
      </w:r>
      <w:r w:rsidRPr="00073D08">
        <w:rPr>
          <w:lang w:eastAsia="en-AU"/>
        </w:rPr>
        <w:t xml:space="preserve">Water </w:t>
      </w:r>
      <w:r w:rsidR="00505FD6">
        <w:rPr>
          <w:lang w:eastAsia="en-AU"/>
        </w:rPr>
        <w:t>c</w:t>
      </w:r>
      <w:r w:rsidRPr="00073D08">
        <w:rPr>
          <w:lang w:eastAsia="en-AU"/>
        </w:rPr>
        <w:t xml:space="preserve">lass </w:t>
      </w:r>
      <w:r w:rsidR="00505FD6">
        <w:rPr>
          <w:lang w:eastAsia="en-AU"/>
        </w:rPr>
        <w:t>c</w:t>
      </w:r>
      <w:r w:rsidRPr="00073D08">
        <w:rPr>
          <w:lang w:eastAsia="en-AU"/>
        </w:rPr>
        <w:t xml:space="preserve">atchments on the </w:t>
      </w:r>
      <w:r>
        <w:rPr>
          <w:lang w:eastAsia="en-AU"/>
        </w:rPr>
        <w:t>Ranger mine site (ERA 2013).</w:t>
      </w:r>
      <w:bookmarkEnd w:id="85"/>
      <w:bookmarkEnd w:id="86"/>
    </w:p>
    <w:p w:rsidR="00827C4B" w:rsidRDefault="00827C4B" w:rsidP="00827C4B">
      <w:pPr>
        <w:rPr>
          <w:lang w:eastAsia="en-AU"/>
        </w:rPr>
      </w:pPr>
      <w:r>
        <w:rPr>
          <w:lang w:eastAsia="en-AU"/>
        </w:rPr>
        <w:t xml:space="preserve">Each class of water differs according to its </w:t>
      </w:r>
      <w:proofErr w:type="spellStart"/>
      <w:r w:rsidR="00A36EA5">
        <w:rPr>
          <w:lang w:eastAsia="en-AU"/>
        </w:rPr>
        <w:t>physico</w:t>
      </w:r>
      <w:proofErr w:type="spellEnd"/>
      <w:r w:rsidR="00A36EA5">
        <w:rPr>
          <w:lang w:eastAsia="en-AU"/>
        </w:rPr>
        <w:t xml:space="preserve">-chemical </w:t>
      </w:r>
      <w:r>
        <w:rPr>
          <w:lang w:eastAsia="en-AU"/>
        </w:rPr>
        <w:t>composition</w:t>
      </w:r>
      <w:r w:rsidR="00652C7F">
        <w:rPr>
          <w:lang w:eastAsia="en-AU"/>
        </w:rPr>
        <w:t>,</w:t>
      </w:r>
      <w:r>
        <w:rPr>
          <w:lang w:eastAsia="en-AU"/>
        </w:rPr>
        <w:t xml:space="preserve"> which dictates the way it is managed. The process water inventory is derived from waters that have come into contact with th</w:t>
      </w:r>
      <w:r w:rsidR="00A36EA5">
        <w:rPr>
          <w:lang w:eastAsia="en-AU"/>
        </w:rPr>
        <w:t xml:space="preserve">e </w:t>
      </w:r>
      <w:r>
        <w:rPr>
          <w:lang w:eastAsia="en-AU"/>
        </w:rPr>
        <w:t>uranium extraction circuit</w:t>
      </w:r>
      <w:r w:rsidR="00B87218">
        <w:rPr>
          <w:lang w:eastAsia="en-AU"/>
        </w:rPr>
        <w:t xml:space="preserve"> and</w:t>
      </w:r>
      <w:r>
        <w:rPr>
          <w:lang w:eastAsia="en-AU"/>
        </w:rPr>
        <w:t xml:space="preserve"> from rainfall on the designated process water catchments</w:t>
      </w:r>
      <w:r w:rsidR="00B87218">
        <w:rPr>
          <w:lang w:eastAsia="en-AU"/>
        </w:rPr>
        <w:t>,</w:t>
      </w:r>
      <w:r>
        <w:rPr>
          <w:lang w:eastAsia="en-AU"/>
        </w:rPr>
        <w:t xml:space="preserve"> including the TSF. Process water is characterised by a </w:t>
      </w:r>
      <w:r w:rsidR="00A36EA5">
        <w:rPr>
          <w:lang w:eastAsia="en-AU"/>
        </w:rPr>
        <w:t>very</w:t>
      </w:r>
      <w:r>
        <w:rPr>
          <w:lang w:eastAsia="en-AU"/>
        </w:rPr>
        <w:t xml:space="preserve"> high dissolved salt load.</w:t>
      </w:r>
    </w:p>
    <w:p w:rsidR="00827C4B" w:rsidRDefault="00827C4B" w:rsidP="00827C4B">
      <w:pPr>
        <w:rPr>
          <w:lang w:eastAsia="en-AU"/>
        </w:rPr>
      </w:pPr>
      <w:r>
        <w:rPr>
          <w:lang w:eastAsia="en-AU"/>
        </w:rPr>
        <w:t>The pond water inventory is derived from rainfall that falls on the active mine-site catchments, generating water of a quality that requires active management. Pond water typically includes:</w:t>
      </w:r>
    </w:p>
    <w:p w:rsidR="00827C4B" w:rsidRDefault="00827C4B" w:rsidP="00827C4B">
      <w:pPr>
        <w:rPr>
          <w:lang w:eastAsia="en-AU"/>
        </w:rPr>
      </w:pPr>
      <w:r>
        <w:rPr>
          <w:rFonts w:ascii="SymbolMT" w:hAnsi="SymbolMT" w:cs="SymbolMT"/>
          <w:lang w:eastAsia="en-AU"/>
        </w:rPr>
        <w:t xml:space="preserve">• </w:t>
      </w:r>
      <w:r>
        <w:rPr>
          <w:lang w:eastAsia="en-AU"/>
        </w:rPr>
        <w:t>Seepage and surface water runoff from the mineralised rock stockpiles;</w:t>
      </w:r>
    </w:p>
    <w:p w:rsidR="00827C4B" w:rsidRDefault="00827C4B" w:rsidP="00827C4B">
      <w:pPr>
        <w:rPr>
          <w:lang w:eastAsia="en-AU"/>
        </w:rPr>
      </w:pPr>
      <w:r>
        <w:rPr>
          <w:rFonts w:ascii="SymbolMT" w:hAnsi="SymbolMT" w:cs="SymbolMT"/>
          <w:lang w:eastAsia="en-AU"/>
        </w:rPr>
        <w:t xml:space="preserve">• </w:t>
      </w:r>
      <w:r>
        <w:rPr>
          <w:lang w:eastAsia="en-AU"/>
        </w:rPr>
        <w:t>Seepage from the low-grade rock stockpiles</w:t>
      </w:r>
      <w:r w:rsidR="00B87218">
        <w:rPr>
          <w:lang w:eastAsia="en-AU"/>
        </w:rPr>
        <w:t>, and</w:t>
      </w:r>
    </w:p>
    <w:p w:rsidR="00827C4B" w:rsidRDefault="00827C4B" w:rsidP="00827C4B">
      <w:pPr>
        <w:rPr>
          <w:lang w:eastAsia="en-AU"/>
        </w:rPr>
      </w:pPr>
      <w:r>
        <w:rPr>
          <w:rFonts w:ascii="SymbolMT" w:hAnsi="SymbolMT" w:cs="SymbolMT"/>
          <w:lang w:eastAsia="en-AU"/>
        </w:rPr>
        <w:t xml:space="preserve">• </w:t>
      </w:r>
      <w:r>
        <w:rPr>
          <w:lang w:eastAsia="en-AU"/>
        </w:rPr>
        <w:t>Runoff/discharges from the processing areas not directed to the process water circuit.</w:t>
      </w:r>
    </w:p>
    <w:p w:rsidR="00827C4B" w:rsidRDefault="00827C4B" w:rsidP="00827C4B">
      <w:pPr>
        <w:rPr>
          <w:lang w:eastAsia="en-AU"/>
        </w:rPr>
      </w:pPr>
      <w:r>
        <w:rPr>
          <w:lang w:eastAsia="en-AU"/>
        </w:rPr>
        <w:t xml:space="preserve">The main storage facilities for pond water </w:t>
      </w:r>
      <w:r w:rsidR="00B87218">
        <w:rPr>
          <w:lang w:eastAsia="en-AU"/>
        </w:rPr>
        <w:t>are</w:t>
      </w:r>
      <w:r>
        <w:rPr>
          <w:lang w:eastAsia="en-AU"/>
        </w:rPr>
        <w:t xml:space="preserve"> R</w:t>
      </w:r>
      <w:r w:rsidR="00C975C9">
        <w:rPr>
          <w:lang w:eastAsia="en-AU"/>
        </w:rPr>
        <w:t>etention Pond 2 (R</w:t>
      </w:r>
      <w:r>
        <w:rPr>
          <w:lang w:eastAsia="en-AU"/>
        </w:rPr>
        <w:t>P2</w:t>
      </w:r>
      <w:r w:rsidR="00C975C9">
        <w:rPr>
          <w:lang w:eastAsia="en-AU"/>
        </w:rPr>
        <w:t>)</w:t>
      </w:r>
      <w:r>
        <w:rPr>
          <w:lang w:eastAsia="en-AU"/>
        </w:rPr>
        <w:t>, R</w:t>
      </w:r>
      <w:r w:rsidR="00C975C9">
        <w:rPr>
          <w:lang w:eastAsia="en-AU"/>
        </w:rPr>
        <w:t>etention Pond 6 (R</w:t>
      </w:r>
      <w:r>
        <w:rPr>
          <w:lang w:eastAsia="en-AU"/>
        </w:rPr>
        <w:t>P6</w:t>
      </w:r>
      <w:r w:rsidR="00C975C9">
        <w:rPr>
          <w:lang w:eastAsia="en-AU"/>
        </w:rPr>
        <w:t>)</w:t>
      </w:r>
      <w:r>
        <w:rPr>
          <w:lang w:eastAsia="en-AU"/>
        </w:rPr>
        <w:t xml:space="preserve"> and Ranger Pit </w:t>
      </w:r>
      <w:r w:rsidR="00B87218">
        <w:rPr>
          <w:lang w:eastAsia="en-AU"/>
        </w:rPr>
        <w:t>#</w:t>
      </w:r>
      <w:r>
        <w:rPr>
          <w:lang w:eastAsia="en-AU"/>
        </w:rPr>
        <w:t xml:space="preserve">3. </w:t>
      </w:r>
    </w:p>
    <w:p w:rsidR="00827C4B" w:rsidRDefault="00827C4B" w:rsidP="00827C4B">
      <w:pPr>
        <w:rPr>
          <w:szCs w:val="24"/>
        </w:rPr>
      </w:pPr>
      <w:r w:rsidRPr="00A70E14">
        <w:rPr>
          <w:szCs w:val="24"/>
        </w:rPr>
        <w:t xml:space="preserve"> Pond water is able to be reused on the Ranger project area for a variety of uses including dust suppression </w:t>
      </w:r>
      <w:r w:rsidR="001013D4">
        <w:rPr>
          <w:szCs w:val="24"/>
        </w:rPr>
        <w:t>onsite</w:t>
      </w:r>
      <w:r w:rsidRPr="00A70E14">
        <w:rPr>
          <w:szCs w:val="24"/>
        </w:rPr>
        <w:t xml:space="preserve"> including </w:t>
      </w:r>
      <w:r w:rsidRPr="00A70E14">
        <w:rPr>
          <w:rFonts w:cs="Helvetica"/>
          <w:szCs w:val="24"/>
          <w:lang w:eastAsia="en-AU"/>
        </w:rPr>
        <w:t>within the secondary crushing dust management process</w:t>
      </w:r>
      <w:r w:rsidRPr="00A70E14">
        <w:rPr>
          <w:szCs w:val="24"/>
        </w:rPr>
        <w:t xml:space="preserve">; ore processing; vehicle washing; fire control and cooling water in the power station. </w:t>
      </w:r>
    </w:p>
    <w:p w:rsidR="00827C4B" w:rsidRPr="00A70E14" w:rsidRDefault="00827C4B" w:rsidP="00827C4B">
      <w:pPr>
        <w:rPr>
          <w:szCs w:val="24"/>
        </w:rPr>
      </w:pPr>
      <w:r>
        <w:rPr>
          <w:lang w:eastAsia="en-AU"/>
        </w:rPr>
        <w:t xml:space="preserve">While of </w:t>
      </w:r>
      <w:r w:rsidR="00C975C9">
        <w:rPr>
          <w:lang w:eastAsia="en-AU"/>
        </w:rPr>
        <w:t xml:space="preserve">significantly </w:t>
      </w:r>
      <w:r>
        <w:rPr>
          <w:lang w:eastAsia="en-AU"/>
        </w:rPr>
        <w:t>better quality than Process water</w:t>
      </w:r>
      <w:r w:rsidR="00C975C9">
        <w:rPr>
          <w:lang w:eastAsia="en-AU"/>
        </w:rPr>
        <w:t>,</w:t>
      </w:r>
      <w:r>
        <w:rPr>
          <w:lang w:eastAsia="en-AU"/>
        </w:rPr>
        <w:t xml:space="preserve"> </w:t>
      </w:r>
      <w:r w:rsidR="00C975C9">
        <w:rPr>
          <w:lang w:eastAsia="en-AU"/>
        </w:rPr>
        <w:t>Pond water</w:t>
      </w:r>
      <w:r>
        <w:rPr>
          <w:lang w:eastAsia="en-AU"/>
        </w:rPr>
        <w:t xml:space="preserve"> is characterised by an elevated dissolved salt load.</w:t>
      </w:r>
    </w:p>
    <w:p w:rsidR="000F7087" w:rsidRPr="004D23CB" w:rsidRDefault="000F7087" w:rsidP="00266E77">
      <w:pPr>
        <w:pStyle w:val="Heading2"/>
      </w:pPr>
      <w:bookmarkStart w:id="87" w:name="_Toc390356153"/>
      <w:bookmarkStart w:id="88" w:name="_Toc390766570"/>
      <w:proofErr w:type="gramStart"/>
      <w:r>
        <w:t>1.3  Legislative</w:t>
      </w:r>
      <w:proofErr w:type="gramEnd"/>
      <w:r>
        <w:t xml:space="preserve"> framework</w:t>
      </w:r>
      <w:bookmarkEnd w:id="87"/>
      <w:bookmarkEnd w:id="88"/>
    </w:p>
    <w:p w:rsidR="000F7087" w:rsidRDefault="000F7087" w:rsidP="000F7087">
      <w:r w:rsidRPr="000F517C">
        <w:t xml:space="preserve">Ownership of uranium in the Northern Territory remains vested in the Commonwealth in accordance with S35 of the </w:t>
      </w:r>
      <w:r w:rsidRPr="000F517C">
        <w:rPr>
          <w:i/>
        </w:rPr>
        <w:t xml:space="preserve">Atomic Energy Act 1953 </w:t>
      </w:r>
      <w:r w:rsidRPr="000F517C">
        <w:t>and</w:t>
      </w:r>
      <w:r w:rsidRPr="000F517C">
        <w:rPr>
          <w:i/>
        </w:rPr>
        <w:t xml:space="preserve"> </w:t>
      </w:r>
      <w:r w:rsidRPr="000F517C">
        <w:t xml:space="preserve">S69(4) of the </w:t>
      </w:r>
      <w:r w:rsidRPr="000F517C">
        <w:rPr>
          <w:i/>
        </w:rPr>
        <w:t xml:space="preserve">Northern Territory (Self Government Act) 1978. </w:t>
      </w:r>
      <w:r w:rsidRPr="000F517C">
        <w:t xml:space="preserve">This is given effect in Northern Territory legislation by S34 of the </w:t>
      </w:r>
      <w:r w:rsidRPr="000F517C">
        <w:rPr>
          <w:i/>
        </w:rPr>
        <w:t xml:space="preserve">Mining Management Act </w:t>
      </w:r>
      <w:r>
        <w:rPr>
          <w:i/>
        </w:rPr>
        <w:t>2013</w:t>
      </w:r>
      <w:r w:rsidRPr="000F517C">
        <w:t xml:space="preserve"> and S175 of the </w:t>
      </w:r>
      <w:r w:rsidRPr="000F517C">
        <w:rPr>
          <w:i/>
        </w:rPr>
        <w:t>Mining Act 2007</w:t>
      </w:r>
      <w:r w:rsidRPr="000F517C">
        <w:t xml:space="preserve"> which require the Territory Minister to act in accordance with the advice of the Commonwealth Minister</w:t>
      </w:r>
      <w:r>
        <w:t xml:space="preserve"> in regard to uranium mining.</w:t>
      </w:r>
    </w:p>
    <w:p w:rsidR="000F7087" w:rsidRDefault="000F7087" w:rsidP="000F7087">
      <w:r>
        <w:t>Responsibility for the regulation of uranium mining has been delegated to the Northern Territory via a series of inter-governmental agreements,</w:t>
      </w:r>
      <w:r w:rsidRPr="000F517C">
        <w:t xml:space="preserve"> the 2000 agreement </w:t>
      </w:r>
      <w:r w:rsidRPr="000F517C">
        <w:rPr>
          <w:i/>
        </w:rPr>
        <w:t>Principles to be applied in the regulation of uranium mining in the Northern Territory</w:t>
      </w:r>
      <w:r w:rsidRPr="000F517C">
        <w:t xml:space="preserve"> and the subsequent 2005 </w:t>
      </w:r>
      <w:r w:rsidRPr="000F517C">
        <w:rPr>
          <w:i/>
        </w:rPr>
        <w:t>Memorandum of understanding between the Commonwealth of Australia and the Northern Territory of Australia in relation to</w:t>
      </w:r>
      <w:r w:rsidRPr="000F517C">
        <w:t xml:space="preserve"> </w:t>
      </w:r>
      <w:r w:rsidRPr="000F517C">
        <w:rPr>
          <w:i/>
        </w:rPr>
        <w:t>working arrangements for the regulation of uranium mining in the Northern Territory</w:t>
      </w:r>
      <w:r w:rsidRPr="000F517C">
        <w:t xml:space="preserve"> which outline the respective roles and functions of the Territory and Commonwealth agencies (including </w:t>
      </w:r>
      <w:r>
        <w:t>the Supervising Scientist</w:t>
      </w:r>
      <w:r w:rsidRPr="000F517C">
        <w:t xml:space="preserve">) involved in uranium regulation in the </w:t>
      </w:r>
      <w:r w:rsidR="00B2249C">
        <w:t>Northern Territory</w:t>
      </w:r>
      <w:r w:rsidRPr="000F517C">
        <w:t>.</w:t>
      </w:r>
      <w:r w:rsidRPr="000C7C20">
        <w:t xml:space="preserve"> </w:t>
      </w:r>
    </w:p>
    <w:p w:rsidR="000F7087" w:rsidRDefault="000F7087" w:rsidP="000F7087">
      <w:r>
        <w:t xml:space="preserve">The position of the Supervising Scientist is established under the </w:t>
      </w:r>
      <w:r>
        <w:rPr>
          <w:i/>
        </w:rPr>
        <w:t>Environment Protection (Alligator Rivers Region) Act 1978</w:t>
      </w:r>
      <w:r>
        <w:t xml:space="preserve"> for the purpose of ensuring the environmental protection of the Alligator Rivers Region from the potential impacts of uranium mining, including oversight of the regulation of uranium mining.</w:t>
      </w:r>
    </w:p>
    <w:p w:rsidR="000F7087" w:rsidRDefault="000F7087" w:rsidP="000F7087">
      <w:r>
        <w:t xml:space="preserve">Ranger operates under Authorisation 0108-16 granted by the Northern Territory Minister under the </w:t>
      </w:r>
      <w:r w:rsidRPr="003A281F">
        <w:rPr>
          <w:i/>
        </w:rPr>
        <w:t xml:space="preserve">Mining Management Act </w:t>
      </w:r>
      <w:r>
        <w:rPr>
          <w:i/>
        </w:rPr>
        <w:t>2013,</w:t>
      </w:r>
      <w:r>
        <w:t xml:space="preserve"> and in accordance with the </w:t>
      </w:r>
      <w:r w:rsidRPr="00220A7F">
        <w:rPr>
          <w:i/>
        </w:rPr>
        <w:t>Environmental Requirements</w:t>
      </w:r>
      <w:r>
        <w:rPr>
          <w:i/>
        </w:rPr>
        <w:t xml:space="preserve"> of the Commonwealth of Australia for the Operation of the Ranger Uranium Mine </w:t>
      </w:r>
      <w:r>
        <w:t xml:space="preserve">(the Environmental Requirements) attached to both the </w:t>
      </w:r>
      <w:r w:rsidRPr="003A281F">
        <w:rPr>
          <w:i/>
        </w:rPr>
        <w:t>Atomic Energy Act</w:t>
      </w:r>
      <w:r>
        <w:rPr>
          <w:i/>
        </w:rPr>
        <w:t xml:space="preserve"> 1953</w:t>
      </w:r>
      <w:r>
        <w:t xml:space="preserve"> Authority, which establishes the Ranger Project Area, and the</w:t>
      </w:r>
      <w:r w:rsidR="00B2249C">
        <w:t xml:space="preserve"> ERA’s</w:t>
      </w:r>
      <w:r>
        <w:t xml:space="preserve"> uranium export permit granted under the </w:t>
      </w:r>
      <w:r>
        <w:rPr>
          <w:i/>
        </w:rPr>
        <w:t>Customs (Prohibited Exports) Regulations 1958.</w:t>
      </w:r>
      <w:r w:rsidRPr="00AA602C">
        <w:t xml:space="preserve"> </w:t>
      </w:r>
    </w:p>
    <w:p w:rsidR="000F7087" w:rsidRDefault="000F7087" w:rsidP="000F7087">
      <w:r w:rsidRPr="000542EF">
        <w:t xml:space="preserve">The Environmental Requirements for Ranger have been incorporated into the </w:t>
      </w:r>
      <w:r w:rsidRPr="003A281F">
        <w:rPr>
          <w:i/>
        </w:rPr>
        <w:t xml:space="preserve">Mining Management Act </w:t>
      </w:r>
      <w:r>
        <w:rPr>
          <w:i/>
        </w:rPr>
        <w:t xml:space="preserve">2013 </w:t>
      </w:r>
      <w:r w:rsidRPr="000542EF">
        <w:t>Authorisation and stipulate amongst other matters, considerations for the protection of the environment,</w:t>
      </w:r>
      <w:r>
        <w:t xml:space="preserve"> rehabilitation of the site and expectations in relation to </w:t>
      </w:r>
      <w:r w:rsidRPr="000542EF">
        <w:t>st</w:t>
      </w:r>
      <w:r>
        <w:t>at</w:t>
      </w:r>
      <w:r w:rsidRPr="000542EF">
        <w:t>utory planning</w:t>
      </w:r>
      <w:r w:rsidR="00B2249C">
        <w:t>,</w:t>
      </w:r>
      <w:r w:rsidRPr="000542EF">
        <w:t xml:space="preserve"> reporting and inspection regimes.</w:t>
      </w:r>
    </w:p>
    <w:p w:rsidR="000F7087" w:rsidRPr="00913544" w:rsidRDefault="000F7087" w:rsidP="00266E77">
      <w:pPr>
        <w:pStyle w:val="Heading2"/>
      </w:pPr>
      <w:bookmarkStart w:id="89" w:name="_Toc390766571"/>
      <w:proofErr w:type="gramStart"/>
      <w:r>
        <w:t>1.4  The</w:t>
      </w:r>
      <w:proofErr w:type="gramEnd"/>
      <w:r>
        <w:t xml:space="preserve"> Supervising Scientist </w:t>
      </w:r>
      <w:r w:rsidR="004826EE">
        <w:t>m</w:t>
      </w:r>
      <w:r>
        <w:t xml:space="preserve">onitoring </w:t>
      </w:r>
      <w:r w:rsidR="004826EE">
        <w:t>p</w:t>
      </w:r>
      <w:r>
        <w:t>rogram</w:t>
      </w:r>
      <w:bookmarkEnd w:id="89"/>
    </w:p>
    <w:p w:rsidR="000F7087" w:rsidRDefault="000F7087" w:rsidP="000F7087">
      <w:r>
        <w:t xml:space="preserve">The Supervising Scientist conducts a program of chemical, biological and radiological monitoring in the region to ensure the environment remains protected from the potential impacts of uranium mining. Figure </w:t>
      </w:r>
      <w:r w:rsidR="00A057D3">
        <w:t>1.3</w:t>
      </w:r>
      <w:r>
        <w:t xml:space="preserve"> shows key monitoring sites including continuous </w:t>
      </w:r>
      <w:r w:rsidR="00732468">
        <w:t xml:space="preserve">water quality </w:t>
      </w:r>
      <w:r>
        <w:t xml:space="preserve">monitoring locations in </w:t>
      </w:r>
      <w:proofErr w:type="spellStart"/>
      <w:r>
        <w:t>Magela</w:t>
      </w:r>
      <w:proofErr w:type="spellEnd"/>
      <w:r>
        <w:t xml:space="preserve"> and </w:t>
      </w:r>
      <w:proofErr w:type="spellStart"/>
      <w:r>
        <w:t>Gulungul</w:t>
      </w:r>
      <w:proofErr w:type="spellEnd"/>
      <w:r>
        <w:t xml:space="preserve"> Creeks which record conductivity, turbidity and pH and are equipped to take automatic samples and send alarm notifications if pre-determined triggers are exceeded. This real-time monitoring capability is </w:t>
      </w:r>
      <w:r w:rsidR="00652C7F">
        <w:t>supplemented</w:t>
      </w:r>
      <w:r>
        <w:t xml:space="preserve"> by a program of biological monitoring, including </w:t>
      </w:r>
      <w:r>
        <w:rPr>
          <w:i/>
        </w:rPr>
        <w:t>in situ</w:t>
      </w:r>
      <w:r>
        <w:t xml:space="preserve"> toxicity testing, and an air monitoring program to detect any changes in airborne radionuclide concentrations.</w:t>
      </w:r>
    </w:p>
    <w:p w:rsidR="000F7087" w:rsidRDefault="000F7087" w:rsidP="000F7087">
      <w:r>
        <w:t xml:space="preserve">Findings from, and full details of, the monitoring program are published annually in the Supervising Scientist Annual Report (available at </w:t>
      </w:r>
      <w:hyperlink r:id="rId26" w:history="1">
        <w:r w:rsidRPr="00D10363">
          <w:rPr>
            <w:rStyle w:val="Hyperlink"/>
          </w:rPr>
          <w:t>www.environment.gov.au/SSD</w:t>
        </w:r>
      </w:hyperlink>
      <w:r>
        <w:t>)</w:t>
      </w:r>
      <w:r w:rsidR="00732468">
        <w:t>,</w:t>
      </w:r>
      <w:r>
        <w:t xml:space="preserve"> with water chemistry information published weekly on the Supervising Scientist Division (SSD) webpage during</w:t>
      </w:r>
      <w:r w:rsidR="00B2249C">
        <w:t xml:space="preserve"> the wet season and reported bi</w:t>
      </w:r>
      <w:r>
        <w:t>annually to the Alligator Rivers Region Advisory Committee.</w:t>
      </w:r>
    </w:p>
    <w:p w:rsidR="000F7087" w:rsidRDefault="000F7087" w:rsidP="000F7087"/>
    <w:p w:rsidR="000F7087" w:rsidRDefault="000F7087" w:rsidP="000F7087">
      <w:pPr>
        <w:jc w:val="center"/>
      </w:pPr>
      <w:r w:rsidRPr="004C2842">
        <w:rPr>
          <w:noProof/>
          <w:lang w:eastAsia="en-AU"/>
        </w:rPr>
        <w:drawing>
          <wp:inline distT="0" distB="0" distL="0" distR="0">
            <wp:extent cx="5112030" cy="6790414"/>
            <wp:effectExtent l="19050" t="0" r="0" b="0"/>
            <wp:docPr id="146" name="Picture 6" descr="ARR Map high-res-pr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 Map high-res-print.jpg"/>
                    <pic:cNvPicPr/>
                  </pic:nvPicPr>
                  <pic:blipFill>
                    <a:blip r:embed="rId27" cstate="screen"/>
                    <a:stretch>
                      <a:fillRect/>
                    </a:stretch>
                  </pic:blipFill>
                  <pic:spPr>
                    <a:xfrm>
                      <a:off x="0" y="0"/>
                      <a:ext cx="5121950" cy="6803591"/>
                    </a:xfrm>
                    <a:prstGeom prst="rect">
                      <a:avLst/>
                    </a:prstGeom>
                  </pic:spPr>
                </pic:pic>
              </a:graphicData>
            </a:graphic>
          </wp:inline>
        </w:drawing>
      </w:r>
    </w:p>
    <w:p w:rsidR="000F7087" w:rsidRDefault="000F7087" w:rsidP="000F7087">
      <w:pPr>
        <w:pStyle w:val="figurecaption"/>
      </w:pPr>
      <w:bookmarkStart w:id="90" w:name="_Toc390766624"/>
      <w:r w:rsidRPr="00A76370">
        <w:rPr>
          <w:b/>
        </w:rPr>
        <w:t>Figure 1</w:t>
      </w:r>
      <w:r w:rsidR="00A76370" w:rsidRPr="00A76370">
        <w:rPr>
          <w:b/>
        </w:rPr>
        <w:t>.</w:t>
      </w:r>
      <w:r w:rsidR="0092297C">
        <w:rPr>
          <w:b/>
        </w:rPr>
        <w:t>2</w:t>
      </w:r>
      <w:r>
        <w:t xml:space="preserve"> The Alligator Rivers Region</w:t>
      </w:r>
      <w:bookmarkEnd w:id="90"/>
      <w:r w:rsidR="004469E5">
        <w:t>.</w:t>
      </w:r>
    </w:p>
    <w:p w:rsidR="000F7087" w:rsidRDefault="000F7087" w:rsidP="000F7087"/>
    <w:p w:rsidR="000F7087" w:rsidRDefault="000F7087" w:rsidP="000F7087">
      <w:pPr>
        <w:jc w:val="center"/>
      </w:pPr>
      <w:r>
        <w:rPr>
          <w:noProof/>
          <w:lang w:eastAsia="en-AU"/>
        </w:rPr>
        <w:drawing>
          <wp:inline distT="0" distB="0" distL="0" distR="0">
            <wp:extent cx="5087928" cy="6701700"/>
            <wp:effectExtent l="19050" t="0" r="0" b="0"/>
            <wp:docPr id="147" name="Picture 120" descr="Fig2_RangerMine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RangerMinesite.png"/>
                    <pic:cNvPicPr/>
                  </pic:nvPicPr>
                  <pic:blipFill>
                    <a:blip r:embed="rId28" cstate="screen"/>
                    <a:srcRect/>
                    <a:stretch>
                      <a:fillRect/>
                    </a:stretch>
                  </pic:blipFill>
                  <pic:spPr>
                    <a:xfrm>
                      <a:off x="0" y="0"/>
                      <a:ext cx="5089583" cy="6703879"/>
                    </a:xfrm>
                    <a:prstGeom prst="rect">
                      <a:avLst/>
                    </a:prstGeom>
                  </pic:spPr>
                </pic:pic>
              </a:graphicData>
            </a:graphic>
          </wp:inline>
        </w:drawing>
      </w:r>
    </w:p>
    <w:p w:rsidR="000F7087" w:rsidRDefault="000F7087" w:rsidP="000F7087">
      <w:pPr>
        <w:pStyle w:val="figurecaption"/>
      </w:pPr>
      <w:bookmarkStart w:id="91" w:name="_Toc390766625"/>
      <w:r w:rsidRPr="00A76370">
        <w:rPr>
          <w:b/>
        </w:rPr>
        <w:t xml:space="preserve">Figure </w:t>
      </w:r>
      <w:r w:rsidR="00A76370" w:rsidRPr="00A76370">
        <w:rPr>
          <w:b/>
        </w:rPr>
        <w:t>1.</w:t>
      </w:r>
      <w:r w:rsidR="0092297C">
        <w:rPr>
          <w:b/>
        </w:rPr>
        <w:t>3</w:t>
      </w:r>
      <w:r>
        <w:t xml:space="preserve"> Ranger </w:t>
      </w:r>
      <w:proofErr w:type="spellStart"/>
      <w:r>
        <w:t>minesite</w:t>
      </w:r>
      <w:bookmarkEnd w:id="91"/>
      <w:proofErr w:type="spellEnd"/>
      <w:r w:rsidR="004469E5">
        <w:t>.</w:t>
      </w:r>
    </w:p>
    <w:p w:rsidR="000F7087" w:rsidRDefault="000F7087" w:rsidP="000F7087"/>
    <w:p w:rsidR="000F7087" w:rsidRDefault="000F7087" w:rsidP="00266E77">
      <w:pPr>
        <w:pStyle w:val="Heading3"/>
      </w:pPr>
    </w:p>
    <w:p w:rsidR="000F7087" w:rsidRPr="00F70A46" w:rsidRDefault="000F7087" w:rsidP="000F7087"/>
    <w:p w:rsidR="000D0385" w:rsidRDefault="000D0385" w:rsidP="000D0385"/>
    <w:p w:rsidR="00D82393" w:rsidRDefault="00D82393" w:rsidP="000D0385"/>
    <w:p w:rsidR="00D82393" w:rsidRDefault="00D82393" w:rsidP="000D0385"/>
    <w:p w:rsidR="000D0385" w:rsidRDefault="000D0385" w:rsidP="000D0385">
      <w:pPr>
        <w:sectPr w:rsidR="000D0385">
          <w:footerReference w:type="default" r:id="rId29"/>
          <w:type w:val="oddPage"/>
          <w:pgSz w:w="11906" w:h="16838" w:code="9"/>
          <w:pgMar w:top="1440" w:right="1800" w:bottom="1440" w:left="1800" w:header="1080" w:footer="835" w:gutter="0"/>
          <w:pgNumType w:start="1"/>
          <w:cols w:space="360"/>
          <w:noEndnote/>
        </w:sectPr>
      </w:pPr>
    </w:p>
    <w:p w:rsidR="000D0385" w:rsidRDefault="000D0385" w:rsidP="00017603">
      <w:pPr>
        <w:pStyle w:val="Heading1"/>
        <w:spacing w:after="400"/>
      </w:pPr>
      <w:bookmarkStart w:id="92" w:name="_Toc390766572"/>
      <w:proofErr w:type="gramStart"/>
      <w:r>
        <w:t xml:space="preserve">2  </w:t>
      </w:r>
      <w:r w:rsidR="00B368AD">
        <w:t>Description</w:t>
      </w:r>
      <w:proofErr w:type="gramEnd"/>
      <w:r w:rsidR="00B368AD">
        <w:t xml:space="preserve"> of the incident</w:t>
      </w:r>
      <w:bookmarkEnd w:id="92"/>
    </w:p>
    <w:p w:rsidR="003077AF" w:rsidRDefault="003077AF" w:rsidP="00266E77">
      <w:pPr>
        <w:pStyle w:val="Heading2"/>
      </w:pPr>
      <w:bookmarkStart w:id="93" w:name="_Toc390766573"/>
      <w:bookmarkStart w:id="94" w:name="_Toc225151823"/>
      <w:proofErr w:type="gramStart"/>
      <w:r>
        <w:t>2.1  Incident</w:t>
      </w:r>
      <w:proofErr w:type="gramEnd"/>
      <w:r>
        <w:t xml:space="preserve"> </w:t>
      </w:r>
      <w:r w:rsidR="004826EE">
        <w:t>s</w:t>
      </w:r>
      <w:r>
        <w:t>ummary</w:t>
      </w:r>
      <w:bookmarkEnd w:id="93"/>
    </w:p>
    <w:bookmarkEnd w:id="94"/>
    <w:p w:rsidR="00231B41" w:rsidRPr="00205436" w:rsidRDefault="00231B41" w:rsidP="00231B41">
      <w:pPr>
        <w:rPr>
          <w:snapToGrid w:val="0"/>
          <w:u w:color="000000"/>
        </w:rPr>
      </w:pPr>
      <w:r w:rsidRPr="00205436">
        <w:rPr>
          <w:snapToGrid w:val="0"/>
          <w:u w:color="000000"/>
        </w:rPr>
        <w:t xml:space="preserve">At approximately 00:10 on Saturday 7 December 2013 operators in the processing area at Ranger observed slurry under pressure being released from the wall of Leach Tank 1 through a hole approximately 2 metres above the base of the tank. ERA staff attempted to contain the leaking material in the concrete </w:t>
      </w:r>
      <w:proofErr w:type="spellStart"/>
      <w:r w:rsidRPr="00205436">
        <w:rPr>
          <w:snapToGrid w:val="0"/>
          <w:u w:color="000000"/>
        </w:rPr>
        <w:t>bunded</w:t>
      </w:r>
      <w:proofErr w:type="spellEnd"/>
      <w:r w:rsidRPr="00205436">
        <w:rPr>
          <w:snapToGrid w:val="0"/>
          <w:u w:color="000000"/>
        </w:rPr>
        <w:t xml:space="preserve"> area of the leach tanks.  All personnel were evacuated from the area at approximately 00:40 following the identification of a second leak. At 00:54 </w:t>
      </w:r>
      <w:r>
        <w:rPr>
          <w:snapToGrid w:val="0"/>
          <w:u w:color="000000"/>
        </w:rPr>
        <w:t>L</w:t>
      </w:r>
      <w:r w:rsidRPr="00205436">
        <w:rPr>
          <w:snapToGrid w:val="0"/>
          <w:u w:color="000000"/>
        </w:rPr>
        <w:t xml:space="preserve">each </w:t>
      </w:r>
      <w:r>
        <w:rPr>
          <w:snapToGrid w:val="0"/>
          <w:u w:color="000000"/>
        </w:rPr>
        <w:t>T</w:t>
      </w:r>
      <w:r w:rsidRPr="00205436">
        <w:rPr>
          <w:snapToGrid w:val="0"/>
          <w:u w:color="000000"/>
        </w:rPr>
        <w:t>ank 1 catastrophically failed, releasing approximately 1400 m</w:t>
      </w:r>
      <w:r w:rsidRPr="00B2249C">
        <w:rPr>
          <w:snapToGrid w:val="0"/>
          <w:color w:val="000000"/>
          <w:position w:val="5"/>
          <w:sz w:val="15"/>
          <w:szCs w:val="0"/>
          <w:u w:color="000000"/>
        </w:rPr>
        <w:t>3</w:t>
      </w:r>
      <w:r w:rsidRPr="00205436">
        <w:rPr>
          <w:snapToGrid w:val="0"/>
          <w:u w:color="000000"/>
        </w:rPr>
        <w:t xml:space="preserve"> of slurry into the surrounding processing area</w:t>
      </w:r>
      <w:r w:rsidR="00A057D3">
        <w:rPr>
          <w:snapToGrid w:val="0"/>
          <w:u w:color="000000"/>
        </w:rPr>
        <w:t xml:space="preserve"> (Figure 2.1)</w:t>
      </w:r>
      <w:r w:rsidRPr="00205436">
        <w:rPr>
          <w:snapToGrid w:val="0"/>
          <w:u w:color="000000"/>
        </w:rPr>
        <w:t>.</w:t>
      </w:r>
    </w:p>
    <w:p w:rsidR="00231B41" w:rsidRDefault="00231B41" w:rsidP="00231B41">
      <w:pPr>
        <w:rPr>
          <w:snapToGrid w:val="0"/>
          <w:u w:color="000000"/>
        </w:rPr>
      </w:pPr>
      <w:r w:rsidRPr="00205436">
        <w:rPr>
          <w:snapToGrid w:val="0"/>
          <w:u w:color="000000"/>
        </w:rPr>
        <w:t>The Supervising Scientist was advised of the incident at 06:20 on 7 December and commenced assessment and monitoring of potential impacts from the incident.</w:t>
      </w:r>
    </w:p>
    <w:p w:rsidR="00231B41" w:rsidRDefault="00231B41" w:rsidP="00231B41">
      <w:pPr>
        <w:rPr>
          <w:noProof/>
          <w:lang w:eastAsia="en-AU"/>
        </w:rPr>
      </w:pPr>
    </w:p>
    <w:p w:rsidR="00231B41" w:rsidRDefault="00231B41" w:rsidP="00231B41">
      <w:pPr>
        <w:jc w:val="center"/>
        <w:rPr>
          <w:rFonts w:ascii="Garamond" w:hAnsi="Garamond"/>
          <w:snapToGrid w:val="0"/>
          <w:color w:val="000000"/>
          <w:sz w:val="24"/>
          <w:szCs w:val="0"/>
          <w:u w:color="000000"/>
        </w:rPr>
      </w:pPr>
      <w:r>
        <w:rPr>
          <w:noProof/>
          <w:lang w:eastAsia="en-AU"/>
        </w:rPr>
        <w:drawing>
          <wp:inline distT="0" distB="0" distL="0" distR="0">
            <wp:extent cx="3600000" cy="2698895"/>
            <wp:effectExtent l="19050" t="0" r="450" b="0"/>
            <wp:docPr id="114" name="Picture 1" descr="S:\PROGRAM GROUPS\SAP\SAP Pics\Ranger Acid Leachate Tank Incident\20131208\P103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GRAM GROUPS\SAP\SAP Pics\Ranger Acid Leachate Tank Incident\20131208\P1030925.JPG"/>
                    <pic:cNvPicPr>
                      <a:picLocks noChangeAspect="1" noChangeArrowheads="1"/>
                    </pic:cNvPicPr>
                  </pic:nvPicPr>
                  <pic:blipFill>
                    <a:blip r:embed="rId30" cstate="screen"/>
                    <a:srcRect/>
                    <a:stretch>
                      <a:fillRect/>
                    </a:stretch>
                  </pic:blipFill>
                  <pic:spPr bwMode="auto">
                    <a:xfrm>
                      <a:off x="0" y="0"/>
                      <a:ext cx="3600000" cy="2698895"/>
                    </a:xfrm>
                    <a:prstGeom prst="rect">
                      <a:avLst/>
                    </a:prstGeom>
                    <a:noFill/>
                    <a:ln w="9525">
                      <a:noFill/>
                      <a:miter lim="800000"/>
                      <a:headEnd/>
                      <a:tailEnd/>
                    </a:ln>
                  </pic:spPr>
                </pic:pic>
              </a:graphicData>
            </a:graphic>
          </wp:inline>
        </w:drawing>
      </w:r>
    </w:p>
    <w:p w:rsidR="00231B41" w:rsidRPr="00205436" w:rsidRDefault="00A76370" w:rsidP="00A76370">
      <w:pPr>
        <w:pStyle w:val="figurecaption"/>
        <w:rPr>
          <w:snapToGrid w:val="0"/>
          <w:u w:color="000000"/>
        </w:rPr>
      </w:pPr>
      <w:bookmarkStart w:id="95" w:name="_Toc390766626"/>
      <w:r w:rsidRPr="00A76370">
        <w:rPr>
          <w:b/>
          <w:snapToGrid w:val="0"/>
          <w:u w:color="000000"/>
        </w:rPr>
        <w:t>Figure 2.1</w:t>
      </w:r>
      <w:r w:rsidR="00231B41">
        <w:rPr>
          <w:snapToGrid w:val="0"/>
          <w:u w:color="000000"/>
        </w:rPr>
        <w:t xml:space="preserve"> Collapsed Leach </w:t>
      </w:r>
      <w:proofErr w:type="gramStart"/>
      <w:r w:rsidR="00231B41">
        <w:rPr>
          <w:snapToGrid w:val="0"/>
          <w:u w:color="000000"/>
        </w:rPr>
        <w:t>Tank</w:t>
      </w:r>
      <w:proofErr w:type="gramEnd"/>
      <w:r w:rsidR="00231B41">
        <w:rPr>
          <w:snapToGrid w:val="0"/>
          <w:u w:color="000000"/>
        </w:rPr>
        <w:t xml:space="preserve"> 1</w:t>
      </w:r>
      <w:bookmarkEnd w:id="95"/>
      <w:r w:rsidR="004469E5">
        <w:rPr>
          <w:snapToGrid w:val="0"/>
          <w:u w:color="000000"/>
        </w:rPr>
        <w:t>.</w:t>
      </w:r>
    </w:p>
    <w:p w:rsidR="00231B41" w:rsidRDefault="00231B41" w:rsidP="00231B41">
      <w:pPr>
        <w:pStyle w:val="Heading2"/>
      </w:pPr>
      <w:bookmarkStart w:id="96" w:name="_Toc390356155"/>
      <w:bookmarkStart w:id="97" w:name="_Toc390766574"/>
      <w:proofErr w:type="gramStart"/>
      <w:r>
        <w:t>2.2  Ranger</w:t>
      </w:r>
      <w:proofErr w:type="gramEnd"/>
      <w:r>
        <w:t xml:space="preserve"> </w:t>
      </w:r>
      <w:r w:rsidR="004826EE">
        <w:t>m</w:t>
      </w:r>
      <w:r>
        <w:t>ine Leach Tank Incident Task Force</w:t>
      </w:r>
      <w:bookmarkEnd w:id="96"/>
      <w:bookmarkEnd w:id="97"/>
    </w:p>
    <w:p w:rsidR="00231B41" w:rsidRDefault="00231B41" w:rsidP="00231B41">
      <w:pPr>
        <w:rPr>
          <w:snapToGrid w:val="0"/>
          <w:u w:color="000000"/>
        </w:rPr>
      </w:pPr>
      <w:r>
        <w:rPr>
          <w:snapToGrid w:val="0"/>
          <w:u w:color="000000"/>
        </w:rPr>
        <w:t xml:space="preserve">Following the </w:t>
      </w:r>
      <w:r w:rsidR="00113C0C">
        <w:rPr>
          <w:snapToGrid w:val="0"/>
          <w:u w:color="000000"/>
        </w:rPr>
        <w:t xml:space="preserve">leach tank </w:t>
      </w:r>
      <w:r>
        <w:rPr>
          <w:snapToGrid w:val="0"/>
          <w:u w:color="000000"/>
        </w:rPr>
        <w:t xml:space="preserve">failure at Ranger on 7 December 2013 a task force, consisting of representatives from the Supervising Scientist, the Australian Government Department of Industry, the Northern Territory Government Department of Mines and Energy, Northern Territory </w:t>
      </w:r>
      <w:proofErr w:type="spellStart"/>
      <w:r>
        <w:rPr>
          <w:snapToGrid w:val="0"/>
          <w:u w:color="000000"/>
        </w:rPr>
        <w:t>WorkSafe</w:t>
      </w:r>
      <w:proofErr w:type="spellEnd"/>
      <w:r>
        <w:rPr>
          <w:snapToGrid w:val="0"/>
          <w:u w:color="000000"/>
        </w:rPr>
        <w:t xml:space="preserve">, the Northern Land Council and </w:t>
      </w:r>
      <w:proofErr w:type="spellStart"/>
      <w:r>
        <w:rPr>
          <w:snapToGrid w:val="0"/>
          <w:u w:color="000000"/>
        </w:rPr>
        <w:t>Gundjeihmi</w:t>
      </w:r>
      <w:proofErr w:type="spellEnd"/>
      <w:r>
        <w:rPr>
          <w:snapToGrid w:val="0"/>
          <w:u w:color="000000"/>
        </w:rPr>
        <w:t xml:space="preserve"> Aboriginal Corporation, was established to coordinate the separate incident investigations of the various agencies. The CEO of the</w:t>
      </w:r>
      <w:r w:rsidRPr="004027F9">
        <w:rPr>
          <w:snapToGrid w:val="0"/>
          <w:u w:color="000000"/>
        </w:rPr>
        <w:t xml:space="preserve"> Northern Territory Department of Mines and Energy</w:t>
      </w:r>
      <w:r>
        <w:rPr>
          <w:snapToGrid w:val="0"/>
          <w:u w:color="000000"/>
        </w:rPr>
        <w:t xml:space="preserve"> and the Commonwealth Minister for Industry</w:t>
      </w:r>
      <w:r w:rsidRPr="004027F9">
        <w:rPr>
          <w:snapToGrid w:val="0"/>
          <w:u w:color="000000"/>
        </w:rPr>
        <w:t xml:space="preserve"> </w:t>
      </w:r>
      <w:r>
        <w:rPr>
          <w:snapToGrid w:val="0"/>
          <w:u w:color="000000"/>
        </w:rPr>
        <w:t xml:space="preserve">then </w:t>
      </w:r>
      <w:r w:rsidRPr="004027F9">
        <w:rPr>
          <w:snapToGrid w:val="0"/>
          <w:u w:color="000000"/>
        </w:rPr>
        <w:t xml:space="preserve">directed </w:t>
      </w:r>
      <w:r>
        <w:rPr>
          <w:snapToGrid w:val="0"/>
          <w:u w:color="000000"/>
        </w:rPr>
        <w:t>ERA</w:t>
      </w:r>
      <w:r w:rsidRPr="004027F9">
        <w:rPr>
          <w:snapToGrid w:val="0"/>
          <w:u w:color="000000"/>
        </w:rPr>
        <w:t xml:space="preserve"> to </w:t>
      </w:r>
      <w:r w:rsidRPr="000E31D1">
        <w:rPr>
          <w:snapToGrid w:val="0"/>
          <w:u w:color="000000"/>
        </w:rPr>
        <w:t>cease ore processing operations</w:t>
      </w:r>
      <w:r>
        <w:rPr>
          <w:snapToGrid w:val="0"/>
          <w:u w:color="000000"/>
        </w:rPr>
        <w:t xml:space="preserve"> at Ranger</w:t>
      </w:r>
      <w:r w:rsidRPr="000E31D1">
        <w:rPr>
          <w:snapToGrid w:val="0"/>
          <w:u w:color="000000"/>
        </w:rPr>
        <w:t xml:space="preserve"> </w:t>
      </w:r>
      <w:r>
        <w:rPr>
          <w:snapToGrid w:val="0"/>
          <w:u w:color="000000"/>
        </w:rPr>
        <w:t>until such time as they deemed it safe for operations to recommence</w:t>
      </w:r>
      <w:r w:rsidRPr="000E31D1">
        <w:rPr>
          <w:snapToGrid w:val="0"/>
          <w:u w:color="000000"/>
        </w:rPr>
        <w:t>.</w:t>
      </w:r>
    </w:p>
    <w:p w:rsidR="00231B41" w:rsidRDefault="00231B41" w:rsidP="00231B41">
      <w:pPr>
        <w:rPr>
          <w:snapToGrid w:val="0"/>
          <w:u w:color="000000"/>
        </w:rPr>
      </w:pPr>
      <w:r w:rsidRPr="004027F9">
        <w:rPr>
          <w:snapToGrid w:val="0"/>
          <w:u w:color="000000"/>
        </w:rPr>
        <w:t xml:space="preserve">The Australian Government Department of Industry engaged independent experts </w:t>
      </w:r>
      <w:proofErr w:type="spellStart"/>
      <w:r w:rsidRPr="004027F9">
        <w:rPr>
          <w:snapToGrid w:val="0"/>
          <w:u w:color="000000"/>
        </w:rPr>
        <w:t>Noetic</w:t>
      </w:r>
      <w:proofErr w:type="spellEnd"/>
      <w:r w:rsidRPr="004027F9">
        <w:rPr>
          <w:snapToGrid w:val="0"/>
          <w:u w:color="000000"/>
        </w:rPr>
        <w:t xml:space="preserve"> Risk Solutions and HRL Technology</w:t>
      </w:r>
      <w:r>
        <w:rPr>
          <w:snapToGrid w:val="0"/>
          <w:u w:color="000000"/>
        </w:rPr>
        <w:t xml:space="preserve"> to conduct</w:t>
      </w:r>
      <w:r w:rsidRPr="004027F9">
        <w:rPr>
          <w:snapToGrid w:val="0"/>
          <w:u w:color="000000"/>
        </w:rPr>
        <w:t xml:space="preserve"> a risk–based </w:t>
      </w:r>
      <w:r>
        <w:rPr>
          <w:snapToGrid w:val="0"/>
          <w:u w:color="000000"/>
        </w:rPr>
        <w:t>assessment</w:t>
      </w:r>
      <w:r w:rsidRPr="004027F9">
        <w:rPr>
          <w:snapToGrid w:val="0"/>
          <w:u w:color="000000"/>
        </w:rPr>
        <w:t xml:space="preserve"> of</w:t>
      </w:r>
      <w:r>
        <w:rPr>
          <w:snapToGrid w:val="0"/>
          <w:u w:color="000000"/>
        </w:rPr>
        <w:t xml:space="preserve"> the Ranger</w:t>
      </w:r>
      <w:r w:rsidRPr="004027F9">
        <w:rPr>
          <w:snapToGrid w:val="0"/>
          <w:u w:color="000000"/>
        </w:rPr>
        <w:t xml:space="preserve"> processing facility</w:t>
      </w:r>
      <w:r>
        <w:rPr>
          <w:snapToGrid w:val="0"/>
          <w:u w:color="000000"/>
        </w:rPr>
        <w:t>,</w:t>
      </w:r>
      <w:r w:rsidRPr="004027F9">
        <w:rPr>
          <w:snapToGrid w:val="0"/>
          <w:u w:color="000000"/>
        </w:rPr>
        <w:t xml:space="preserve"> </w:t>
      </w:r>
      <w:r>
        <w:rPr>
          <w:snapToGrid w:val="0"/>
          <w:u w:color="000000"/>
        </w:rPr>
        <w:t>including</w:t>
      </w:r>
      <w:r w:rsidRPr="004027F9">
        <w:rPr>
          <w:snapToGrid w:val="0"/>
          <w:u w:color="000000"/>
        </w:rPr>
        <w:t xml:space="preserve"> </w:t>
      </w:r>
      <w:r>
        <w:rPr>
          <w:snapToGrid w:val="0"/>
          <w:u w:color="000000"/>
        </w:rPr>
        <w:t>examination of</w:t>
      </w:r>
      <w:r w:rsidRPr="004027F9">
        <w:rPr>
          <w:snapToGrid w:val="0"/>
          <w:u w:color="000000"/>
        </w:rPr>
        <w:t xml:space="preserve"> ERA’s maintenance practices and governance arrangements. </w:t>
      </w:r>
    </w:p>
    <w:p w:rsidR="00231B41" w:rsidRDefault="00231B41" w:rsidP="00231B41">
      <w:r>
        <w:rPr>
          <w:snapToGrid w:val="0"/>
          <w:u w:color="000000"/>
        </w:rPr>
        <w:t xml:space="preserve">Subsequently the </w:t>
      </w:r>
      <w:r w:rsidRPr="004027F9">
        <w:rPr>
          <w:snapToGrid w:val="0"/>
          <w:u w:color="000000"/>
        </w:rPr>
        <w:t xml:space="preserve">Independent Expert provided a report to the Task Force recommending that processing operations may be recommenced subject to certain conditions. This report was then </w:t>
      </w:r>
      <w:r>
        <w:rPr>
          <w:snapToGrid w:val="0"/>
          <w:u w:color="000000"/>
        </w:rPr>
        <w:t>subject to independent peer review</w:t>
      </w:r>
      <w:r w:rsidRPr="004027F9">
        <w:rPr>
          <w:snapToGrid w:val="0"/>
          <w:u w:color="000000"/>
        </w:rPr>
        <w:t xml:space="preserve"> prior to the </w:t>
      </w:r>
      <w:r>
        <w:t>Commonwealth Minister for Industry and the CEO of the</w:t>
      </w:r>
      <w:r w:rsidRPr="004027F9">
        <w:rPr>
          <w:snapToGrid w:val="0"/>
          <w:u w:color="000000"/>
        </w:rPr>
        <w:t xml:space="preserve"> </w:t>
      </w:r>
      <w:r>
        <w:t>Northern Territory Department of Mines and Energy providing permission for</w:t>
      </w:r>
      <w:r w:rsidRPr="004027F9">
        <w:rPr>
          <w:snapToGrid w:val="0"/>
          <w:u w:color="000000"/>
        </w:rPr>
        <w:t xml:space="preserve"> ERA to r</w:t>
      </w:r>
      <w:r>
        <w:rPr>
          <w:snapToGrid w:val="0"/>
          <w:u w:color="000000"/>
        </w:rPr>
        <w:t>ecommence processing operations on 4 &amp; 5 June 2014 respectively</w:t>
      </w:r>
      <w:r>
        <w:t>.</w:t>
      </w:r>
    </w:p>
    <w:p w:rsidR="00231B41" w:rsidRDefault="00231B41" w:rsidP="00231B41">
      <w:r>
        <w:t>Commensurate with the role of the Supervising Scientist, SSD has undertaken</w:t>
      </w:r>
      <w:r w:rsidRPr="009F61E9">
        <w:t xml:space="preserve"> a separate investigation </w:t>
      </w:r>
      <w:r>
        <w:t>into the potential impacts</w:t>
      </w:r>
      <w:r w:rsidRPr="008D4234">
        <w:t xml:space="preserve"> on human health </w:t>
      </w:r>
      <w:r>
        <w:t>and</w:t>
      </w:r>
      <w:r w:rsidRPr="008D4234">
        <w:t xml:space="preserve"> the </w:t>
      </w:r>
      <w:r w:rsidR="001013D4">
        <w:t>offsite</w:t>
      </w:r>
      <w:r w:rsidRPr="008D4234">
        <w:t xml:space="preserve"> environment, including Kakadu National Pa</w:t>
      </w:r>
      <w:r>
        <w:t xml:space="preserve">rk, as a result of the incident. The SSD investigation does not consider the cause of the leach tank failure, nor does it consider issues related to the condition of the Ranger processing facility, as this remains the subject of ongoing investigations by the Northern Territory Department of Mines and Energy and Northern Territory </w:t>
      </w:r>
      <w:proofErr w:type="spellStart"/>
      <w:r>
        <w:t>WorkSafe</w:t>
      </w:r>
      <w:proofErr w:type="spellEnd"/>
      <w:r>
        <w:t>.</w:t>
      </w:r>
    </w:p>
    <w:p w:rsidR="00231B41" w:rsidRPr="007C5726" w:rsidRDefault="00231B41" w:rsidP="00231B41">
      <w:pPr>
        <w:pStyle w:val="Heading2"/>
      </w:pPr>
      <w:bookmarkStart w:id="98" w:name="_Toc390766575"/>
      <w:proofErr w:type="gramStart"/>
      <w:r w:rsidRPr="007C5726">
        <w:t>2.3</w:t>
      </w:r>
      <w:r>
        <w:t xml:space="preserve"> </w:t>
      </w:r>
      <w:r w:rsidRPr="007C5726">
        <w:t xml:space="preserve"> </w:t>
      </w:r>
      <w:r>
        <w:t>Leach</w:t>
      </w:r>
      <w:proofErr w:type="gramEnd"/>
      <w:r>
        <w:t xml:space="preserve"> slurry properties</w:t>
      </w:r>
      <w:bookmarkEnd w:id="98"/>
    </w:p>
    <w:p w:rsidR="00231B41" w:rsidRPr="00205436" w:rsidRDefault="00231B41" w:rsidP="00231B41">
      <w:r w:rsidRPr="00205436">
        <w:t>Table</w:t>
      </w:r>
      <w:r w:rsidR="00E42D27">
        <w:t>s</w:t>
      </w:r>
      <w:r w:rsidRPr="00205436">
        <w:t xml:space="preserve"> </w:t>
      </w:r>
      <w:r>
        <w:t>2.</w:t>
      </w:r>
      <w:r w:rsidRPr="00205436">
        <w:t>1</w:t>
      </w:r>
      <w:r w:rsidR="00E42D27">
        <w:t xml:space="preserve"> and 2.2</w:t>
      </w:r>
      <w:r w:rsidRPr="00205436">
        <w:t xml:space="preserve"> </w:t>
      </w:r>
      <w:r w:rsidR="00E42D27">
        <w:t>present</w:t>
      </w:r>
      <w:r w:rsidRPr="00205436">
        <w:t xml:space="preserve"> the </w:t>
      </w:r>
      <w:r w:rsidR="00E42D27">
        <w:t xml:space="preserve">physical and </w:t>
      </w:r>
      <w:r w:rsidR="00113C0C">
        <w:t>chemical</w:t>
      </w:r>
      <w:r w:rsidR="00E42D27">
        <w:t xml:space="preserve"> </w:t>
      </w:r>
      <w:r w:rsidRPr="00205436">
        <w:t xml:space="preserve">details of the tank and slurry relevant to </w:t>
      </w:r>
      <w:r>
        <w:t>the</w:t>
      </w:r>
      <w:r w:rsidRPr="00205436">
        <w:t xml:space="preserve"> investigation. </w:t>
      </w:r>
      <w:r>
        <w:t>T</w:t>
      </w:r>
      <w:r w:rsidRPr="00205436">
        <w:t xml:space="preserve">he </w:t>
      </w:r>
      <w:r>
        <w:t xml:space="preserve">leach tanks form the first phase of ore processing with </w:t>
      </w:r>
      <w:r w:rsidRPr="00205436">
        <w:t>no concentration of uranium occurr</w:t>
      </w:r>
      <w:r>
        <w:t>ing at this point in the process</w:t>
      </w:r>
      <w:r w:rsidR="00732468">
        <w:t>. H</w:t>
      </w:r>
      <w:r>
        <w:t>ence the radiological properties are essentially equivalent to stockpile material</w:t>
      </w:r>
      <w:r w:rsidRPr="00205436">
        <w:t>. The</w:t>
      </w:r>
      <w:r>
        <w:t xml:space="preserve"> leach</w:t>
      </w:r>
      <w:r w:rsidRPr="00205436">
        <w:t xml:space="preserve"> slurry </w:t>
      </w:r>
      <w:r>
        <w:t>is</w:t>
      </w:r>
      <w:r w:rsidRPr="00205436">
        <w:t xml:space="preserve"> a mix of ground ore, </w:t>
      </w:r>
      <w:r>
        <w:t xml:space="preserve">sulphuric </w:t>
      </w:r>
      <w:r w:rsidRPr="00205436">
        <w:t>acid and water</w:t>
      </w:r>
      <w:r w:rsidR="00732468">
        <w:t>,</w:t>
      </w:r>
      <w:r w:rsidRPr="00205436">
        <w:t xml:space="preserve"> undergoing leaching to extract the uranium from the solid ore into the aqueous phase for subsequent refinement in further processing stages.</w:t>
      </w:r>
    </w:p>
    <w:p w:rsidR="00231B41" w:rsidRDefault="00231B41" w:rsidP="00231B41">
      <w:pPr>
        <w:pStyle w:val="tablecaption"/>
        <w:jc w:val="center"/>
        <w:rPr>
          <w:lang w:val="en-US"/>
        </w:rPr>
      </w:pPr>
      <w:bookmarkStart w:id="99" w:name="_Toc390241072"/>
      <w:bookmarkStart w:id="100" w:name="_Toc390766606"/>
      <w:r w:rsidRPr="00231B41">
        <w:rPr>
          <w:b/>
          <w:lang w:val="en-US"/>
        </w:rPr>
        <w:t>Table 2.1</w:t>
      </w:r>
      <w:r>
        <w:rPr>
          <w:lang w:val="en-US"/>
        </w:rPr>
        <w:t xml:space="preserve"> Slurry material and leach tank details</w:t>
      </w:r>
      <w:bookmarkEnd w:id="99"/>
      <w:r>
        <w:rPr>
          <w:lang w:val="en-US"/>
        </w:rPr>
        <w:t>.</w:t>
      </w:r>
      <w:bookmarkEnd w:id="100"/>
    </w:p>
    <w:tbl>
      <w:tblPr>
        <w:tblStyle w:val="TableGrid"/>
        <w:tblW w:w="0" w:type="auto"/>
        <w:jc w:val="center"/>
        <w:tblInd w:w="108" w:type="dxa"/>
        <w:tblLook w:val="04A0"/>
      </w:tblPr>
      <w:tblGrid>
        <w:gridCol w:w="2732"/>
        <w:gridCol w:w="1804"/>
      </w:tblGrid>
      <w:tr w:rsidR="00231B41" w:rsidTr="00D634AA">
        <w:trPr>
          <w:jc w:val="center"/>
        </w:trPr>
        <w:tc>
          <w:tcPr>
            <w:tcW w:w="2732" w:type="dxa"/>
          </w:tcPr>
          <w:p w:rsidR="00231B41" w:rsidRPr="00D66E69" w:rsidRDefault="00231B41" w:rsidP="00D743F8">
            <w:pPr>
              <w:pStyle w:val="table1"/>
              <w:rPr>
                <w:lang w:val="en-US"/>
              </w:rPr>
            </w:pPr>
            <w:r w:rsidRPr="00D66E69">
              <w:rPr>
                <w:lang w:val="en-US"/>
              </w:rPr>
              <w:t>Tank Capacity</w:t>
            </w:r>
          </w:p>
        </w:tc>
        <w:tc>
          <w:tcPr>
            <w:tcW w:w="1804" w:type="dxa"/>
          </w:tcPr>
          <w:p w:rsidR="00231B41" w:rsidRPr="00D66E69" w:rsidRDefault="00231B41" w:rsidP="00D743F8">
            <w:pPr>
              <w:pStyle w:val="table1"/>
              <w:rPr>
                <w:lang w:val="en-US"/>
              </w:rPr>
            </w:pPr>
            <w:r>
              <w:rPr>
                <w:lang w:val="en-US"/>
              </w:rPr>
              <w:t>1</w:t>
            </w:r>
            <w:r w:rsidRPr="00D66E69">
              <w:rPr>
                <w:lang w:val="en-US"/>
              </w:rPr>
              <w:t>450 m</w:t>
            </w:r>
            <w:r w:rsidRPr="00D66E69">
              <w:rPr>
                <w:snapToGrid w:val="0"/>
                <w:color w:val="000000"/>
                <w:position w:val="5"/>
                <w:u w:color="000000"/>
                <w:lang w:val="en-US"/>
              </w:rPr>
              <w:t>3</w:t>
            </w:r>
          </w:p>
        </w:tc>
      </w:tr>
      <w:tr w:rsidR="00231B41" w:rsidTr="00D634AA">
        <w:trPr>
          <w:jc w:val="center"/>
        </w:trPr>
        <w:tc>
          <w:tcPr>
            <w:tcW w:w="2732" w:type="dxa"/>
          </w:tcPr>
          <w:p w:rsidR="00231B41" w:rsidRPr="00D66E69" w:rsidRDefault="00231B41" w:rsidP="00D743F8">
            <w:pPr>
              <w:pStyle w:val="table1"/>
              <w:rPr>
                <w:lang w:val="en-US"/>
              </w:rPr>
            </w:pPr>
            <w:r w:rsidRPr="00D66E69">
              <w:rPr>
                <w:lang w:val="en-US"/>
              </w:rPr>
              <w:t xml:space="preserve">Volume of </w:t>
            </w:r>
            <w:r>
              <w:rPr>
                <w:lang w:val="en-US"/>
              </w:rPr>
              <w:t>s</w:t>
            </w:r>
            <w:r w:rsidRPr="00D66E69">
              <w:rPr>
                <w:lang w:val="en-US"/>
              </w:rPr>
              <w:t>lurry</w:t>
            </w:r>
          </w:p>
        </w:tc>
        <w:tc>
          <w:tcPr>
            <w:tcW w:w="1804" w:type="dxa"/>
          </w:tcPr>
          <w:p w:rsidR="00231B41" w:rsidRPr="00D66E69" w:rsidRDefault="00231B41" w:rsidP="00D743F8">
            <w:pPr>
              <w:pStyle w:val="table1"/>
              <w:rPr>
                <w:lang w:val="en-US"/>
              </w:rPr>
            </w:pPr>
            <w:r>
              <w:rPr>
                <w:lang w:val="en-US"/>
              </w:rPr>
              <w:t>1</w:t>
            </w:r>
            <w:r w:rsidRPr="00D66E69">
              <w:rPr>
                <w:lang w:val="en-US"/>
              </w:rPr>
              <w:t xml:space="preserve">400 </w:t>
            </w:r>
            <w:r w:rsidRPr="00D66E69">
              <w:rPr>
                <w:snapToGrid w:val="0"/>
                <w:color w:val="000000"/>
                <w:u w:color="000000"/>
                <w:lang w:val="en-US"/>
              </w:rPr>
              <w:t>m</w:t>
            </w:r>
            <w:r w:rsidRPr="00D66E69">
              <w:rPr>
                <w:snapToGrid w:val="0"/>
                <w:color w:val="000000"/>
                <w:position w:val="5"/>
                <w:u w:color="000000"/>
                <w:lang w:val="en-US"/>
              </w:rPr>
              <w:t>3</w:t>
            </w:r>
          </w:p>
        </w:tc>
      </w:tr>
      <w:tr w:rsidR="00231B41" w:rsidTr="00D634AA">
        <w:trPr>
          <w:jc w:val="center"/>
        </w:trPr>
        <w:tc>
          <w:tcPr>
            <w:tcW w:w="2732" w:type="dxa"/>
          </w:tcPr>
          <w:p w:rsidR="00231B41" w:rsidRPr="00D66E69" w:rsidRDefault="00231B41" w:rsidP="00D743F8">
            <w:pPr>
              <w:pStyle w:val="table1"/>
              <w:rPr>
                <w:lang w:val="en-US"/>
              </w:rPr>
            </w:pPr>
            <w:r w:rsidRPr="00D66E69">
              <w:rPr>
                <w:lang w:val="en-US"/>
              </w:rPr>
              <w:t>Percentage Solids</w:t>
            </w:r>
          </w:p>
        </w:tc>
        <w:tc>
          <w:tcPr>
            <w:tcW w:w="1804" w:type="dxa"/>
          </w:tcPr>
          <w:p w:rsidR="00231B41" w:rsidRPr="00D66E69" w:rsidRDefault="00231B41" w:rsidP="00D743F8">
            <w:pPr>
              <w:pStyle w:val="table1"/>
              <w:rPr>
                <w:lang w:val="en-US"/>
              </w:rPr>
            </w:pPr>
            <w:r w:rsidRPr="00D66E69">
              <w:rPr>
                <w:lang w:val="en-US"/>
              </w:rPr>
              <w:t>36.9%</w:t>
            </w:r>
          </w:p>
        </w:tc>
      </w:tr>
      <w:tr w:rsidR="00231B41" w:rsidTr="00D634AA">
        <w:trPr>
          <w:jc w:val="center"/>
        </w:trPr>
        <w:tc>
          <w:tcPr>
            <w:tcW w:w="2732" w:type="dxa"/>
          </w:tcPr>
          <w:p w:rsidR="00231B41" w:rsidRPr="00D66E69" w:rsidRDefault="00231B41" w:rsidP="00D743F8">
            <w:pPr>
              <w:pStyle w:val="table1"/>
              <w:rPr>
                <w:lang w:val="en-US"/>
              </w:rPr>
            </w:pPr>
            <w:r w:rsidRPr="00D66E69">
              <w:rPr>
                <w:lang w:val="en-US"/>
              </w:rPr>
              <w:t>Density of Slurry</w:t>
            </w:r>
          </w:p>
        </w:tc>
        <w:tc>
          <w:tcPr>
            <w:tcW w:w="1804" w:type="dxa"/>
          </w:tcPr>
          <w:p w:rsidR="00231B41" w:rsidRPr="00D66E69" w:rsidRDefault="00231B41" w:rsidP="00D743F8">
            <w:pPr>
              <w:pStyle w:val="table1"/>
              <w:rPr>
                <w:lang w:val="en-US"/>
              </w:rPr>
            </w:pPr>
            <w:r w:rsidRPr="00D66E69">
              <w:rPr>
                <w:lang w:val="en-US"/>
              </w:rPr>
              <w:t>1.35 t/m</w:t>
            </w:r>
            <w:r w:rsidRPr="00D66E69">
              <w:rPr>
                <w:snapToGrid w:val="0"/>
                <w:color w:val="000000"/>
                <w:position w:val="5"/>
                <w:u w:color="000000"/>
                <w:lang w:val="en-US"/>
              </w:rPr>
              <w:t>3</w:t>
            </w:r>
          </w:p>
        </w:tc>
      </w:tr>
      <w:tr w:rsidR="00231B41" w:rsidTr="00D634AA">
        <w:trPr>
          <w:jc w:val="center"/>
        </w:trPr>
        <w:tc>
          <w:tcPr>
            <w:tcW w:w="2732" w:type="dxa"/>
          </w:tcPr>
          <w:p w:rsidR="00231B41" w:rsidRPr="00D66E69" w:rsidRDefault="00231B41" w:rsidP="00D743F8">
            <w:pPr>
              <w:pStyle w:val="table1"/>
              <w:rPr>
                <w:lang w:val="en-US"/>
              </w:rPr>
            </w:pPr>
            <w:r w:rsidRPr="00D66E69">
              <w:rPr>
                <w:lang w:val="en-US"/>
              </w:rPr>
              <w:t xml:space="preserve">Leach </w:t>
            </w:r>
            <w:r>
              <w:rPr>
                <w:lang w:val="en-US"/>
              </w:rPr>
              <w:t>t</w:t>
            </w:r>
            <w:r w:rsidRPr="00D66E69">
              <w:rPr>
                <w:lang w:val="en-US"/>
              </w:rPr>
              <w:t xml:space="preserve">ank </w:t>
            </w:r>
            <w:r>
              <w:rPr>
                <w:lang w:val="en-US"/>
              </w:rPr>
              <w:t>b</w:t>
            </w:r>
            <w:r w:rsidRPr="00D66E69">
              <w:rPr>
                <w:lang w:val="en-US"/>
              </w:rPr>
              <w:t>und capacity</w:t>
            </w:r>
          </w:p>
        </w:tc>
        <w:tc>
          <w:tcPr>
            <w:tcW w:w="1804" w:type="dxa"/>
          </w:tcPr>
          <w:p w:rsidR="00231B41" w:rsidRPr="00D66E69" w:rsidRDefault="00231B41" w:rsidP="00D743F8">
            <w:pPr>
              <w:pStyle w:val="table1"/>
              <w:rPr>
                <w:lang w:val="en-US"/>
              </w:rPr>
            </w:pPr>
            <w:r w:rsidRPr="00D66E69">
              <w:rPr>
                <w:lang w:val="en-US"/>
              </w:rPr>
              <w:t>1</w:t>
            </w:r>
            <w:r>
              <w:rPr>
                <w:lang w:val="en-US"/>
              </w:rPr>
              <w:t>666</w:t>
            </w:r>
            <w:r w:rsidRPr="00D66E69">
              <w:rPr>
                <w:lang w:val="en-US"/>
              </w:rPr>
              <w:t xml:space="preserve"> m</w:t>
            </w:r>
            <w:r w:rsidRPr="00D66E69">
              <w:rPr>
                <w:snapToGrid w:val="0"/>
                <w:color w:val="000000"/>
                <w:position w:val="5"/>
                <w:u w:color="000000"/>
                <w:lang w:val="en-US"/>
              </w:rPr>
              <w:t>3</w:t>
            </w:r>
          </w:p>
        </w:tc>
      </w:tr>
      <w:tr w:rsidR="00231B41" w:rsidTr="00D634AA">
        <w:trPr>
          <w:jc w:val="center"/>
        </w:trPr>
        <w:tc>
          <w:tcPr>
            <w:tcW w:w="2732" w:type="dxa"/>
          </w:tcPr>
          <w:p w:rsidR="00231B41" w:rsidRPr="00D66E69" w:rsidRDefault="00231B41" w:rsidP="00D743F8">
            <w:pPr>
              <w:pStyle w:val="table1"/>
              <w:rPr>
                <w:lang w:val="en-US"/>
              </w:rPr>
            </w:pPr>
            <w:r w:rsidRPr="00D66E69">
              <w:rPr>
                <w:lang w:val="en-US"/>
              </w:rPr>
              <w:t>U Ore Grade</w:t>
            </w:r>
          </w:p>
        </w:tc>
        <w:tc>
          <w:tcPr>
            <w:tcW w:w="1804" w:type="dxa"/>
          </w:tcPr>
          <w:p w:rsidR="00231B41" w:rsidRPr="00D66E69" w:rsidRDefault="00231B41" w:rsidP="00D743F8">
            <w:pPr>
              <w:pStyle w:val="table1"/>
              <w:rPr>
                <w:lang w:val="en-US"/>
              </w:rPr>
            </w:pPr>
            <w:r w:rsidRPr="00D66E69">
              <w:rPr>
                <w:lang w:val="en-US"/>
              </w:rPr>
              <w:t>0.16%</w:t>
            </w:r>
          </w:p>
        </w:tc>
      </w:tr>
      <w:tr w:rsidR="00231B41" w:rsidTr="00D634AA">
        <w:trPr>
          <w:jc w:val="center"/>
        </w:trPr>
        <w:tc>
          <w:tcPr>
            <w:tcW w:w="2732" w:type="dxa"/>
          </w:tcPr>
          <w:p w:rsidR="00231B41" w:rsidRPr="00D66E69" w:rsidRDefault="00231B41" w:rsidP="00D743F8">
            <w:pPr>
              <w:pStyle w:val="table1"/>
              <w:rPr>
                <w:lang w:val="en-US"/>
              </w:rPr>
            </w:pPr>
            <w:r w:rsidRPr="00D66E69">
              <w:rPr>
                <w:lang w:val="en-US"/>
              </w:rPr>
              <w:t>Ore/Slurry Temperature</w:t>
            </w:r>
          </w:p>
        </w:tc>
        <w:tc>
          <w:tcPr>
            <w:tcW w:w="1804" w:type="dxa"/>
          </w:tcPr>
          <w:p w:rsidR="00231B41" w:rsidRPr="00D66E69" w:rsidRDefault="00231B41" w:rsidP="00D743F8">
            <w:pPr>
              <w:pStyle w:val="table1"/>
              <w:rPr>
                <w:lang w:val="en-US"/>
              </w:rPr>
            </w:pPr>
            <w:r w:rsidRPr="00D66E69">
              <w:rPr>
                <w:lang w:val="en-US"/>
              </w:rPr>
              <w:t xml:space="preserve">55 </w:t>
            </w:r>
            <w:r w:rsidRPr="00D66E69">
              <w:rPr>
                <w:snapToGrid w:val="0"/>
                <w:color w:val="000000"/>
                <w:position w:val="5"/>
                <w:u w:color="000000"/>
                <w:lang w:val="en-US"/>
              </w:rPr>
              <w:t>o</w:t>
            </w:r>
            <w:r w:rsidRPr="00D66E69">
              <w:rPr>
                <w:snapToGrid w:val="0"/>
                <w:color w:val="000000"/>
                <w:u w:color="000000"/>
                <w:lang w:val="en-US"/>
              </w:rPr>
              <w:t>C</w:t>
            </w:r>
          </w:p>
        </w:tc>
      </w:tr>
    </w:tbl>
    <w:p w:rsidR="00505FD6" w:rsidRDefault="00505FD6" w:rsidP="00E17DB4">
      <w:pPr>
        <w:pStyle w:val="tablecaption"/>
        <w:jc w:val="center"/>
        <w:rPr>
          <w:b/>
        </w:rPr>
      </w:pPr>
    </w:p>
    <w:p w:rsidR="006F77C6" w:rsidRPr="00E17DB4" w:rsidRDefault="00BF0782" w:rsidP="00E17DB4">
      <w:pPr>
        <w:pStyle w:val="tablecaption"/>
        <w:jc w:val="center"/>
      </w:pPr>
      <w:bookmarkStart w:id="101" w:name="_Toc390766607"/>
      <w:r w:rsidRPr="00E17DB4">
        <w:rPr>
          <w:b/>
        </w:rPr>
        <w:t>Table 2.2</w:t>
      </w:r>
      <w:r w:rsidRPr="00E17DB4">
        <w:t xml:space="preserve"> Slurry </w:t>
      </w:r>
      <w:r w:rsidR="00505FD6">
        <w:t>c</w:t>
      </w:r>
      <w:r w:rsidRPr="00E17DB4">
        <w:t xml:space="preserve">hemical </w:t>
      </w:r>
      <w:r w:rsidR="00505FD6">
        <w:t>p</w:t>
      </w:r>
      <w:r w:rsidRPr="00E17DB4">
        <w:t>roperties</w:t>
      </w:r>
      <w:bookmarkEnd w:id="101"/>
    </w:p>
    <w:tbl>
      <w:tblPr>
        <w:tblStyle w:val="TableGrid"/>
        <w:tblW w:w="0" w:type="auto"/>
        <w:jc w:val="center"/>
        <w:tblInd w:w="986" w:type="dxa"/>
        <w:tblLook w:val="04A0"/>
      </w:tblPr>
      <w:tblGrid>
        <w:gridCol w:w="712"/>
        <w:gridCol w:w="773"/>
        <w:gridCol w:w="798"/>
        <w:gridCol w:w="797"/>
        <w:gridCol w:w="797"/>
        <w:gridCol w:w="798"/>
        <w:gridCol w:w="795"/>
      </w:tblGrid>
      <w:tr w:rsidR="00807493" w:rsidTr="00807493">
        <w:trPr>
          <w:jc w:val="center"/>
        </w:trPr>
        <w:tc>
          <w:tcPr>
            <w:tcW w:w="712" w:type="dxa"/>
            <w:vAlign w:val="center"/>
          </w:tcPr>
          <w:p w:rsidR="00807493" w:rsidRPr="00B879B5" w:rsidRDefault="00807493" w:rsidP="00D743F8">
            <w:pPr>
              <w:pStyle w:val="table1"/>
              <w:rPr>
                <w:lang w:val="en-US"/>
              </w:rPr>
            </w:pPr>
            <w:r>
              <w:rPr>
                <w:lang w:val="en-US"/>
              </w:rPr>
              <w:t>pH</w:t>
            </w:r>
          </w:p>
        </w:tc>
        <w:tc>
          <w:tcPr>
            <w:tcW w:w="773" w:type="dxa"/>
            <w:vAlign w:val="center"/>
          </w:tcPr>
          <w:p w:rsidR="00807493" w:rsidRDefault="00807493" w:rsidP="00D743F8">
            <w:pPr>
              <w:pStyle w:val="table1"/>
              <w:rPr>
                <w:snapToGrid w:val="0"/>
                <w:color w:val="000000"/>
                <w:szCs w:val="0"/>
                <w:u w:color="000000"/>
              </w:rPr>
            </w:pPr>
            <w:r>
              <w:rPr>
                <w:lang w:val="en-US"/>
              </w:rPr>
              <w:t>SO</w:t>
            </w:r>
            <w:r>
              <w:rPr>
                <w:snapToGrid w:val="0"/>
                <w:color w:val="000000"/>
                <w:position w:val="-5"/>
                <w:sz w:val="13"/>
                <w:szCs w:val="0"/>
                <w:u w:color="000000"/>
              </w:rPr>
              <w:t>4</w:t>
            </w:r>
          </w:p>
          <w:p w:rsidR="00807493" w:rsidRPr="00897610" w:rsidRDefault="00807493" w:rsidP="00D743F8">
            <w:pPr>
              <w:pStyle w:val="table1"/>
            </w:pPr>
            <w:r>
              <w:rPr>
                <w:snapToGrid w:val="0"/>
                <w:color w:val="000000"/>
                <w:szCs w:val="0"/>
                <w:u w:color="000000"/>
              </w:rPr>
              <w:t>mg/L</w:t>
            </w:r>
          </w:p>
        </w:tc>
        <w:tc>
          <w:tcPr>
            <w:tcW w:w="798" w:type="dxa"/>
            <w:vAlign w:val="center"/>
          </w:tcPr>
          <w:p w:rsidR="00807493" w:rsidRDefault="00807493" w:rsidP="00D743F8">
            <w:pPr>
              <w:pStyle w:val="table1"/>
              <w:rPr>
                <w:lang w:val="en-US"/>
              </w:rPr>
            </w:pPr>
            <w:r>
              <w:rPr>
                <w:lang w:val="en-US"/>
              </w:rPr>
              <w:t>Mg</w:t>
            </w:r>
          </w:p>
          <w:p w:rsidR="00807493" w:rsidRPr="00B879B5" w:rsidRDefault="00807493" w:rsidP="00D743F8">
            <w:pPr>
              <w:pStyle w:val="table1"/>
              <w:rPr>
                <w:lang w:val="en-US"/>
              </w:rPr>
            </w:pPr>
            <w:r>
              <w:rPr>
                <w:lang w:val="en-US"/>
              </w:rPr>
              <w:t>mg/L</w:t>
            </w:r>
          </w:p>
        </w:tc>
        <w:tc>
          <w:tcPr>
            <w:tcW w:w="797" w:type="dxa"/>
            <w:vAlign w:val="center"/>
          </w:tcPr>
          <w:p w:rsidR="00807493" w:rsidRDefault="00807493" w:rsidP="00D743F8">
            <w:pPr>
              <w:pStyle w:val="table1"/>
              <w:rPr>
                <w:lang w:val="en-US"/>
              </w:rPr>
            </w:pPr>
            <w:proofErr w:type="spellStart"/>
            <w:r>
              <w:rPr>
                <w:lang w:val="en-US"/>
              </w:rPr>
              <w:t>Mg:SO</w:t>
            </w:r>
            <w:proofErr w:type="spellEnd"/>
            <w:r w:rsidRPr="00807493">
              <w:rPr>
                <w:snapToGrid w:val="0"/>
                <w:color w:val="000000"/>
                <w:position w:val="-5"/>
                <w:sz w:val="13"/>
                <w:szCs w:val="0"/>
                <w:u w:color="000000"/>
                <w:lang w:val="en-US"/>
              </w:rPr>
              <w:t>4</w:t>
            </w:r>
          </w:p>
        </w:tc>
        <w:tc>
          <w:tcPr>
            <w:tcW w:w="797" w:type="dxa"/>
            <w:vAlign w:val="center"/>
          </w:tcPr>
          <w:p w:rsidR="00807493" w:rsidRDefault="00807493" w:rsidP="00D743F8">
            <w:pPr>
              <w:pStyle w:val="table1"/>
              <w:rPr>
                <w:lang w:val="en-US"/>
              </w:rPr>
            </w:pPr>
            <w:r>
              <w:rPr>
                <w:lang w:val="en-US"/>
              </w:rPr>
              <w:t>Ca</w:t>
            </w:r>
          </w:p>
          <w:p w:rsidR="00807493" w:rsidRPr="00B879B5" w:rsidRDefault="00807493" w:rsidP="00D743F8">
            <w:pPr>
              <w:pStyle w:val="table1"/>
              <w:rPr>
                <w:lang w:val="en-US"/>
              </w:rPr>
            </w:pPr>
            <w:r>
              <w:rPr>
                <w:lang w:val="en-US"/>
              </w:rPr>
              <w:t>mg/L</w:t>
            </w:r>
          </w:p>
        </w:tc>
        <w:tc>
          <w:tcPr>
            <w:tcW w:w="798" w:type="dxa"/>
            <w:vAlign w:val="center"/>
          </w:tcPr>
          <w:p w:rsidR="00807493" w:rsidRDefault="00807493" w:rsidP="00D743F8">
            <w:pPr>
              <w:pStyle w:val="table1"/>
              <w:rPr>
                <w:lang w:val="en-US"/>
              </w:rPr>
            </w:pPr>
            <w:proofErr w:type="spellStart"/>
            <w:r>
              <w:rPr>
                <w:lang w:val="en-US"/>
              </w:rPr>
              <w:t>Mn</w:t>
            </w:r>
            <w:proofErr w:type="spellEnd"/>
          </w:p>
          <w:p w:rsidR="00807493" w:rsidRPr="00B879B5" w:rsidRDefault="00807493" w:rsidP="00D743F8">
            <w:pPr>
              <w:pStyle w:val="table1"/>
              <w:rPr>
                <w:lang w:val="en-US"/>
              </w:rPr>
            </w:pPr>
            <w:r>
              <w:rPr>
                <w:lang w:val="en-US"/>
              </w:rPr>
              <w:t>mg/L</w:t>
            </w:r>
          </w:p>
        </w:tc>
        <w:tc>
          <w:tcPr>
            <w:tcW w:w="795" w:type="dxa"/>
            <w:vAlign w:val="center"/>
          </w:tcPr>
          <w:p w:rsidR="00807493" w:rsidRDefault="00807493" w:rsidP="00D743F8">
            <w:pPr>
              <w:pStyle w:val="table1"/>
              <w:rPr>
                <w:lang w:val="en-US"/>
              </w:rPr>
            </w:pPr>
            <w:r>
              <w:rPr>
                <w:lang w:val="en-US"/>
              </w:rPr>
              <w:t>U</w:t>
            </w:r>
          </w:p>
          <w:p w:rsidR="00807493" w:rsidRPr="00B879B5" w:rsidRDefault="00807493" w:rsidP="00D743F8">
            <w:pPr>
              <w:pStyle w:val="table1"/>
              <w:rPr>
                <w:lang w:val="en-US"/>
              </w:rPr>
            </w:pPr>
            <w:r>
              <w:rPr>
                <w:lang w:val="en-US"/>
              </w:rPr>
              <w:t>mg/L</w:t>
            </w:r>
          </w:p>
        </w:tc>
      </w:tr>
      <w:tr w:rsidR="00807493" w:rsidTr="00807493">
        <w:trPr>
          <w:jc w:val="center"/>
        </w:trPr>
        <w:tc>
          <w:tcPr>
            <w:tcW w:w="712" w:type="dxa"/>
            <w:vAlign w:val="center"/>
          </w:tcPr>
          <w:p w:rsidR="00807493" w:rsidRPr="00B879B5" w:rsidRDefault="00807493" w:rsidP="00D743F8">
            <w:pPr>
              <w:pStyle w:val="table1"/>
              <w:rPr>
                <w:lang w:val="en-US"/>
              </w:rPr>
            </w:pPr>
            <w:r>
              <w:rPr>
                <w:lang w:val="en-US"/>
              </w:rPr>
              <w:t>1.21 -1.89</w:t>
            </w:r>
          </w:p>
        </w:tc>
        <w:tc>
          <w:tcPr>
            <w:tcW w:w="773" w:type="dxa"/>
            <w:vAlign w:val="center"/>
          </w:tcPr>
          <w:p w:rsidR="00807493" w:rsidRPr="00B879B5" w:rsidRDefault="00807493" w:rsidP="00D743F8">
            <w:pPr>
              <w:pStyle w:val="table1"/>
              <w:rPr>
                <w:lang w:val="en-US"/>
              </w:rPr>
            </w:pPr>
            <w:r>
              <w:rPr>
                <w:lang w:val="en-US"/>
              </w:rPr>
              <w:t>29800</w:t>
            </w:r>
          </w:p>
        </w:tc>
        <w:tc>
          <w:tcPr>
            <w:tcW w:w="798" w:type="dxa"/>
            <w:vAlign w:val="center"/>
          </w:tcPr>
          <w:p w:rsidR="00807493" w:rsidRPr="00B879B5" w:rsidRDefault="00807493" w:rsidP="00D743F8">
            <w:pPr>
              <w:pStyle w:val="table1"/>
              <w:rPr>
                <w:lang w:val="en-US"/>
              </w:rPr>
            </w:pPr>
            <w:r>
              <w:rPr>
                <w:lang w:val="en-US"/>
              </w:rPr>
              <w:t>4510</w:t>
            </w:r>
          </w:p>
        </w:tc>
        <w:tc>
          <w:tcPr>
            <w:tcW w:w="797" w:type="dxa"/>
            <w:vAlign w:val="center"/>
          </w:tcPr>
          <w:p w:rsidR="00807493" w:rsidRDefault="00807493" w:rsidP="00D743F8">
            <w:pPr>
              <w:pStyle w:val="table1"/>
              <w:rPr>
                <w:lang w:val="en-US"/>
              </w:rPr>
            </w:pPr>
            <w:r>
              <w:rPr>
                <w:lang w:val="en-US"/>
              </w:rPr>
              <w:t>0.15</w:t>
            </w:r>
          </w:p>
        </w:tc>
        <w:tc>
          <w:tcPr>
            <w:tcW w:w="797" w:type="dxa"/>
            <w:vAlign w:val="center"/>
          </w:tcPr>
          <w:p w:rsidR="00807493" w:rsidRPr="00B879B5" w:rsidRDefault="00807493" w:rsidP="00D743F8">
            <w:pPr>
              <w:pStyle w:val="table1"/>
              <w:rPr>
                <w:lang w:val="en-US"/>
              </w:rPr>
            </w:pPr>
            <w:r>
              <w:rPr>
                <w:lang w:val="en-US"/>
              </w:rPr>
              <w:t>387</w:t>
            </w:r>
          </w:p>
        </w:tc>
        <w:tc>
          <w:tcPr>
            <w:tcW w:w="798" w:type="dxa"/>
            <w:vAlign w:val="center"/>
          </w:tcPr>
          <w:p w:rsidR="00807493" w:rsidRPr="00B879B5" w:rsidRDefault="00807493" w:rsidP="00D743F8">
            <w:pPr>
              <w:pStyle w:val="table1"/>
              <w:rPr>
                <w:lang w:val="en-US"/>
              </w:rPr>
            </w:pPr>
            <w:r>
              <w:rPr>
                <w:lang w:val="en-US"/>
              </w:rPr>
              <w:t>1340</w:t>
            </w:r>
          </w:p>
        </w:tc>
        <w:tc>
          <w:tcPr>
            <w:tcW w:w="795" w:type="dxa"/>
            <w:vAlign w:val="center"/>
          </w:tcPr>
          <w:p w:rsidR="00807493" w:rsidRPr="00B879B5" w:rsidRDefault="00807493" w:rsidP="00D743F8">
            <w:pPr>
              <w:pStyle w:val="table1"/>
              <w:rPr>
                <w:lang w:val="en-US"/>
              </w:rPr>
            </w:pPr>
            <w:r>
              <w:rPr>
                <w:lang w:val="en-US"/>
              </w:rPr>
              <w:t>386</w:t>
            </w:r>
          </w:p>
        </w:tc>
      </w:tr>
    </w:tbl>
    <w:p w:rsidR="00B879B5" w:rsidRPr="00E17DB4" w:rsidRDefault="00366CA6" w:rsidP="00E17DB4">
      <w:pPr>
        <w:ind w:left="1701" w:right="1643"/>
        <w:jc w:val="center"/>
        <w:rPr>
          <w:sz w:val="18"/>
          <w:szCs w:val="18"/>
          <w:lang w:val="en-US"/>
        </w:rPr>
      </w:pPr>
      <w:proofErr w:type="gramStart"/>
      <w:r w:rsidRPr="00E17DB4">
        <w:rPr>
          <w:sz w:val="18"/>
          <w:szCs w:val="18"/>
          <w:lang w:val="en-US"/>
        </w:rPr>
        <w:t>Note :</w:t>
      </w:r>
      <w:proofErr w:type="gramEnd"/>
      <w:r w:rsidRPr="00E17DB4">
        <w:rPr>
          <w:sz w:val="18"/>
          <w:szCs w:val="18"/>
          <w:lang w:val="en-US"/>
        </w:rPr>
        <w:t xml:space="preserve"> These values represent the maximum concentrations based on samples taken at the grinding circuit and </w:t>
      </w:r>
      <w:r w:rsidR="00E17DB4" w:rsidRPr="00E17DB4">
        <w:rPr>
          <w:sz w:val="18"/>
          <w:szCs w:val="18"/>
          <w:lang w:val="en-US"/>
        </w:rPr>
        <w:t>towers on 6 December 2013</w:t>
      </w:r>
      <w:r w:rsidR="004469E5">
        <w:rPr>
          <w:sz w:val="18"/>
          <w:szCs w:val="18"/>
          <w:lang w:val="en-US"/>
        </w:rPr>
        <w:t>.</w:t>
      </w:r>
    </w:p>
    <w:p w:rsidR="00231B41" w:rsidRDefault="00231B41" w:rsidP="00231B41">
      <w:pPr>
        <w:pStyle w:val="Heading2"/>
        <w:rPr>
          <w:lang w:val="en-US"/>
        </w:rPr>
      </w:pPr>
      <w:bookmarkStart w:id="102" w:name="_Toc390766576"/>
      <w:proofErr w:type="gramStart"/>
      <w:r>
        <w:rPr>
          <w:lang w:val="en-US"/>
        </w:rPr>
        <w:t>2.4  Spatial</w:t>
      </w:r>
      <w:proofErr w:type="gramEnd"/>
      <w:r>
        <w:rPr>
          <w:lang w:val="en-US"/>
        </w:rPr>
        <w:t xml:space="preserve"> extent of the spill</w:t>
      </w:r>
      <w:bookmarkEnd w:id="102"/>
    </w:p>
    <w:p w:rsidR="00231B41" w:rsidRDefault="00231B41" w:rsidP="00231B41">
      <w:pPr>
        <w:pStyle w:val="referencelist1"/>
        <w:ind w:left="0" w:firstLine="0"/>
        <w:rPr>
          <w:snapToGrid w:val="0"/>
          <w:color w:val="000000"/>
          <w:szCs w:val="0"/>
          <w:u w:color="000000"/>
        </w:rPr>
      </w:pPr>
      <w:r>
        <w:rPr>
          <w:snapToGrid w:val="0"/>
          <w:color w:val="000000"/>
          <w:szCs w:val="0"/>
          <w:u w:color="000000"/>
        </w:rPr>
        <w:t>Leach Tank 1</w:t>
      </w:r>
      <w:r w:rsidRPr="00205436">
        <w:rPr>
          <w:snapToGrid w:val="0"/>
          <w:color w:val="000000"/>
          <w:szCs w:val="0"/>
          <w:u w:color="000000"/>
        </w:rPr>
        <w:t xml:space="preserve"> fail</w:t>
      </w:r>
      <w:r>
        <w:rPr>
          <w:snapToGrid w:val="0"/>
          <w:color w:val="000000"/>
          <w:szCs w:val="0"/>
          <w:u w:color="000000"/>
        </w:rPr>
        <w:t>ed to</w:t>
      </w:r>
      <w:r w:rsidR="007D08F3">
        <w:rPr>
          <w:snapToGrid w:val="0"/>
          <w:color w:val="000000"/>
          <w:szCs w:val="0"/>
          <w:u w:color="000000"/>
        </w:rPr>
        <w:t>wards</w:t>
      </w:r>
      <w:r>
        <w:rPr>
          <w:snapToGrid w:val="0"/>
          <w:color w:val="000000"/>
          <w:szCs w:val="0"/>
          <w:u w:color="000000"/>
        </w:rPr>
        <w:t xml:space="preserve"> the</w:t>
      </w:r>
      <w:r w:rsidRPr="00205436">
        <w:rPr>
          <w:snapToGrid w:val="0"/>
          <w:color w:val="000000"/>
          <w:szCs w:val="0"/>
          <w:u w:color="000000"/>
        </w:rPr>
        <w:t xml:space="preserve"> north</w:t>
      </w:r>
      <w:r>
        <w:rPr>
          <w:snapToGrid w:val="0"/>
          <w:color w:val="000000"/>
          <w:szCs w:val="0"/>
          <w:u w:color="000000"/>
        </w:rPr>
        <w:t>-</w:t>
      </w:r>
      <w:r w:rsidRPr="00205436">
        <w:rPr>
          <w:snapToGrid w:val="0"/>
          <w:color w:val="000000"/>
          <w:szCs w:val="0"/>
          <w:u w:color="000000"/>
        </w:rPr>
        <w:t xml:space="preserve">west with the slurry being expelled in that general direction. The slurry </w:t>
      </w:r>
      <w:r>
        <w:rPr>
          <w:snapToGrid w:val="0"/>
          <w:color w:val="000000"/>
          <w:szCs w:val="0"/>
          <w:u w:color="000000"/>
        </w:rPr>
        <w:t xml:space="preserve">was primarily dispersed </w:t>
      </w:r>
      <w:r w:rsidRPr="00205436">
        <w:rPr>
          <w:snapToGrid w:val="0"/>
          <w:color w:val="000000"/>
          <w:szCs w:val="0"/>
          <w:u w:color="000000"/>
        </w:rPr>
        <w:t>between the leach tank</w:t>
      </w:r>
      <w:r>
        <w:rPr>
          <w:snapToGrid w:val="0"/>
          <w:color w:val="000000"/>
          <w:szCs w:val="0"/>
          <w:u w:color="000000"/>
        </w:rPr>
        <w:t>s</w:t>
      </w:r>
      <w:r w:rsidRPr="00205436">
        <w:rPr>
          <w:snapToGrid w:val="0"/>
          <w:color w:val="000000"/>
          <w:szCs w:val="0"/>
          <w:u w:color="000000"/>
        </w:rPr>
        <w:t xml:space="preserve"> and RP2 </w:t>
      </w:r>
      <w:r>
        <w:rPr>
          <w:snapToGrid w:val="0"/>
          <w:color w:val="000000"/>
          <w:szCs w:val="0"/>
          <w:u w:color="000000"/>
        </w:rPr>
        <w:t>and remained</w:t>
      </w:r>
      <w:r w:rsidRPr="00205436">
        <w:rPr>
          <w:snapToGrid w:val="0"/>
          <w:color w:val="000000"/>
          <w:szCs w:val="0"/>
          <w:u w:color="000000"/>
        </w:rPr>
        <w:t xml:space="preserve"> within the processing </w:t>
      </w:r>
      <w:r>
        <w:rPr>
          <w:snapToGrid w:val="0"/>
          <w:color w:val="000000"/>
          <w:szCs w:val="0"/>
          <w:u w:color="000000"/>
        </w:rPr>
        <w:t xml:space="preserve">area </w:t>
      </w:r>
      <w:r w:rsidRPr="00205436">
        <w:rPr>
          <w:snapToGrid w:val="0"/>
          <w:color w:val="000000"/>
          <w:szCs w:val="0"/>
          <w:u w:color="000000"/>
        </w:rPr>
        <w:t xml:space="preserve">and adjacent service roads (Figure </w:t>
      </w:r>
      <w:r>
        <w:rPr>
          <w:snapToGrid w:val="0"/>
          <w:color w:val="000000"/>
          <w:szCs w:val="0"/>
          <w:u w:color="000000"/>
        </w:rPr>
        <w:t>2.</w:t>
      </w:r>
      <w:r w:rsidR="007D08F3">
        <w:rPr>
          <w:snapToGrid w:val="0"/>
          <w:color w:val="000000"/>
          <w:szCs w:val="0"/>
          <w:u w:color="000000"/>
        </w:rPr>
        <w:t>3</w:t>
      </w:r>
      <w:r w:rsidRPr="00205436">
        <w:rPr>
          <w:snapToGrid w:val="0"/>
          <w:color w:val="000000"/>
          <w:szCs w:val="0"/>
          <w:u w:color="000000"/>
        </w:rPr>
        <w:t xml:space="preserve">). It was identified that an unknown quantity of the slurry entered the storm water drainage system </w:t>
      </w:r>
      <w:r>
        <w:rPr>
          <w:snapToGrid w:val="0"/>
          <w:color w:val="000000"/>
          <w:szCs w:val="0"/>
          <w:u w:color="000000"/>
        </w:rPr>
        <w:t>and thereby</w:t>
      </w:r>
      <w:r w:rsidRPr="00205436">
        <w:rPr>
          <w:snapToGrid w:val="0"/>
          <w:color w:val="000000"/>
          <w:szCs w:val="0"/>
          <w:u w:color="000000"/>
        </w:rPr>
        <w:t xml:space="preserve"> report</w:t>
      </w:r>
      <w:r>
        <w:rPr>
          <w:snapToGrid w:val="0"/>
          <w:color w:val="000000"/>
          <w:szCs w:val="0"/>
          <w:u w:color="000000"/>
        </w:rPr>
        <w:t>ed</w:t>
      </w:r>
      <w:r w:rsidRPr="00205436">
        <w:rPr>
          <w:snapToGrid w:val="0"/>
          <w:color w:val="000000"/>
          <w:szCs w:val="0"/>
          <w:u w:color="000000"/>
        </w:rPr>
        <w:t xml:space="preserve"> to </w:t>
      </w:r>
      <w:r w:rsidR="001013D4">
        <w:rPr>
          <w:snapToGrid w:val="0"/>
          <w:color w:val="000000"/>
          <w:szCs w:val="0"/>
          <w:u w:color="000000"/>
        </w:rPr>
        <w:t>RP2</w:t>
      </w:r>
      <w:r w:rsidRPr="00205436">
        <w:rPr>
          <w:snapToGrid w:val="0"/>
          <w:color w:val="000000"/>
          <w:szCs w:val="0"/>
          <w:u w:color="000000"/>
        </w:rPr>
        <w:t xml:space="preserve">. No rainfall events occurred between the time of incident and the isolation of the storm water drains hence </w:t>
      </w:r>
      <w:r>
        <w:rPr>
          <w:snapToGrid w:val="0"/>
          <w:color w:val="000000"/>
          <w:szCs w:val="0"/>
          <w:u w:color="000000"/>
        </w:rPr>
        <w:t xml:space="preserve">no further </w:t>
      </w:r>
      <w:r w:rsidRPr="00205436">
        <w:rPr>
          <w:snapToGrid w:val="0"/>
          <w:color w:val="000000"/>
          <w:szCs w:val="0"/>
          <w:u w:color="000000"/>
        </w:rPr>
        <w:t>material entered the drainage system</w:t>
      </w:r>
      <w:r>
        <w:rPr>
          <w:snapToGrid w:val="0"/>
          <w:color w:val="000000"/>
          <w:szCs w:val="0"/>
          <w:u w:color="000000"/>
        </w:rPr>
        <w:t xml:space="preserve"> other than that which occurred </w:t>
      </w:r>
      <w:r w:rsidRPr="00205436">
        <w:rPr>
          <w:snapToGrid w:val="0"/>
          <w:color w:val="000000"/>
          <w:szCs w:val="0"/>
          <w:u w:color="000000"/>
        </w:rPr>
        <w:t xml:space="preserve">as part of the initial spill. The </w:t>
      </w:r>
      <w:r>
        <w:rPr>
          <w:snapToGrid w:val="0"/>
          <w:color w:val="000000"/>
          <w:szCs w:val="0"/>
          <w:u w:color="000000"/>
        </w:rPr>
        <w:t xml:space="preserve">extent of the </w:t>
      </w:r>
      <w:r w:rsidRPr="00205436">
        <w:rPr>
          <w:snapToGrid w:val="0"/>
          <w:color w:val="000000"/>
          <w:szCs w:val="0"/>
          <w:u w:color="000000"/>
        </w:rPr>
        <w:t xml:space="preserve">spill </w:t>
      </w:r>
      <w:r>
        <w:rPr>
          <w:snapToGrid w:val="0"/>
          <w:color w:val="000000"/>
          <w:szCs w:val="0"/>
          <w:u w:color="000000"/>
        </w:rPr>
        <w:t>in the context of the surrounding environment is s</w:t>
      </w:r>
      <w:r w:rsidRPr="00205436">
        <w:rPr>
          <w:snapToGrid w:val="0"/>
          <w:color w:val="000000"/>
          <w:szCs w:val="0"/>
          <w:u w:color="000000"/>
        </w:rPr>
        <w:t>hown i</w:t>
      </w:r>
      <w:r>
        <w:rPr>
          <w:snapToGrid w:val="0"/>
          <w:color w:val="000000"/>
          <w:szCs w:val="0"/>
          <w:u w:color="000000"/>
        </w:rPr>
        <w:t>n F</w:t>
      </w:r>
      <w:r w:rsidRPr="00205436">
        <w:rPr>
          <w:snapToGrid w:val="0"/>
          <w:color w:val="000000"/>
          <w:szCs w:val="0"/>
          <w:u w:color="000000"/>
        </w:rPr>
        <w:t xml:space="preserve">igure </w:t>
      </w:r>
      <w:r>
        <w:rPr>
          <w:snapToGrid w:val="0"/>
          <w:color w:val="000000"/>
          <w:szCs w:val="0"/>
          <w:u w:color="000000"/>
        </w:rPr>
        <w:t>2.2.</w:t>
      </w:r>
    </w:p>
    <w:p w:rsidR="00231B41" w:rsidRDefault="00231B41" w:rsidP="00231B41">
      <w:pPr>
        <w:pStyle w:val="referencelist1"/>
        <w:ind w:left="0" w:firstLine="0"/>
        <w:rPr>
          <w:snapToGrid w:val="0"/>
          <w:color w:val="000000"/>
          <w:szCs w:val="0"/>
          <w:u w:color="000000"/>
        </w:rPr>
      </w:pPr>
      <w:r w:rsidRPr="00922C3C">
        <w:rPr>
          <w:snapToGrid w:val="0"/>
          <w:color w:val="000000"/>
          <w:szCs w:val="0"/>
          <w:u w:color="000000"/>
        </w:rPr>
        <w:t xml:space="preserve">The area impacted </w:t>
      </w:r>
      <w:r>
        <w:rPr>
          <w:snapToGrid w:val="0"/>
          <w:color w:val="000000"/>
          <w:szCs w:val="0"/>
          <w:u w:color="000000"/>
        </w:rPr>
        <w:t xml:space="preserve">by the spill </w:t>
      </w:r>
      <w:r w:rsidRPr="00922C3C">
        <w:rPr>
          <w:snapToGrid w:val="0"/>
          <w:color w:val="000000"/>
          <w:szCs w:val="0"/>
          <w:u w:color="000000"/>
        </w:rPr>
        <w:t xml:space="preserve">comprised </w:t>
      </w:r>
      <w:r>
        <w:rPr>
          <w:snapToGrid w:val="0"/>
          <w:color w:val="000000"/>
          <w:szCs w:val="0"/>
          <w:u w:color="000000"/>
        </w:rPr>
        <w:t>four</w:t>
      </w:r>
      <w:r w:rsidRPr="00922C3C">
        <w:rPr>
          <w:snapToGrid w:val="0"/>
          <w:color w:val="000000"/>
          <w:szCs w:val="0"/>
          <w:u w:color="000000"/>
        </w:rPr>
        <w:t xml:space="preserve"> main ground</w:t>
      </w:r>
      <w:r>
        <w:rPr>
          <w:snapToGrid w:val="0"/>
          <w:color w:val="000000"/>
          <w:szCs w:val="0"/>
          <w:u w:color="000000"/>
        </w:rPr>
        <w:t>cover</w:t>
      </w:r>
      <w:r w:rsidRPr="00922C3C">
        <w:rPr>
          <w:snapToGrid w:val="0"/>
          <w:color w:val="000000"/>
          <w:szCs w:val="0"/>
          <w:u w:color="000000"/>
        </w:rPr>
        <w:t xml:space="preserve"> types, namely </w:t>
      </w:r>
      <w:r>
        <w:rPr>
          <w:snapToGrid w:val="0"/>
          <w:color w:val="000000"/>
          <w:szCs w:val="0"/>
          <w:u w:color="000000"/>
        </w:rPr>
        <w:t xml:space="preserve">concrete </w:t>
      </w:r>
      <w:proofErr w:type="spellStart"/>
      <w:r w:rsidRPr="00922C3C">
        <w:rPr>
          <w:snapToGrid w:val="0"/>
          <w:color w:val="000000"/>
          <w:szCs w:val="0"/>
          <w:u w:color="000000"/>
        </w:rPr>
        <w:t>bunded</w:t>
      </w:r>
      <w:proofErr w:type="spellEnd"/>
      <w:r w:rsidRPr="00922C3C">
        <w:rPr>
          <w:snapToGrid w:val="0"/>
          <w:color w:val="000000"/>
          <w:szCs w:val="0"/>
          <w:u w:color="000000"/>
        </w:rPr>
        <w:t xml:space="preserve"> areas, earthen </w:t>
      </w:r>
      <w:r>
        <w:rPr>
          <w:snapToGrid w:val="0"/>
          <w:color w:val="000000"/>
          <w:szCs w:val="0"/>
          <w:u w:color="000000"/>
        </w:rPr>
        <w:t xml:space="preserve">hardstand, </w:t>
      </w:r>
      <w:r w:rsidRPr="00922C3C">
        <w:rPr>
          <w:snapToGrid w:val="0"/>
          <w:color w:val="000000"/>
          <w:szCs w:val="0"/>
          <w:u w:color="000000"/>
        </w:rPr>
        <w:t>grass and</w:t>
      </w:r>
      <w:r>
        <w:rPr>
          <w:snapToGrid w:val="0"/>
          <w:color w:val="000000"/>
          <w:szCs w:val="0"/>
          <w:u w:color="000000"/>
        </w:rPr>
        <w:t xml:space="preserve"> bitumen/concrete (including roadways)</w:t>
      </w:r>
      <w:r w:rsidRPr="00922C3C">
        <w:rPr>
          <w:snapToGrid w:val="0"/>
          <w:color w:val="000000"/>
          <w:szCs w:val="0"/>
          <w:u w:color="000000"/>
        </w:rPr>
        <w:t>. A breakdown of the area impacted for each surface type is shown in Table 2</w:t>
      </w:r>
      <w:r>
        <w:rPr>
          <w:snapToGrid w:val="0"/>
          <w:color w:val="000000"/>
          <w:szCs w:val="0"/>
          <w:u w:color="000000"/>
        </w:rPr>
        <w:t>.</w:t>
      </w:r>
      <w:r w:rsidR="00505FD6">
        <w:rPr>
          <w:snapToGrid w:val="0"/>
          <w:color w:val="000000"/>
          <w:szCs w:val="0"/>
          <w:u w:color="000000"/>
        </w:rPr>
        <w:t>3</w:t>
      </w:r>
      <w:r w:rsidRPr="00922C3C">
        <w:rPr>
          <w:snapToGrid w:val="0"/>
          <w:color w:val="000000"/>
          <w:szCs w:val="0"/>
          <w:u w:color="000000"/>
        </w:rPr>
        <w:t>. The extent of the spill</w:t>
      </w:r>
      <w:r>
        <w:rPr>
          <w:snapToGrid w:val="0"/>
          <w:color w:val="000000"/>
          <w:szCs w:val="0"/>
          <w:u w:color="000000"/>
        </w:rPr>
        <w:t>, broken down by groundcover type, is shown in F</w:t>
      </w:r>
      <w:r w:rsidRPr="00922C3C">
        <w:rPr>
          <w:snapToGrid w:val="0"/>
          <w:color w:val="000000"/>
          <w:szCs w:val="0"/>
          <w:u w:color="000000"/>
        </w:rPr>
        <w:t xml:space="preserve">igure </w:t>
      </w:r>
      <w:r>
        <w:rPr>
          <w:snapToGrid w:val="0"/>
          <w:color w:val="000000"/>
          <w:szCs w:val="0"/>
          <w:u w:color="000000"/>
        </w:rPr>
        <w:t>2.3.</w:t>
      </w:r>
    </w:p>
    <w:p w:rsidR="00231B41" w:rsidRDefault="00231B41" w:rsidP="00231B41">
      <w:pPr>
        <w:pStyle w:val="tablecaption"/>
        <w:jc w:val="center"/>
        <w:rPr>
          <w:lang w:val="en-US"/>
        </w:rPr>
      </w:pPr>
      <w:bookmarkStart w:id="103" w:name="_Toc390766608"/>
      <w:r w:rsidRPr="00231B41">
        <w:rPr>
          <w:b/>
          <w:lang w:val="en-US"/>
        </w:rPr>
        <w:t>Table 2.</w:t>
      </w:r>
      <w:r w:rsidR="0092297C">
        <w:rPr>
          <w:b/>
          <w:lang w:val="en-US"/>
        </w:rPr>
        <w:t>3</w:t>
      </w:r>
      <w:r>
        <w:rPr>
          <w:lang w:val="en-US"/>
        </w:rPr>
        <w:t xml:space="preserve"> Estimated spill area by groundcover type</w:t>
      </w:r>
      <w:r w:rsidR="007D08F3">
        <w:rPr>
          <w:lang w:val="en-US"/>
        </w:rPr>
        <w:t xml:space="preserve"> (ERA data)</w:t>
      </w:r>
      <w:r>
        <w:rPr>
          <w:lang w:val="en-US"/>
        </w:rPr>
        <w:t>.</w:t>
      </w:r>
      <w:bookmarkEnd w:id="103"/>
    </w:p>
    <w:tbl>
      <w:tblPr>
        <w:tblStyle w:val="TableGrid"/>
        <w:tblW w:w="5670" w:type="dxa"/>
        <w:tblInd w:w="1668" w:type="dxa"/>
        <w:tblLayout w:type="fixed"/>
        <w:tblLook w:val="04A0"/>
      </w:tblPr>
      <w:tblGrid>
        <w:gridCol w:w="2551"/>
        <w:gridCol w:w="1418"/>
        <w:gridCol w:w="1701"/>
      </w:tblGrid>
      <w:tr w:rsidR="00231B41" w:rsidTr="00D634AA">
        <w:tc>
          <w:tcPr>
            <w:tcW w:w="2551" w:type="dxa"/>
            <w:shd w:val="clear" w:color="auto" w:fill="BFBFBF" w:themeFill="background1" w:themeFillShade="BF"/>
          </w:tcPr>
          <w:p w:rsidR="00231B41" w:rsidRPr="004B585D" w:rsidRDefault="00231B41" w:rsidP="00D743F8">
            <w:pPr>
              <w:pStyle w:val="table1"/>
              <w:rPr>
                <w:lang w:val="en-US"/>
              </w:rPr>
            </w:pPr>
            <w:r w:rsidRPr="004B585D">
              <w:rPr>
                <w:lang w:val="en-US"/>
              </w:rPr>
              <w:t>Surface type</w:t>
            </w:r>
          </w:p>
        </w:tc>
        <w:tc>
          <w:tcPr>
            <w:tcW w:w="1418" w:type="dxa"/>
            <w:shd w:val="clear" w:color="auto" w:fill="BFBFBF" w:themeFill="background1" w:themeFillShade="BF"/>
          </w:tcPr>
          <w:p w:rsidR="00231B41" w:rsidRPr="004B585D" w:rsidRDefault="00231B41" w:rsidP="00D743F8">
            <w:pPr>
              <w:pStyle w:val="table1"/>
              <w:rPr>
                <w:lang w:val="en-US"/>
              </w:rPr>
            </w:pPr>
            <w:r w:rsidRPr="004B585D">
              <w:rPr>
                <w:lang w:val="en-US"/>
              </w:rPr>
              <w:t>Area m</w:t>
            </w:r>
            <w:r w:rsidRPr="004B585D">
              <w:rPr>
                <w:snapToGrid w:val="0"/>
                <w:color w:val="000000"/>
                <w:position w:val="5"/>
                <w:u w:color="000000"/>
                <w:lang w:val="en-US"/>
              </w:rPr>
              <w:t>2</w:t>
            </w:r>
          </w:p>
        </w:tc>
        <w:tc>
          <w:tcPr>
            <w:tcW w:w="1701" w:type="dxa"/>
            <w:shd w:val="clear" w:color="auto" w:fill="BFBFBF" w:themeFill="background1" w:themeFillShade="BF"/>
          </w:tcPr>
          <w:p w:rsidR="00231B41" w:rsidRPr="004B585D" w:rsidRDefault="00231B41" w:rsidP="00D743F8">
            <w:pPr>
              <w:pStyle w:val="table1"/>
              <w:rPr>
                <w:lang w:val="en-US"/>
              </w:rPr>
            </w:pPr>
            <w:r w:rsidRPr="004B585D">
              <w:rPr>
                <w:lang w:val="en-US"/>
              </w:rPr>
              <w:t>% of total</w:t>
            </w:r>
          </w:p>
        </w:tc>
      </w:tr>
      <w:tr w:rsidR="00231B41" w:rsidTr="00D634AA">
        <w:tc>
          <w:tcPr>
            <w:tcW w:w="2551" w:type="dxa"/>
          </w:tcPr>
          <w:p w:rsidR="00231B41" w:rsidRPr="004B585D" w:rsidRDefault="00231B41" w:rsidP="00D743F8">
            <w:pPr>
              <w:pStyle w:val="table1"/>
              <w:rPr>
                <w:lang w:val="en-US"/>
              </w:rPr>
            </w:pPr>
            <w:r w:rsidRPr="004B585D">
              <w:rPr>
                <w:lang w:val="en-US"/>
              </w:rPr>
              <w:t>Bitumen/concrete</w:t>
            </w:r>
          </w:p>
        </w:tc>
        <w:tc>
          <w:tcPr>
            <w:tcW w:w="1418" w:type="dxa"/>
          </w:tcPr>
          <w:p w:rsidR="00231B41" w:rsidRPr="004B585D" w:rsidRDefault="00231B41" w:rsidP="00D743F8">
            <w:pPr>
              <w:pStyle w:val="table1"/>
              <w:rPr>
                <w:lang w:val="en-US"/>
              </w:rPr>
            </w:pPr>
            <w:r w:rsidRPr="004B585D">
              <w:rPr>
                <w:lang w:val="en-US"/>
              </w:rPr>
              <w:t xml:space="preserve">3,570 </w:t>
            </w:r>
          </w:p>
        </w:tc>
        <w:tc>
          <w:tcPr>
            <w:tcW w:w="1701" w:type="dxa"/>
          </w:tcPr>
          <w:p w:rsidR="00231B41" w:rsidRPr="004B585D" w:rsidRDefault="00231B41" w:rsidP="00D743F8">
            <w:pPr>
              <w:pStyle w:val="table1"/>
              <w:rPr>
                <w:lang w:val="en-US"/>
              </w:rPr>
            </w:pPr>
            <w:r w:rsidRPr="004B585D">
              <w:rPr>
                <w:lang w:val="en-US"/>
              </w:rPr>
              <w:t>24.2</w:t>
            </w:r>
          </w:p>
        </w:tc>
      </w:tr>
      <w:tr w:rsidR="00231B41" w:rsidTr="00D634AA">
        <w:tc>
          <w:tcPr>
            <w:tcW w:w="2551" w:type="dxa"/>
          </w:tcPr>
          <w:p w:rsidR="00231B41" w:rsidRPr="004B585D" w:rsidRDefault="00231B41" w:rsidP="00D743F8">
            <w:pPr>
              <w:pStyle w:val="table1"/>
              <w:rPr>
                <w:lang w:val="en-US"/>
              </w:rPr>
            </w:pPr>
            <w:r w:rsidRPr="004B585D">
              <w:rPr>
                <w:lang w:val="en-US"/>
              </w:rPr>
              <w:t>Bund (Concrete)</w:t>
            </w:r>
          </w:p>
        </w:tc>
        <w:tc>
          <w:tcPr>
            <w:tcW w:w="1418" w:type="dxa"/>
          </w:tcPr>
          <w:p w:rsidR="00231B41" w:rsidRPr="004B585D" w:rsidRDefault="00231B41" w:rsidP="00D743F8">
            <w:pPr>
              <w:pStyle w:val="table1"/>
              <w:rPr>
                <w:lang w:val="en-US"/>
              </w:rPr>
            </w:pPr>
            <w:r w:rsidRPr="004B585D">
              <w:rPr>
                <w:lang w:val="en-US"/>
              </w:rPr>
              <w:t>4,220</w:t>
            </w:r>
          </w:p>
        </w:tc>
        <w:tc>
          <w:tcPr>
            <w:tcW w:w="1701" w:type="dxa"/>
          </w:tcPr>
          <w:p w:rsidR="00231B41" w:rsidRPr="004B585D" w:rsidRDefault="00231B41" w:rsidP="00D743F8">
            <w:pPr>
              <w:pStyle w:val="table1"/>
              <w:rPr>
                <w:lang w:val="en-US"/>
              </w:rPr>
            </w:pPr>
            <w:r w:rsidRPr="004B585D">
              <w:rPr>
                <w:lang w:val="en-US"/>
              </w:rPr>
              <w:t>28.6</w:t>
            </w:r>
          </w:p>
        </w:tc>
      </w:tr>
      <w:tr w:rsidR="00231B41" w:rsidTr="00D634AA">
        <w:tc>
          <w:tcPr>
            <w:tcW w:w="2551" w:type="dxa"/>
          </w:tcPr>
          <w:p w:rsidR="00231B41" w:rsidRPr="004B585D" w:rsidRDefault="00231B41" w:rsidP="00D743F8">
            <w:pPr>
              <w:pStyle w:val="table1"/>
              <w:rPr>
                <w:lang w:val="en-US"/>
              </w:rPr>
            </w:pPr>
            <w:r w:rsidRPr="004B585D">
              <w:rPr>
                <w:lang w:val="en-US"/>
              </w:rPr>
              <w:t>Grass</w:t>
            </w:r>
          </w:p>
        </w:tc>
        <w:tc>
          <w:tcPr>
            <w:tcW w:w="1418" w:type="dxa"/>
          </w:tcPr>
          <w:p w:rsidR="00231B41" w:rsidRPr="004B585D" w:rsidRDefault="00231B41" w:rsidP="00D743F8">
            <w:pPr>
              <w:pStyle w:val="table1"/>
              <w:rPr>
                <w:lang w:val="en-US"/>
              </w:rPr>
            </w:pPr>
            <w:r w:rsidRPr="004B585D">
              <w:rPr>
                <w:lang w:val="en-US"/>
              </w:rPr>
              <w:t>30</w:t>
            </w:r>
          </w:p>
        </w:tc>
        <w:tc>
          <w:tcPr>
            <w:tcW w:w="1701" w:type="dxa"/>
          </w:tcPr>
          <w:p w:rsidR="00231B41" w:rsidRPr="004B585D" w:rsidRDefault="00231B41" w:rsidP="00D743F8">
            <w:pPr>
              <w:pStyle w:val="table1"/>
              <w:rPr>
                <w:lang w:val="en-US"/>
              </w:rPr>
            </w:pPr>
            <w:r w:rsidRPr="004B585D">
              <w:rPr>
                <w:lang w:val="en-US"/>
              </w:rPr>
              <w:t>0.18</w:t>
            </w:r>
          </w:p>
        </w:tc>
      </w:tr>
      <w:tr w:rsidR="00231B41" w:rsidTr="00D634AA">
        <w:tc>
          <w:tcPr>
            <w:tcW w:w="2551" w:type="dxa"/>
          </w:tcPr>
          <w:p w:rsidR="00231B41" w:rsidRPr="004B585D" w:rsidRDefault="00231B41" w:rsidP="00D743F8">
            <w:pPr>
              <w:pStyle w:val="table1"/>
              <w:rPr>
                <w:lang w:val="en-US"/>
              </w:rPr>
            </w:pPr>
            <w:r w:rsidRPr="004B585D">
              <w:rPr>
                <w:lang w:val="en-US"/>
              </w:rPr>
              <w:t>Earthen Hardstand</w:t>
            </w:r>
          </w:p>
        </w:tc>
        <w:tc>
          <w:tcPr>
            <w:tcW w:w="1418" w:type="dxa"/>
          </w:tcPr>
          <w:p w:rsidR="00231B41" w:rsidRPr="004B585D" w:rsidRDefault="00231B41" w:rsidP="00D743F8">
            <w:pPr>
              <w:pStyle w:val="table1"/>
              <w:rPr>
                <w:lang w:val="en-US"/>
              </w:rPr>
            </w:pPr>
            <w:r w:rsidRPr="004B585D">
              <w:rPr>
                <w:lang w:val="en-US"/>
              </w:rPr>
              <w:t>6,930</w:t>
            </w:r>
          </w:p>
        </w:tc>
        <w:tc>
          <w:tcPr>
            <w:tcW w:w="1701" w:type="dxa"/>
          </w:tcPr>
          <w:p w:rsidR="00231B41" w:rsidRPr="004B585D" w:rsidRDefault="00231B41" w:rsidP="00D743F8">
            <w:pPr>
              <w:pStyle w:val="table1"/>
              <w:rPr>
                <w:lang w:val="en-US"/>
              </w:rPr>
            </w:pPr>
            <w:r w:rsidRPr="004B585D">
              <w:rPr>
                <w:lang w:val="en-US"/>
              </w:rPr>
              <w:t>47.0</w:t>
            </w:r>
          </w:p>
        </w:tc>
      </w:tr>
      <w:tr w:rsidR="00231B41" w:rsidTr="00D634AA">
        <w:tc>
          <w:tcPr>
            <w:tcW w:w="2551" w:type="dxa"/>
          </w:tcPr>
          <w:p w:rsidR="00231B41" w:rsidRPr="004B585D" w:rsidRDefault="00231B41" w:rsidP="00D743F8">
            <w:pPr>
              <w:pStyle w:val="table1"/>
              <w:rPr>
                <w:lang w:val="en-US"/>
              </w:rPr>
            </w:pPr>
            <w:r w:rsidRPr="004B585D">
              <w:rPr>
                <w:lang w:val="en-US"/>
              </w:rPr>
              <w:t>Total</w:t>
            </w:r>
          </w:p>
        </w:tc>
        <w:tc>
          <w:tcPr>
            <w:tcW w:w="1418" w:type="dxa"/>
          </w:tcPr>
          <w:p w:rsidR="00231B41" w:rsidRPr="004B585D" w:rsidRDefault="00231B41" w:rsidP="00D743F8">
            <w:pPr>
              <w:pStyle w:val="table1"/>
              <w:rPr>
                <w:lang w:val="en-US"/>
              </w:rPr>
            </w:pPr>
            <w:r w:rsidRPr="004B585D">
              <w:rPr>
                <w:lang w:val="en-US"/>
              </w:rPr>
              <w:t>14,750</w:t>
            </w:r>
          </w:p>
        </w:tc>
        <w:tc>
          <w:tcPr>
            <w:tcW w:w="1701" w:type="dxa"/>
          </w:tcPr>
          <w:p w:rsidR="00231B41" w:rsidRPr="004B585D" w:rsidRDefault="00231B41" w:rsidP="00D743F8">
            <w:pPr>
              <w:pStyle w:val="table1"/>
              <w:rPr>
                <w:lang w:val="en-US"/>
              </w:rPr>
            </w:pPr>
            <w:r w:rsidRPr="004B585D">
              <w:rPr>
                <w:lang w:val="en-US"/>
              </w:rPr>
              <w:t>100</w:t>
            </w:r>
          </w:p>
        </w:tc>
      </w:tr>
    </w:tbl>
    <w:p w:rsidR="00231B41" w:rsidRDefault="00231B41" w:rsidP="00231B41">
      <w:pPr>
        <w:pStyle w:val="table1"/>
        <w:jc w:val="center"/>
        <w:rPr>
          <w:lang w:val="en-US"/>
        </w:rPr>
      </w:pPr>
    </w:p>
    <w:p w:rsidR="00231B41" w:rsidRPr="00205436" w:rsidRDefault="00231B41" w:rsidP="00231B41">
      <w:pPr>
        <w:pStyle w:val="referencelist1"/>
        <w:ind w:left="0" w:firstLine="0"/>
        <w:rPr>
          <w:snapToGrid w:val="0"/>
          <w:color w:val="000000"/>
          <w:szCs w:val="0"/>
          <w:u w:color="000000"/>
        </w:rPr>
      </w:pPr>
    </w:p>
    <w:p w:rsidR="00231B41" w:rsidRDefault="001B1A06" w:rsidP="00231B41">
      <w:pPr>
        <w:jc w:val="center"/>
        <w:rPr>
          <w:lang w:val="en-US"/>
        </w:rPr>
      </w:pPr>
      <w:r>
        <w:rPr>
          <w:noProof/>
          <w:sz w:val="16"/>
          <w:szCs w:val="16"/>
          <w:lang w:eastAsia="en-AU"/>
        </w:rPr>
        <w:drawing>
          <wp:inline distT="0" distB="0" distL="0" distR="0">
            <wp:extent cx="4140000" cy="3710106"/>
            <wp:effectExtent l="19050" t="0" r="0" b="0"/>
            <wp:docPr id="2" name="Picture 1" descr="Figure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_2.png"/>
                    <pic:cNvPicPr/>
                  </pic:nvPicPr>
                  <pic:blipFill>
                    <a:blip r:embed="rId31" cstate="screen"/>
                    <a:stretch>
                      <a:fillRect/>
                    </a:stretch>
                  </pic:blipFill>
                  <pic:spPr>
                    <a:xfrm>
                      <a:off x="0" y="0"/>
                      <a:ext cx="4140000" cy="3710106"/>
                    </a:xfrm>
                    <a:prstGeom prst="rect">
                      <a:avLst/>
                    </a:prstGeom>
                  </pic:spPr>
                </pic:pic>
              </a:graphicData>
            </a:graphic>
          </wp:inline>
        </w:drawing>
      </w:r>
    </w:p>
    <w:p w:rsidR="00231B41" w:rsidRPr="00A76370" w:rsidRDefault="00231B41" w:rsidP="00A76370">
      <w:pPr>
        <w:pStyle w:val="figurecaption"/>
      </w:pPr>
      <w:bookmarkStart w:id="104" w:name="_Toc390766627"/>
      <w:r w:rsidRPr="00A76370">
        <w:rPr>
          <w:b/>
        </w:rPr>
        <w:t>Figure 2.2</w:t>
      </w:r>
      <w:r w:rsidRPr="00A76370">
        <w:t xml:space="preserve"> Ranger </w:t>
      </w:r>
      <w:proofErr w:type="spellStart"/>
      <w:r w:rsidRPr="00A76370">
        <w:t>minesite</w:t>
      </w:r>
      <w:proofErr w:type="spellEnd"/>
      <w:r w:rsidRPr="00A76370">
        <w:t xml:space="preserve"> showing spatial extent of the slurry spill</w:t>
      </w:r>
      <w:bookmarkEnd w:id="104"/>
      <w:r w:rsidR="004469E5">
        <w:t>.</w:t>
      </w:r>
    </w:p>
    <w:p w:rsidR="00231B41" w:rsidRDefault="00231B41" w:rsidP="00231B41">
      <w:pPr>
        <w:jc w:val="center"/>
        <w:rPr>
          <w:lang w:val="en-US"/>
        </w:rPr>
      </w:pPr>
    </w:p>
    <w:p w:rsidR="00231B41" w:rsidRDefault="00231B41" w:rsidP="00231B41">
      <w:pPr>
        <w:jc w:val="center"/>
        <w:rPr>
          <w:lang w:val="en-US"/>
        </w:rPr>
      </w:pPr>
      <w:r>
        <w:rPr>
          <w:noProof/>
          <w:lang w:eastAsia="en-AU"/>
        </w:rPr>
        <w:drawing>
          <wp:inline distT="0" distB="0" distL="0" distR="0">
            <wp:extent cx="4141323" cy="3769200"/>
            <wp:effectExtent l="19050" t="0" r="0" b="0"/>
            <wp:docPr id="118" name="Picture 121" descr="Figure4_Estimated slurry impact 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_Estimated slurry impact area.png"/>
                    <pic:cNvPicPr/>
                  </pic:nvPicPr>
                  <pic:blipFill>
                    <a:blip r:embed="rId32" cstate="screen"/>
                    <a:stretch>
                      <a:fillRect/>
                    </a:stretch>
                  </pic:blipFill>
                  <pic:spPr>
                    <a:xfrm>
                      <a:off x="0" y="0"/>
                      <a:ext cx="4141323" cy="3769200"/>
                    </a:xfrm>
                    <a:prstGeom prst="rect">
                      <a:avLst/>
                    </a:prstGeom>
                  </pic:spPr>
                </pic:pic>
              </a:graphicData>
            </a:graphic>
          </wp:inline>
        </w:drawing>
      </w:r>
    </w:p>
    <w:p w:rsidR="00231B41" w:rsidRDefault="00231B41" w:rsidP="00231B41">
      <w:pPr>
        <w:pStyle w:val="figurecaption"/>
        <w:rPr>
          <w:lang w:val="en-US"/>
        </w:rPr>
      </w:pPr>
      <w:bookmarkStart w:id="105" w:name="_Toc390766628"/>
      <w:r w:rsidRPr="00231B41">
        <w:rPr>
          <w:b/>
          <w:lang w:val="en-US"/>
        </w:rPr>
        <w:t>Figure 2.3</w:t>
      </w:r>
      <w:r>
        <w:rPr>
          <w:lang w:val="en-US"/>
        </w:rPr>
        <w:t xml:space="preserve"> Slurry spill area by groundcover type</w:t>
      </w:r>
      <w:r w:rsidR="007D08F3">
        <w:rPr>
          <w:lang w:val="en-US"/>
        </w:rPr>
        <w:t xml:space="preserve"> (ERA data)</w:t>
      </w:r>
      <w:bookmarkEnd w:id="105"/>
      <w:r w:rsidR="004469E5">
        <w:rPr>
          <w:lang w:val="en-US"/>
        </w:rPr>
        <w:t>.</w:t>
      </w:r>
    </w:p>
    <w:p w:rsidR="00231B41" w:rsidRPr="00922C3C" w:rsidRDefault="00231B41" w:rsidP="00231B41">
      <w:pPr>
        <w:pStyle w:val="referencelist1"/>
        <w:ind w:left="0" w:firstLine="0"/>
        <w:rPr>
          <w:snapToGrid w:val="0"/>
          <w:color w:val="000000"/>
          <w:szCs w:val="0"/>
          <w:u w:color="000000"/>
        </w:rPr>
      </w:pPr>
      <w:r w:rsidRPr="00922C3C">
        <w:rPr>
          <w:snapToGrid w:val="0"/>
          <w:color w:val="000000"/>
          <w:szCs w:val="0"/>
          <w:u w:color="000000"/>
        </w:rPr>
        <w:t>A</w:t>
      </w:r>
      <w:r>
        <w:rPr>
          <w:snapToGrid w:val="0"/>
          <w:color w:val="000000"/>
          <w:szCs w:val="0"/>
          <w:u w:color="000000"/>
        </w:rPr>
        <w:t>n</w:t>
      </w:r>
      <w:r w:rsidRPr="00922C3C">
        <w:rPr>
          <w:snapToGrid w:val="0"/>
          <w:color w:val="000000"/>
          <w:szCs w:val="0"/>
          <w:u w:color="000000"/>
        </w:rPr>
        <w:t xml:space="preserve"> assessment of the </w:t>
      </w:r>
      <w:r>
        <w:rPr>
          <w:snapToGrid w:val="0"/>
          <w:color w:val="000000"/>
          <w:szCs w:val="0"/>
          <w:u w:color="000000"/>
        </w:rPr>
        <w:t>level of slurry in</w:t>
      </w:r>
      <w:r w:rsidRPr="00922C3C">
        <w:rPr>
          <w:snapToGrid w:val="0"/>
          <w:color w:val="000000"/>
          <w:szCs w:val="0"/>
          <w:u w:color="000000"/>
        </w:rPr>
        <w:t xml:space="preserve"> the leach tank bund immediately afte</w:t>
      </w:r>
      <w:r>
        <w:rPr>
          <w:snapToGrid w:val="0"/>
          <w:color w:val="000000"/>
          <w:szCs w:val="0"/>
          <w:u w:color="000000"/>
        </w:rPr>
        <w:t>r the incident suggests that the</w:t>
      </w:r>
      <w:r w:rsidRPr="00922C3C">
        <w:rPr>
          <w:snapToGrid w:val="0"/>
          <w:color w:val="000000"/>
          <w:szCs w:val="0"/>
          <w:u w:color="000000"/>
        </w:rPr>
        <w:t xml:space="preserve"> bund </w:t>
      </w:r>
      <w:r>
        <w:rPr>
          <w:snapToGrid w:val="0"/>
          <w:color w:val="000000"/>
          <w:szCs w:val="0"/>
          <w:u w:color="000000"/>
        </w:rPr>
        <w:t>was approximately half filled (F</w:t>
      </w:r>
      <w:r w:rsidRPr="00922C3C">
        <w:rPr>
          <w:snapToGrid w:val="0"/>
          <w:color w:val="000000"/>
          <w:szCs w:val="0"/>
          <w:u w:color="000000"/>
        </w:rPr>
        <w:t xml:space="preserve">igure </w:t>
      </w:r>
      <w:r>
        <w:rPr>
          <w:snapToGrid w:val="0"/>
          <w:color w:val="000000"/>
          <w:szCs w:val="0"/>
          <w:u w:color="000000"/>
        </w:rPr>
        <w:t>2.4</w:t>
      </w:r>
      <w:r w:rsidRPr="00922C3C">
        <w:rPr>
          <w:snapToGrid w:val="0"/>
          <w:color w:val="000000"/>
          <w:szCs w:val="0"/>
          <w:u w:color="000000"/>
        </w:rPr>
        <w:t>). The leach tank bund capacity is 1666 m</w:t>
      </w:r>
      <w:r w:rsidRPr="004B585D">
        <w:rPr>
          <w:snapToGrid w:val="0"/>
          <w:color w:val="000000"/>
          <w:position w:val="6"/>
          <w:sz w:val="16"/>
          <w:szCs w:val="0"/>
          <w:u w:color="000000"/>
        </w:rPr>
        <w:t>3</w:t>
      </w:r>
      <w:r w:rsidRPr="00922C3C">
        <w:rPr>
          <w:snapToGrid w:val="0"/>
          <w:color w:val="000000"/>
          <w:szCs w:val="0"/>
          <w:u w:color="000000"/>
        </w:rPr>
        <w:t xml:space="preserve"> </w:t>
      </w:r>
      <w:r w:rsidR="007D08F3">
        <w:rPr>
          <w:snapToGrid w:val="0"/>
          <w:color w:val="000000"/>
          <w:szCs w:val="0"/>
          <w:u w:color="000000"/>
        </w:rPr>
        <w:t xml:space="preserve">(ERA data) </w:t>
      </w:r>
      <w:r w:rsidRPr="00922C3C">
        <w:rPr>
          <w:snapToGrid w:val="0"/>
          <w:color w:val="000000"/>
          <w:szCs w:val="0"/>
          <w:u w:color="000000"/>
        </w:rPr>
        <w:t>and therefore it is estimated</w:t>
      </w:r>
      <w:r>
        <w:rPr>
          <w:snapToGrid w:val="0"/>
          <w:color w:val="000000"/>
          <w:szCs w:val="0"/>
          <w:u w:color="000000"/>
        </w:rPr>
        <w:t xml:space="preserve"> approximately</w:t>
      </w:r>
      <w:r w:rsidRPr="00922C3C">
        <w:rPr>
          <w:snapToGrid w:val="0"/>
          <w:color w:val="000000"/>
          <w:szCs w:val="0"/>
          <w:u w:color="000000"/>
        </w:rPr>
        <w:t xml:space="preserve"> </w:t>
      </w:r>
      <w:r w:rsidR="00CE252F">
        <w:rPr>
          <w:snapToGrid w:val="0"/>
          <w:color w:val="000000"/>
          <w:szCs w:val="0"/>
          <w:u w:color="000000"/>
        </w:rPr>
        <w:t>700-</w:t>
      </w:r>
      <w:r w:rsidRPr="00922C3C">
        <w:rPr>
          <w:snapToGrid w:val="0"/>
          <w:color w:val="000000"/>
          <w:szCs w:val="0"/>
          <w:u w:color="000000"/>
        </w:rPr>
        <w:t>8</w:t>
      </w:r>
      <w:r>
        <w:rPr>
          <w:snapToGrid w:val="0"/>
          <w:color w:val="000000"/>
          <w:szCs w:val="0"/>
          <w:u w:color="000000"/>
        </w:rPr>
        <w:t>00</w:t>
      </w:r>
      <w:r w:rsidRPr="00922C3C">
        <w:rPr>
          <w:snapToGrid w:val="0"/>
          <w:color w:val="000000"/>
          <w:szCs w:val="0"/>
          <w:u w:color="000000"/>
        </w:rPr>
        <w:t xml:space="preserve"> m</w:t>
      </w:r>
      <w:r w:rsidRPr="004B585D">
        <w:rPr>
          <w:snapToGrid w:val="0"/>
          <w:color w:val="000000"/>
          <w:position w:val="6"/>
          <w:sz w:val="16"/>
          <w:szCs w:val="0"/>
          <w:u w:color="000000"/>
        </w:rPr>
        <w:t>3</w:t>
      </w:r>
      <w:r w:rsidRPr="00922C3C">
        <w:rPr>
          <w:snapToGrid w:val="0"/>
          <w:color w:val="000000"/>
          <w:szCs w:val="0"/>
          <w:u w:color="000000"/>
        </w:rPr>
        <w:t xml:space="preserve"> of slurry </w:t>
      </w:r>
      <w:r>
        <w:rPr>
          <w:snapToGrid w:val="0"/>
          <w:color w:val="000000"/>
          <w:szCs w:val="0"/>
          <w:u w:color="000000"/>
        </w:rPr>
        <w:t>was retained in</w:t>
      </w:r>
      <w:r w:rsidRPr="00922C3C">
        <w:rPr>
          <w:snapToGrid w:val="0"/>
          <w:color w:val="000000"/>
          <w:szCs w:val="0"/>
          <w:u w:color="000000"/>
        </w:rPr>
        <w:t xml:space="preserve"> the bund with the remaining </w:t>
      </w:r>
      <w:r>
        <w:rPr>
          <w:snapToGrid w:val="0"/>
          <w:color w:val="000000"/>
          <w:szCs w:val="0"/>
          <w:u w:color="000000"/>
        </w:rPr>
        <w:t>600</w:t>
      </w:r>
      <w:r w:rsidR="00CE252F">
        <w:rPr>
          <w:snapToGrid w:val="0"/>
          <w:color w:val="000000"/>
          <w:szCs w:val="0"/>
          <w:u w:color="000000"/>
        </w:rPr>
        <w:t>-700</w:t>
      </w:r>
      <w:r w:rsidRPr="00922C3C">
        <w:rPr>
          <w:snapToGrid w:val="0"/>
          <w:color w:val="000000"/>
          <w:szCs w:val="0"/>
          <w:u w:color="000000"/>
        </w:rPr>
        <w:t xml:space="preserve"> m</w:t>
      </w:r>
      <w:r w:rsidRPr="004B585D">
        <w:rPr>
          <w:snapToGrid w:val="0"/>
          <w:color w:val="000000"/>
          <w:position w:val="6"/>
          <w:sz w:val="16"/>
          <w:szCs w:val="0"/>
          <w:u w:color="000000"/>
        </w:rPr>
        <w:t>3</w:t>
      </w:r>
      <w:r>
        <w:rPr>
          <w:snapToGrid w:val="0"/>
          <w:color w:val="000000"/>
          <w:szCs w:val="0"/>
          <w:u w:color="000000"/>
        </w:rPr>
        <w:t xml:space="preserve"> spilling outside the bund.</w:t>
      </w:r>
    </w:p>
    <w:p w:rsidR="00231B41" w:rsidRDefault="00231B41" w:rsidP="00231B41">
      <w:pPr>
        <w:rPr>
          <w:lang w:val="en-US"/>
        </w:rPr>
      </w:pPr>
    </w:p>
    <w:p w:rsidR="00231B41" w:rsidRDefault="00231B41" w:rsidP="00231B41">
      <w:pPr>
        <w:jc w:val="center"/>
        <w:rPr>
          <w:lang w:val="en-US"/>
        </w:rPr>
      </w:pPr>
      <w:r>
        <w:rPr>
          <w:noProof/>
          <w:lang w:eastAsia="en-AU"/>
        </w:rPr>
        <w:drawing>
          <wp:inline distT="0" distB="0" distL="0" distR="0">
            <wp:extent cx="2422980" cy="2830665"/>
            <wp:effectExtent l="19050" t="0" r="0" b="0"/>
            <wp:docPr id="1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screen"/>
                    <a:srcRect/>
                    <a:stretch>
                      <a:fillRect/>
                    </a:stretch>
                  </pic:blipFill>
                  <pic:spPr bwMode="auto">
                    <a:xfrm>
                      <a:off x="0" y="0"/>
                      <a:ext cx="2425556" cy="2833675"/>
                    </a:xfrm>
                    <a:prstGeom prst="rect">
                      <a:avLst/>
                    </a:prstGeom>
                    <a:noFill/>
                    <a:ln w="9525">
                      <a:noFill/>
                      <a:miter lim="800000"/>
                      <a:headEnd/>
                      <a:tailEnd/>
                    </a:ln>
                  </pic:spPr>
                </pic:pic>
              </a:graphicData>
            </a:graphic>
          </wp:inline>
        </w:drawing>
      </w:r>
    </w:p>
    <w:p w:rsidR="00231B41" w:rsidRDefault="00231B41" w:rsidP="00231B41">
      <w:pPr>
        <w:pStyle w:val="figurecaption"/>
        <w:rPr>
          <w:lang w:val="en-US"/>
        </w:rPr>
      </w:pPr>
      <w:bookmarkStart w:id="106" w:name="_Toc390264139"/>
      <w:bookmarkStart w:id="107" w:name="_Toc390766629"/>
      <w:r w:rsidRPr="00231B41">
        <w:rPr>
          <w:b/>
          <w:lang w:val="en-US"/>
        </w:rPr>
        <w:t xml:space="preserve">Figure </w:t>
      </w:r>
      <w:proofErr w:type="gramStart"/>
      <w:r w:rsidRPr="00231B41">
        <w:rPr>
          <w:b/>
          <w:lang w:val="en-US"/>
        </w:rPr>
        <w:t>2.4</w:t>
      </w:r>
      <w:r>
        <w:rPr>
          <w:lang w:val="en-US"/>
        </w:rPr>
        <w:t xml:space="preserve"> Leach tank bund </w:t>
      </w:r>
      <w:bookmarkEnd w:id="106"/>
      <w:r>
        <w:rPr>
          <w:lang w:val="en-US"/>
        </w:rPr>
        <w:t>following the failure of Leach Tank 1</w:t>
      </w:r>
      <w:bookmarkEnd w:id="107"/>
      <w:proofErr w:type="gramEnd"/>
      <w:r w:rsidR="004469E5">
        <w:rPr>
          <w:lang w:val="en-US"/>
        </w:rPr>
        <w:t>.</w:t>
      </w:r>
    </w:p>
    <w:p w:rsidR="00231B41" w:rsidRDefault="00231B41" w:rsidP="00231B41">
      <w:pPr>
        <w:pStyle w:val="Heading2"/>
      </w:pPr>
      <w:bookmarkStart w:id="108" w:name="_Toc390766577"/>
      <w:r>
        <w:t>2.5 Cleanup operation</w:t>
      </w:r>
      <w:bookmarkEnd w:id="108"/>
    </w:p>
    <w:p w:rsidR="00732468" w:rsidRDefault="00231B41" w:rsidP="00732468">
      <w:pPr>
        <w:pStyle w:val="referencelist1"/>
        <w:ind w:left="0" w:firstLine="0"/>
      </w:pPr>
      <w:r>
        <w:t>Following the failure of Leach Tank 1</w:t>
      </w:r>
      <w:r w:rsidR="00732468">
        <w:t>,</w:t>
      </w:r>
      <w:r>
        <w:t xml:space="preserve"> drains in the plant area were closed with sandbags and earthen bunds to prevent any further transport of slurry to </w:t>
      </w:r>
      <w:r w:rsidR="001013D4">
        <w:t>RP2</w:t>
      </w:r>
      <w:r>
        <w:t>. This work was completed prior to Supervising Scientist staff arriving on site on the morning of 7 December.</w:t>
      </w:r>
    </w:p>
    <w:p w:rsidR="00732468" w:rsidRDefault="00732468" w:rsidP="00732468">
      <w:pPr>
        <w:pStyle w:val="referencelist1"/>
        <w:ind w:left="0" w:firstLine="0"/>
      </w:pPr>
      <w:r>
        <w:t>Soil was then spread over the slurry to absorb any liquid and then scraped up by bob-cat for removal as shown in Figure 2.5.</w:t>
      </w:r>
    </w:p>
    <w:p w:rsidR="00732468" w:rsidRDefault="00732468" w:rsidP="00732468">
      <w:pPr>
        <w:pStyle w:val="referencelist1"/>
        <w:ind w:left="0" w:firstLine="0"/>
      </w:pPr>
      <w:r>
        <w:t>Once scraped the areas were then washed down with water collected and removed via vacuum truck for disposal to the tailings dam.</w:t>
      </w:r>
    </w:p>
    <w:p w:rsidR="00732468" w:rsidRDefault="00732468" w:rsidP="00732468">
      <w:pPr>
        <w:pStyle w:val="referencelist1"/>
        <w:ind w:left="0" w:firstLine="0"/>
      </w:pPr>
      <w:r>
        <w:t>With the exception of the exclusion zone established around the failed tank, the major cleanup activities were completed within 4 days and were inspected by stakeholders on 12 December 2013.</w:t>
      </w:r>
    </w:p>
    <w:p w:rsidR="00231B41" w:rsidRDefault="00231B41" w:rsidP="00231B41">
      <w:pPr>
        <w:pStyle w:val="referencelist1"/>
        <w:ind w:left="0" w:firstLine="0"/>
      </w:pPr>
    </w:p>
    <w:p w:rsidR="00231B41" w:rsidRDefault="00231B41" w:rsidP="00231B41">
      <w:pPr>
        <w:pStyle w:val="referencelist1"/>
        <w:ind w:left="0" w:firstLine="0"/>
        <w:jc w:val="center"/>
      </w:pPr>
      <w:r>
        <w:rPr>
          <w:noProof/>
          <w:lang w:eastAsia="en-AU"/>
        </w:rPr>
        <w:drawing>
          <wp:inline distT="0" distB="0" distL="0" distR="0">
            <wp:extent cx="3600000" cy="2698895"/>
            <wp:effectExtent l="19050" t="0" r="450" b="0"/>
            <wp:docPr id="120" name="Picture 1" descr="S:\PROGRAM GROUPS\SAP\SAP Pics\Ranger Acid Leachate Tank Incident\20131212 RPI\P100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GRAM GROUPS\SAP\SAP Pics\Ranger Acid Leachate Tank Incident\20131212 RPI\P1000649.JPG"/>
                    <pic:cNvPicPr>
                      <a:picLocks noChangeAspect="1" noChangeArrowheads="1"/>
                    </pic:cNvPicPr>
                  </pic:nvPicPr>
                  <pic:blipFill>
                    <a:blip r:embed="rId34" cstate="screen"/>
                    <a:srcRect/>
                    <a:stretch>
                      <a:fillRect/>
                    </a:stretch>
                  </pic:blipFill>
                  <pic:spPr bwMode="auto">
                    <a:xfrm>
                      <a:off x="0" y="0"/>
                      <a:ext cx="3600000" cy="2698895"/>
                    </a:xfrm>
                    <a:prstGeom prst="rect">
                      <a:avLst/>
                    </a:prstGeom>
                    <a:noFill/>
                    <a:ln w="9525">
                      <a:noFill/>
                      <a:miter lim="800000"/>
                      <a:headEnd/>
                      <a:tailEnd/>
                    </a:ln>
                  </pic:spPr>
                </pic:pic>
              </a:graphicData>
            </a:graphic>
          </wp:inline>
        </w:drawing>
      </w:r>
    </w:p>
    <w:p w:rsidR="00231B41" w:rsidRDefault="00231B41" w:rsidP="00231B41">
      <w:pPr>
        <w:pStyle w:val="figurecaption"/>
        <w:rPr>
          <w:lang w:val="en-US"/>
        </w:rPr>
      </w:pPr>
      <w:bookmarkStart w:id="109" w:name="_Toc390766630"/>
      <w:r w:rsidRPr="00231B41">
        <w:rPr>
          <w:b/>
          <w:lang w:val="en-US"/>
        </w:rPr>
        <w:t>Figure 2.5</w:t>
      </w:r>
      <w:r>
        <w:rPr>
          <w:lang w:val="en-US"/>
        </w:rPr>
        <w:t xml:space="preserve"> Scraped verge following cleanup</w:t>
      </w:r>
      <w:bookmarkEnd w:id="109"/>
      <w:r w:rsidR="004469E5">
        <w:rPr>
          <w:lang w:val="en-US"/>
        </w:rPr>
        <w:t>.</w:t>
      </w:r>
    </w:p>
    <w:p w:rsidR="00863B62" w:rsidRDefault="00863B62">
      <w:pPr>
        <w:spacing w:after="0" w:line="240" w:lineRule="auto"/>
        <w:jc w:val="left"/>
        <w:rPr>
          <w:rFonts w:ascii="Arial" w:hAnsi="Arial"/>
          <w:b/>
          <w:sz w:val="36"/>
        </w:rPr>
      </w:pPr>
      <w:bookmarkStart w:id="110" w:name="_Toc390433000"/>
      <w:r>
        <w:br w:type="page"/>
      </w:r>
    </w:p>
    <w:p w:rsidR="00863B62" w:rsidRDefault="00863B62" w:rsidP="00863B62">
      <w:pPr>
        <w:pStyle w:val="Heading1"/>
        <w:spacing w:after="400"/>
      </w:pPr>
      <w:bookmarkStart w:id="111" w:name="_Toc390766578"/>
      <w:proofErr w:type="gramStart"/>
      <w:r>
        <w:t>3  Supervising</w:t>
      </w:r>
      <w:proofErr w:type="gramEnd"/>
      <w:r>
        <w:t xml:space="preserve"> Scientist Division Response</w:t>
      </w:r>
      <w:bookmarkEnd w:id="110"/>
      <w:bookmarkEnd w:id="111"/>
    </w:p>
    <w:p w:rsidR="00863B62" w:rsidRPr="009140B4" w:rsidRDefault="00863B62" w:rsidP="00863B62">
      <w:r w:rsidRPr="009140B4">
        <w:t>Potential pathways for environmental impacts were evaluated in conjunction with the initial response detailed in Section 3.</w:t>
      </w:r>
      <w:r w:rsidR="007D08F3">
        <w:t>1</w:t>
      </w:r>
      <w:r w:rsidRPr="009140B4">
        <w:t>. The critical pathways were broadly grouped into the following categories:</w:t>
      </w:r>
    </w:p>
    <w:p w:rsidR="00863B62" w:rsidRPr="009140B4" w:rsidRDefault="00863B62" w:rsidP="00FB7011">
      <w:pPr>
        <w:pStyle w:val="ListBullet"/>
      </w:pPr>
      <w:r w:rsidRPr="009140B4">
        <w:t>Surface water</w:t>
      </w:r>
    </w:p>
    <w:p w:rsidR="00863B62" w:rsidRPr="009140B4" w:rsidRDefault="00863B62" w:rsidP="00FB7011">
      <w:pPr>
        <w:pStyle w:val="ListBullet"/>
      </w:pPr>
      <w:r>
        <w:t>Groundwater, and</w:t>
      </w:r>
    </w:p>
    <w:p w:rsidR="00863B62" w:rsidRPr="009140B4" w:rsidRDefault="00863B62" w:rsidP="00FB7011">
      <w:pPr>
        <w:pStyle w:val="ListBullet"/>
      </w:pPr>
      <w:r>
        <w:t>Radiological.</w:t>
      </w:r>
    </w:p>
    <w:p w:rsidR="00863B62" w:rsidRDefault="00863B62" w:rsidP="00863B62">
      <w:pPr>
        <w:pStyle w:val="Heading2"/>
        <w:shd w:val="clear" w:color="auto" w:fill="FFFFFF" w:themeFill="background1"/>
      </w:pPr>
      <w:bookmarkStart w:id="112" w:name="_Toc390433001"/>
      <w:bookmarkStart w:id="113" w:name="_Toc390766579"/>
      <w:proofErr w:type="gramStart"/>
      <w:r w:rsidRPr="004774CE">
        <w:t>3.1  Initial</w:t>
      </w:r>
      <w:proofErr w:type="gramEnd"/>
      <w:r w:rsidRPr="004774CE">
        <w:t xml:space="preserve"> response</w:t>
      </w:r>
      <w:bookmarkEnd w:id="112"/>
      <w:bookmarkEnd w:id="113"/>
    </w:p>
    <w:p w:rsidR="00863B62" w:rsidRDefault="00863B62" w:rsidP="00863B62">
      <w:pPr>
        <w:pStyle w:val="Heading3"/>
      </w:pPr>
      <w:bookmarkStart w:id="114" w:name="_Toc390433002"/>
      <w:bookmarkStart w:id="115" w:name="_Toc390766580"/>
      <w:r w:rsidRPr="004774CE">
        <w:t xml:space="preserve">3.1.1 SSD </w:t>
      </w:r>
      <w:r w:rsidR="00F77719">
        <w:t>initial</w:t>
      </w:r>
      <w:r w:rsidRPr="004774CE">
        <w:t xml:space="preserve"> </w:t>
      </w:r>
      <w:r w:rsidR="004826EE">
        <w:t>s</w:t>
      </w:r>
      <w:r w:rsidRPr="004774CE">
        <w:t xml:space="preserve">ite </w:t>
      </w:r>
      <w:r w:rsidR="004826EE">
        <w:t>i</w:t>
      </w:r>
      <w:r w:rsidRPr="004774CE">
        <w:t>nspection</w:t>
      </w:r>
      <w:bookmarkEnd w:id="114"/>
      <w:bookmarkEnd w:id="115"/>
    </w:p>
    <w:p w:rsidR="00863B62" w:rsidRPr="007977A9" w:rsidRDefault="00863B62" w:rsidP="00863B62">
      <w:pPr>
        <w:rPr>
          <w:i/>
        </w:rPr>
      </w:pPr>
      <w:r w:rsidRPr="007977A9">
        <w:rPr>
          <w:i/>
        </w:rPr>
        <w:t xml:space="preserve">Saturday 7 December 2013 </w:t>
      </w:r>
    </w:p>
    <w:p w:rsidR="00863B62" w:rsidRPr="009140B4" w:rsidRDefault="00863B62" w:rsidP="00863B62">
      <w:r w:rsidRPr="009140B4">
        <w:t xml:space="preserve">Representatives from SSD </w:t>
      </w:r>
      <w:r w:rsidRPr="007977A9">
        <w:t>Jabiru Field Station</w:t>
      </w:r>
      <w:r w:rsidR="00A42088">
        <w:t xml:space="preserve"> (JFS)</w:t>
      </w:r>
      <w:r w:rsidRPr="007977A9">
        <w:t xml:space="preserve">, Northern Land Council (NLC) and </w:t>
      </w:r>
      <w:proofErr w:type="spellStart"/>
      <w:r w:rsidRPr="007977A9">
        <w:t>Gundjeihmi</w:t>
      </w:r>
      <w:proofErr w:type="spellEnd"/>
      <w:r w:rsidRPr="007977A9">
        <w:t xml:space="preserve"> Aboriginal Corporation (GAC) inspected</w:t>
      </w:r>
      <w:r w:rsidRPr="009140B4">
        <w:t xml:space="preserve"> various areas of the site around the failed leach tank and observed that slurry from the leach tank had filled low lying areas such as roads and drains and flowed in a north westerly direction for approximately 200m </w:t>
      </w:r>
      <w:r w:rsidRPr="00F77719">
        <w:t xml:space="preserve">(Figure 3.1 </w:t>
      </w:r>
      <w:r w:rsidRPr="00F77719">
        <w:rPr>
          <w:shd w:val="clear" w:color="auto" w:fill="FFFFFF" w:themeFill="background1"/>
        </w:rPr>
        <w:t>and Figure</w:t>
      </w:r>
      <w:r w:rsidRPr="00F77719">
        <w:t xml:space="preserve"> 3.2).</w:t>
      </w:r>
      <w:r w:rsidRPr="009140B4">
        <w:t xml:space="preserve"> </w:t>
      </w:r>
    </w:p>
    <w:p w:rsidR="00863B62" w:rsidRDefault="00863B62" w:rsidP="00863B6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4"/>
        <w:gridCol w:w="4258"/>
      </w:tblGrid>
      <w:tr w:rsidR="00863B62" w:rsidTr="00001E43">
        <w:tc>
          <w:tcPr>
            <w:tcW w:w="4261" w:type="dxa"/>
          </w:tcPr>
          <w:p w:rsidR="00863B62" w:rsidRDefault="00863B62" w:rsidP="00001E43">
            <w:r w:rsidRPr="00F53AA0">
              <w:rPr>
                <w:noProof/>
                <w:lang w:eastAsia="en-AU"/>
              </w:rPr>
              <w:drawing>
                <wp:inline distT="0" distB="0" distL="0" distR="0">
                  <wp:extent cx="2576477" cy="1929600"/>
                  <wp:effectExtent l="19050" t="0" r="0" b="0"/>
                  <wp:docPr id="1" name="Picture 6" descr="P103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325.JPG"/>
                          <pic:cNvPicPr/>
                        </pic:nvPicPr>
                        <pic:blipFill>
                          <a:blip r:embed="rId35" cstate="screen"/>
                          <a:stretch>
                            <a:fillRect/>
                          </a:stretch>
                        </pic:blipFill>
                        <pic:spPr>
                          <a:xfrm>
                            <a:off x="0" y="0"/>
                            <a:ext cx="2576477" cy="1929600"/>
                          </a:xfrm>
                          <a:prstGeom prst="rect">
                            <a:avLst/>
                          </a:prstGeom>
                        </pic:spPr>
                      </pic:pic>
                    </a:graphicData>
                  </a:graphic>
                </wp:inline>
              </w:drawing>
            </w:r>
          </w:p>
        </w:tc>
        <w:tc>
          <w:tcPr>
            <w:tcW w:w="4261" w:type="dxa"/>
          </w:tcPr>
          <w:p w:rsidR="00863B62" w:rsidRDefault="00863B62" w:rsidP="00001E43">
            <w:r w:rsidRPr="00FE2D92">
              <w:rPr>
                <w:noProof/>
                <w:lang w:eastAsia="en-AU"/>
              </w:rPr>
              <w:drawing>
                <wp:inline distT="0" distB="0" distL="0" distR="0">
                  <wp:extent cx="2572389" cy="1929600"/>
                  <wp:effectExtent l="19050" t="0" r="0" b="0"/>
                  <wp:docPr id="6" name="Picture 7" descr="P103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343.JPG"/>
                          <pic:cNvPicPr/>
                        </pic:nvPicPr>
                        <pic:blipFill>
                          <a:blip r:embed="rId36" cstate="screen"/>
                          <a:stretch>
                            <a:fillRect/>
                          </a:stretch>
                        </pic:blipFill>
                        <pic:spPr>
                          <a:xfrm>
                            <a:off x="0" y="0"/>
                            <a:ext cx="2572389" cy="1929600"/>
                          </a:xfrm>
                          <a:prstGeom prst="rect">
                            <a:avLst/>
                          </a:prstGeom>
                        </pic:spPr>
                      </pic:pic>
                    </a:graphicData>
                  </a:graphic>
                </wp:inline>
              </w:drawing>
            </w:r>
          </w:p>
        </w:tc>
      </w:tr>
      <w:tr w:rsidR="00863B62" w:rsidTr="00001E43">
        <w:tc>
          <w:tcPr>
            <w:tcW w:w="4261" w:type="dxa"/>
          </w:tcPr>
          <w:p w:rsidR="00863B62" w:rsidRDefault="00863B62" w:rsidP="00001E43">
            <w:pPr>
              <w:pStyle w:val="figurecaption"/>
            </w:pPr>
            <w:bookmarkStart w:id="116" w:name="_Toc390264140"/>
            <w:bookmarkStart w:id="117" w:name="_Toc390433247"/>
            <w:bookmarkStart w:id="118" w:name="_Toc390766631"/>
            <w:r w:rsidRPr="00E83DBF">
              <w:rPr>
                <w:b/>
              </w:rPr>
              <w:t xml:space="preserve">Figure </w:t>
            </w:r>
            <w:proofErr w:type="gramStart"/>
            <w:r w:rsidRPr="00E83DBF">
              <w:rPr>
                <w:b/>
              </w:rPr>
              <w:t>3.1</w:t>
            </w:r>
            <w:r>
              <w:t xml:space="preserve">  L</w:t>
            </w:r>
            <w:r w:rsidRPr="00C80B5D">
              <w:t>ooking</w:t>
            </w:r>
            <w:proofErr w:type="gramEnd"/>
            <w:r w:rsidRPr="00C80B5D">
              <w:t xml:space="preserve"> south east at the</w:t>
            </w:r>
            <w:r>
              <w:t xml:space="preserve"> failed</w:t>
            </w:r>
            <w:r w:rsidRPr="00C80B5D">
              <w:t xml:space="preserve"> tank from the end of the slurry flow</w:t>
            </w:r>
            <w:bookmarkEnd w:id="116"/>
            <w:bookmarkEnd w:id="117"/>
            <w:bookmarkEnd w:id="118"/>
            <w:r w:rsidR="004469E5">
              <w:t>.</w:t>
            </w:r>
          </w:p>
        </w:tc>
        <w:tc>
          <w:tcPr>
            <w:tcW w:w="4261" w:type="dxa"/>
          </w:tcPr>
          <w:p w:rsidR="00863B62" w:rsidRDefault="00863B62" w:rsidP="00001E43">
            <w:pPr>
              <w:pStyle w:val="figurecaption"/>
            </w:pPr>
            <w:bookmarkStart w:id="119" w:name="_Toc390264141"/>
            <w:bookmarkStart w:id="120" w:name="_Toc390433248"/>
            <w:bookmarkStart w:id="121" w:name="_Toc390766632"/>
            <w:r w:rsidRPr="00E83DBF">
              <w:rPr>
                <w:b/>
              </w:rPr>
              <w:t xml:space="preserve">Figure </w:t>
            </w:r>
            <w:proofErr w:type="gramStart"/>
            <w:r w:rsidRPr="00E83DBF">
              <w:rPr>
                <w:b/>
              </w:rPr>
              <w:t>3.2</w:t>
            </w:r>
            <w:r w:rsidRPr="00C80B5D">
              <w:t xml:space="preserve">  Lateral</w:t>
            </w:r>
            <w:proofErr w:type="gramEnd"/>
            <w:r w:rsidRPr="00C80B5D">
              <w:t xml:space="preserve"> spread of the slurry in low lying areas</w:t>
            </w:r>
            <w:bookmarkEnd w:id="119"/>
            <w:bookmarkEnd w:id="120"/>
            <w:bookmarkEnd w:id="121"/>
            <w:r w:rsidR="004469E5">
              <w:t>.</w:t>
            </w:r>
          </w:p>
        </w:tc>
      </w:tr>
    </w:tbl>
    <w:p w:rsidR="00863B62" w:rsidRPr="00954CD8" w:rsidRDefault="00863B62" w:rsidP="00FB7011">
      <w:r>
        <w:t xml:space="preserve">The ERA Water </w:t>
      </w:r>
      <w:r w:rsidRPr="00954CD8">
        <w:t xml:space="preserve">Management Team had not reported any visual evidence of slurry in </w:t>
      </w:r>
      <w:r w:rsidR="001013D4">
        <w:t>RP2</w:t>
      </w:r>
      <w:r w:rsidRPr="00954CD8">
        <w:t>. ERA advised that they intended to use earthen bunds to control any runoff from rainfall.</w:t>
      </w:r>
    </w:p>
    <w:p w:rsidR="00863B62" w:rsidRPr="009140B4" w:rsidRDefault="00863B62" w:rsidP="00FB7011">
      <w:r w:rsidRPr="00954CD8">
        <w:t xml:space="preserve">ERA was spreading and mixing cracker dust over the slurry on the roads so that it could then be removed to Pit 1 for disposal. The ERA radiological team was required to sample and clear areas prior to </w:t>
      </w:r>
      <w:r>
        <w:t>cleanup</w:t>
      </w:r>
      <w:r w:rsidRPr="009140B4">
        <w:t xml:space="preserve"> operations.</w:t>
      </w:r>
    </w:p>
    <w:p w:rsidR="00863B62" w:rsidRPr="009140B4" w:rsidRDefault="00863B62" w:rsidP="00FB7011">
      <w:r w:rsidRPr="009140B4">
        <w:t>Samples were obtained</w:t>
      </w:r>
      <w:r>
        <w:t xml:space="preserve"> by SSD</w:t>
      </w:r>
      <w:r w:rsidRPr="009140B4">
        <w:t xml:space="preserve"> from the upstream and downstream Magela Creek</w:t>
      </w:r>
      <w:r w:rsidR="00732468">
        <w:t xml:space="preserve"> water quality</w:t>
      </w:r>
      <w:r w:rsidRPr="009140B4">
        <w:t xml:space="preserve"> monitoring sites and dispatched for </w:t>
      </w:r>
      <w:r w:rsidR="007F1420" w:rsidRPr="007F1420">
        <w:rPr>
          <w:snapToGrid w:val="0"/>
          <w:color w:val="000000"/>
          <w:position w:val="5"/>
          <w:sz w:val="15"/>
          <w:szCs w:val="0"/>
          <w:u w:color="000000"/>
        </w:rPr>
        <w:t>226</w:t>
      </w:r>
      <w:r w:rsidR="007F1420" w:rsidRPr="007F1420">
        <w:t>Ra</w:t>
      </w:r>
      <w:r w:rsidRPr="009140B4">
        <w:t>, total metals and filterable metals analysis.</w:t>
      </w:r>
    </w:p>
    <w:p w:rsidR="00A42088" w:rsidRDefault="00A42088">
      <w:pPr>
        <w:spacing w:after="0" w:line="240" w:lineRule="auto"/>
        <w:jc w:val="left"/>
        <w:rPr>
          <w:rFonts w:ascii="Arial" w:hAnsi="Arial"/>
          <w:b/>
          <w:sz w:val="24"/>
        </w:rPr>
      </w:pPr>
      <w:bookmarkStart w:id="122" w:name="_Toc390433003"/>
      <w:r>
        <w:br w:type="page"/>
      </w:r>
    </w:p>
    <w:p w:rsidR="00863B62" w:rsidRDefault="00863B62" w:rsidP="00863B62">
      <w:pPr>
        <w:pStyle w:val="Heading3"/>
      </w:pPr>
      <w:bookmarkStart w:id="123" w:name="_Toc390766581"/>
      <w:r w:rsidRPr="004774CE">
        <w:t>3.1.2 Supervising Scientist</w:t>
      </w:r>
      <w:r w:rsidR="004826EE">
        <w:t>’s</w:t>
      </w:r>
      <w:r w:rsidRPr="004774CE">
        <w:t xml:space="preserve"> </w:t>
      </w:r>
      <w:r w:rsidR="004826EE">
        <w:t>i</w:t>
      </w:r>
      <w:r w:rsidRPr="004774CE">
        <w:t>nspection</w:t>
      </w:r>
      <w:bookmarkEnd w:id="122"/>
      <w:bookmarkEnd w:id="123"/>
    </w:p>
    <w:p w:rsidR="00863B62" w:rsidRPr="007977A9" w:rsidRDefault="00863B62" w:rsidP="00863B62">
      <w:pPr>
        <w:rPr>
          <w:i/>
        </w:rPr>
      </w:pPr>
      <w:r w:rsidRPr="007977A9">
        <w:rPr>
          <w:i/>
        </w:rPr>
        <w:t xml:space="preserve">Sunday 8 December 2013 </w:t>
      </w:r>
    </w:p>
    <w:p w:rsidR="00863B62" w:rsidRPr="001F3C51" w:rsidRDefault="00863B62" w:rsidP="00863B62">
      <w:r w:rsidRPr="001F3C51">
        <w:t>A site inspection of Ranger was conducted by the Acting Supervising Scientist, the Director Office of the Supervising Scientist and the Program Leader Environmental Radioactivity in response to the leach tank failure of 7 December.</w:t>
      </w:r>
    </w:p>
    <w:p w:rsidR="00863B62" w:rsidRPr="001F3C51" w:rsidRDefault="00863B62" w:rsidP="00863B62">
      <w:r w:rsidRPr="001F3C51">
        <w:t>The site of the incident was inspected</w:t>
      </w:r>
      <w:r w:rsidR="00732468">
        <w:t>,</w:t>
      </w:r>
      <w:r w:rsidRPr="001F3C51">
        <w:t xml:space="preserve"> including the failed leach tank and surrounding structure. It was noted that the structure was not fully stable and that an exclusion zone had been established surrounding the failed tank to protect the safety of worker</w:t>
      </w:r>
      <w:r w:rsidR="00732468">
        <w:t>s</w:t>
      </w:r>
      <w:r w:rsidRPr="001F3C51">
        <w:t xml:space="preserve"> i</w:t>
      </w:r>
      <w:r w:rsidR="00732468">
        <w:t>n</w:t>
      </w:r>
      <w:r w:rsidRPr="001F3C51">
        <w:t xml:space="preserve"> the event of any further collapse. ERA informed the team that a structural engineer was </w:t>
      </w:r>
      <w:r w:rsidR="001013D4">
        <w:t>onsite</w:t>
      </w:r>
      <w:r w:rsidRPr="001F3C51">
        <w:t xml:space="preserve"> and working to assess the stability of the structure. At the time of the inspection</w:t>
      </w:r>
      <w:r w:rsidR="00732468">
        <w:t>,</w:t>
      </w:r>
      <w:r w:rsidRPr="001F3C51">
        <w:t xml:space="preserve"> the remaining leach tanks had not been drained pending advice from the structural engineer. </w:t>
      </w:r>
    </w:p>
    <w:p w:rsidR="00863B62" w:rsidRPr="001F3C51" w:rsidRDefault="00863B62" w:rsidP="00863B62">
      <w:r w:rsidRPr="001F3C51">
        <w:t>The inspection team walked the full circumference of the slurry spill to ascertain the aerial extent</w:t>
      </w:r>
      <w:r w:rsidR="00391051">
        <w:t>;</w:t>
      </w:r>
      <w:r w:rsidRPr="001F3C51">
        <w:t xml:space="preserve"> gamma dose readings </w:t>
      </w:r>
      <w:r w:rsidR="00391051">
        <w:t xml:space="preserve">were </w:t>
      </w:r>
      <w:r w:rsidRPr="001F3C51">
        <w:t>collected at various locations. These results are discussed in subsequent sections of this report. The extent of the spill was able to be clearly identified due to the colouration of the slurry</w:t>
      </w:r>
      <w:r w:rsidR="00732468">
        <w:t>,</w:t>
      </w:r>
      <w:r w:rsidRPr="001F3C51">
        <w:t xml:space="preserve"> and it was evident that the spill had remained within the plant area with an unknown quantity having reported to the storm water drains and from there to </w:t>
      </w:r>
      <w:r w:rsidR="001013D4">
        <w:t>RP2</w:t>
      </w:r>
      <w:r w:rsidRPr="001F3C51">
        <w:t xml:space="preserve">. Slurry residue was visible in the storm water outfall at </w:t>
      </w:r>
      <w:r w:rsidR="001013D4">
        <w:t>RP2</w:t>
      </w:r>
      <w:r w:rsidR="00732468">
        <w:t>,</w:t>
      </w:r>
      <w:r w:rsidRPr="001F3C51">
        <w:t xml:space="preserve"> although there was no flow at the time of the inspection.</w:t>
      </w:r>
    </w:p>
    <w:p w:rsidR="00863B62" w:rsidRPr="001F3C51" w:rsidRDefault="001013D4" w:rsidP="00863B62">
      <w:r>
        <w:t>Cleanup</w:t>
      </w:r>
      <w:r w:rsidR="00863B62" w:rsidRPr="001F3C51">
        <w:t xml:space="preserve"> works were underway with a substantial amount of slurr</w:t>
      </w:r>
      <w:r w:rsidR="00311142">
        <w:t>y having been removed from roadways and hard</w:t>
      </w:r>
      <w:r w:rsidR="00863B62" w:rsidRPr="001F3C51">
        <w:t xml:space="preserve">stand areas. It was noted that workers conducting the </w:t>
      </w:r>
      <w:r w:rsidR="00863B62">
        <w:t>cleanup</w:t>
      </w:r>
      <w:r w:rsidR="00863B62" w:rsidRPr="001F3C51">
        <w:t xml:space="preserve"> were wearing radiation monitoring equipment and SSD requested the results o</w:t>
      </w:r>
      <w:r w:rsidR="00311142">
        <w:t>nce available (see Section 4.3). The storm</w:t>
      </w:r>
      <w:r w:rsidR="00863B62" w:rsidRPr="001F3C51">
        <w:t xml:space="preserve">water drain system had been blocked off with sandbags and earthen bunds to prevent further slurry reporting to </w:t>
      </w:r>
      <w:r>
        <w:t>RP2</w:t>
      </w:r>
      <w:r w:rsidR="00863B62" w:rsidRPr="001F3C51">
        <w:t xml:space="preserve"> in the event of any rainfall. ERA advised the spilt material was being stockpiled on the R</w:t>
      </w:r>
      <w:r w:rsidR="00311142">
        <w:t xml:space="preserve">un </w:t>
      </w:r>
      <w:proofErr w:type="gramStart"/>
      <w:r w:rsidR="00863B62" w:rsidRPr="001F3C51">
        <w:t>O</w:t>
      </w:r>
      <w:r w:rsidR="00311142">
        <w:t>f</w:t>
      </w:r>
      <w:proofErr w:type="gramEnd"/>
      <w:r w:rsidR="00311142">
        <w:t xml:space="preserve"> </w:t>
      </w:r>
      <w:r w:rsidR="00863B62" w:rsidRPr="001F3C51">
        <w:t>M</w:t>
      </w:r>
      <w:r w:rsidR="00311142">
        <w:t>ine (ROM)</w:t>
      </w:r>
      <w:r w:rsidR="00863B62" w:rsidRPr="001F3C51">
        <w:t xml:space="preserve"> pad.</w:t>
      </w:r>
    </w:p>
    <w:p w:rsidR="00863B62" w:rsidRPr="001F3C51" w:rsidRDefault="00863B62" w:rsidP="00863B62">
      <w:r w:rsidRPr="001F3C51">
        <w:t xml:space="preserve">The inspection team were advised that </w:t>
      </w:r>
      <w:r>
        <w:t>cleanup</w:t>
      </w:r>
      <w:r w:rsidRPr="001F3C51">
        <w:t xml:space="preserve"> works were expected to take a further two days to complete</w:t>
      </w:r>
      <w:r w:rsidR="00311142">
        <w:t>,</w:t>
      </w:r>
      <w:r w:rsidRPr="001F3C51">
        <w:t xml:space="preserve"> with the area immediately surrounding the failed tank</w:t>
      </w:r>
      <w:r w:rsidR="00391051">
        <w:t xml:space="preserve"> to</w:t>
      </w:r>
      <w:r w:rsidRPr="001F3C51">
        <w:t xml:space="preserve"> rema</w:t>
      </w:r>
      <w:r w:rsidR="00391051">
        <w:t>in</w:t>
      </w:r>
      <w:r w:rsidRPr="001F3C51">
        <w:t xml:space="preserve"> as it was not currently safe to enter. The exclusion area surrounding the failed tank had been surrounded with an earthen bund.</w:t>
      </w:r>
    </w:p>
    <w:p w:rsidR="00863B62" w:rsidRPr="001F3C51" w:rsidRDefault="00863B62" w:rsidP="00863B62">
      <w:r w:rsidRPr="001F3C51">
        <w:t xml:space="preserve">Discussions were held with the ERA General Manger Operations and the Manager Health Safety Environment Water regarding ERA’s plans for </w:t>
      </w:r>
      <w:r>
        <w:t>cleanup</w:t>
      </w:r>
      <w:r w:rsidRPr="001F3C51">
        <w:t xml:space="preserve"> and recovery. It was confirmed that the processing plant had been stopped and ERA was advised not to recommence processing. ERA was requested to cease pond water treatment until such time as any impacts on </w:t>
      </w:r>
      <w:r w:rsidR="001013D4">
        <w:t>RP2</w:t>
      </w:r>
      <w:r w:rsidRPr="001F3C51">
        <w:t xml:space="preserve"> water quality could be determined. ERA was advised to treat the area of the spill as a process water catchment until </w:t>
      </w:r>
      <w:r>
        <w:t>cleanup</w:t>
      </w:r>
      <w:r w:rsidRPr="001F3C51">
        <w:t xml:space="preserve"> operations had been completed.</w:t>
      </w:r>
    </w:p>
    <w:p w:rsidR="00863B62" w:rsidRPr="004774CE" w:rsidRDefault="00863B62" w:rsidP="00863B62">
      <w:r w:rsidRPr="001F3C51">
        <w:t xml:space="preserve">SSD offered to provide independent urinalysis for any workers concerned about </w:t>
      </w:r>
      <w:r w:rsidRPr="004774CE">
        <w:t>potential exposure to the leach material.</w:t>
      </w:r>
      <w:r w:rsidR="00311142">
        <w:t xml:space="preserve"> Note: SSD did not receive any requests for urinalysis following the incident.</w:t>
      </w:r>
    </w:p>
    <w:p w:rsidR="00863B62" w:rsidRPr="004774CE" w:rsidRDefault="00863B62" w:rsidP="00863B62">
      <w:pPr>
        <w:pStyle w:val="Heading3"/>
      </w:pPr>
      <w:bookmarkStart w:id="124" w:name="_Toc390433004"/>
      <w:bookmarkStart w:id="125" w:name="_Toc390766582"/>
      <w:r w:rsidRPr="004774CE">
        <w:t>3.1.3 Routine Periodic Inspection</w:t>
      </w:r>
      <w:bookmarkEnd w:id="124"/>
      <w:bookmarkEnd w:id="125"/>
    </w:p>
    <w:p w:rsidR="00863B62" w:rsidRPr="007977A9" w:rsidRDefault="00863B62" w:rsidP="00863B62">
      <w:pPr>
        <w:rPr>
          <w:i/>
        </w:rPr>
      </w:pPr>
      <w:r w:rsidRPr="007977A9">
        <w:rPr>
          <w:i/>
        </w:rPr>
        <w:t>Thursday 12 December</w:t>
      </w:r>
    </w:p>
    <w:p w:rsidR="00863B62" w:rsidRPr="001F3C51" w:rsidRDefault="00391051" w:rsidP="00863B62">
      <w:r>
        <w:t xml:space="preserve">The December Routine Periodic Inspection was held on 12 December 2013 and attended by representatives from SSD, </w:t>
      </w:r>
      <w:r w:rsidR="00467CE2">
        <w:t>the Department of Mines and Energy (</w:t>
      </w:r>
      <w:r>
        <w:t>DME</w:t>
      </w:r>
      <w:r w:rsidR="00467CE2">
        <w:t>)</w:t>
      </w:r>
      <w:r>
        <w:t xml:space="preserve">, NLC and GAC. </w:t>
      </w:r>
      <w:r w:rsidR="00863B62" w:rsidRPr="001F3C51">
        <w:t xml:space="preserve">A briefing on the </w:t>
      </w:r>
      <w:r w:rsidR="00863B62">
        <w:t>l</w:t>
      </w:r>
      <w:r w:rsidR="00863B62" w:rsidRPr="001F3C51">
        <w:t xml:space="preserve">each </w:t>
      </w:r>
      <w:r w:rsidR="00863B62">
        <w:t>t</w:t>
      </w:r>
      <w:r w:rsidR="00863B62" w:rsidRPr="001F3C51">
        <w:t xml:space="preserve">ank </w:t>
      </w:r>
      <w:r w:rsidR="00863B62">
        <w:t>i</w:t>
      </w:r>
      <w:r w:rsidR="00863B62" w:rsidRPr="001F3C51">
        <w:t>ncident was held upon arrival at site.</w:t>
      </w:r>
      <w:r w:rsidR="00863B62">
        <w:t xml:space="preserve"> </w:t>
      </w:r>
      <w:r>
        <w:t xml:space="preserve">Removal </w:t>
      </w:r>
      <w:r w:rsidR="00863B62" w:rsidRPr="001F3C51">
        <w:t xml:space="preserve">of material </w:t>
      </w:r>
      <w:r w:rsidR="00863B62">
        <w:t>from</w:t>
      </w:r>
      <w:r w:rsidR="00863B62" w:rsidRPr="001F3C51">
        <w:t xml:space="preserve"> the </w:t>
      </w:r>
      <w:r>
        <w:t xml:space="preserve">remaining </w:t>
      </w:r>
      <w:r w:rsidR="00863B62" w:rsidRPr="001F3C51">
        <w:t xml:space="preserve">leach tanks was </w:t>
      </w:r>
      <w:r>
        <w:t>underway</w:t>
      </w:r>
      <w:r w:rsidR="00863B62" w:rsidRPr="001F3C51">
        <w:t xml:space="preserve"> with </w:t>
      </w:r>
      <w:r w:rsidR="00863B62">
        <w:t xml:space="preserve">Leach </w:t>
      </w:r>
      <w:r w:rsidR="00863B62" w:rsidRPr="001F3C51">
        <w:t>Tank 2</w:t>
      </w:r>
      <w:r w:rsidR="00863B62">
        <w:t>,</w:t>
      </w:r>
      <w:r w:rsidR="00863B62" w:rsidRPr="001F3C51">
        <w:t xml:space="preserve"> adjacent to the failed tank</w:t>
      </w:r>
      <w:r w:rsidR="00863B62">
        <w:t xml:space="preserve">, </w:t>
      </w:r>
      <w:r w:rsidR="00863B62" w:rsidRPr="001F3C51">
        <w:t>be</w:t>
      </w:r>
      <w:r w:rsidR="00863B62">
        <w:t>ing</w:t>
      </w:r>
      <w:r w:rsidR="00863B62" w:rsidRPr="001F3C51">
        <w:t xml:space="preserve"> maintained at approximately 2/3 volume to assist with </w:t>
      </w:r>
      <w:r w:rsidR="00863B62">
        <w:t>structural stability</w:t>
      </w:r>
      <w:r w:rsidR="00863B62" w:rsidRPr="001F3C51">
        <w:t xml:space="preserve">. </w:t>
      </w:r>
      <w:r>
        <w:t>ERA advised that a</w:t>
      </w:r>
      <w:r w:rsidR="00863B62" w:rsidRPr="001F3C51">
        <w:t>t the time of incident approximately 1300 m</w:t>
      </w:r>
      <w:r w:rsidR="00863B62" w:rsidRPr="00311142">
        <w:rPr>
          <w:snapToGrid w:val="0"/>
          <w:color w:val="000000"/>
          <w:position w:val="5"/>
          <w:u w:color="000000"/>
          <w:vertAlign w:val="superscript"/>
        </w:rPr>
        <w:t>3</w:t>
      </w:r>
      <w:r w:rsidR="00863B62" w:rsidRPr="001F3C51">
        <w:rPr>
          <w:snapToGrid w:val="0"/>
          <w:color w:val="000000"/>
          <w:position w:val="5"/>
          <w:u w:color="000000"/>
        </w:rPr>
        <w:t xml:space="preserve"> </w:t>
      </w:r>
      <w:r w:rsidR="00863B62" w:rsidRPr="001F3C51">
        <w:rPr>
          <w:snapToGrid w:val="0"/>
          <w:color w:val="000000"/>
          <w:u w:color="000000"/>
        </w:rPr>
        <w:t xml:space="preserve">of slurry material at 45% solids was contained in </w:t>
      </w:r>
      <w:r w:rsidR="00863B62">
        <w:rPr>
          <w:snapToGrid w:val="0"/>
          <w:color w:val="000000"/>
          <w:u w:color="000000"/>
        </w:rPr>
        <w:t xml:space="preserve">Leach </w:t>
      </w:r>
      <w:r w:rsidR="00863B62" w:rsidRPr="001F3C51">
        <w:rPr>
          <w:snapToGrid w:val="0"/>
          <w:color w:val="000000"/>
          <w:u w:color="000000"/>
        </w:rPr>
        <w:t>Tank 1, which ha</w:t>
      </w:r>
      <w:r w:rsidR="00863B62">
        <w:rPr>
          <w:snapToGrid w:val="0"/>
          <w:color w:val="000000"/>
          <w:u w:color="000000"/>
        </w:rPr>
        <w:t>d</w:t>
      </w:r>
      <w:r w:rsidR="00863B62" w:rsidRPr="001F3C51">
        <w:rPr>
          <w:snapToGrid w:val="0"/>
          <w:color w:val="000000"/>
          <w:u w:color="000000"/>
        </w:rPr>
        <w:t xml:space="preserve"> a total capacity of 1450 m</w:t>
      </w:r>
      <w:r w:rsidR="00863B62" w:rsidRPr="00311142">
        <w:rPr>
          <w:snapToGrid w:val="0"/>
          <w:color w:val="000000"/>
          <w:position w:val="5"/>
          <w:u w:color="000000"/>
          <w:vertAlign w:val="superscript"/>
        </w:rPr>
        <w:t>3</w:t>
      </w:r>
      <w:r w:rsidR="00311142">
        <w:rPr>
          <w:snapToGrid w:val="0"/>
          <w:color w:val="000000"/>
          <w:position w:val="5"/>
          <w:u w:color="000000"/>
        </w:rPr>
        <w:t xml:space="preserve"> </w:t>
      </w:r>
      <w:r w:rsidR="00311142" w:rsidRPr="00AD070B">
        <w:t xml:space="preserve">(Note: this information was later </w:t>
      </w:r>
      <w:r w:rsidR="00AD070B" w:rsidRPr="00AD070B">
        <w:t>corrected</w:t>
      </w:r>
      <w:r w:rsidR="00311142" w:rsidRPr="00AD070B">
        <w:t xml:space="preserve"> to 1400 m</w:t>
      </w:r>
      <w:r w:rsidR="00311142" w:rsidRPr="00AD070B">
        <w:rPr>
          <w:vertAlign w:val="superscript"/>
        </w:rPr>
        <w:t>3</w:t>
      </w:r>
      <w:r w:rsidR="00311142" w:rsidRPr="00AD070B">
        <w:t xml:space="preserve"> and </w:t>
      </w:r>
      <w:r w:rsidR="00AD070B" w:rsidRPr="00AD070B">
        <w:t>37% solids)</w:t>
      </w:r>
      <w:r w:rsidR="00AD070B">
        <w:t>.</w:t>
      </w:r>
    </w:p>
    <w:p w:rsidR="00863B62" w:rsidRPr="001F3C51" w:rsidRDefault="00863B62" w:rsidP="00863B62">
      <w:r w:rsidRPr="001F3C51">
        <w:t>Specialist deconstruction contractors were to arrive the week commencing 16 December</w:t>
      </w:r>
      <w:r>
        <w:t xml:space="preserve"> 2013</w:t>
      </w:r>
      <w:r w:rsidRPr="001F3C51">
        <w:t xml:space="preserve"> to assess deconstruction options</w:t>
      </w:r>
      <w:r>
        <w:t>.</w:t>
      </w:r>
      <w:r w:rsidRPr="001F3C51">
        <w:t xml:space="preserve"> </w:t>
      </w:r>
      <w:r>
        <w:t>P</w:t>
      </w:r>
      <w:r w:rsidRPr="001F3C51">
        <w:t>re</w:t>
      </w:r>
      <w:r>
        <w:t>-</w:t>
      </w:r>
      <w:r w:rsidRPr="001F3C51">
        <w:t>planning of isolation and re</w:t>
      </w:r>
      <w:r>
        <w:t>-</w:t>
      </w:r>
      <w:r w:rsidRPr="001F3C51">
        <w:t>routing of cabling ha</w:t>
      </w:r>
      <w:r w:rsidR="001203A2">
        <w:t>d</w:t>
      </w:r>
      <w:r w:rsidRPr="001F3C51">
        <w:t xml:space="preserve"> commenced. A list of potential independent experts to conduct the ERA internal investigation was before the company board for consideration. </w:t>
      </w:r>
    </w:p>
    <w:p w:rsidR="00863B62" w:rsidRPr="001F3C51" w:rsidRDefault="00863B62" w:rsidP="00863B62">
      <w:r w:rsidRPr="001F3C51">
        <w:t>ERA confirmed all relevant drains had been covered with plastic and sandbags to prevent any further mobilisation o</w:t>
      </w:r>
      <w:r>
        <w:t>f</w:t>
      </w:r>
      <w:r w:rsidRPr="001F3C51">
        <w:t xml:space="preserve"> slurry material to </w:t>
      </w:r>
      <w:r w:rsidR="001013D4">
        <w:t>RP2</w:t>
      </w:r>
      <w:r w:rsidRPr="001F3C51">
        <w:t xml:space="preserve">. ERA indicated that some slurry </w:t>
      </w:r>
      <w:r>
        <w:t xml:space="preserve">had </w:t>
      </w:r>
      <w:r w:rsidRPr="001F3C51">
        <w:t>entered the drain</w:t>
      </w:r>
      <w:r>
        <w:t>age</w:t>
      </w:r>
      <w:r w:rsidRPr="001F3C51">
        <w:t xml:space="preserve"> system reporting to </w:t>
      </w:r>
      <w:r w:rsidR="001013D4">
        <w:t>RP2</w:t>
      </w:r>
      <w:r w:rsidRPr="001F3C51">
        <w:t xml:space="preserve"> and may</w:t>
      </w:r>
      <w:r w:rsidR="00AD070B">
        <w:t xml:space="preserve"> have still been</w:t>
      </w:r>
      <w:r w:rsidRPr="001F3C51">
        <w:t xml:space="preserve"> within the drainage system pending flushing. It was confirmed</w:t>
      </w:r>
      <w:r>
        <w:t xml:space="preserve"> that</w:t>
      </w:r>
      <w:r w:rsidRPr="001F3C51">
        <w:t xml:space="preserve"> ERA daily</w:t>
      </w:r>
      <w:r w:rsidR="00AD070B">
        <w:t xml:space="preserve"> collection of</w:t>
      </w:r>
      <w:r w:rsidRPr="001F3C51">
        <w:t xml:space="preserve"> </w:t>
      </w:r>
      <w:r>
        <w:t>water</w:t>
      </w:r>
      <w:r w:rsidRPr="001F3C51">
        <w:t xml:space="preserve"> samples from </w:t>
      </w:r>
      <w:r w:rsidR="001013D4">
        <w:t>RP2</w:t>
      </w:r>
      <w:r w:rsidRPr="001F3C51">
        <w:t xml:space="preserve"> would </w:t>
      </w:r>
      <w:r>
        <w:t>continue</w:t>
      </w:r>
      <w:r w:rsidRPr="001F3C51">
        <w:t xml:space="preserve"> and this may be reviewed following significant rain events. ERA confirmed pond water treatment had ceased until water quality impacts on RP2</w:t>
      </w:r>
      <w:r>
        <w:t xml:space="preserve"> were</w:t>
      </w:r>
      <w:r w:rsidRPr="001F3C51">
        <w:t xml:space="preserve"> assessed. ERA confirmed there </w:t>
      </w:r>
      <w:r w:rsidR="00AD070B">
        <w:t>would</w:t>
      </w:r>
      <w:r w:rsidRPr="001F3C51">
        <w:t xml:space="preserve"> be no disposal of any material evidence that may be required for internal and external investigators.</w:t>
      </w:r>
    </w:p>
    <w:p w:rsidR="00863B62" w:rsidRPr="001F3C51" w:rsidRDefault="00863B62" w:rsidP="00863B62">
      <w:r w:rsidRPr="001F3C51">
        <w:t xml:space="preserve">A walk through was conducted of the immediate area of impact. Primary and secondary containment </w:t>
      </w:r>
      <w:proofErr w:type="spellStart"/>
      <w:r w:rsidRPr="001F3C51">
        <w:t>bunding</w:t>
      </w:r>
      <w:proofErr w:type="spellEnd"/>
      <w:r w:rsidRPr="001F3C51">
        <w:t xml:space="preserve"> ha</w:t>
      </w:r>
      <w:r w:rsidR="001203A2">
        <w:t>d</w:t>
      </w:r>
      <w:r w:rsidRPr="001F3C51">
        <w:t xml:space="preserve"> been established</w:t>
      </w:r>
      <w:r w:rsidR="00F77719">
        <w:t xml:space="preserve"> (Figure 3.3)</w:t>
      </w:r>
      <w:r w:rsidRPr="001F3C51">
        <w:t xml:space="preserve"> to broadly separate the slurry impact area into three main zones, Zone </w:t>
      </w:r>
      <w:r>
        <w:t>3</w:t>
      </w:r>
      <w:r w:rsidRPr="001F3C51">
        <w:t>-</w:t>
      </w:r>
      <w:r>
        <w:t xml:space="preserve"> the</w:t>
      </w:r>
      <w:r w:rsidRPr="001F3C51">
        <w:t xml:space="preserve"> immediate vicinity of tank; Zone 2- adjacent hardstand and impacted crushing circuit and Zone</w:t>
      </w:r>
      <w:r>
        <w:t xml:space="preserve"> 1</w:t>
      </w:r>
      <w:r w:rsidRPr="001F3C51">
        <w:t xml:space="preserve"> – a wider impacted zone including roads and grass </w:t>
      </w:r>
      <w:r w:rsidRPr="00F77719">
        <w:t>areas (Figure 3.</w:t>
      </w:r>
      <w:r w:rsidR="00F77719" w:rsidRPr="00F77719">
        <w:t>5</w:t>
      </w:r>
      <w:r w:rsidRPr="00F77719">
        <w:t>).</w:t>
      </w:r>
      <w:r>
        <w:t xml:space="preserve">  All drains inspected w</w:t>
      </w:r>
      <w:r w:rsidRPr="001F3C51">
        <w:t xml:space="preserve">ere blocked with plastic sheets and sandbags to restrict any </w:t>
      </w:r>
      <w:r>
        <w:t xml:space="preserve">further </w:t>
      </w:r>
      <w:r w:rsidRPr="001F3C51">
        <w:t xml:space="preserve">movement of material </w:t>
      </w:r>
      <w:r>
        <w:t>into the drainage system</w:t>
      </w:r>
      <w:r w:rsidRPr="001F3C51">
        <w:t xml:space="preserve"> </w:t>
      </w:r>
      <w:r w:rsidRPr="00F77719">
        <w:t>(Figure 3.4).</w:t>
      </w:r>
      <w:r w:rsidRPr="001F3C51">
        <w:t xml:space="preserve"> Surface </w:t>
      </w:r>
      <w:r>
        <w:t>cleanup</w:t>
      </w:r>
      <w:r w:rsidRPr="001F3C51">
        <w:t xml:space="preserve"> had occurred including</w:t>
      </w:r>
      <w:r>
        <w:t xml:space="preserve"> removal of</w:t>
      </w:r>
      <w:r w:rsidRPr="001F3C51">
        <w:t xml:space="preserve"> slurry from main roads and topsoil removal from grassed areas adjacent to these roads.</w:t>
      </w:r>
    </w:p>
    <w:p w:rsidR="00863B62" w:rsidRPr="001F3C51" w:rsidRDefault="00863B62" w:rsidP="00863B62">
      <w:r w:rsidRPr="001F3C51">
        <w:t>During the walk through, gamma dose rates were recorded by SSD staff for the areas previously surveyed during the Supervising Scientist</w:t>
      </w:r>
      <w:r>
        <w:t>’s</w:t>
      </w:r>
      <w:r w:rsidRPr="001F3C51">
        <w:t xml:space="preserve"> inspection of 8 December (see section 3.</w:t>
      </w:r>
      <w:r>
        <w:t>1</w:t>
      </w:r>
      <w:r w:rsidRPr="001F3C51">
        <w:t>.2).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863B62" w:rsidTr="00001E43">
        <w:tc>
          <w:tcPr>
            <w:tcW w:w="4261" w:type="dxa"/>
          </w:tcPr>
          <w:p w:rsidR="00863B62" w:rsidRDefault="00863B62" w:rsidP="00001E43">
            <w:r w:rsidRPr="00075D50">
              <w:rPr>
                <w:noProof/>
                <w:lang w:eastAsia="en-AU"/>
              </w:rPr>
              <w:drawing>
                <wp:inline distT="0" distB="0" distL="0" distR="0">
                  <wp:extent cx="2574000" cy="1931516"/>
                  <wp:effectExtent l="19050" t="0" r="0" b="0"/>
                  <wp:docPr id="230" name="Picture 19" descr="H:\5 Inspections and Audits\December 2013 RPI\Leach Tank Failure 20131212\P100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5 Inspections and Audits\December 2013 RPI\Leach Tank Failure 20131212\P1000660.JPG"/>
                          <pic:cNvPicPr>
                            <a:picLocks noChangeAspect="1" noChangeArrowheads="1"/>
                          </pic:cNvPicPr>
                        </pic:nvPicPr>
                        <pic:blipFill>
                          <a:blip r:embed="rId37" cstate="screen"/>
                          <a:srcRect/>
                          <a:stretch>
                            <a:fillRect/>
                          </a:stretch>
                        </pic:blipFill>
                        <pic:spPr bwMode="auto">
                          <a:xfrm>
                            <a:off x="0" y="0"/>
                            <a:ext cx="2574000" cy="1931516"/>
                          </a:xfrm>
                          <a:prstGeom prst="rect">
                            <a:avLst/>
                          </a:prstGeom>
                          <a:noFill/>
                          <a:ln w="9525">
                            <a:noFill/>
                            <a:miter lim="800000"/>
                            <a:headEnd/>
                            <a:tailEnd/>
                          </a:ln>
                        </pic:spPr>
                      </pic:pic>
                    </a:graphicData>
                  </a:graphic>
                </wp:inline>
              </w:drawing>
            </w:r>
          </w:p>
        </w:tc>
        <w:tc>
          <w:tcPr>
            <w:tcW w:w="4261" w:type="dxa"/>
          </w:tcPr>
          <w:p w:rsidR="00863B62" w:rsidRDefault="00863B62" w:rsidP="00001E43">
            <w:r w:rsidRPr="00075D50">
              <w:rPr>
                <w:noProof/>
                <w:lang w:eastAsia="en-AU"/>
              </w:rPr>
              <w:drawing>
                <wp:inline distT="0" distB="0" distL="0" distR="0">
                  <wp:extent cx="2574000" cy="1928388"/>
                  <wp:effectExtent l="19050" t="0" r="0" b="0"/>
                  <wp:docPr id="231" name="Picture 16" descr="H:\5 Inspections and Audits\December 2013 RPI\Leach Tank Failure 20131212\P100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5 Inspections and Audits\December 2013 RPI\Leach Tank Failure 20131212\P1000647.JPG"/>
                          <pic:cNvPicPr>
                            <a:picLocks noChangeAspect="1" noChangeArrowheads="1"/>
                          </pic:cNvPicPr>
                        </pic:nvPicPr>
                        <pic:blipFill>
                          <a:blip r:embed="rId38" cstate="screen"/>
                          <a:srcRect/>
                          <a:stretch>
                            <a:fillRect/>
                          </a:stretch>
                        </pic:blipFill>
                        <pic:spPr bwMode="auto">
                          <a:xfrm>
                            <a:off x="0" y="0"/>
                            <a:ext cx="2574000" cy="1928388"/>
                          </a:xfrm>
                          <a:prstGeom prst="rect">
                            <a:avLst/>
                          </a:prstGeom>
                          <a:noFill/>
                          <a:ln w="9525">
                            <a:noFill/>
                            <a:miter lim="800000"/>
                            <a:headEnd/>
                            <a:tailEnd/>
                          </a:ln>
                        </pic:spPr>
                      </pic:pic>
                    </a:graphicData>
                  </a:graphic>
                </wp:inline>
              </w:drawing>
            </w:r>
          </w:p>
        </w:tc>
      </w:tr>
      <w:tr w:rsidR="00863B62" w:rsidTr="00001E43">
        <w:tc>
          <w:tcPr>
            <w:tcW w:w="4261" w:type="dxa"/>
          </w:tcPr>
          <w:p w:rsidR="00863B62" w:rsidRPr="00075D50" w:rsidRDefault="00863B62" w:rsidP="001203A2">
            <w:pPr>
              <w:pStyle w:val="figurecaption"/>
              <w:rPr>
                <w:lang w:eastAsia="en-AU"/>
              </w:rPr>
            </w:pPr>
            <w:bookmarkStart w:id="126" w:name="_Toc390433249"/>
            <w:bookmarkStart w:id="127" w:name="_Toc390766633"/>
            <w:r>
              <w:rPr>
                <w:b/>
                <w:lang w:eastAsia="en-AU"/>
              </w:rPr>
              <w:t>Figure 3.3</w:t>
            </w:r>
            <w:r w:rsidRPr="00E4419C">
              <w:rPr>
                <w:lang w:eastAsia="en-AU"/>
              </w:rPr>
              <w:t xml:space="preserve"> Containment </w:t>
            </w:r>
            <w:proofErr w:type="spellStart"/>
            <w:r w:rsidRPr="00E4419C">
              <w:rPr>
                <w:lang w:eastAsia="en-AU"/>
              </w:rPr>
              <w:t>bunding</w:t>
            </w:r>
            <w:proofErr w:type="spellEnd"/>
            <w:r w:rsidRPr="00E4419C">
              <w:rPr>
                <w:lang w:eastAsia="en-AU"/>
              </w:rPr>
              <w:t xml:space="preserve"> between RP2 &amp; </w:t>
            </w:r>
            <w:r w:rsidR="001203A2">
              <w:rPr>
                <w:lang w:eastAsia="en-AU"/>
              </w:rPr>
              <w:t>l</w:t>
            </w:r>
            <w:r w:rsidRPr="00E4419C">
              <w:rPr>
                <w:lang w:eastAsia="en-AU"/>
              </w:rPr>
              <w:t>each tanks</w:t>
            </w:r>
            <w:bookmarkEnd w:id="126"/>
            <w:bookmarkEnd w:id="127"/>
            <w:r w:rsidR="004469E5">
              <w:rPr>
                <w:lang w:eastAsia="en-AU"/>
              </w:rPr>
              <w:t>.</w:t>
            </w:r>
          </w:p>
        </w:tc>
        <w:tc>
          <w:tcPr>
            <w:tcW w:w="4261" w:type="dxa"/>
          </w:tcPr>
          <w:p w:rsidR="00863B62" w:rsidRPr="00075D50" w:rsidRDefault="00863B62" w:rsidP="00001E43">
            <w:pPr>
              <w:pStyle w:val="figurecaption"/>
              <w:rPr>
                <w:lang w:eastAsia="en-AU"/>
              </w:rPr>
            </w:pPr>
            <w:bookmarkStart w:id="128" w:name="_Toc390433250"/>
            <w:bookmarkStart w:id="129" w:name="_Toc390766634"/>
            <w:r>
              <w:rPr>
                <w:b/>
                <w:lang w:eastAsia="en-AU"/>
              </w:rPr>
              <w:t xml:space="preserve">Figure </w:t>
            </w:r>
            <w:proofErr w:type="gramStart"/>
            <w:r>
              <w:rPr>
                <w:b/>
                <w:lang w:eastAsia="en-AU"/>
              </w:rPr>
              <w:t>3.4</w:t>
            </w:r>
            <w:r w:rsidRPr="00E4419C">
              <w:rPr>
                <w:lang w:eastAsia="en-AU"/>
              </w:rPr>
              <w:t xml:space="preserve"> </w:t>
            </w:r>
            <w:r>
              <w:rPr>
                <w:lang w:eastAsia="en-AU"/>
              </w:rPr>
              <w:t xml:space="preserve"> </w:t>
            </w:r>
            <w:r w:rsidRPr="00E4419C">
              <w:rPr>
                <w:lang w:eastAsia="en-AU"/>
              </w:rPr>
              <w:t>Example</w:t>
            </w:r>
            <w:proofErr w:type="gramEnd"/>
            <w:r w:rsidRPr="00E4419C">
              <w:rPr>
                <w:lang w:eastAsia="en-AU"/>
              </w:rPr>
              <w:t xml:space="preserve"> of drain blockage</w:t>
            </w:r>
            <w:bookmarkEnd w:id="128"/>
            <w:bookmarkEnd w:id="129"/>
            <w:r w:rsidR="004469E5">
              <w:rPr>
                <w:lang w:eastAsia="en-AU"/>
              </w:rPr>
              <w:t>.</w:t>
            </w:r>
          </w:p>
        </w:tc>
      </w:tr>
    </w:tbl>
    <w:p w:rsidR="00863B62" w:rsidRPr="004774CE" w:rsidRDefault="00863B62" w:rsidP="00863B62">
      <w:pPr>
        <w:pStyle w:val="Heading2"/>
      </w:pPr>
      <w:bookmarkStart w:id="130" w:name="_Toc390433005"/>
      <w:bookmarkStart w:id="131" w:name="_Toc390766583"/>
      <w:proofErr w:type="gramStart"/>
      <w:r w:rsidRPr="004774CE">
        <w:t>3.2  Surface</w:t>
      </w:r>
      <w:proofErr w:type="gramEnd"/>
      <w:r w:rsidRPr="004774CE">
        <w:t xml:space="preserve"> Water</w:t>
      </w:r>
      <w:bookmarkEnd w:id="130"/>
      <w:bookmarkEnd w:id="131"/>
    </w:p>
    <w:p w:rsidR="00863B62" w:rsidRPr="004774CE" w:rsidRDefault="00863B62" w:rsidP="00863B62">
      <w:pPr>
        <w:pStyle w:val="Heading3"/>
      </w:pPr>
      <w:bookmarkStart w:id="132" w:name="_Toc390433006"/>
      <w:bookmarkStart w:id="133" w:name="_Toc390766584"/>
      <w:proofErr w:type="gramStart"/>
      <w:r w:rsidRPr="004774CE">
        <w:t>3.2.1  Onsite</w:t>
      </w:r>
      <w:proofErr w:type="gramEnd"/>
      <w:r w:rsidRPr="004774CE">
        <w:t xml:space="preserve"> </w:t>
      </w:r>
      <w:r w:rsidR="004826EE">
        <w:t>s</w:t>
      </w:r>
      <w:r w:rsidRPr="004774CE">
        <w:t xml:space="preserve">urface </w:t>
      </w:r>
      <w:r w:rsidR="004826EE">
        <w:t>w</w:t>
      </w:r>
      <w:r w:rsidRPr="004774CE">
        <w:t>ater</w:t>
      </w:r>
      <w:bookmarkEnd w:id="132"/>
      <w:bookmarkEnd w:id="133"/>
    </w:p>
    <w:p w:rsidR="00863B62" w:rsidRDefault="00863B62" w:rsidP="00863B62">
      <w:pPr>
        <w:pStyle w:val="Heading4"/>
      </w:pPr>
      <w:r w:rsidRPr="004774CE">
        <w:t xml:space="preserve">3.2.1.1 </w:t>
      </w:r>
      <w:r w:rsidR="001013D4">
        <w:t>R</w:t>
      </w:r>
      <w:r w:rsidR="004826EE">
        <w:t xml:space="preserve">etention </w:t>
      </w:r>
      <w:r w:rsidR="001013D4">
        <w:t>P</w:t>
      </w:r>
      <w:r w:rsidR="004826EE">
        <w:t xml:space="preserve">ond </w:t>
      </w:r>
      <w:r w:rsidR="001013D4">
        <w:t>2</w:t>
      </w:r>
      <w:r w:rsidR="004826EE">
        <w:t xml:space="preserve"> (RP2)</w:t>
      </w:r>
    </w:p>
    <w:p w:rsidR="00863B62" w:rsidRPr="001F3C51" w:rsidRDefault="001013D4" w:rsidP="00863B62">
      <w:r>
        <w:t>RP2</w:t>
      </w:r>
      <w:r w:rsidR="00863B62" w:rsidRPr="001F3C51">
        <w:t xml:space="preserve"> </w:t>
      </w:r>
      <w:r w:rsidR="00863B62">
        <w:t>is</w:t>
      </w:r>
      <w:r w:rsidR="001203A2">
        <w:t xml:space="preserve"> the primary p</w:t>
      </w:r>
      <w:r w:rsidR="001203A2" w:rsidRPr="001F3C51">
        <w:t xml:space="preserve">ond water </w:t>
      </w:r>
      <w:r w:rsidR="001203A2">
        <w:t xml:space="preserve">storage </w:t>
      </w:r>
      <w:r w:rsidR="00863B62" w:rsidRPr="001F3C51">
        <w:t xml:space="preserve">which came into contact with the slurry from the incident and therefore was the primary location for monitoring of </w:t>
      </w:r>
      <w:r w:rsidR="00863B62">
        <w:t xml:space="preserve">onsite </w:t>
      </w:r>
      <w:r w:rsidR="00863B62" w:rsidRPr="001F3C51">
        <w:t>surface water impacts</w:t>
      </w:r>
      <w:r w:rsidR="00863B62">
        <w:t>.</w:t>
      </w:r>
    </w:p>
    <w:p w:rsidR="00863B62" w:rsidRPr="001F3C51" w:rsidRDefault="001013D4" w:rsidP="00863B62">
      <w:r>
        <w:t>RP2</w:t>
      </w:r>
      <w:r w:rsidR="00863B62" w:rsidRPr="001F3C51">
        <w:t xml:space="preserve"> comprises an earthen embankment </w:t>
      </w:r>
      <w:r w:rsidR="00863B62">
        <w:t>f</w:t>
      </w:r>
      <w:r w:rsidR="00863B62" w:rsidRPr="001F3C51">
        <w:t>orm</w:t>
      </w:r>
      <w:r w:rsidR="00863B62">
        <w:t>ing</w:t>
      </w:r>
      <w:r w:rsidR="00863B62" w:rsidRPr="001F3C51">
        <w:t xml:space="preserve"> an impoundment providing approximately 1090 ML of storage. The </w:t>
      </w:r>
      <w:r>
        <w:t>RP2</w:t>
      </w:r>
      <w:r w:rsidR="00863B62" w:rsidRPr="001F3C51">
        <w:t xml:space="preserve"> catchment area covers 161 ha including the active mine-site area, most mineralised rock stockpiles, stormwater runoff from the plant footprint and pond water outflow</w:t>
      </w:r>
      <w:r w:rsidR="00321941">
        <w:t>s</w:t>
      </w:r>
      <w:r w:rsidR="00863B62" w:rsidRPr="001F3C51">
        <w:t xml:space="preserve"> from the processing </w:t>
      </w:r>
      <w:r w:rsidR="00863B62" w:rsidRPr="00F77719">
        <w:t xml:space="preserve">plant </w:t>
      </w:r>
      <w:r w:rsidR="00F77719" w:rsidRPr="00F77719">
        <w:t>(F</w:t>
      </w:r>
      <w:r w:rsidR="00863B62" w:rsidRPr="00F77719">
        <w:t xml:space="preserve">igure </w:t>
      </w:r>
      <w:r w:rsidR="00F77719" w:rsidRPr="00F77719">
        <w:t>1.1</w:t>
      </w:r>
      <w:r w:rsidR="00863B62" w:rsidRPr="00F77719">
        <w:t>). Pond</w:t>
      </w:r>
      <w:r w:rsidR="00863B62" w:rsidRPr="001F3C51">
        <w:t xml:space="preserve"> water inventory is primarily derived from rainfall that falls on the active mine-site catchments, generating water of a quality that requires active management and treatment prior to release. The inventory of pond water </w:t>
      </w:r>
      <w:r w:rsidR="00863B62">
        <w:t>within</w:t>
      </w:r>
      <w:r w:rsidR="00863B62" w:rsidRPr="001F3C51">
        <w:t xml:space="preserve"> </w:t>
      </w:r>
      <w:r>
        <w:t>RP2</w:t>
      </w:r>
      <w:r w:rsidR="00863B62" w:rsidRPr="001F3C51">
        <w:t xml:space="preserve"> is reduced via evaporation </w:t>
      </w:r>
      <w:r w:rsidR="00863B62">
        <w:t xml:space="preserve">and </w:t>
      </w:r>
      <w:r w:rsidR="00863B62" w:rsidRPr="001F3C51">
        <w:t xml:space="preserve">treatment </w:t>
      </w:r>
      <w:r w:rsidR="00863B62">
        <w:t>through</w:t>
      </w:r>
      <w:r w:rsidR="00863B62" w:rsidRPr="001F3C51">
        <w:t xml:space="preserve"> three </w:t>
      </w:r>
      <w:r w:rsidR="00321941">
        <w:t xml:space="preserve">microfiltration-reverse osmosis </w:t>
      </w:r>
      <w:r w:rsidR="00863B62" w:rsidRPr="001F3C51">
        <w:t>water treatment plants</w:t>
      </w:r>
      <w:r w:rsidR="00321941">
        <w:t xml:space="preserve"> prior to discharge</w:t>
      </w:r>
      <w:r w:rsidR="00863B62">
        <w:t>.</w:t>
      </w:r>
    </w:p>
    <w:p w:rsidR="00863B62" w:rsidRPr="001F3C51" w:rsidRDefault="00863B62" w:rsidP="00863B62">
      <w:r w:rsidRPr="001F3C51">
        <w:t>Following the initial collection of samples</w:t>
      </w:r>
      <w:r>
        <w:t xml:space="preserve"> by SSD</w:t>
      </w:r>
      <w:r w:rsidRPr="001F3C51">
        <w:t xml:space="preserve"> from </w:t>
      </w:r>
      <w:r w:rsidR="001013D4">
        <w:t>RP2</w:t>
      </w:r>
      <w:r w:rsidRPr="001F3C51">
        <w:t xml:space="preserve"> associated with the wash down inspection of Zone </w:t>
      </w:r>
      <w:r w:rsidRPr="00F77719">
        <w:t>1</w:t>
      </w:r>
      <w:r w:rsidR="00AD070B">
        <w:t xml:space="preserve"> on 11 December 2013</w:t>
      </w:r>
      <w:r w:rsidRPr="00F77719">
        <w:t xml:space="preserve"> (Section 3.</w:t>
      </w:r>
      <w:r w:rsidR="00F77719" w:rsidRPr="00F77719">
        <w:t>2</w:t>
      </w:r>
      <w:r w:rsidRPr="00F77719">
        <w:t>.1.</w:t>
      </w:r>
      <w:r w:rsidR="00F77719" w:rsidRPr="00F77719">
        <w:t>2</w:t>
      </w:r>
      <w:r w:rsidRPr="00F77719">
        <w:t>),</w:t>
      </w:r>
      <w:r w:rsidRPr="001F3C51">
        <w:t xml:space="preserve"> </w:t>
      </w:r>
      <w:r w:rsidR="00AD070B">
        <w:t xml:space="preserve">further </w:t>
      </w:r>
      <w:r w:rsidRPr="001F3C51">
        <w:t xml:space="preserve">water samples were collected from </w:t>
      </w:r>
      <w:r w:rsidR="001013D4">
        <w:t>RP2</w:t>
      </w:r>
      <w:r w:rsidRPr="001F3C51">
        <w:t xml:space="preserve"> on 18 and 23 December 2013 and 7 January 2014 by representatives of SSD accompanied by ERA staff. </w:t>
      </w:r>
      <w:r>
        <w:t>These were analysed for</w:t>
      </w:r>
      <w:r w:rsidRPr="001F3C51">
        <w:t xml:space="preserve"> filtered and total metals</w:t>
      </w:r>
      <w:r w:rsidR="007F1420">
        <w:t xml:space="preserve"> and</w:t>
      </w:r>
      <w:r w:rsidRPr="001F3C51">
        <w:t xml:space="preserve"> </w:t>
      </w:r>
      <w:r w:rsidR="007F1420" w:rsidRPr="001F3C51">
        <w:t>radium</w:t>
      </w:r>
      <w:r w:rsidR="003240A6">
        <w:t>-226</w:t>
      </w:r>
      <w:r w:rsidR="007F1420" w:rsidRPr="001F3C51">
        <w:t xml:space="preserve"> </w:t>
      </w:r>
      <w:r w:rsidR="007F1420">
        <w:t>(</w:t>
      </w:r>
      <w:r w:rsidR="007F1420" w:rsidRPr="007F1420">
        <w:rPr>
          <w:snapToGrid w:val="0"/>
          <w:color w:val="000000"/>
          <w:position w:val="5"/>
          <w:sz w:val="15"/>
          <w:szCs w:val="0"/>
          <w:u w:color="000000"/>
        </w:rPr>
        <w:t>226</w:t>
      </w:r>
      <w:r w:rsidR="007F1420" w:rsidRPr="007F1420">
        <w:t>Ra</w:t>
      </w:r>
      <w:r w:rsidR="007F1420">
        <w:t>)</w:t>
      </w:r>
      <w:r w:rsidRPr="001F3C51">
        <w:t xml:space="preserve">. </w:t>
      </w:r>
    </w:p>
    <w:p w:rsidR="00863B62" w:rsidRPr="001F3C51" w:rsidRDefault="002F7654" w:rsidP="00863B62">
      <w:r>
        <w:t>Water quality m</w:t>
      </w:r>
      <w:r w:rsidR="00863B62" w:rsidRPr="001F3C51">
        <w:t>onitoring data collected by SSD and ERA both historically and around the period of the incident have been collated and analysed and are discussed below. For the purposes of this report</w:t>
      </w:r>
      <w:r>
        <w:t>,</w:t>
      </w:r>
      <w:r w:rsidR="00863B62" w:rsidRPr="001F3C51">
        <w:t xml:space="preserve"> the discussion of </w:t>
      </w:r>
      <w:proofErr w:type="spellStart"/>
      <w:r w:rsidR="00863B62" w:rsidRPr="001F3C51">
        <w:t>physico</w:t>
      </w:r>
      <w:proofErr w:type="spellEnd"/>
      <w:r w:rsidR="00863B62" w:rsidRPr="001F3C51">
        <w:t xml:space="preserve">-chemical parameters will be limited to electrical conductivity (EC), pH and indicators of process water as identified in </w:t>
      </w:r>
      <w:r w:rsidR="00117C79" w:rsidRPr="001F3C51">
        <w:fldChar w:fldCharType="begin"/>
      </w:r>
      <w:r w:rsidR="00863B62" w:rsidRPr="001F3C51">
        <w:instrText xml:space="preserve"> ADDIN EN.CITE &lt;EndNote&gt;&lt;Cite AuthorYear="1"&gt;&lt;Author&gt;Weaver&lt;/Author&gt;&lt;Year&gt;2010&lt;/Year&gt;&lt;RecNum&gt;91&lt;/RecNum&gt;&lt;DisplayText&gt;Weaver et al  (2010)&lt;/DisplayText&gt;&lt;record&gt;&lt;rec-number&gt;91&lt;/rec-number&gt;&lt;foreign-keys&gt;&lt;key app="EN" db-id="ppdas0207wxd9pessfrv29a6r9s5dzdavdsw"&gt;91&lt;/key&gt;&lt;/foreign-keys&gt;&lt;ref-type name="Report"&gt;27&lt;/ref-type&gt;&lt;contributors&gt;&lt;authors&gt;&lt;author&gt;T Weaver&lt;/author&gt;&lt;author&gt;A O&amp;apos;Neill&lt;/author&gt;&lt;author&gt;S Makin&lt;/author&gt;&lt;author&gt;T Murfitt&lt;/author&gt;&lt;author&gt;S Berryman&lt;/author&gt;&lt;author&gt;P McGowan&lt;/author&gt;&lt;/authors&gt;&lt;/contributors&gt;&lt;titles&gt;&lt;title&gt;Independent hydrogeological review Tailings Storage Facility Ranger uranium mine&lt;/title&gt;&lt;/titles&gt;&lt;dates&gt;&lt;year&gt;2010&lt;/year&gt;&lt;/dates&gt;&lt;publisher&gt;URS report for ERA Ltd&lt;/publisher&gt;&lt;urls&gt;&lt;/urls&gt;&lt;/record&gt;&lt;/Cite&gt;&lt;/EndNote&gt;</w:instrText>
      </w:r>
      <w:r w:rsidR="00117C79" w:rsidRPr="001F3C51">
        <w:fldChar w:fldCharType="separate"/>
      </w:r>
      <w:hyperlink w:anchor="_ENREF_3" w:tooltip="Weaver, 2010 #91" w:history="1">
        <w:r w:rsidR="00863B62" w:rsidRPr="001F3C51">
          <w:rPr>
            <w:noProof/>
          </w:rPr>
          <w:t>Weaver et al</w:t>
        </w:r>
        <w:r w:rsidR="00FB7011">
          <w:rPr>
            <w:noProof/>
          </w:rPr>
          <w:t>.</w:t>
        </w:r>
        <w:r w:rsidR="00863B62" w:rsidRPr="001F3C51">
          <w:rPr>
            <w:noProof/>
          </w:rPr>
          <w:t xml:space="preserve">  (2010</w:t>
        </w:r>
      </w:hyperlink>
      <w:r w:rsidR="00863B62" w:rsidRPr="001F3C51">
        <w:rPr>
          <w:noProof/>
        </w:rPr>
        <w:t>)</w:t>
      </w:r>
      <w:r w:rsidR="00117C79" w:rsidRPr="001F3C51">
        <w:fldChar w:fldCharType="end"/>
      </w:r>
      <w:r w:rsidR="007D3D5A">
        <w:t>,</w:t>
      </w:r>
      <w:r w:rsidR="00863B62" w:rsidRPr="001F3C51">
        <w:t xml:space="preserve"> namely calcium (Ca), magnesium (Mg), manganese (</w:t>
      </w:r>
      <w:proofErr w:type="spellStart"/>
      <w:r w:rsidR="00863B62" w:rsidRPr="001F3C51">
        <w:t>Mn</w:t>
      </w:r>
      <w:proofErr w:type="spellEnd"/>
      <w:r w:rsidR="00863B62" w:rsidRPr="001F3C51">
        <w:t xml:space="preserve">) and </w:t>
      </w:r>
      <w:proofErr w:type="spellStart"/>
      <w:r w:rsidR="00863B62" w:rsidRPr="001F3C51">
        <w:t>sulfate</w:t>
      </w:r>
      <w:proofErr w:type="spellEnd"/>
      <w:r w:rsidR="00863B62" w:rsidRPr="001F3C51">
        <w:t xml:space="preserve"> (SO</w:t>
      </w:r>
      <w:r w:rsidR="00863B62" w:rsidRPr="001F3C51">
        <w:rPr>
          <w:snapToGrid w:val="0"/>
          <w:color w:val="000000"/>
          <w:position w:val="-5"/>
          <w:u w:color="000000"/>
        </w:rPr>
        <w:t>4</w:t>
      </w:r>
      <w:r w:rsidR="00863B62" w:rsidRPr="001F3C51">
        <w:t>).</w:t>
      </w:r>
      <w:r w:rsidR="003240A6">
        <w:t xml:space="preserve"> Uranium (U) concentration and </w:t>
      </w:r>
      <w:r w:rsidR="003240A6" w:rsidRPr="007F1420">
        <w:rPr>
          <w:snapToGrid w:val="0"/>
          <w:color w:val="000000"/>
          <w:position w:val="5"/>
          <w:sz w:val="15"/>
          <w:szCs w:val="0"/>
          <w:u w:color="000000"/>
        </w:rPr>
        <w:t>226</w:t>
      </w:r>
      <w:r w:rsidR="003240A6" w:rsidRPr="007F1420">
        <w:t xml:space="preserve">Ra </w:t>
      </w:r>
      <w:r w:rsidR="00863B62" w:rsidRPr="001F3C51">
        <w:t>activity concentration are also included.</w:t>
      </w:r>
    </w:p>
    <w:p w:rsidR="00863B62" w:rsidRPr="004774CE" w:rsidRDefault="00863B62" w:rsidP="00863B62">
      <w:pPr>
        <w:pStyle w:val="Heading4"/>
      </w:pPr>
      <w:bookmarkStart w:id="134" w:name="_Toc390329898"/>
      <w:bookmarkStart w:id="135" w:name="_Toc390352925"/>
      <w:proofErr w:type="gramStart"/>
      <w:r w:rsidRPr="004774CE">
        <w:t xml:space="preserve">3.2.1.2  </w:t>
      </w:r>
      <w:bookmarkEnd w:id="134"/>
      <w:bookmarkEnd w:id="135"/>
      <w:r w:rsidRPr="004774CE">
        <w:t>Process</w:t>
      </w:r>
      <w:proofErr w:type="gramEnd"/>
      <w:r w:rsidRPr="004774CE">
        <w:t xml:space="preserve"> to Pond </w:t>
      </w:r>
      <w:r>
        <w:t>w</w:t>
      </w:r>
      <w:r w:rsidRPr="004774CE">
        <w:t xml:space="preserve">ater </w:t>
      </w:r>
      <w:r>
        <w:t>c</w:t>
      </w:r>
      <w:r w:rsidRPr="004774CE">
        <w:t xml:space="preserve">atchment </w:t>
      </w:r>
      <w:r>
        <w:t>c</w:t>
      </w:r>
      <w:r w:rsidRPr="004774CE">
        <w:t>learance</w:t>
      </w:r>
    </w:p>
    <w:p w:rsidR="00863B62" w:rsidRPr="001F3C51" w:rsidRDefault="00863B62" w:rsidP="00863B62">
      <w:r w:rsidRPr="004774CE">
        <w:t>Areas impacted by the slurry included regions th</w:t>
      </w:r>
      <w:r>
        <w:t>at w</w:t>
      </w:r>
      <w:r w:rsidRPr="004774CE">
        <w:t>ere part of the site pond water catchment</w:t>
      </w:r>
      <w:r w:rsidRPr="001F3C51">
        <w:t xml:space="preserve"> including site service roads and hardstand areas outside of the primary containment </w:t>
      </w:r>
      <w:proofErr w:type="spellStart"/>
      <w:r w:rsidRPr="001F3C51">
        <w:t>bunding</w:t>
      </w:r>
      <w:proofErr w:type="spellEnd"/>
      <w:r w:rsidRPr="001F3C51">
        <w:t xml:space="preserve"> of the </w:t>
      </w:r>
      <w:r>
        <w:t>l</w:t>
      </w:r>
      <w:r w:rsidRPr="001F3C51">
        <w:t xml:space="preserve">each </w:t>
      </w:r>
      <w:r>
        <w:t>t</w:t>
      </w:r>
      <w:r w:rsidRPr="001F3C51">
        <w:t>anks. As these areas essentially contained process water from the slurry</w:t>
      </w:r>
      <w:r w:rsidR="007D3D5A">
        <w:t>,</w:t>
      </w:r>
      <w:r w:rsidRPr="001F3C51">
        <w:t xml:space="preserve"> they </w:t>
      </w:r>
      <w:r>
        <w:t>were reclassified as</w:t>
      </w:r>
      <w:r w:rsidRPr="001F3C51">
        <w:t xml:space="preserve"> part of the site process water </w:t>
      </w:r>
      <w:r>
        <w:t>circuit</w:t>
      </w:r>
      <w:r w:rsidRPr="001F3C51">
        <w:t xml:space="preserve">, with all surface water </w:t>
      </w:r>
      <w:r>
        <w:t>(</w:t>
      </w:r>
      <w:r w:rsidRPr="001F3C51">
        <w:t>including rainfall</w:t>
      </w:r>
      <w:r>
        <w:t>)</w:t>
      </w:r>
      <w:r w:rsidRPr="001F3C51">
        <w:t xml:space="preserve"> captured in these areas to be treated as process water. This required isolation of these areas from the surrounding pond water catchments through the blocking of stormwater drains and the establishment of earthen </w:t>
      </w:r>
      <w:proofErr w:type="spellStart"/>
      <w:r w:rsidRPr="001F3C51">
        <w:t>bunding</w:t>
      </w:r>
      <w:proofErr w:type="spellEnd"/>
      <w:r w:rsidRPr="001F3C51">
        <w:t xml:space="preserve"> around the perimeter to ensu</w:t>
      </w:r>
      <w:r>
        <w:t>re surface water was contained.</w:t>
      </w:r>
    </w:p>
    <w:p w:rsidR="00863B62" w:rsidRDefault="00863B62" w:rsidP="00863B62">
      <w:r w:rsidRPr="001F3C51">
        <w:t xml:space="preserve">As part of the cleanup operations, the impact </w:t>
      </w:r>
      <w:r>
        <w:t>area</w:t>
      </w:r>
      <w:r w:rsidRPr="001F3C51">
        <w:t xml:space="preserve"> from the slurry </w:t>
      </w:r>
      <w:r w:rsidR="007D3D5A">
        <w:t>was</w:t>
      </w:r>
      <w:r w:rsidRPr="001F3C51">
        <w:t xml:space="preserve"> broadly separated into three main zones as identified during the routine periodic inspection </w:t>
      </w:r>
      <w:r w:rsidRPr="00F77719">
        <w:t>(Section 3.</w:t>
      </w:r>
      <w:r w:rsidR="00F77719" w:rsidRPr="00F77719">
        <w:t>1</w:t>
      </w:r>
      <w:r w:rsidRPr="00F77719">
        <w:t>.3).</w:t>
      </w:r>
      <w:r w:rsidRPr="001F3C51">
        <w:t xml:space="preserve"> These three zones are shown below </w:t>
      </w:r>
      <w:r w:rsidRPr="00F77719">
        <w:t>in Figure 3.5.</w:t>
      </w:r>
      <w:r w:rsidRPr="001F3C51">
        <w:t xml:space="preserve"> The purpose of this zoned approach was to facilitate a return to the pond water system of those areas impacted by the slurry once a specific area had been suffi</w:t>
      </w:r>
      <w:r>
        <w:t>ciently cleaned. An a</w:t>
      </w:r>
      <w:r w:rsidRPr="001F3C51">
        <w:t xml:space="preserve">ssessment of </w:t>
      </w:r>
      <w:r w:rsidR="00074680">
        <w:t>runoff</w:t>
      </w:r>
      <w:r>
        <w:t xml:space="preserve"> </w:t>
      </w:r>
      <w:r w:rsidRPr="001F3C51">
        <w:t>water quality</w:t>
      </w:r>
      <w:r>
        <w:t xml:space="preserve"> was used to verify</w:t>
      </w:r>
      <w:r w:rsidRPr="001F3C51">
        <w:t xml:space="preserve"> the </w:t>
      </w:r>
      <w:r>
        <w:t>area</w:t>
      </w:r>
      <w:r w:rsidRPr="001F3C51">
        <w:t xml:space="preserve"> was suitable to be reincorporated into the pond water system.</w:t>
      </w:r>
    </w:p>
    <w:p w:rsidR="00863B62" w:rsidRDefault="00863B62" w:rsidP="00863B62">
      <w:r>
        <w:rPr>
          <w:noProof/>
          <w:lang w:eastAsia="en-AU"/>
        </w:rPr>
        <w:drawing>
          <wp:inline distT="0" distB="0" distL="0" distR="0">
            <wp:extent cx="5204533" cy="4702628"/>
            <wp:effectExtent l="19050" t="0" r="0" b="0"/>
            <wp:docPr id="232" name="Picture 5" descr="Zones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sMap.png"/>
                    <pic:cNvPicPr/>
                  </pic:nvPicPr>
                  <pic:blipFill>
                    <a:blip r:embed="rId39" cstate="screen"/>
                    <a:stretch>
                      <a:fillRect/>
                    </a:stretch>
                  </pic:blipFill>
                  <pic:spPr>
                    <a:xfrm>
                      <a:off x="0" y="0"/>
                      <a:ext cx="5218591" cy="4715331"/>
                    </a:xfrm>
                    <a:prstGeom prst="rect">
                      <a:avLst/>
                    </a:prstGeom>
                  </pic:spPr>
                </pic:pic>
              </a:graphicData>
            </a:graphic>
          </wp:inline>
        </w:drawing>
      </w:r>
    </w:p>
    <w:p w:rsidR="00863B62" w:rsidRPr="0081129B" w:rsidRDefault="00863B62" w:rsidP="00863B62">
      <w:pPr>
        <w:pStyle w:val="figurecaption"/>
      </w:pPr>
      <w:bookmarkStart w:id="136" w:name="_Toc390433251"/>
      <w:bookmarkStart w:id="137" w:name="_Toc390766635"/>
      <w:r w:rsidRPr="00607458">
        <w:rPr>
          <w:b/>
        </w:rPr>
        <w:t xml:space="preserve">Figure </w:t>
      </w:r>
      <w:proofErr w:type="gramStart"/>
      <w:r w:rsidRPr="00607458">
        <w:rPr>
          <w:b/>
        </w:rPr>
        <w:t>3.5</w:t>
      </w:r>
      <w:r>
        <w:t xml:space="preserve">  Classification</w:t>
      </w:r>
      <w:proofErr w:type="gramEnd"/>
      <w:r>
        <w:t xml:space="preserve"> of impact zones for wash down purposes</w:t>
      </w:r>
      <w:bookmarkEnd w:id="136"/>
      <w:bookmarkEnd w:id="137"/>
      <w:r w:rsidR="004469E5">
        <w:t>.</w:t>
      </w:r>
    </w:p>
    <w:p w:rsidR="00863B62" w:rsidRDefault="00863B62" w:rsidP="00863B62">
      <w:pPr>
        <w:pStyle w:val="Heading5"/>
      </w:pPr>
      <w:bookmarkStart w:id="138" w:name="_Toc390329899"/>
      <w:bookmarkStart w:id="139" w:name="_Toc390352926"/>
      <w:r>
        <w:t>Surface soil sampling</w:t>
      </w:r>
    </w:p>
    <w:p w:rsidR="00863B62" w:rsidRPr="007977A9" w:rsidRDefault="00863B62" w:rsidP="00863B62">
      <w:pPr>
        <w:rPr>
          <w:i/>
        </w:rPr>
      </w:pPr>
      <w:r w:rsidRPr="007977A9">
        <w:rPr>
          <w:i/>
        </w:rPr>
        <w:t>Wednesday 11 December 2013</w:t>
      </w:r>
    </w:p>
    <w:p w:rsidR="00863B62" w:rsidRPr="001F3C51" w:rsidRDefault="00863B62" w:rsidP="00863B62">
      <w:pPr>
        <w:rPr>
          <w:i/>
        </w:rPr>
      </w:pPr>
      <w:r w:rsidRPr="001F3C51">
        <w:t>Representatives from SSD conducted surface soil sampling at Ranger associated with the cleanup of Zone 1</w:t>
      </w:r>
      <w:r>
        <w:t xml:space="preserve"> on Wednesday 11 December 2013.</w:t>
      </w:r>
    </w:p>
    <w:p w:rsidR="00863B62" w:rsidRPr="001F3C51" w:rsidRDefault="00863B62" w:rsidP="00863B62">
      <w:r w:rsidRPr="001F3C51">
        <w:t xml:space="preserve">Composite soil scrape samples were collected from the road verges in front of the acid plant and under the crushing transfer </w:t>
      </w:r>
      <w:r w:rsidRPr="001B1A06">
        <w:t>tower (See Figure 3.6).</w:t>
      </w:r>
      <w:r w:rsidRPr="001F3C51">
        <w:t xml:space="preserve"> At each of these locations </w:t>
      </w:r>
      <w:r w:rsidRPr="001F3C51">
        <w:rPr>
          <w:rFonts w:cs="Arial"/>
        </w:rPr>
        <w:t xml:space="preserve">samples were collected in areas that had been exposed to the slurry (SS1 and SS3) and corresponding control samples were collected in areas where it was indicated by ERA that the slurry had not reached (SS2 and SS4). </w:t>
      </w:r>
      <w:r w:rsidRPr="001F3C51">
        <w:t>The samples were collected at each site using a plastic trowel to scrape approximately the top five centimetres of soil from three randomly selected locations (composited) within a 0.5 m</w:t>
      </w:r>
      <w:r w:rsidRPr="001F3C51">
        <w:rPr>
          <w:snapToGrid w:val="0"/>
          <w:color w:val="000000"/>
          <w:position w:val="5"/>
          <w:u w:color="000000"/>
        </w:rPr>
        <w:t>2</w:t>
      </w:r>
      <w:r w:rsidRPr="001F3C51">
        <w:rPr>
          <w:snapToGrid w:val="0"/>
          <w:color w:val="000000"/>
          <w:u w:color="000000"/>
        </w:rPr>
        <w:t xml:space="preserve"> area.</w:t>
      </w:r>
      <w:r w:rsidRPr="001F3C51">
        <w:t xml:space="preserve"> </w:t>
      </w:r>
    </w:p>
    <w:p w:rsidR="00863B62" w:rsidRPr="001F3C51" w:rsidRDefault="00863B62" w:rsidP="00863B62">
      <w:r w:rsidRPr="001F3C51">
        <w:t xml:space="preserve">The soils were assessed for their potential to </w:t>
      </w:r>
      <w:r>
        <w:t>release slurry-</w:t>
      </w:r>
      <w:r w:rsidRPr="001F3C51">
        <w:t xml:space="preserve">related elements into rainwater </w:t>
      </w:r>
      <w:r w:rsidR="00ED5F94">
        <w:t>run</w:t>
      </w:r>
      <w:r>
        <w:t xml:space="preserve">off </w:t>
      </w:r>
      <w:r w:rsidRPr="001F3C51">
        <w:t>by performing a 1:20 water leach (AS4439.2) followed by ICP-MS and OES</w:t>
      </w:r>
      <w:r>
        <w:t xml:space="preserve"> analysis</w:t>
      </w:r>
      <w:r w:rsidRPr="001F3C51">
        <w:t xml:space="preserve"> on the </w:t>
      </w:r>
      <w:proofErr w:type="spellStart"/>
      <w:r w:rsidRPr="001F3C51">
        <w:t>leachate</w:t>
      </w:r>
      <w:proofErr w:type="spellEnd"/>
      <w:r w:rsidRPr="001F3C51">
        <w:t>. The results are reported in section 4.1.4.</w:t>
      </w:r>
    </w:p>
    <w:p w:rsidR="00863B62" w:rsidRDefault="00863B62" w:rsidP="00863B62">
      <w:r w:rsidRPr="0020002D">
        <w:rPr>
          <w:noProof/>
          <w:lang w:eastAsia="en-AU"/>
        </w:rPr>
        <w:drawing>
          <wp:inline distT="0" distB="0" distL="0" distR="0">
            <wp:extent cx="5268595" cy="4760595"/>
            <wp:effectExtent l="19050" t="0" r="8255" b="0"/>
            <wp:docPr id="233" name="Picture 5" descr="SampleLocations_Zone1_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mpleLocations_Zone1_Soil"/>
                    <pic:cNvPicPr>
                      <a:picLocks noChangeAspect="1" noChangeArrowheads="1"/>
                    </pic:cNvPicPr>
                  </pic:nvPicPr>
                  <pic:blipFill>
                    <a:blip r:embed="rId40" cstate="screen"/>
                    <a:srcRect/>
                    <a:stretch>
                      <a:fillRect/>
                    </a:stretch>
                  </pic:blipFill>
                  <pic:spPr bwMode="auto">
                    <a:xfrm>
                      <a:off x="0" y="0"/>
                      <a:ext cx="5268595" cy="4760595"/>
                    </a:xfrm>
                    <a:prstGeom prst="rect">
                      <a:avLst/>
                    </a:prstGeom>
                    <a:noFill/>
                    <a:ln w="9525">
                      <a:noFill/>
                      <a:miter lim="800000"/>
                      <a:headEnd/>
                      <a:tailEnd/>
                    </a:ln>
                  </pic:spPr>
                </pic:pic>
              </a:graphicData>
            </a:graphic>
          </wp:inline>
        </w:drawing>
      </w:r>
    </w:p>
    <w:p w:rsidR="00863B62" w:rsidRPr="00BE0C15" w:rsidRDefault="00863B62" w:rsidP="00863B62">
      <w:pPr>
        <w:pStyle w:val="figurecaption"/>
      </w:pPr>
      <w:bookmarkStart w:id="140" w:name="_Toc390433252"/>
      <w:bookmarkStart w:id="141" w:name="_Toc390766636"/>
      <w:r w:rsidRPr="00FF625F">
        <w:rPr>
          <w:b/>
        </w:rPr>
        <w:t xml:space="preserve">Figure </w:t>
      </w:r>
      <w:proofErr w:type="gramStart"/>
      <w:r w:rsidRPr="00FF625F">
        <w:rPr>
          <w:b/>
        </w:rPr>
        <w:t>3.6</w:t>
      </w:r>
      <w:r w:rsidRPr="00BE0C15">
        <w:t xml:space="preserve">  </w:t>
      </w:r>
      <w:r>
        <w:t>Sample</w:t>
      </w:r>
      <w:proofErr w:type="gramEnd"/>
      <w:r>
        <w:t xml:space="preserve"> locations for soil scrapes</w:t>
      </w:r>
      <w:bookmarkEnd w:id="140"/>
      <w:bookmarkEnd w:id="141"/>
      <w:r w:rsidR="004469E5">
        <w:t>.</w:t>
      </w:r>
    </w:p>
    <w:p w:rsidR="00863B62" w:rsidRPr="006D6E8F" w:rsidRDefault="00863B62" w:rsidP="00863B62"/>
    <w:p w:rsidR="00863B62" w:rsidRPr="00FF625F" w:rsidRDefault="00863B62" w:rsidP="00863B62">
      <w:pPr>
        <w:pStyle w:val="Heading5"/>
      </w:pPr>
      <w:r w:rsidRPr="004774CE">
        <w:t xml:space="preserve">Clearance of Zone </w:t>
      </w:r>
      <w:bookmarkEnd w:id="138"/>
      <w:bookmarkEnd w:id="139"/>
      <w:r w:rsidRPr="004774CE">
        <w:t>1</w:t>
      </w:r>
    </w:p>
    <w:p w:rsidR="00863B62" w:rsidRPr="007977A9" w:rsidRDefault="00863B62" w:rsidP="00863B62">
      <w:pPr>
        <w:rPr>
          <w:i/>
        </w:rPr>
      </w:pPr>
      <w:r w:rsidRPr="007977A9">
        <w:rPr>
          <w:i/>
        </w:rPr>
        <w:t xml:space="preserve">Wednesday 11 December 2013 </w:t>
      </w:r>
    </w:p>
    <w:p w:rsidR="00863B62" w:rsidRPr="001F3C51" w:rsidRDefault="00863B62" w:rsidP="00863B62">
      <w:pPr>
        <w:rPr>
          <w:i/>
        </w:rPr>
      </w:pPr>
      <w:r w:rsidRPr="001F3C51">
        <w:t xml:space="preserve">Representatives of SSD conducted water sampling at Ranger </w:t>
      </w:r>
      <w:r>
        <w:t>associated with the clean</w:t>
      </w:r>
      <w:r w:rsidRPr="001F3C51">
        <w:t>up of Zone 1</w:t>
      </w:r>
      <w:r>
        <w:t xml:space="preserve"> accompanied by staff from ERA on Wednesday 11 December 2013.</w:t>
      </w:r>
    </w:p>
    <w:p w:rsidR="00863B62" w:rsidRPr="00C25909" w:rsidRDefault="00863B62" w:rsidP="00863B62">
      <w:r w:rsidRPr="001F3C51">
        <w:t xml:space="preserve">A water cart of approximately 8,000 L was utilised to spray </w:t>
      </w:r>
      <w:r w:rsidR="001013D4">
        <w:t>RP2</w:t>
      </w:r>
      <w:r w:rsidRPr="001F3C51">
        <w:t xml:space="preserve"> water onto road verges and the road in areas that had been exposed to the spilled slurry. Water samples were then taken where the resulting water </w:t>
      </w:r>
      <w:proofErr w:type="spellStart"/>
      <w:r w:rsidRPr="001F3C51">
        <w:t>ponded</w:t>
      </w:r>
      <w:proofErr w:type="spellEnd"/>
      <w:r w:rsidRPr="001F3C51">
        <w:t xml:space="preserve"> in the stormwater drains</w:t>
      </w:r>
      <w:r>
        <w:t xml:space="preserve"> as</w:t>
      </w:r>
      <w:r w:rsidRPr="001F3C51">
        <w:t xml:space="preserve"> shown </w:t>
      </w:r>
      <w:r w:rsidRPr="001B1A06">
        <w:t>in Figure 3.7.</w:t>
      </w:r>
    </w:p>
    <w:p w:rsidR="00863B62" w:rsidRDefault="00863B62" w:rsidP="00863B62">
      <w:pPr>
        <w:pStyle w:val="figurecaption"/>
        <w:rPr>
          <w:lang w:val="en-US"/>
        </w:rPr>
      </w:pPr>
      <w:r>
        <w:rPr>
          <w:noProof/>
          <w:lang w:eastAsia="en-AU"/>
        </w:rPr>
        <w:drawing>
          <wp:inline distT="0" distB="0" distL="0" distR="0">
            <wp:extent cx="5272405" cy="4761865"/>
            <wp:effectExtent l="19050" t="0" r="4445" b="0"/>
            <wp:docPr id="234" name="Picture 21" descr="SampleLocations_Zone1_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ampleLocations_Zone1_Water"/>
                    <pic:cNvPicPr>
                      <a:picLocks noChangeAspect="1" noChangeArrowheads="1"/>
                    </pic:cNvPicPr>
                  </pic:nvPicPr>
                  <pic:blipFill>
                    <a:blip r:embed="rId41" cstate="screen"/>
                    <a:srcRect/>
                    <a:stretch>
                      <a:fillRect/>
                    </a:stretch>
                  </pic:blipFill>
                  <pic:spPr bwMode="auto">
                    <a:xfrm>
                      <a:off x="0" y="0"/>
                      <a:ext cx="5272405" cy="4761865"/>
                    </a:xfrm>
                    <a:prstGeom prst="rect">
                      <a:avLst/>
                    </a:prstGeom>
                    <a:noFill/>
                    <a:ln w="9525">
                      <a:noFill/>
                      <a:miter lim="800000"/>
                      <a:headEnd/>
                      <a:tailEnd/>
                    </a:ln>
                  </pic:spPr>
                </pic:pic>
              </a:graphicData>
            </a:graphic>
          </wp:inline>
        </w:drawing>
      </w:r>
    </w:p>
    <w:p w:rsidR="00863B62" w:rsidRDefault="00863B62" w:rsidP="00863B62">
      <w:pPr>
        <w:pStyle w:val="figurecaption"/>
        <w:rPr>
          <w:lang w:val="en-US"/>
        </w:rPr>
      </w:pPr>
      <w:bookmarkStart w:id="142" w:name="_Toc390433253"/>
      <w:bookmarkStart w:id="143" w:name="_Toc390766637"/>
      <w:r w:rsidRPr="00200993">
        <w:rPr>
          <w:b/>
          <w:lang w:val="en-US"/>
        </w:rPr>
        <w:t>Figure 3.</w:t>
      </w:r>
      <w:r>
        <w:rPr>
          <w:b/>
          <w:lang w:val="en-US"/>
        </w:rPr>
        <w:t>7</w:t>
      </w:r>
      <w:r w:rsidRPr="00FA544A">
        <w:rPr>
          <w:lang w:val="en-US"/>
        </w:rPr>
        <w:t xml:space="preserve"> </w:t>
      </w:r>
      <w:r>
        <w:rPr>
          <w:lang w:val="en-US"/>
        </w:rPr>
        <w:t>Sample locations for Zone 1</w:t>
      </w:r>
      <w:bookmarkEnd w:id="142"/>
      <w:r>
        <w:rPr>
          <w:lang w:val="en-US"/>
        </w:rPr>
        <w:t xml:space="preserve"> clearance</w:t>
      </w:r>
      <w:bookmarkEnd w:id="143"/>
      <w:r w:rsidR="004469E5">
        <w:rPr>
          <w:lang w:val="en-US"/>
        </w:rPr>
        <w:t>.</w:t>
      </w:r>
    </w:p>
    <w:p w:rsidR="00863B62" w:rsidRPr="001F3C51" w:rsidRDefault="00863B62" w:rsidP="00863B62">
      <w:r w:rsidRPr="001F3C51">
        <w:t xml:space="preserve">The water cart was also utilised to </w:t>
      </w:r>
      <w:r>
        <w:t>flush</w:t>
      </w:r>
      <w:r w:rsidRPr="001F3C51">
        <w:t xml:space="preserve"> water down </w:t>
      </w:r>
      <w:r>
        <w:t>through the</w:t>
      </w:r>
      <w:r w:rsidRPr="001F3C51">
        <w:t xml:space="preserve"> stormwater </w:t>
      </w:r>
      <w:r>
        <w:t>system</w:t>
      </w:r>
      <w:r w:rsidRPr="001F3C51">
        <w:t xml:space="preserve"> </w:t>
      </w:r>
      <w:r>
        <w:t>with</w:t>
      </w:r>
      <w:r w:rsidRPr="001F3C51">
        <w:t xml:space="preserve"> samples collected in </w:t>
      </w:r>
      <w:r w:rsidR="001013D4">
        <w:t>RP2</w:t>
      </w:r>
      <w:r w:rsidRPr="001F3C51">
        <w:t xml:space="preserve"> at the outflow of the central and west</w:t>
      </w:r>
      <w:r>
        <w:t>ern</w:t>
      </w:r>
      <w:r w:rsidRPr="001F3C51">
        <w:t xml:space="preserve"> drains. </w:t>
      </w:r>
    </w:p>
    <w:p w:rsidR="00863B62" w:rsidRPr="001F3C51" w:rsidRDefault="00863B62" w:rsidP="00863B62">
      <w:r w:rsidRPr="001F3C51">
        <w:t>At each sampling site</w:t>
      </w:r>
      <w:r w:rsidR="007D3D5A">
        <w:t>,</w:t>
      </w:r>
      <w:r w:rsidRPr="001F3C51">
        <w:t xml:space="preserve"> SSD collected water samples for analysis of filtered and total metals, general parameters (electrical conductivity and pH) and total </w:t>
      </w:r>
      <w:r w:rsidR="003240A6" w:rsidRPr="007F1420">
        <w:rPr>
          <w:snapToGrid w:val="0"/>
          <w:color w:val="000000"/>
          <w:position w:val="5"/>
          <w:sz w:val="15"/>
          <w:szCs w:val="0"/>
          <w:u w:color="000000"/>
        </w:rPr>
        <w:t>226</w:t>
      </w:r>
      <w:r w:rsidR="003240A6" w:rsidRPr="007F1420">
        <w:t>Ra</w:t>
      </w:r>
      <w:r w:rsidRPr="001F3C51">
        <w:t xml:space="preserve">. A </w:t>
      </w:r>
      <w:r>
        <w:t>field</w:t>
      </w:r>
      <w:r w:rsidRPr="001F3C51">
        <w:t xml:space="preserve"> blank and an in-situ duplicate were collected at </w:t>
      </w:r>
      <w:r>
        <w:t xml:space="preserve">location </w:t>
      </w:r>
      <w:r w:rsidRPr="001F3C51">
        <w:t xml:space="preserve">WS 5. Results of this water sampling are detailed in </w:t>
      </w:r>
      <w:r w:rsidRPr="001B1A06">
        <w:t>Section 4.1.1.2.</w:t>
      </w:r>
    </w:p>
    <w:p w:rsidR="00863B62" w:rsidRPr="004774CE" w:rsidRDefault="00863B62" w:rsidP="00863B62">
      <w:pPr>
        <w:pStyle w:val="Heading5"/>
      </w:pPr>
      <w:bookmarkStart w:id="144" w:name="_Toc390329900"/>
      <w:bookmarkStart w:id="145" w:name="_Toc390352927"/>
      <w:r>
        <w:t xml:space="preserve">Clearance of </w:t>
      </w:r>
      <w:r w:rsidRPr="004774CE">
        <w:t>Zone 2</w:t>
      </w:r>
      <w:bookmarkEnd w:id="144"/>
      <w:bookmarkEnd w:id="145"/>
    </w:p>
    <w:p w:rsidR="00863B62" w:rsidRPr="007977A9" w:rsidRDefault="00863B62" w:rsidP="00863B62">
      <w:pPr>
        <w:rPr>
          <w:i/>
        </w:rPr>
      </w:pPr>
      <w:r w:rsidRPr="007977A9">
        <w:rPr>
          <w:i/>
        </w:rPr>
        <w:t>Thursday 19 December 2013</w:t>
      </w:r>
    </w:p>
    <w:p w:rsidR="00863B62" w:rsidRPr="001F3C51" w:rsidRDefault="00863B62" w:rsidP="00863B62">
      <w:pPr>
        <w:rPr>
          <w:i/>
        </w:rPr>
      </w:pPr>
      <w:r w:rsidRPr="001F3C51">
        <w:t>Representatives from SSD conducted sampling associated with the cleanup of Zone 2 accompanied by staff from ERA</w:t>
      </w:r>
      <w:r>
        <w:t xml:space="preserve"> on Thursday 19 December 2013</w:t>
      </w:r>
      <w:r w:rsidRPr="001F3C51">
        <w:t>.</w:t>
      </w:r>
    </w:p>
    <w:p w:rsidR="00863B62" w:rsidRPr="001F3C51" w:rsidRDefault="00863B62" w:rsidP="00863B62">
      <w:r w:rsidRPr="001F3C51">
        <w:t xml:space="preserve">Rainfall records </w:t>
      </w:r>
      <w:r>
        <w:t>for</w:t>
      </w:r>
      <w:r w:rsidRPr="001F3C51">
        <w:t xml:space="preserve"> the Jabiru Airport indicate 36.6 mm </w:t>
      </w:r>
      <w:r>
        <w:t xml:space="preserve">of rain fell </w:t>
      </w:r>
      <w:r w:rsidRPr="001F3C51">
        <w:t>on</w:t>
      </w:r>
      <w:r>
        <w:t xml:space="preserve"> </w:t>
      </w:r>
      <w:r w:rsidRPr="001F3C51">
        <w:t>15</w:t>
      </w:r>
      <w:r>
        <w:t xml:space="preserve"> </w:t>
      </w:r>
      <w:r w:rsidRPr="001F3C51">
        <w:t>December 2013, 9.8 mm on 16</w:t>
      </w:r>
      <w:r>
        <w:t xml:space="preserve"> </w:t>
      </w:r>
      <w:r w:rsidRPr="001F3C51">
        <w:t>December 2013 and 11.2 mm on</w:t>
      </w:r>
      <w:r>
        <w:t xml:space="preserve"> </w:t>
      </w:r>
      <w:r w:rsidRPr="001F3C51">
        <w:t>19</w:t>
      </w:r>
      <w:r>
        <w:t xml:space="preserve"> </w:t>
      </w:r>
      <w:r w:rsidRPr="001F3C51">
        <w:t xml:space="preserve">December 2013. There was adequate pooling of rainwater remaining from these events to </w:t>
      </w:r>
      <w:r>
        <w:t>obtain</w:t>
      </w:r>
      <w:r w:rsidRPr="001F3C51">
        <w:t xml:space="preserve"> </w:t>
      </w:r>
      <w:r>
        <w:t>the required</w:t>
      </w:r>
      <w:r w:rsidRPr="001F3C51">
        <w:t xml:space="preserve"> samples. Additional water was not </w:t>
      </w:r>
      <w:r>
        <w:t>required</w:t>
      </w:r>
      <w:r w:rsidRPr="001F3C51">
        <w:t xml:space="preserve"> to wash the area down. </w:t>
      </w:r>
    </w:p>
    <w:p w:rsidR="00863B62" w:rsidRPr="001F3C51" w:rsidRDefault="00863B62" w:rsidP="00863B62">
      <w:r w:rsidRPr="001F3C51">
        <w:t>Six pools of water were sampled within Zone 2 (</w:t>
      </w:r>
      <w:r w:rsidRPr="001B1A06">
        <w:t>See Figure 3.8).</w:t>
      </w:r>
      <w:r w:rsidRPr="001F3C51">
        <w:t xml:space="preserve"> A duplicate was taken at Site 2 and a laboratory blank on return to </w:t>
      </w:r>
      <w:r>
        <w:t>the SSD field station</w:t>
      </w:r>
      <w:r w:rsidRPr="001F3C51">
        <w:t>. At each sampling site SSD</w:t>
      </w:r>
      <w:r w:rsidR="007D3D5A">
        <w:t>,</w:t>
      </w:r>
      <w:r w:rsidRPr="001F3C51">
        <w:t xml:space="preserve"> collected water samples for analysis of filtered and total metals,</w:t>
      </w:r>
      <w:r w:rsidRPr="001F3C51">
        <w:rPr>
          <w:color w:val="000000" w:themeColor="text1"/>
        </w:rPr>
        <w:t xml:space="preserve"> general parameters (electrical conductivity and pH) </w:t>
      </w:r>
      <w:r w:rsidRPr="001F3C51">
        <w:t xml:space="preserve">and </w:t>
      </w:r>
      <w:r w:rsidR="003240A6" w:rsidRPr="007F1420">
        <w:rPr>
          <w:snapToGrid w:val="0"/>
          <w:color w:val="000000"/>
          <w:position w:val="5"/>
          <w:sz w:val="15"/>
          <w:szCs w:val="0"/>
          <w:u w:color="000000"/>
        </w:rPr>
        <w:t>226</w:t>
      </w:r>
      <w:r w:rsidR="003240A6" w:rsidRPr="007F1420">
        <w:t>Ra</w:t>
      </w:r>
      <w:r w:rsidRPr="001F3C51">
        <w:t xml:space="preserve">. Results of this water sampling are detailed in </w:t>
      </w:r>
      <w:r w:rsidRPr="001B1A06">
        <w:t>Section 4.1.1.2.</w:t>
      </w:r>
    </w:p>
    <w:p w:rsidR="00863B62" w:rsidRDefault="00863B62" w:rsidP="00863B62">
      <w:pPr>
        <w:pStyle w:val="figurecaption"/>
        <w:rPr>
          <w:lang w:val="en-US"/>
        </w:rPr>
      </w:pPr>
      <w:r>
        <w:rPr>
          <w:noProof/>
          <w:lang w:eastAsia="en-AU"/>
        </w:rPr>
        <w:drawing>
          <wp:inline distT="0" distB="0" distL="0" distR="0">
            <wp:extent cx="5274310" cy="4800600"/>
            <wp:effectExtent l="19050" t="0" r="2540" b="0"/>
            <wp:docPr id="235" name="Picture 109" descr="SampleLocations_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Locations_Zone2.png"/>
                    <pic:cNvPicPr/>
                  </pic:nvPicPr>
                  <pic:blipFill>
                    <a:blip r:embed="rId42" cstate="screen"/>
                    <a:stretch>
                      <a:fillRect/>
                    </a:stretch>
                  </pic:blipFill>
                  <pic:spPr>
                    <a:xfrm>
                      <a:off x="0" y="0"/>
                      <a:ext cx="5274310" cy="4800600"/>
                    </a:xfrm>
                    <a:prstGeom prst="rect">
                      <a:avLst/>
                    </a:prstGeom>
                  </pic:spPr>
                </pic:pic>
              </a:graphicData>
            </a:graphic>
          </wp:inline>
        </w:drawing>
      </w:r>
      <w:r w:rsidRPr="00543F53">
        <w:rPr>
          <w:lang w:val="en-US"/>
        </w:rPr>
        <w:t xml:space="preserve"> </w:t>
      </w:r>
      <w:bookmarkStart w:id="146" w:name="_Toc390433254"/>
      <w:bookmarkStart w:id="147" w:name="_Toc390766638"/>
      <w:r w:rsidRPr="00200993">
        <w:rPr>
          <w:b/>
          <w:lang w:val="en-US"/>
        </w:rPr>
        <w:t xml:space="preserve">Figure </w:t>
      </w:r>
      <w:proofErr w:type="gramStart"/>
      <w:r w:rsidRPr="00200993">
        <w:rPr>
          <w:b/>
          <w:lang w:val="en-US"/>
        </w:rPr>
        <w:t>3.</w:t>
      </w:r>
      <w:r>
        <w:rPr>
          <w:b/>
          <w:lang w:val="en-US"/>
        </w:rPr>
        <w:t>8</w:t>
      </w:r>
      <w:r w:rsidRPr="00FA544A">
        <w:rPr>
          <w:lang w:val="en-US"/>
        </w:rPr>
        <w:t xml:space="preserve"> </w:t>
      </w:r>
      <w:r>
        <w:rPr>
          <w:lang w:val="en-US"/>
        </w:rPr>
        <w:t xml:space="preserve"> Sample</w:t>
      </w:r>
      <w:proofErr w:type="gramEnd"/>
      <w:r>
        <w:rPr>
          <w:lang w:val="en-US"/>
        </w:rPr>
        <w:t xml:space="preserve"> locations for Zone 2</w:t>
      </w:r>
      <w:bookmarkEnd w:id="146"/>
      <w:bookmarkEnd w:id="147"/>
      <w:r w:rsidR="004469E5">
        <w:rPr>
          <w:lang w:val="en-US"/>
        </w:rPr>
        <w:t>.</w:t>
      </w:r>
    </w:p>
    <w:p w:rsidR="00863B62" w:rsidRDefault="00863B62" w:rsidP="00863B62">
      <w:pPr>
        <w:pStyle w:val="Heading5"/>
      </w:pPr>
      <w:r>
        <w:t>Clearance of Zone 3</w:t>
      </w:r>
    </w:p>
    <w:p w:rsidR="00863B62" w:rsidRPr="007977A9" w:rsidRDefault="00863B62" w:rsidP="00863B62">
      <w:pPr>
        <w:rPr>
          <w:i/>
        </w:rPr>
      </w:pPr>
      <w:r w:rsidRPr="007977A9">
        <w:rPr>
          <w:i/>
        </w:rPr>
        <w:t xml:space="preserve">Wednesday 19 March 2014 </w:t>
      </w:r>
    </w:p>
    <w:p w:rsidR="00863B62" w:rsidRPr="001F3C51" w:rsidRDefault="00863B62" w:rsidP="00863B62">
      <w:pPr>
        <w:rPr>
          <w:i/>
        </w:rPr>
      </w:pPr>
      <w:r w:rsidRPr="001F3C51">
        <w:t xml:space="preserve">Representatives from SSD conducted sampling associated with the </w:t>
      </w:r>
      <w:r>
        <w:t>cleanup</w:t>
      </w:r>
      <w:r w:rsidRPr="001F3C51">
        <w:t xml:space="preserve"> of Zone 3 accompanied by staff from ERA</w:t>
      </w:r>
      <w:r>
        <w:t xml:space="preserve"> on Wednesday 19 March 2014</w:t>
      </w:r>
      <w:r w:rsidRPr="001F3C51">
        <w:t>.</w:t>
      </w:r>
    </w:p>
    <w:p w:rsidR="00863B62" w:rsidRPr="001F3C51" w:rsidRDefault="00863B62" w:rsidP="00863B62">
      <w:r w:rsidRPr="001F3C51">
        <w:t>Rainfall records at the Jabiru Airport indicate 35 mm of</w:t>
      </w:r>
      <w:r>
        <w:t xml:space="preserve"> rain fell on</w:t>
      </w:r>
      <w:r w:rsidRPr="001F3C51">
        <w:t xml:space="preserve"> 15 March, 9.6 mm on the 16</w:t>
      </w:r>
      <w:r w:rsidR="00AF79F7">
        <w:t xml:space="preserve"> </w:t>
      </w:r>
      <w:r w:rsidRPr="001F3C51">
        <w:t xml:space="preserve">March and 1.6 mm on the 17 March 2014. There was adequate pooling of rainwater remaining from these events to </w:t>
      </w:r>
      <w:r>
        <w:t>obtain the required</w:t>
      </w:r>
      <w:r w:rsidRPr="001F3C51">
        <w:t xml:space="preserve"> samples. Additional water was not utilised to wash the area down.</w:t>
      </w:r>
    </w:p>
    <w:p w:rsidR="00863B62" w:rsidRDefault="00863B62" w:rsidP="00863B62">
      <w:r w:rsidRPr="001F3C51">
        <w:t xml:space="preserve">Two locations within Zone 3 </w:t>
      </w:r>
      <w:r w:rsidR="007D3D5A">
        <w:t>had</w:t>
      </w:r>
      <w:r w:rsidRPr="001F3C51">
        <w:t xml:space="preserve"> been excavated, associated with repair of the concrete bund wall around the failed </w:t>
      </w:r>
      <w:r w:rsidRPr="001B1A06">
        <w:t>tank (See Figure 3.9 and Figure 3.10).</w:t>
      </w:r>
      <w:r w:rsidRPr="001F3C51">
        <w:t xml:space="preserve"> Both of these areas would drain into the tank bund area and </w:t>
      </w:r>
      <w:r>
        <w:t>thereby report to</w:t>
      </w:r>
      <w:r w:rsidRPr="001F3C51">
        <w:t xml:space="preserve"> the process water circuit.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863B62" w:rsidTr="00001E43">
        <w:tc>
          <w:tcPr>
            <w:tcW w:w="4261" w:type="dxa"/>
          </w:tcPr>
          <w:p w:rsidR="00863B62" w:rsidRDefault="00863B62" w:rsidP="00001E43">
            <w:r w:rsidRPr="00E11D77">
              <w:rPr>
                <w:noProof/>
                <w:lang w:eastAsia="en-AU"/>
              </w:rPr>
              <w:drawing>
                <wp:inline distT="0" distB="0" distL="0" distR="0">
                  <wp:extent cx="1409700" cy="1879482"/>
                  <wp:effectExtent l="38100" t="19050" r="19050" b="25518"/>
                  <wp:docPr id="236" name="Picture 0" descr="IMGP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0175.JPG"/>
                          <pic:cNvPicPr/>
                        </pic:nvPicPr>
                        <pic:blipFill>
                          <a:blip r:embed="rId43" cstate="screen"/>
                          <a:stretch>
                            <a:fillRect/>
                          </a:stretch>
                        </pic:blipFill>
                        <pic:spPr>
                          <a:xfrm>
                            <a:off x="0" y="0"/>
                            <a:ext cx="1410232" cy="1880192"/>
                          </a:xfrm>
                          <a:prstGeom prst="rect">
                            <a:avLst/>
                          </a:prstGeom>
                          <a:ln>
                            <a:solidFill>
                              <a:schemeClr val="tx1"/>
                            </a:solidFill>
                          </a:ln>
                        </pic:spPr>
                      </pic:pic>
                    </a:graphicData>
                  </a:graphic>
                </wp:inline>
              </w:drawing>
            </w:r>
          </w:p>
        </w:tc>
        <w:tc>
          <w:tcPr>
            <w:tcW w:w="4261" w:type="dxa"/>
          </w:tcPr>
          <w:p w:rsidR="00863B62" w:rsidRDefault="00863B62" w:rsidP="00001E43">
            <w:r w:rsidRPr="00E11D77">
              <w:rPr>
                <w:noProof/>
                <w:lang w:eastAsia="en-AU"/>
              </w:rPr>
              <w:drawing>
                <wp:inline distT="0" distB="0" distL="0" distR="0">
                  <wp:extent cx="1407407" cy="1876425"/>
                  <wp:effectExtent l="38100" t="19050" r="21343" b="28575"/>
                  <wp:docPr id="237" name="Picture 1" descr="IMGP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0176.JPG"/>
                          <pic:cNvPicPr/>
                        </pic:nvPicPr>
                        <pic:blipFill>
                          <a:blip r:embed="rId44" cstate="screen"/>
                          <a:stretch>
                            <a:fillRect/>
                          </a:stretch>
                        </pic:blipFill>
                        <pic:spPr>
                          <a:xfrm>
                            <a:off x="0" y="0"/>
                            <a:ext cx="1407939" cy="1877134"/>
                          </a:xfrm>
                          <a:prstGeom prst="rect">
                            <a:avLst/>
                          </a:prstGeom>
                          <a:ln>
                            <a:solidFill>
                              <a:schemeClr val="tx1"/>
                            </a:solidFill>
                          </a:ln>
                        </pic:spPr>
                      </pic:pic>
                    </a:graphicData>
                  </a:graphic>
                </wp:inline>
              </w:drawing>
            </w:r>
          </w:p>
        </w:tc>
      </w:tr>
      <w:tr w:rsidR="00863B62" w:rsidTr="00001E43">
        <w:tc>
          <w:tcPr>
            <w:tcW w:w="4261" w:type="dxa"/>
          </w:tcPr>
          <w:p w:rsidR="00863B62" w:rsidRDefault="00863B62" w:rsidP="00001E43">
            <w:pPr>
              <w:pStyle w:val="figurecaption"/>
            </w:pPr>
            <w:bookmarkStart w:id="148" w:name="_Toc390433255"/>
            <w:bookmarkStart w:id="149" w:name="_Toc390766639"/>
            <w:r w:rsidRPr="00CE7F6D">
              <w:rPr>
                <w:b/>
              </w:rPr>
              <w:t xml:space="preserve">Figure </w:t>
            </w:r>
            <w:proofErr w:type="gramStart"/>
            <w:r w:rsidRPr="00CE7F6D">
              <w:rPr>
                <w:b/>
              </w:rPr>
              <w:t>3.</w:t>
            </w:r>
            <w:r>
              <w:rPr>
                <w:b/>
              </w:rPr>
              <w:t>9</w:t>
            </w:r>
            <w:r>
              <w:t xml:space="preserve">  Excavated</w:t>
            </w:r>
            <w:proofErr w:type="gramEnd"/>
            <w:r>
              <w:t xml:space="preserve"> area within Zone 3</w:t>
            </w:r>
            <w:bookmarkEnd w:id="148"/>
            <w:bookmarkEnd w:id="149"/>
            <w:r w:rsidR="004469E5">
              <w:t>.</w:t>
            </w:r>
          </w:p>
        </w:tc>
        <w:tc>
          <w:tcPr>
            <w:tcW w:w="4261" w:type="dxa"/>
          </w:tcPr>
          <w:p w:rsidR="00863B62" w:rsidRDefault="00863B62" w:rsidP="00001E43">
            <w:pPr>
              <w:pStyle w:val="figurecaption"/>
            </w:pPr>
            <w:bookmarkStart w:id="150" w:name="_Toc390433256"/>
            <w:bookmarkStart w:id="151" w:name="_Toc390766640"/>
            <w:r w:rsidRPr="00CE7F6D">
              <w:rPr>
                <w:b/>
              </w:rPr>
              <w:t xml:space="preserve">Figure </w:t>
            </w:r>
            <w:proofErr w:type="gramStart"/>
            <w:r w:rsidRPr="00CE7F6D">
              <w:rPr>
                <w:b/>
              </w:rPr>
              <w:t>3.</w:t>
            </w:r>
            <w:r>
              <w:rPr>
                <w:b/>
              </w:rPr>
              <w:t>10</w:t>
            </w:r>
            <w:r>
              <w:t xml:space="preserve">  Excavated</w:t>
            </w:r>
            <w:proofErr w:type="gramEnd"/>
            <w:r>
              <w:t xml:space="preserve"> area within Zone 3</w:t>
            </w:r>
            <w:bookmarkEnd w:id="150"/>
            <w:bookmarkEnd w:id="151"/>
            <w:r w:rsidR="004469E5">
              <w:t>.</w:t>
            </w:r>
          </w:p>
        </w:tc>
      </w:tr>
    </w:tbl>
    <w:p w:rsidR="00863B62" w:rsidRPr="001F3C51" w:rsidRDefault="00863B62" w:rsidP="00863B62">
      <w:r w:rsidRPr="001F3C51">
        <w:t xml:space="preserve">One pool of water was sampled within </w:t>
      </w:r>
      <w:r w:rsidRPr="00535DB5">
        <w:t>Zone 3 (See Figure 3.11).</w:t>
      </w:r>
      <w:r w:rsidRPr="001F3C51">
        <w:t xml:space="preserve"> SSD collected water samples for analysis of filterable and total metals and filterable </w:t>
      </w:r>
      <w:r w:rsidR="003240A6" w:rsidRPr="007F1420">
        <w:rPr>
          <w:snapToGrid w:val="0"/>
          <w:color w:val="000000"/>
          <w:position w:val="5"/>
          <w:sz w:val="15"/>
          <w:szCs w:val="0"/>
          <w:u w:color="000000"/>
        </w:rPr>
        <w:t>226</w:t>
      </w:r>
      <w:r w:rsidR="003240A6" w:rsidRPr="007F1420">
        <w:t>Ra</w:t>
      </w:r>
      <w:r w:rsidRPr="001F3C51">
        <w:t xml:space="preserve">. A field blank for total metals was also taken. Results of this water sampling are detailed </w:t>
      </w:r>
      <w:r w:rsidRPr="00535DB5">
        <w:t>in Section 4.1.1.2.</w:t>
      </w:r>
    </w:p>
    <w:p w:rsidR="00863B62" w:rsidRDefault="00863B62" w:rsidP="00863B62">
      <w:r>
        <w:rPr>
          <w:noProof/>
          <w:lang w:eastAsia="en-AU"/>
        </w:rPr>
        <w:drawing>
          <wp:inline distT="0" distB="0" distL="0" distR="0">
            <wp:extent cx="5274310" cy="4765675"/>
            <wp:effectExtent l="19050" t="0" r="2540" b="0"/>
            <wp:docPr id="238" name="Picture 183" descr="SampleLocations_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Locations_Zone3.png"/>
                    <pic:cNvPicPr/>
                  </pic:nvPicPr>
                  <pic:blipFill>
                    <a:blip r:embed="rId45" cstate="screen"/>
                    <a:stretch>
                      <a:fillRect/>
                    </a:stretch>
                  </pic:blipFill>
                  <pic:spPr>
                    <a:xfrm>
                      <a:off x="0" y="0"/>
                      <a:ext cx="5274310" cy="4765675"/>
                    </a:xfrm>
                    <a:prstGeom prst="rect">
                      <a:avLst/>
                    </a:prstGeom>
                  </pic:spPr>
                </pic:pic>
              </a:graphicData>
            </a:graphic>
          </wp:inline>
        </w:drawing>
      </w:r>
    </w:p>
    <w:p w:rsidR="00863B62" w:rsidRPr="00AB0C49" w:rsidRDefault="00863B62" w:rsidP="00863B62">
      <w:pPr>
        <w:pStyle w:val="figurecaption"/>
        <w:spacing w:before="120"/>
      </w:pPr>
      <w:bookmarkStart w:id="152" w:name="_Toc390433257"/>
      <w:bookmarkStart w:id="153" w:name="_Toc390766641"/>
      <w:r w:rsidRPr="008639FD">
        <w:rPr>
          <w:b/>
        </w:rPr>
        <w:t xml:space="preserve">Figure </w:t>
      </w:r>
      <w:proofErr w:type="gramStart"/>
      <w:r>
        <w:rPr>
          <w:b/>
        </w:rPr>
        <w:t>3.11</w:t>
      </w:r>
      <w:r>
        <w:t xml:space="preserve">  Sample</w:t>
      </w:r>
      <w:proofErr w:type="gramEnd"/>
      <w:r>
        <w:t xml:space="preserve"> location for Zone 3</w:t>
      </w:r>
      <w:bookmarkEnd w:id="152"/>
      <w:bookmarkEnd w:id="153"/>
      <w:r w:rsidR="004469E5">
        <w:t>.</w:t>
      </w:r>
    </w:p>
    <w:p w:rsidR="00715C67" w:rsidRDefault="00715C67">
      <w:pPr>
        <w:spacing w:after="0" w:line="240" w:lineRule="auto"/>
        <w:jc w:val="left"/>
        <w:rPr>
          <w:rFonts w:ascii="Arial" w:hAnsi="Arial"/>
          <w:b/>
          <w:sz w:val="24"/>
        </w:rPr>
      </w:pPr>
      <w:bookmarkStart w:id="154" w:name="_Toc390433007"/>
      <w:r>
        <w:br w:type="page"/>
      </w:r>
    </w:p>
    <w:p w:rsidR="00863B62" w:rsidRPr="004774CE" w:rsidRDefault="00863B62" w:rsidP="00863B62">
      <w:pPr>
        <w:pStyle w:val="Heading3"/>
      </w:pPr>
      <w:bookmarkStart w:id="155" w:name="_Toc390766585"/>
      <w:proofErr w:type="gramStart"/>
      <w:r w:rsidRPr="004774CE">
        <w:t>3.2.2  Offsite</w:t>
      </w:r>
      <w:proofErr w:type="gramEnd"/>
      <w:r w:rsidRPr="004774CE">
        <w:t xml:space="preserve"> </w:t>
      </w:r>
      <w:r w:rsidR="003922A8">
        <w:t>s</w:t>
      </w:r>
      <w:r w:rsidRPr="004774CE">
        <w:t xml:space="preserve">urface </w:t>
      </w:r>
      <w:r w:rsidR="003922A8">
        <w:t>w</w:t>
      </w:r>
      <w:r w:rsidRPr="004774CE">
        <w:t>ater</w:t>
      </w:r>
      <w:bookmarkEnd w:id="154"/>
      <w:bookmarkEnd w:id="155"/>
    </w:p>
    <w:p w:rsidR="00863B62" w:rsidRPr="004774CE" w:rsidRDefault="00863B62" w:rsidP="00863B62">
      <w:pPr>
        <w:pStyle w:val="Heading4"/>
      </w:pPr>
      <w:bookmarkStart w:id="156" w:name="_Toc390352931"/>
      <w:proofErr w:type="gramStart"/>
      <w:r w:rsidRPr="004774CE">
        <w:t>3.2.2.1  Magela</w:t>
      </w:r>
      <w:proofErr w:type="gramEnd"/>
      <w:r w:rsidRPr="004774CE">
        <w:t xml:space="preserve"> Creek </w:t>
      </w:r>
      <w:r w:rsidR="004826EE">
        <w:t>s</w:t>
      </w:r>
      <w:r w:rsidRPr="004774CE">
        <w:t>ampling</w:t>
      </w:r>
      <w:bookmarkEnd w:id="156"/>
    </w:p>
    <w:p w:rsidR="00863B62" w:rsidRPr="001F3C51" w:rsidRDefault="00863B62" w:rsidP="00863B62">
      <w:r w:rsidRPr="004774CE">
        <w:t>Continuous monitoring of water quality parameters (EC, turbidity and pH) commenced on 28 November 2013 at the SSD monitoring sites</w:t>
      </w:r>
      <w:r w:rsidR="007D3D5A">
        <w:t>,</w:t>
      </w:r>
      <w:r w:rsidRPr="004774CE">
        <w:t xml:space="preserve"> upstream (MCUGT) and downstream (MC</w:t>
      </w:r>
      <w:r w:rsidR="00715C67">
        <w:t>DW) of Ranger</w:t>
      </w:r>
      <w:r w:rsidRPr="00AC419B">
        <w:t xml:space="preserve"> (See Figure 3.12)</w:t>
      </w:r>
      <w:r w:rsidR="007D3D5A">
        <w:t xml:space="preserve"> as part of SSD’s routine wet season monitoring program</w:t>
      </w:r>
      <w:r w:rsidRPr="00AC419B">
        <w:t>.</w:t>
      </w:r>
    </w:p>
    <w:p w:rsidR="00863B62" w:rsidRPr="001F3C51" w:rsidRDefault="00863B62" w:rsidP="00863B62">
      <w:r w:rsidRPr="001F3C51">
        <w:t>SSD staff collected water samples at the MCUGT and downstream MCDW monitoring sites on 7, 9, 10, 11, 12, 13, 17, 19</w:t>
      </w:r>
      <w:r w:rsidRPr="001F3C51">
        <w:rPr>
          <w:vertAlign w:val="superscript"/>
        </w:rPr>
        <w:t xml:space="preserve"> </w:t>
      </w:r>
      <w:r w:rsidRPr="001F3C51">
        <w:t xml:space="preserve">and 23 December 2013. These samples were analysed for filtered and total metals, and </w:t>
      </w:r>
      <w:r w:rsidR="003240A6" w:rsidRPr="007F1420">
        <w:rPr>
          <w:snapToGrid w:val="0"/>
          <w:color w:val="000000"/>
          <w:position w:val="5"/>
          <w:sz w:val="15"/>
          <w:szCs w:val="0"/>
          <w:u w:color="000000"/>
        </w:rPr>
        <w:t>226</w:t>
      </w:r>
      <w:r w:rsidR="003240A6" w:rsidRPr="007F1420">
        <w:t>Ra</w:t>
      </w:r>
      <w:r w:rsidRPr="001F3C51">
        <w:t xml:space="preserve">. </w:t>
      </w:r>
    </w:p>
    <w:p w:rsidR="00863B62" w:rsidRPr="001F3C51" w:rsidRDefault="00863B62" w:rsidP="00863B62">
      <w:r w:rsidRPr="001F3C51">
        <w:t>The automatic sampling equipment at the MCUGT and MCDW sites was utilised to collect water samples on 26 and 30 December 2013 and 2 January 2014 (samples were retrieved by SSD staff on 2 January 2014). These samples were analysed for total metals</w:t>
      </w:r>
      <w:r>
        <w:t xml:space="preserve"> and results are presented </w:t>
      </w:r>
      <w:r w:rsidRPr="00AC419B">
        <w:t xml:space="preserve">in Section </w:t>
      </w:r>
      <w:r w:rsidR="00AC419B" w:rsidRPr="00AC419B">
        <w:t>4.1.2</w:t>
      </w:r>
      <w:r w:rsidRPr="00AC419B">
        <w:t>.</w:t>
      </w:r>
    </w:p>
    <w:p w:rsidR="00863B62" w:rsidRDefault="00863B62" w:rsidP="00863B62">
      <w:r>
        <w:rPr>
          <w:noProof/>
          <w:lang w:eastAsia="en-AU"/>
        </w:rPr>
        <w:drawing>
          <wp:inline distT="0" distB="0" distL="0" distR="0">
            <wp:extent cx="4873584" cy="4399826"/>
            <wp:effectExtent l="19050" t="0" r="3216" b="0"/>
            <wp:docPr id="239" name="Picture 13" descr="C:\Users\a18223\AppData\Local\Microsoft\Windows\Temporary Internet Files\Content.Word\SSD Monitoring si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18223\AppData\Local\Microsoft\Windows\Temporary Internet Files\Content.Word\SSD Monitoring sites.png"/>
                    <pic:cNvPicPr>
                      <a:picLocks noChangeAspect="1" noChangeArrowheads="1"/>
                    </pic:cNvPicPr>
                  </pic:nvPicPr>
                  <pic:blipFill>
                    <a:blip r:embed="rId46" cstate="screen"/>
                    <a:srcRect/>
                    <a:stretch>
                      <a:fillRect/>
                    </a:stretch>
                  </pic:blipFill>
                  <pic:spPr bwMode="auto">
                    <a:xfrm>
                      <a:off x="0" y="0"/>
                      <a:ext cx="4879513" cy="4405179"/>
                    </a:xfrm>
                    <a:prstGeom prst="rect">
                      <a:avLst/>
                    </a:prstGeom>
                    <a:noFill/>
                    <a:ln w="9525">
                      <a:noFill/>
                      <a:miter lim="800000"/>
                      <a:headEnd/>
                      <a:tailEnd/>
                    </a:ln>
                  </pic:spPr>
                </pic:pic>
              </a:graphicData>
            </a:graphic>
          </wp:inline>
        </w:drawing>
      </w:r>
    </w:p>
    <w:p w:rsidR="00863B62" w:rsidRDefault="00863B62" w:rsidP="00863B62">
      <w:pPr>
        <w:pStyle w:val="figurecaption"/>
      </w:pPr>
      <w:bookmarkStart w:id="157" w:name="_Toc390433258"/>
      <w:bookmarkStart w:id="158" w:name="_Toc390766642"/>
      <w:r w:rsidRPr="000711CA">
        <w:rPr>
          <w:b/>
        </w:rPr>
        <w:t>Figure 3.1</w:t>
      </w:r>
      <w:r>
        <w:rPr>
          <w:b/>
        </w:rPr>
        <w:t>2</w:t>
      </w:r>
      <w:r>
        <w:t xml:space="preserve"> Location of Magela Creek Upstream (MCUGT) and Magela Creek Downstream (MCDW) monitoring sites</w:t>
      </w:r>
      <w:bookmarkEnd w:id="157"/>
      <w:bookmarkEnd w:id="158"/>
      <w:r w:rsidR="004469E5">
        <w:t>.</w:t>
      </w:r>
    </w:p>
    <w:p w:rsidR="00863B62" w:rsidRPr="004774CE" w:rsidRDefault="00863B62" w:rsidP="00863B62">
      <w:pPr>
        <w:pStyle w:val="Heading4"/>
      </w:pPr>
      <w:proofErr w:type="gramStart"/>
      <w:r w:rsidRPr="004774CE">
        <w:t xml:space="preserve">3.2.2.2  </w:t>
      </w:r>
      <w:r w:rsidRPr="007977A9">
        <w:rPr>
          <w:i/>
        </w:rPr>
        <w:t>In</w:t>
      </w:r>
      <w:proofErr w:type="gramEnd"/>
      <w:r w:rsidRPr="007977A9">
        <w:rPr>
          <w:i/>
        </w:rPr>
        <w:t xml:space="preserve"> situ</w:t>
      </w:r>
      <w:r w:rsidRPr="004774CE">
        <w:rPr>
          <w:i/>
        </w:rPr>
        <w:t xml:space="preserve"> </w:t>
      </w:r>
      <w:r w:rsidRPr="004774CE">
        <w:t>toxicology testing</w:t>
      </w:r>
    </w:p>
    <w:p w:rsidR="00863B62" w:rsidRPr="007977A9" w:rsidRDefault="00863B62" w:rsidP="00863B62">
      <w:pPr>
        <w:rPr>
          <w:i/>
        </w:rPr>
      </w:pPr>
      <w:r w:rsidRPr="007977A9">
        <w:rPr>
          <w:i/>
        </w:rPr>
        <w:t>5 – 9 December 2013</w:t>
      </w:r>
    </w:p>
    <w:p w:rsidR="00CB791F" w:rsidRDefault="00CB791F" w:rsidP="00863B62">
      <w:r>
        <w:t xml:space="preserve">SSD conducts a fortnightly routine </w:t>
      </w:r>
      <w:r w:rsidRPr="00CB791F">
        <w:rPr>
          <w:i/>
        </w:rPr>
        <w:t>in situ</w:t>
      </w:r>
      <w:r>
        <w:t xml:space="preserve"> toxicity testing program in Magela Creek which measures the</w:t>
      </w:r>
      <w:r w:rsidRPr="00855026">
        <w:t xml:space="preserve"> reproduction (egg production) by the freshwater snail, </w:t>
      </w:r>
      <w:proofErr w:type="spellStart"/>
      <w:r w:rsidRPr="00855026">
        <w:rPr>
          <w:i/>
          <w:iCs/>
        </w:rPr>
        <w:t>Amerianna</w:t>
      </w:r>
      <w:proofErr w:type="spellEnd"/>
      <w:r w:rsidRPr="00855026">
        <w:rPr>
          <w:i/>
          <w:iCs/>
        </w:rPr>
        <w:t xml:space="preserve"> </w:t>
      </w:r>
      <w:proofErr w:type="spellStart"/>
      <w:r w:rsidRPr="00855026">
        <w:rPr>
          <w:i/>
          <w:iCs/>
        </w:rPr>
        <w:t>cumingi</w:t>
      </w:r>
      <w:proofErr w:type="spellEnd"/>
      <w:r w:rsidRPr="00855026">
        <w:t>. Each test runs over a four-day (96-hr) exposure period</w:t>
      </w:r>
      <w:r>
        <w:t xml:space="preserve"> with the snails placed in </w:t>
      </w:r>
      <w:r w:rsidR="009A6D5D" w:rsidRPr="00B63F3C">
        <w:t>floating (flow-through) containers located in the creek</w:t>
      </w:r>
      <w:r w:rsidRPr="00855026">
        <w:t>. In such chronic exposure situations, this species has been shown to be among the most sensitive, to both uranium and magnesium, of SSD’s suite of six local species as determined using standardised laboratory toxicity test protocols.</w:t>
      </w:r>
    </w:p>
    <w:p w:rsidR="00863B62" w:rsidRPr="004774CE" w:rsidRDefault="00863B62" w:rsidP="00863B62">
      <w:r w:rsidRPr="004774CE">
        <w:t xml:space="preserve">The acid leach tank failure on 7 December 2013 coincided with an </w:t>
      </w:r>
      <w:r w:rsidRPr="007977A9">
        <w:rPr>
          <w:i/>
        </w:rPr>
        <w:t>in situ</w:t>
      </w:r>
      <w:r w:rsidRPr="004774CE">
        <w:t xml:space="preserve"> toxicity test being conducted in Magela Creek (deployed on 5 December 2013 and retrieved on 9 December 2013). Subsequent tests were</w:t>
      </w:r>
      <w:r w:rsidR="00073464">
        <w:t xml:space="preserve"> conducted on a fortnightly basis</w:t>
      </w:r>
      <w:r w:rsidR="00073464" w:rsidRPr="00073464">
        <w:t xml:space="preserve"> </w:t>
      </w:r>
      <w:r w:rsidR="00073464" w:rsidRPr="004774CE">
        <w:t>in Magela Creek</w:t>
      </w:r>
      <w:r w:rsidRPr="004774CE">
        <w:t>, being deployed on a Thursday and retrieved the following Monday</w:t>
      </w:r>
      <w:r w:rsidR="00073464">
        <w:t xml:space="preserve"> </w:t>
      </w:r>
      <w:r>
        <w:t xml:space="preserve">with results presented in Section </w:t>
      </w:r>
      <w:r w:rsidR="006F01D4">
        <w:t>4.1.2</w:t>
      </w:r>
      <w:r w:rsidRPr="004774CE">
        <w:t>.</w:t>
      </w:r>
    </w:p>
    <w:p w:rsidR="00863B62" w:rsidRPr="004774CE" w:rsidRDefault="00863B62" w:rsidP="00863B62">
      <w:pPr>
        <w:pStyle w:val="Heading2"/>
      </w:pPr>
      <w:bookmarkStart w:id="159" w:name="_Toc390433008"/>
      <w:bookmarkStart w:id="160" w:name="_Toc390766586"/>
      <w:proofErr w:type="gramStart"/>
      <w:r w:rsidRPr="004774CE">
        <w:t>3.3  Groundwater</w:t>
      </w:r>
      <w:bookmarkEnd w:id="159"/>
      <w:bookmarkEnd w:id="160"/>
      <w:proofErr w:type="gramEnd"/>
    </w:p>
    <w:p w:rsidR="00863B62" w:rsidRPr="004774CE" w:rsidRDefault="00863B62" w:rsidP="00863B62">
      <w:pPr>
        <w:pStyle w:val="Heading3"/>
      </w:pPr>
      <w:bookmarkStart w:id="161" w:name="_Toc390433009"/>
      <w:bookmarkStart w:id="162" w:name="_Toc390766587"/>
      <w:proofErr w:type="gramStart"/>
      <w:r w:rsidRPr="004774CE">
        <w:t>3.3.1  Soil</w:t>
      </w:r>
      <w:proofErr w:type="gramEnd"/>
      <w:r w:rsidRPr="004774CE">
        <w:t xml:space="preserve"> profiling</w:t>
      </w:r>
      <w:bookmarkEnd w:id="161"/>
      <w:bookmarkEnd w:id="162"/>
    </w:p>
    <w:p w:rsidR="00863B62" w:rsidRPr="001F3C51" w:rsidRDefault="00863B62" w:rsidP="00863B62">
      <w:r w:rsidRPr="004774CE">
        <w:t>In</w:t>
      </w:r>
      <w:r w:rsidRPr="001F3C51">
        <w:t xml:space="preserve"> order to determine the potential for </w:t>
      </w:r>
      <w:r w:rsidR="001013D4">
        <w:t>offsite</w:t>
      </w:r>
      <w:r w:rsidRPr="001F3C51">
        <w:t xml:space="preserve"> </w:t>
      </w:r>
      <w:r w:rsidR="00132C17">
        <w:t>effects</w:t>
      </w:r>
      <w:r w:rsidRPr="001F3C51">
        <w:t xml:space="preserve"> from the leach tank spill</w:t>
      </w:r>
      <w:r w:rsidR="001028E4">
        <w:t>,</w:t>
      </w:r>
      <w:r w:rsidR="00132C17">
        <w:t xml:space="preserve"> via the groundwater pathway</w:t>
      </w:r>
      <w:r w:rsidRPr="001F3C51">
        <w:t xml:space="preserve"> it is necessary to characterise the properties of the </w:t>
      </w:r>
      <w:proofErr w:type="spellStart"/>
      <w:r w:rsidRPr="001F3C51">
        <w:t>surficial</w:t>
      </w:r>
      <w:proofErr w:type="spellEnd"/>
      <w:r w:rsidRPr="001F3C51">
        <w:t xml:space="preserve"> material onto which the </w:t>
      </w:r>
      <w:proofErr w:type="spellStart"/>
      <w:r w:rsidRPr="001F3C51">
        <w:t>leachate</w:t>
      </w:r>
      <w:proofErr w:type="spellEnd"/>
      <w:r w:rsidRPr="001F3C51">
        <w:t xml:space="preserve"> spilled. This is to understand whether the material is able to act as a conduit, enabling the infiltration of </w:t>
      </w:r>
      <w:proofErr w:type="spellStart"/>
      <w:r w:rsidRPr="001F3C51">
        <w:t>leachate</w:t>
      </w:r>
      <w:proofErr w:type="spellEnd"/>
      <w:r w:rsidRPr="001F3C51">
        <w:t xml:space="preserve"> into the subsurface and also if there are any chemical or mineralogical processes </w:t>
      </w:r>
      <w:r w:rsidR="00132C17">
        <w:t>which</w:t>
      </w:r>
      <w:r w:rsidRPr="001F3C51">
        <w:t xml:space="preserve"> may bi</w:t>
      </w:r>
      <w:r w:rsidR="00132C17">
        <w:t>nd or disperse any contaminant.</w:t>
      </w:r>
    </w:p>
    <w:p w:rsidR="00863B62" w:rsidRPr="001F3C51" w:rsidRDefault="00863B62" w:rsidP="00863B62">
      <w:r w:rsidRPr="001F3C51">
        <w:t xml:space="preserve">Properties of soils at the Ranger site have been investigated in previous studies. Chartres et al. (1991) provides a general description of Ranger mine soil types, and Hollingsworth (2006) investigates the soils at the mine for potential contamination.  While these provided some necessary background information, they were not deemed suitable or sufficient to fully interpret the </w:t>
      </w:r>
      <w:proofErr w:type="spellStart"/>
      <w:r w:rsidRPr="001F3C51">
        <w:t>surficial</w:t>
      </w:r>
      <w:proofErr w:type="spellEnd"/>
      <w:r w:rsidRPr="001F3C51">
        <w:t xml:space="preserve"> material properties at the site of the spill. Existing soil</w:t>
      </w:r>
      <w:r w:rsidR="00FB7011">
        <w:t xml:space="preserve"> survey information (Wells 1979,</w:t>
      </w:r>
      <w:r w:rsidRPr="001F3C51">
        <w:t xml:space="preserve"> White &amp; McLeod 1985) was considered too small and lacked detail for the present purposes. </w:t>
      </w:r>
    </w:p>
    <w:p w:rsidR="00863B62" w:rsidRPr="001F3C51" w:rsidRDefault="00863B62" w:rsidP="00863B62">
      <w:r w:rsidRPr="001F3C51">
        <w:t xml:space="preserve">It order to provide sufficient detail, the soils and </w:t>
      </w:r>
      <w:proofErr w:type="spellStart"/>
      <w:r w:rsidRPr="001F3C51">
        <w:t>surficial</w:t>
      </w:r>
      <w:proofErr w:type="spellEnd"/>
      <w:r w:rsidRPr="001F3C51">
        <w:t xml:space="preserve"> materials at five holes in the Ranger mill area were sampled to a depth of 1 m. The five </w:t>
      </w:r>
      <w:proofErr w:type="gramStart"/>
      <w:r w:rsidRPr="001F3C51">
        <w:t>hole</w:t>
      </w:r>
      <w:proofErr w:type="gramEnd"/>
      <w:r w:rsidRPr="001F3C51">
        <w:t xml:space="preserve"> locations in relation to the leach tank spill are shown in </w:t>
      </w:r>
      <w:r w:rsidRPr="00764D7C">
        <w:t>Figure 3.13. They included 2 sites (Holes 1 and 3) that were affected by the spill and 3 sites (Holes 2, 4 and 5) that we</w:t>
      </w:r>
      <w:r w:rsidRPr="001F3C51">
        <w:t xml:space="preserve">re unaffected. </w:t>
      </w:r>
    </w:p>
    <w:p w:rsidR="00863B62" w:rsidRPr="001F3C51" w:rsidRDefault="00863B62" w:rsidP="00863B62">
      <w:r w:rsidRPr="001F3C51">
        <w:t xml:space="preserve">The holes were dug and sampled during March and April in 2014. The pits exposed the </w:t>
      </w:r>
      <w:proofErr w:type="spellStart"/>
      <w:r w:rsidRPr="001F3C51">
        <w:t>stratigraphy</w:t>
      </w:r>
      <w:proofErr w:type="spellEnd"/>
      <w:r w:rsidRPr="001F3C51">
        <w:t xml:space="preserve"> of the site and, where possible, each visible layer was sampled.</w:t>
      </w:r>
    </w:p>
    <w:p w:rsidR="00863B62" w:rsidRPr="001F3C51" w:rsidRDefault="00863B62" w:rsidP="00863B62">
      <w:r w:rsidRPr="001F3C51">
        <w:t>Hole 2 was dug by a power auger mounted on a Bobcat and Hole 5 was dug by hand with a spade to a depth of 0.3 m.</w:t>
      </w:r>
      <w:r>
        <w:t xml:space="preserve"> The remain</w:t>
      </w:r>
      <w:r w:rsidR="00132C17">
        <w:t>ing</w:t>
      </w:r>
      <w:r>
        <w:t xml:space="preserve"> holes were excavated with a backhoe.</w:t>
      </w:r>
      <w:r w:rsidRPr="001F3C51">
        <w:t xml:space="preserve"> Hole 2 was completely mixed by the auger and so samples were collected at each 0.2 m layer to a depth of 1 m.</w:t>
      </w:r>
    </w:p>
    <w:p w:rsidR="00863B62" w:rsidRDefault="00863B62" w:rsidP="00863B62">
      <w:r w:rsidRPr="001F3C51">
        <w:t xml:space="preserve">At each site, </w:t>
      </w:r>
      <w:proofErr w:type="spellStart"/>
      <w:r w:rsidRPr="001F3C51">
        <w:t>surficial</w:t>
      </w:r>
      <w:proofErr w:type="spellEnd"/>
      <w:r w:rsidRPr="001F3C51">
        <w:t xml:space="preserve"> material was classified according to the methods of McDonald &amp; Isbell (2009) as outlined in the 3</w:t>
      </w:r>
      <w:r w:rsidRPr="001F3C51">
        <w:rPr>
          <w:vertAlign w:val="superscript"/>
        </w:rPr>
        <w:t>rd</w:t>
      </w:r>
      <w:r w:rsidRPr="001F3C51">
        <w:t xml:space="preserve"> Edition of The National Committee on Soil and Terrain’s “Australian Soil and Land Survey Field Handbook”.</w:t>
      </w:r>
      <w:r>
        <w:t xml:space="preserve"> </w:t>
      </w:r>
    </w:p>
    <w:p w:rsidR="00863B62" w:rsidRDefault="00863B62" w:rsidP="00863B62">
      <w:r>
        <w:rPr>
          <w:noProof/>
          <w:lang w:eastAsia="en-AU"/>
        </w:rPr>
        <w:drawing>
          <wp:inline distT="0" distB="0" distL="0" distR="0">
            <wp:extent cx="5274310" cy="4800600"/>
            <wp:effectExtent l="19050" t="0" r="2540" b="0"/>
            <wp:docPr id="240" name="Picture 94" descr="SoilSampleLoc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ilSampleLocations.png"/>
                    <pic:cNvPicPr/>
                  </pic:nvPicPr>
                  <pic:blipFill>
                    <a:blip r:embed="rId47" cstate="screen"/>
                    <a:stretch>
                      <a:fillRect/>
                    </a:stretch>
                  </pic:blipFill>
                  <pic:spPr>
                    <a:xfrm>
                      <a:off x="0" y="0"/>
                      <a:ext cx="5274310" cy="4800600"/>
                    </a:xfrm>
                    <a:prstGeom prst="rect">
                      <a:avLst/>
                    </a:prstGeom>
                  </pic:spPr>
                </pic:pic>
              </a:graphicData>
            </a:graphic>
          </wp:inline>
        </w:drawing>
      </w:r>
    </w:p>
    <w:p w:rsidR="00863B62" w:rsidRDefault="00863B62" w:rsidP="00863B62">
      <w:pPr>
        <w:pStyle w:val="figurecaption"/>
      </w:pPr>
      <w:bookmarkStart w:id="163" w:name="_Toc390433259"/>
      <w:bookmarkStart w:id="164" w:name="_Toc390766643"/>
      <w:r w:rsidRPr="005A7686">
        <w:rPr>
          <w:b/>
        </w:rPr>
        <w:t xml:space="preserve">Figure </w:t>
      </w:r>
      <w:r>
        <w:rPr>
          <w:b/>
        </w:rPr>
        <w:t>3.13</w:t>
      </w:r>
      <w:r w:rsidRPr="005A7686">
        <w:t xml:space="preserve">: Location of </w:t>
      </w:r>
      <w:bookmarkEnd w:id="163"/>
      <w:r w:rsidR="00132C17">
        <w:t>soil profiles</w:t>
      </w:r>
      <w:bookmarkEnd w:id="164"/>
      <w:r w:rsidR="004469E5">
        <w:t>.</w:t>
      </w:r>
    </w:p>
    <w:p w:rsidR="00863B62" w:rsidRPr="004774CE" w:rsidRDefault="00863B62" w:rsidP="00863B62">
      <w:bookmarkStart w:id="165" w:name="_Toc390352929"/>
      <w:r w:rsidRPr="001F3C51">
        <w:t xml:space="preserve">Soil profiles for each of the five holes were described. In these descriptions, their compositions, including the percentage abundance of different grains such as sand, clay or gravel, were included. Approximate grain size distributions were estimated.  This information is essential to classify the material. It is especially useful to determine the porosity and permeability of the material in order to estimate the likelihood of </w:t>
      </w:r>
      <w:r w:rsidRPr="004774CE">
        <w:t xml:space="preserve">infiltration. </w:t>
      </w:r>
      <w:r>
        <w:t xml:space="preserve">The results of this soil profiling work are presented in </w:t>
      </w:r>
      <w:r w:rsidRPr="00764D7C">
        <w:t xml:space="preserve">Section </w:t>
      </w:r>
      <w:r w:rsidR="00764D7C" w:rsidRPr="00764D7C">
        <w:t>4.2.1.</w:t>
      </w:r>
    </w:p>
    <w:p w:rsidR="00863B62" w:rsidRPr="004774CE" w:rsidRDefault="00863B62" w:rsidP="00863B62">
      <w:pPr>
        <w:pStyle w:val="Heading3"/>
      </w:pPr>
      <w:bookmarkStart w:id="166" w:name="_Toc390433010"/>
      <w:bookmarkStart w:id="167" w:name="_Toc390766588"/>
      <w:bookmarkEnd w:id="165"/>
      <w:r w:rsidRPr="004774CE">
        <w:t>3.3.2 Groundwater</w:t>
      </w:r>
      <w:r>
        <w:t xml:space="preserve"> impact</w:t>
      </w:r>
      <w:r w:rsidRPr="004774CE">
        <w:t xml:space="preserve"> assessment by </w:t>
      </w:r>
      <w:proofErr w:type="spellStart"/>
      <w:r w:rsidRPr="004774CE">
        <w:t>Geoscience</w:t>
      </w:r>
      <w:proofErr w:type="spellEnd"/>
      <w:r w:rsidRPr="004774CE">
        <w:t xml:space="preserve"> Australia</w:t>
      </w:r>
      <w:bookmarkEnd w:id="166"/>
      <w:bookmarkEnd w:id="167"/>
    </w:p>
    <w:p w:rsidR="00863B62" w:rsidRPr="001F3C51" w:rsidRDefault="00863B62" w:rsidP="00863B62">
      <w:proofErr w:type="spellStart"/>
      <w:r w:rsidRPr="004774CE">
        <w:t>Geoscience</w:t>
      </w:r>
      <w:proofErr w:type="spellEnd"/>
      <w:r w:rsidRPr="004774CE">
        <w:t xml:space="preserve"> Australia (GA) was </w:t>
      </w:r>
      <w:r w:rsidR="00132C17">
        <w:t xml:space="preserve">commissioned </w:t>
      </w:r>
      <w:r w:rsidRPr="004774CE">
        <w:t>to provide advice on the potential for spill-related</w:t>
      </w:r>
      <w:r w:rsidRPr="001F3C51">
        <w:t xml:space="preserve"> contaminants </w:t>
      </w:r>
      <w:r>
        <w:t>to enter</w:t>
      </w:r>
      <w:r w:rsidRPr="001F3C51">
        <w:t xml:space="preserve"> the </w:t>
      </w:r>
      <w:r w:rsidR="001013D4">
        <w:t>offsite</w:t>
      </w:r>
      <w:r w:rsidRPr="001F3C51">
        <w:t xml:space="preserve"> environment via the groundwater pathway. GA has based this assessment on a review of data from groundwater monitoring, </w:t>
      </w:r>
      <w:proofErr w:type="spellStart"/>
      <w:r w:rsidRPr="001F3C51">
        <w:t>hydrogeochemistry</w:t>
      </w:r>
      <w:proofErr w:type="spellEnd"/>
      <w:r w:rsidRPr="001F3C51">
        <w:t xml:space="preserve">, groundwater and </w:t>
      </w:r>
      <w:proofErr w:type="spellStart"/>
      <w:r w:rsidRPr="001F3C51">
        <w:t>hydrogeochemical</w:t>
      </w:r>
      <w:proofErr w:type="spellEnd"/>
      <w:r w:rsidRPr="001F3C51">
        <w:t xml:space="preserve"> modelling and geological data provided by SSD and ERA. </w:t>
      </w:r>
    </w:p>
    <w:p w:rsidR="00863B62" w:rsidRPr="001F3C51" w:rsidRDefault="00863B62" w:rsidP="00863B62">
      <w:r w:rsidRPr="001F3C51">
        <w:t>A</w:t>
      </w:r>
      <w:r w:rsidR="00132C17">
        <w:t>n extensive</w:t>
      </w:r>
      <w:r w:rsidRPr="001F3C51">
        <w:t xml:space="preserve"> literature and data review was conducted to understand the </w:t>
      </w:r>
      <w:proofErr w:type="spellStart"/>
      <w:r w:rsidRPr="001F3C51">
        <w:t>hydrogeological</w:t>
      </w:r>
      <w:proofErr w:type="spellEnd"/>
      <w:r w:rsidRPr="001F3C51">
        <w:t xml:space="preserve"> context of the Ranger </w:t>
      </w:r>
      <w:proofErr w:type="spellStart"/>
      <w:r>
        <w:t>m</w:t>
      </w:r>
      <w:r w:rsidRPr="001F3C51">
        <w:t>ine</w:t>
      </w:r>
      <w:r>
        <w:t>s</w:t>
      </w:r>
      <w:r w:rsidRPr="001F3C51">
        <w:t>ite</w:t>
      </w:r>
      <w:proofErr w:type="spellEnd"/>
      <w:r w:rsidRPr="001F3C51">
        <w:t>. In order to conduct detailed analyses of groundwater levels and flow, GA requested groundwater-level data from bores identified to be within 1 km of the sp</w:t>
      </w:r>
      <w:r w:rsidR="001028E4">
        <w:t xml:space="preserve">ill extent. These groundwater </w:t>
      </w:r>
      <w:r w:rsidRPr="001F3C51">
        <w:t>level records covered a date range of January 1981 to January 2014. They analysed long-term season</w:t>
      </w:r>
      <w:r>
        <w:t>al</w:t>
      </w:r>
      <w:r w:rsidR="001028E4">
        <w:t xml:space="preserve"> average groundwater </w:t>
      </w:r>
      <w:r w:rsidRPr="001F3C51">
        <w:t xml:space="preserve">levels for the wet and dry seasons and annual seasonal average groundwater-levels. Only </w:t>
      </w:r>
      <w:r w:rsidR="00762ECD">
        <w:t>sufficient</w:t>
      </w:r>
      <w:r w:rsidRPr="001F3C51">
        <w:t xml:space="preserve"> data to provide an annual seasonal average groundwater-level assessment for the year of wet season of 2008</w:t>
      </w:r>
      <w:r w:rsidR="00FB7011">
        <w:t>–</w:t>
      </w:r>
      <w:r w:rsidRPr="001F3C51">
        <w:t xml:space="preserve">2009 and the dry season in 2008 were available. Evaluating averaged datasets has limitations, but also has the benefit of identifying longer-term trends in the groundwater-levels and subsequent flow paths and gradients beneath and around the plant site. Surface water flow data in Corridor Creek was also evaluated with respect to rainfall, in order to investigate any potential relationship between surface water and groundwater. </w:t>
      </w:r>
    </w:p>
    <w:p w:rsidR="00863B62" w:rsidRPr="001F3C51" w:rsidRDefault="00863B62" w:rsidP="00863B62">
      <w:r w:rsidRPr="001F3C51">
        <w:t xml:space="preserve">GA undertook an analysis of </w:t>
      </w:r>
      <w:proofErr w:type="spellStart"/>
      <w:r w:rsidRPr="001F3C51">
        <w:t>hydrogeochemistry</w:t>
      </w:r>
      <w:proofErr w:type="spellEnd"/>
      <w:r w:rsidRPr="001F3C51">
        <w:t xml:space="preserve"> in the plant area, in order to understand pre-spill </w:t>
      </w:r>
      <w:proofErr w:type="spellStart"/>
      <w:r w:rsidRPr="001F3C51">
        <w:t>hydrogeochemical</w:t>
      </w:r>
      <w:proofErr w:type="spellEnd"/>
      <w:r w:rsidRPr="001F3C51">
        <w:t xml:space="preserve"> conditions of the aquifers and</w:t>
      </w:r>
      <w:r w:rsidR="001028E4">
        <w:t>,</w:t>
      </w:r>
      <w:r w:rsidRPr="001F3C51">
        <w:t xml:space="preserve"> thus</w:t>
      </w:r>
      <w:r w:rsidR="001028E4">
        <w:t>,</w:t>
      </w:r>
      <w:r w:rsidRPr="001F3C51">
        <w:t xml:space="preserve"> determine whether any changes had occurred post spill if possible. Understanding of </w:t>
      </w:r>
      <w:proofErr w:type="spellStart"/>
      <w:r w:rsidRPr="001F3C51">
        <w:t>hydrogeochemistry</w:t>
      </w:r>
      <w:proofErr w:type="spellEnd"/>
      <w:r w:rsidRPr="001F3C51">
        <w:t xml:space="preserve"> enables predictions to be made about soil-water and contaminant transport reactions that may occur, should any </w:t>
      </w:r>
      <w:proofErr w:type="spellStart"/>
      <w:r w:rsidRPr="001F3C51">
        <w:t>leachate</w:t>
      </w:r>
      <w:proofErr w:type="spellEnd"/>
      <w:r w:rsidRPr="001F3C51">
        <w:t xml:space="preserve"> have entered the aquifer system as a result of the spill. The data for these analyses were provided by ERA. GA requested all </w:t>
      </w:r>
      <w:proofErr w:type="spellStart"/>
      <w:r w:rsidRPr="001F3C51">
        <w:t>hydrogeochemical</w:t>
      </w:r>
      <w:proofErr w:type="spellEnd"/>
      <w:r w:rsidRPr="001F3C51">
        <w:t xml:space="preserve"> analyses from bores within a 1 km radius of the spill extent. Samples were taken between March 1982 and January 2014. </w:t>
      </w:r>
      <w:proofErr w:type="spellStart"/>
      <w:r w:rsidRPr="001F3C51">
        <w:t>Sulfate</w:t>
      </w:r>
      <w:proofErr w:type="spellEnd"/>
      <w:r w:rsidRPr="001F3C51">
        <w:t xml:space="preserve"> has been identified as the most conservative ion associated with leached ore </w:t>
      </w:r>
      <w:r w:rsidR="00117C79" w:rsidRPr="001F3C51">
        <w:fldChar w:fldCharType="begin"/>
      </w:r>
      <w:r w:rsidRPr="001F3C51">
        <w:instrText xml:space="preserve"> ADDIN EN.CITE &lt;EndNote&gt;&lt;Cite&gt;&lt;Author&gt;Klessa&lt;/Author&gt;&lt;Year&gt;2001&lt;/Year&gt;&lt;RecNum&gt;16&lt;/RecNum&gt;&lt;DisplayText&gt;(Klessa, 2001)&lt;/DisplayText&gt;&lt;record&gt;&lt;rec-number&gt;16&lt;/rec-number&gt;&lt;foreign-keys&gt;&lt;key app="EN" db-id="xf5rrfrfiewaexevwaa5teet0d0xvpa0dtrd"&gt;16&lt;/key&gt;&lt;/foreign-keys&gt;&lt;ref-type name="Report"&gt;27&lt;/ref-type&gt;&lt;contributors&gt;&lt;authors&gt;&lt;author&gt;Klessa, D A&lt;/author&gt;&lt;/authors&gt;&lt;tertiary-authors&gt;&lt;author&gt;Department of the Environment, Water, Heritage and the Arts&lt;/author&gt;&lt;/tertiary-authors&gt;&lt;subsidiary-authors&gt;&lt;author&gt;Supervision Scientist Division, Department of the Environment, Water, Heritage and the Arts&lt;/author&gt;&lt;/subsidiary-authors&gt;&lt;/contributors&gt;&lt;titles&gt;&lt;title&gt;A review of groundwater chemistry monitoring data at Ranger. Supervising Scientist Internal Report 363&lt;/title&gt;&lt;/titles&gt;&lt;pages&gt;31&lt;/pages&gt;&lt;number&gt;Internal Report 363&lt;/number&gt;&lt;dates&gt;&lt;year&gt;2001&lt;/year&gt;&lt;/dates&gt;&lt;pub-location&gt;Darwin&lt;/pub-location&gt;&lt;publisher&gt;Supervising Scientist Division, Department of the Environment, Water, Heritage and the Arts&lt;/publisher&gt;&lt;isbn&gt;IR363&lt;/isbn&gt;&lt;urls&gt;&lt;/urls&gt;&lt;/record&gt;&lt;/Cite&gt;&lt;/EndNote&gt;</w:instrText>
      </w:r>
      <w:r w:rsidR="00117C79" w:rsidRPr="001F3C51">
        <w:fldChar w:fldCharType="separate"/>
      </w:r>
      <w:r w:rsidRPr="001F3C51">
        <w:t>(</w:t>
      </w:r>
      <w:hyperlink w:anchor="_ENREF_16" w:tooltip="Klessa, 2001 #16" w:history="1">
        <w:r w:rsidRPr="001F3C51">
          <w:t>Klessa, 2001</w:t>
        </w:r>
      </w:hyperlink>
      <w:r w:rsidRPr="001F3C51">
        <w:t>)</w:t>
      </w:r>
      <w:r w:rsidR="00117C79" w:rsidRPr="001F3C51">
        <w:fldChar w:fldCharType="end"/>
      </w:r>
      <w:r w:rsidRPr="001F3C51">
        <w:t xml:space="preserve">. In addition, </w:t>
      </w:r>
      <w:r w:rsidR="00117C79" w:rsidRPr="001F3C51">
        <w:fldChar w:fldCharType="begin"/>
      </w:r>
      <w:r w:rsidRPr="001F3C51">
        <w:instrText xml:space="preserve"> ADDIN EN.CITE &lt;EndNote&gt;&lt;Cite AuthorYear="1"&gt;&lt;Author&gt;Alarcon Leon&lt;/Author&gt;&lt;Year&gt;2007&lt;/Year&gt;&lt;RecNum&gt;23&lt;/RecNum&gt;&lt;DisplayText&gt;Alarcon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117C79" w:rsidRPr="001F3C51">
        <w:fldChar w:fldCharType="separate"/>
      </w:r>
      <w:hyperlink w:anchor="_ENREF_1" w:tooltip="Alarcon Leon, 2007 #23" w:history="1">
        <w:r w:rsidRPr="001F3C51">
          <w:t>Alarcon Leon et al. (2007a</w:t>
        </w:r>
      </w:hyperlink>
      <w:r w:rsidRPr="001F3C51">
        <w:t>)</w:t>
      </w:r>
      <w:r w:rsidR="00117C79" w:rsidRPr="001F3C51">
        <w:fldChar w:fldCharType="end"/>
      </w:r>
      <w:r w:rsidRPr="001F3C51">
        <w:t xml:space="preserve"> identified </w:t>
      </w:r>
      <w:proofErr w:type="spellStart"/>
      <w:r w:rsidRPr="001F3C51">
        <w:t>sulfate</w:t>
      </w:r>
      <w:proofErr w:type="spellEnd"/>
      <w:r w:rsidRPr="001F3C51">
        <w:t xml:space="preserve"> as a key tracer of pre-spill contamination from the plant area. In the current assessment, </w:t>
      </w:r>
      <w:proofErr w:type="spellStart"/>
      <w:r w:rsidRPr="001F3C51">
        <w:t>sulfate</w:t>
      </w:r>
      <w:proofErr w:type="spellEnd"/>
      <w:r w:rsidRPr="001F3C51">
        <w:t xml:space="preserve"> was used as an indicator to map the pre-spill contamination extent in groundwater under the plant area. </w:t>
      </w:r>
      <w:proofErr w:type="spellStart"/>
      <w:r w:rsidRPr="001F3C51">
        <w:t>Sulfate</w:t>
      </w:r>
      <w:proofErr w:type="spellEnd"/>
      <w:r w:rsidRPr="001F3C51">
        <w:t xml:space="preserve"> in groundwater was interpolated from averaged data collected between 2006 and 2013. Bicarbonate and pH average data for the same period were processed in the same manner. </w:t>
      </w:r>
      <w:r>
        <w:t>Insufficient</w:t>
      </w:r>
      <w:r w:rsidRPr="001F3C51">
        <w:t xml:space="preserve"> data were available to enable post-spill </w:t>
      </w:r>
      <w:proofErr w:type="spellStart"/>
      <w:r w:rsidRPr="001F3C51">
        <w:t>hydrogeochemical</w:t>
      </w:r>
      <w:proofErr w:type="spellEnd"/>
      <w:r w:rsidRPr="001F3C51">
        <w:t xml:space="preserve"> mapping to be undertaken. Individual bores were assessed to characterise the </w:t>
      </w:r>
      <w:proofErr w:type="spellStart"/>
      <w:r w:rsidRPr="001F3C51">
        <w:t>hydrogeochemistry</w:t>
      </w:r>
      <w:proofErr w:type="spellEnd"/>
      <w:r w:rsidRPr="001F3C51">
        <w:t xml:space="preserve"> of groundwater in the vicinity of Leach Tank 1 prior to the spill. </w:t>
      </w:r>
    </w:p>
    <w:p w:rsidR="00863B62" w:rsidRDefault="00863B62" w:rsidP="00863B62">
      <w:r w:rsidRPr="001F3C51">
        <w:t xml:space="preserve">Only two post-spill </w:t>
      </w:r>
      <w:proofErr w:type="spellStart"/>
      <w:r w:rsidRPr="001F3C51">
        <w:t>hydrogeochemical</w:t>
      </w:r>
      <w:proofErr w:type="spellEnd"/>
      <w:r w:rsidRPr="001F3C51">
        <w:t xml:space="preserve"> samples </w:t>
      </w:r>
      <w:r>
        <w:t>were</w:t>
      </w:r>
      <w:r w:rsidRPr="001F3C51">
        <w:t xml:space="preserve"> taken by ERA in the Corridor Creek catchment</w:t>
      </w:r>
      <w:r>
        <w:t xml:space="preserve"> immediately following the spill</w:t>
      </w:r>
      <w:r w:rsidRPr="001F3C51">
        <w:t>, at bores 35 and 36. They are in the plant area but from existing contaminant maps are probably outside the pre-spill plume extents. These bores were sampled by ERA six days after the 7 De</w:t>
      </w:r>
      <w:r>
        <w:t>cember 2013 Leach Tank 1 spill. Following recommendations by GA, on 14 February 2014</w:t>
      </w:r>
      <w:r w:rsidR="001028E4">
        <w:t>,</w:t>
      </w:r>
      <w:r>
        <w:t xml:space="preserve"> SSD requested ERA commence a groundwater monitoring program in the spill area. ERA obtained the first samples related to this request on 2 April 2014. Samples were then collected weekly for 5 weeks prior to reducing to monthly. Sample data was provided to SSD and GA for analysis.</w:t>
      </w:r>
      <w:r w:rsidR="00312E13">
        <w:t xml:space="preserve"> The 6 week timeframe for the commencement of monitoring reduces the ability of the program to definitively determine pre-spill groundwater characteristics as, while it is unlikely, it is possible that </w:t>
      </w:r>
      <w:r w:rsidR="009E2A89">
        <w:t>by April 2014 contamination from the spill could have impacted on the bores in question. As such, while it is likely that data from these bores do represent background groundwater conditions for the plant area, this cannot be stated with certainty.</w:t>
      </w:r>
    </w:p>
    <w:p w:rsidR="00863B62" w:rsidRPr="004774CE" w:rsidRDefault="00863B62" w:rsidP="00863B62">
      <w:r w:rsidRPr="001F3C51">
        <w:t xml:space="preserve">By collating and interpreting all derived information, a </w:t>
      </w:r>
      <w:proofErr w:type="spellStart"/>
      <w:r w:rsidRPr="001F3C51">
        <w:t>hydrogeochemical</w:t>
      </w:r>
      <w:proofErr w:type="spellEnd"/>
      <w:r w:rsidRPr="001F3C51">
        <w:t xml:space="preserve"> impact analysis was also conducted, based on an estimation of how much </w:t>
      </w:r>
      <w:proofErr w:type="spellStart"/>
      <w:r w:rsidRPr="001F3C51">
        <w:t>leachate</w:t>
      </w:r>
      <w:proofErr w:type="spellEnd"/>
      <w:r w:rsidRPr="001F3C51">
        <w:t xml:space="preserve"> may have infiltrated post-spill. </w:t>
      </w:r>
      <w:r>
        <w:t>F</w:t>
      </w:r>
      <w:r w:rsidRPr="001F3C51">
        <w:t>ull detail</w:t>
      </w:r>
      <w:r>
        <w:t>s</w:t>
      </w:r>
      <w:r w:rsidRPr="001F3C51">
        <w:t xml:space="preserve"> of the methodology</w:t>
      </w:r>
      <w:r w:rsidR="001028E4">
        <w:t xml:space="preserve"> and results</w:t>
      </w:r>
      <w:r w:rsidRPr="001F3C51">
        <w:t xml:space="preserve"> can be </w:t>
      </w:r>
      <w:r w:rsidRPr="004774CE">
        <w:t>found in Appendix A.</w:t>
      </w:r>
    </w:p>
    <w:p w:rsidR="00863B62" w:rsidRDefault="00863B62" w:rsidP="00863B62">
      <w:pPr>
        <w:pStyle w:val="Heading2"/>
      </w:pPr>
      <w:bookmarkStart w:id="168" w:name="_Toc390433011"/>
      <w:bookmarkStart w:id="169" w:name="_Toc390766589"/>
      <w:proofErr w:type="gramStart"/>
      <w:r w:rsidRPr="004774CE">
        <w:t>3.4  Radiation</w:t>
      </w:r>
      <w:proofErr w:type="gramEnd"/>
      <w:r w:rsidRPr="004774CE">
        <w:t xml:space="preserve"> </w:t>
      </w:r>
      <w:r>
        <w:t>e</w:t>
      </w:r>
      <w:r w:rsidRPr="004774CE">
        <w:t>xposure</w:t>
      </w:r>
      <w:bookmarkEnd w:id="168"/>
      <w:bookmarkEnd w:id="169"/>
    </w:p>
    <w:p w:rsidR="00863B62" w:rsidRPr="007977A9" w:rsidRDefault="00863B62" w:rsidP="00863B62">
      <w:pPr>
        <w:rPr>
          <w:i/>
        </w:rPr>
      </w:pPr>
      <w:r w:rsidRPr="007977A9">
        <w:rPr>
          <w:i/>
        </w:rPr>
        <w:t xml:space="preserve">Sunday 8 December 2013 </w:t>
      </w:r>
    </w:p>
    <w:p w:rsidR="00863B62" w:rsidRPr="001F3C51" w:rsidRDefault="00863B62" w:rsidP="00863B62">
      <w:r w:rsidRPr="001F3C51">
        <w:t>During the Supervising Scientist</w:t>
      </w:r>
      <w:r>
        <w:t>’s</w:t>
      </w:r>
      <w:r w:rsidRPr="001F3C51">
        <w:t xml:space="preserve"> </w:t>
      </w:r>
      <w:r>
        <w:t>i</w:t>
      </w:r>
      <w:r w:rsidRPr="001F3C51">
        <w:t xml:space="preserve">nspection (see Section </w:t>
      </w:r>
      <w:r w:rsidRPr="00FB6429">
        <w:t>3.1.2)</w:t>
      </w:r>
      <w:r w:rsidRPr="001F3C51">
        <w:t xml:space="preserve"> measurements of external gamma dose rate were taken along the perimeter and within Zone 1 of the spill area.</w:t>
      </w:r>
    </w:p>
    <w:p w:rsidR="00863B62" w:rsidRPr="001F3C51" w:rsidRDefault="00863B62" w:rsidP="00863B62">
      <w:r w:rsidRPr="001F3C51">
        <w:t xml:space="preserve">An </w:t>
      </w:r>
      <w:proofErr w:type="spellStart"/>
      <w:r w:rsidRPr="001F3C51">
        <w:rPr>
          <w:i/>
        </w:rPr>
        <w:t>Automess</w:t>
      </w:r>
      <w:proofErr w:type="spellEnd"/>
      <w:r w:rsidRPr="001F3C51">
        <w:t xml:space="preserve"> dose rate meter (model: 6150 AD 5/H), which provides gamma dose rate readings in digital and analogue form simultaneously, was connected to a gamma probe (Geiger </w:t>
      </w:r>
      <w:proofErr w:type="spellStart"/>
      <w:r w:rsidRPr="001F3C51">
        <w:t>Müller</w:t>
      </w:r>
      <w:proofErr w:type="spellEnd"/>
      <w:r w:rsidRPr="001F3C51">
        <w:t xml:space="preserve"> tube, model: 6150 AD-18/H). The 6150 AD-18/H GM tube has a gamma dose rate measurement range of 0.1 µ</w:t>
      </w:r>
      <w:proofErr w:type="spellStart"/>
      <w:r w:rsidRPr="001F3C51">
        <w:t>Sv·hr</w:t>
      </w:r>
      <w:proofErr w:type="spellEnd"/>
      <w:r w:rsidRPr="001F3C51">
        <w:rPr>
          <w:snapToGrid w:val="0"/>
          <w:color w:val="000000"/>
          <w:position w:val="5"/>
          <w:u w:color="000000"/>
        </w:rPr>
        <w:t>-1</w:t>
      </w:r>
      <w:r w:rsidRPr="001F3C51">
        <w:t xml:space="preserve"> to 10 </w:t>
      </w:r>
      <w:proofErr w:type="spellStart"/>
      <w:r w:rsidRPr="001F3C51">
        <w:t>mSv·hr</w:t>
      </w:r>
      <w:proofErr w:type="spellEnd"/>
      <w:r w:rsidRPr="001F3C51">
        <w:rPr>
          <w:snapToGrid w:val="0"/>
          <w:color w:val="000000"/>
          <w:position w:val="5"/>
          <w:u w:color="000000"/>
        </w:rPr>
        <w:t>-1</w:t>
      </w:r>
      <w:r w:rsidRPr="001F3C51">
        <w:t xml:space="preserve"> (</w:t>
      </w:r>
      <w:proofErr w:type="spellStart"/>
      <w:r w:rsidRPr="001F3C51">
        <w:t>Automess</w:t>
      </w:r>
      <w:proofErr w:type="spellEnd"/>
      <w:r w:rsidRPr="001F3C51">
        <w:t xml:space="preserve"> 2013). The dose rate meter and GM tube were calibrated by the Queensland University of Technology Radiological Laboratory, 19 January 2014. The calibration confirmed that the instrument was working within its specifications. </w:t>
      </w:r>
    </w:p>
    <w:p w:rsidR="00863B62" w:rsidRDefault="00863B62" w:rsidP="00863B62">
      <w:r w:rsidRPr="001F3C51">
        <w:t>Measurements were taken approximately 1 m above the ground surface, allowing the GM tube to adjust to the gamma radiation field at the measurement locations for about 30 seconds before a reading was taken</w:t>
      </w:r>
      <w:r w:rsidRPr="00FB6429">
        <w:t>. Figure 3.14</w:t>
      </w:r>
      <w:r w:rsidRPr="001F3C51">
        <w:t xml:space="preserve"> shows the extent of Zone 1, the measurement locations and magnitude of the gamma dose rates.</w:t>
      </w:r>
      <w:r>
        <w:t xml:space="preserve"> </w:t>
      </w:r>
    </w:p>
    <w:p w:rsidR="00863B62" w:rsidRDefault="00863B62" w:rsidP="00863B62">
      <w:r>
        <w:rPr>
          <w:noProof/>
          <w:lang w:eastAsia="en-AU"/>
        </w:rPr>
        <w:drawing>
          <wp:inline distT="0" distB="0" distL="0" distR="0">
            <wp:extent cx="5267325" cy="3724275"/>
            <wp:effectExtent l="19050" t="0" r="9525" b="0"/>
            <wp:docPr id="241" name="Picture 1" descr="20131208 doserates 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31208 doserates RUM"/>
                    <pic:cNvPicPr>
                      <a:picLocks noChangeAspect="1" noChangeArrowheads="1"/>
                    </pic:cNvPicPr>
                  </pic:nvPicPr>
                  <pic:blipFill>
                    <a:blip r:embed="rId48" cstate="screen"/>
                    <a:srcRect/>
                    <a:stretch>
                      <a:fillRect/>
                    </a:stretch>
                  </pic:blipFill>
                  <pic:spPr bwMode="auto">
                    <a:xfrm>
                      <a:off x="0" y="0"/>
                      <a:ext cx="5267325" cy="3724275"/>
                    </a:xfrm>
                    <a:prstGeom prst="rect">
                      <a:avLst/>
                    </a:prstGeom>
                    <a:noFill/>
                    <a:ln w="9525">
                      <a:noFill/>
                      <a:miter lim="800000"/>
                      <a:headEnd/>
                      <a:tailEnd/>
                    </a:ln>
                  </pic:spPr>
                </pic:pic>
              </a:graphicData>
            </a:graphic>
          </wp:inline>
        </w:drawing>
      </w:r>
    </w:p>
    <w:p w:rsidR="00863B62" w:rsidRDefault="00863B62" w:rsidP="00863B62">
      <w:pPr>
        <w:pStyle w:val="figurecaption"/>
      </w:pPr>
      <w:bookmarkStart w:id="170" w:name="_Toc390433260"/>
      <w:bookmarkStart w:id="171" w:name="_Toc390766644"/>
      <w:r w:rsidRPr="006D0E6D">
        <w:rPr>
          <w:b/>
        </w:rPr>
        <w:t>Figure 3.1</w:t>
      </w:r>
      <w:r>
        <w:rPr>
          <w:b/>
        </w:rPr>
        <w:t>4</w:t>
      </w:r>
      <w:r w:rsidRPr="00FA544A">
        <w:t xml:space="preserve"> </w:t>
      </w:r>
      <w:r>
        <w:t>Results of the gamma dose rate measurements taken around the perimeter of the spill impacted area and within Zone 1, 8 December 2013</w:t>
      </w:r>
      <w:bookmarkEnd w:id="170"/>
      <w:bookmarkEnd w:id="171"/>
      <w:r w:rsidR="004469E5">
        <w:t>.</w:t>
      </w:r>
    </w:p>
    <w:p w:rsidR="00863B62" w:rsidRPr="007977A9" w:rsidRDefault="00863B62" w:rsidP="00863B62">
      <w:pPr>
        <w:rPr>
          <w:i/>
        </w:rPr>
      </w:pPr>
      <w:r w:rsidRPr="007977A9">
        <w:rPr>
          <w:i/>
        </w:rPr>
        <w:t>Thursday 12 December 2013</w:t>
      </w:r>
    </w:p>
    <w:p w:rsidR="00863B62" w:rsidRPr="001F3C51" w:rsidRDefault="00863B62" w:rsidP="00863B62">
      <w:r w:rsidRPr="001F3C51">
        <w:t>During t</w:t>
      </w:r>
      <w:r w:rsidR="00444FCE">
        <w:t>he Routine Periodic Inspection</w:t>
      </w:r>
      <w:r w:rsidRPr="001F3C51">
        <w:t xml:space="preserve">, one day after the wash down of Zone </w:t>
      </w:r>
      <w:r w:rsidRPr="00FB6429">
        <w:t>1 (see Section 3.</w:t>
      </w:r>
      <w:r w:rsidR="00FB6429" w:rsidRPr="00FB6429">
        <w:t>1</w:t>
      </w:r>
      <w:r w:rsidRPr="00FB6429">
        <w:t>.3), se</w:t>
      </w:r>
      <w:r w:rsidRPr="001F3C51">
        <w:t>veral measurements of the external gamma dose rate were taken adjacent to areas where gamma dose rates were initially measured on 8 December 2013</w:t>
      </w:r>
      <w:r w:rsidRPr="00FB6429">
        <w:t>. Figure 3.15</w:t>
      </w:r>
      <w:r w:rsidRPr="001F3C51">
        <w:t xml:space="preserve"> shows the measurement locations and magnitude of the gamma dose rates.</w:t>
      </w:r>
    </w:p>
    <w:p w:rsidR="00863B62" w:rsidRPr="00705E92" w:rsidRDefault="00863B62" w:rsidP="00863B62">
      <w:r>
        <w:rPr>
          <w:noProof/>
          <w:lang w:eastAsia="en-AU"/>
        </w:rPr>
        <w:drawing>
          <wp:inline distT="0" distB="0" distL="0" distR="0">
            <wp:extent cx="5267325" cy="3724275"/>
            <wp:effectExtent l="19050" t="0" r="9525" b="0"/>
            <wp:docPr id="242" name="Picture 2" descr="20131212doserates 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31212doserates RUM"/>
                    <pic:cNvPicPr>
                      <a:picLocks noChangeAspect="1" noChangeArrowheads="1"/>
                    </pic:cNvPicPr>
                  </pic:nvPicPr>
                  <pic:blipFill>
                    <a:blip r:embed="rId49" cstate="screen"/>
                    <a:srcRect/>
                    <a:stretch>
                      <a:fillRect/>
                    </a:stretch>
                  </pic:blipFill>
                  <pic:spPr bwMode="auto">
                    <a:xfrm>
                      <a:off x="0" y="0"/>
                      <a:ext cx="5267325" cy="3724275"/>
                    </a:xfrm>
                    <a:prstGeom prst="rect">
                      <a:avLst/>
                    </a:prstGeom>
                    <a:noFill/>
                    <a:ln w="9525">
                      <a:noFill/>
                      <a:miter lim="800000"/>
                      <a:headEnd/>
                      <a:tailEnd/>
                    </a:ln>
                  </pic:spPr>
                </pic:pic>
              </a:graphicData>
            </a:graphic>
          </wp:inline>
        </w:drawing>
      </w:r>
    </w:p>
    <w:p w:rsidR="00863B62" w:rsidRDefault="00863B62" w:rsidP="00863B62">
      <w:pPr>
        <w:pStyle w:val="figurecaption"/>
      </w:pPr>
      <w:bookmarkStart w:id="172" w:name="_Toc390433261"/>
      <w:bookmarkStart w:id="173" w:name="_Toc390766645"/>
      <w:r w:rsidRPr="006D0E6D">
        <w:rPr>
          <w:b/>
        </w:rPr>
        <w:t>Figure 3.1</w:t>
      </w:r>
      <w:r>
        <w:rPr>
          <w:b/>
        </w:rPr>
        <w:t>5</w:t>
      </w:r>
      <w:r>
        <w:t xml:space="preserve"> Results of the gamma dose rate measurements taken around the perimeter of the spill impacted area and within Zone 1, 12 December 2013</w:t>
      </w:r>
      <w:bookmarkEnd w:id="172"/>
      <w:bookmarkEnd w:id="173"/>
      <w:r w:rsidR="004469E5">
        <w:t>.</w:t>
      </w:r>
    </w:p>
    <w:p w:rsidR="00863B62" w:rsidRPr="001F3C51" w:rsidRDefault="00863B62" w:rsidP="00863B62">
      <w:r w:rsidRPr="001F3C51">
        <w:t>These initial results show that gamma dose rates ha</w:t>
      </w:r>
      <w:r w:rsidR="001028E4">
        <w:t>d</w:t>
      </w:r>
      <w:r w:rsidRPr="001F3C51">
        <w:t xml:space="preserve"> reduced in Zone 1 areas after the </w:t>
      </w:r>
      <w:r>
        <w:t>cleanup</w:t>
      </w:r>
      <w:r w:rsidRPr="001F3C51">
        <w:t xml:space="preserve"> and the subsequent wash down that occurred on 11 December 2013. Dose rates one day after the spill (before </w:t>
      </w:r>
      <w:r>
        <w:t>cleanup</w:t>
      </w:r>
      <w:r w:rsidRPr="001F3C51">
        <w:t>) measured adjacent to and within Zone 1 amounted to between 0.7 µ</w:t>
      </w:r>
      <w:proofErr w:type="spellStart"/>
      <w:r w:rsidRPr="001F3C51">
        <w:t>Sv·hr</w:t>
      </w:r>
      <w:proofErr w:type="spellEnd"/>
      <w:r w:rsidRPr="001F3C51">
        <w:rPr>
          <w:snapToGrid w:val="0"/>
          <w:color w:val="000000"/>
          <w:position w:val="5"/>
          <w:u w:color="000000"/>
        </w:rPr>
        <w:t>-1</w:t>
      </w:r>
      <w:r w:rsidRPr="001F3C51">
        <w:t xml:space="preserve"> at the south-western perimeter to 1.7 - 3.5 µ</w:t>
      </w:r>
      <w:proofErr w:type="spellStart"/>
      <w:r w:rsidRPr="001F3C51">
        <w:t>Sv·hr</w:t>
      </w:r>
      <w:proofErr w:type="spellEnd"/>
      <w:r w:rsidRPr="001F3C51">
        <w:rPr>
          <w:snapToGrid w:val="0"/>
          <w:color w:val="000000"/>
          <w:position w:val="5"/>
          <w:u w:color="000000"/>
        </w:rPr>
        <w:t>-1</w:t>
      </w:r>
      <w:r w:rsidRPr="001F3C51">
        <w:t xml:space="preserve"> along the road in the vicinity of the crusher conveyor, opposite the </w:t>
      </w:r>
      <w:r w:rsidR="00444FCE">
        <w:t>power station</w:t>
      </w:r>
      <w:r w:rsidRPr="001F3C51">
        <w:t>. These dose rates reduced to around 0.5 µ</w:t>
      </w:r>
      <w:proofErr w:type="spellStart"/>
      <w:r w:rsidRPr="001F3C51">
        <w:t>Sv·hr</w:t>
      </w:r>
      <w:proofErr w:type="spellEnd"/>
      <w:r w:rsidRPr="001F3C51">
        <w:rPr>
          <w:snapToGrid w:val="0"/>
          <w:color w:val="000000"/>
          <w:position w:val="5"/>
          <w:u w:color="000000"/>
        </w:rPr>
        <w:t>-1</w:t>
      </w:r>
      <w:r w:rsidRPr="001F3C51">
        <w:t xml:space="preserve"> at the south-western perimeter and around 1 µ</w:t>
      </w:r>
      <w:proofErr w:type="spellStart"/>
      <w:r w:rsidRPr="001F3C51">
        <w:t>Sv·hr</w:t>
      </w:r>
      <w:proofErr w:type="spellEnd"/>
      <w:r w:rsidRPr="001F3C51">
        <w:rPr>
          <w:snapToGrid w:val="0"/>
          <w:color w:val="000000"/>
          <w:position w:val="5"/>
          <w:u w:color="000000"/>
        </w:rPr>
        <w:t>-1</w:t>
      </w:r>
      <w:r w:rsidRPr="001F3C51">
        <w:t xml:space="preserve"> along the road, with a maximum of 1.4 µ</w:t>
      </w:r>
      <w:proofErr w:type="spellStart"/>
      <w:r w:rsidRPr="001F3C51">
        <w:t>Sv·hr</w:t>
      </w:r>
      <w:proofErr w:type="spellEnd"/>
      <w:r w:rsidRPr="001F3C51">
        <w:rPr>
          <w:snapToGrid w:val="0"/>
          <w:color w:val="000000"/>
          <w:position w:val="5"/>
          <w:u w:color="000000"/>
        </w:rPr>
        <w:t>-1</w:t>
      </w:r>
      <w:r w:rsidRPr="001F3C51">
        <w:t xml:space="preserve"> measured within Zone 2. A drain leading to </w:t>
      </w:r>
      <w:r w:rsidR="001013D4">
        <w:t>RP2</w:t>
      </w:r>
      <w:r w:rsidRPr="001F3C51">
        <w:t xml:space="preserve"> showed a gamma dose rate of 2.8 µ</w:t>
      </w:r>
      <w:proofErr w:type="spellStart"/>
      <w:r w:rsidRPr="001F3C51">
        <w:t>Sv·hr</w:t>
      </w:r>
      <w:proofErr w:type="spellEnd"/>
      <w:r w:rsidRPr="001F3C51">
        <w:rPr>
          <w:snapToGrid w:val="0"/>
          <w:color w:val="000000"/>
          <w:position w:val="5"/>
          <w:u w:color="000000"/>
        </w:rPr>
        <w:t>-1</w:t>
      </w:r>
      <w:r w:rsidR="001028E4">
        <w:t xml:space="preserve">, </w:t>
      </w:r>
      <w:r>
        <w:t>however dose rate was higher away from the drain indicating the source was most likely related to the embankment material</w:t>
      </w:r>
      <w:r w:rsidRPr="001F3C51">
        <w:t>.</w:t>
      </w:r>
    </w:p>
    <w:p w:rsidR="00863B62" w:rsidRPr="001F3C51" w:rsidRDefault="00863B62" w:rsidP="00863B62">
      <w:r w:rsidRPr="001F3C51">
        <w:t>It is important to note that the measured gamma dose rates are the sum of the signals from the ground, including any previously deposited material, and gamma radiation emitted from mineralised material in plant infrastructure adjacent to the measurement location. This can</w:t>
      </w:r>
      <w:r w:rsidR="001028E4">
        <w:t>,</w:t>
      </w:r>
      <w:r w:rsidRPr="001F3C51">
        <w:t xml:space="preserve"> for example</w:t>
      </w:r>
      <w:r w:rsidR="001028E4">
        <w:t>,</w:t>
      </w:r>
      <w:r w:rsidRPr="001F3C51">
        <w:t xml:space="preserve"> be seen in the measurements taken adjacent to the fine ore bin (3.1 and 5.5 µ</w:t>
      </w:r>
      <w:proofErr w:type="spellStart"/>
      <w:r w:rsidRPr="001F3C51">
        <w:t>Sv·hr</w:t>
      </w:r>
      <w:proofErr w:type="spellEnd"/>
      <w:r w:rsidRPr="001F3C51">
        <w:rPr>
          <w:snapToGrid w:val="0"/>
          <w:color w:val="000000"/>
          <w:position w:val="5"/>
          <w:u w:color="000000"/>
        </w:rPr>
        <w:t>-1</w:t>
      </w:r>
      <w:r w:rsidRPr="001F3C51">
        <w:t>) or the clarifier (4 µ</w:t>
      </w:r>
      <w:proofErr w:type="spellStart"/>
      <w:r w:rsidRPr="001F3C51">
        <w:t>Sv·hr</w:t>
      </w:r>
      <w:proofErr w:type="spellEnd"/>
      <w:r w:rsidRPr="001F3C51">
        <w:rPr>
          <w:snapToGrid w:val="0"/>
          <w:color w:val="000000"/>
          <w:position w:val="5"/>
          <w:u w:color="000000"/>
        </w:rPr>
        <w:t>-1</w:t>
      </w:r>
      <w:r w:rsidRPr="001F3C51">
        <w:t>). These areas were not impacted</w:t>
      </w:r>
      <w:r w:rsidR="001028E4">
        <w:t xml:space="preserve"> by any spill material but both fine ore bin and clarifier</w:t>
      </w:r>
      <w:r w:rsidRPr="001F3C51">
        <w:t xml:space="preserve"> contain significant amounts of mineralised material leading to elevated external gamma dose rates measured in their immediate vicinity.</w:t>
      </w:r>
    </w:p>
    <w:p w:rsidR="00863B62" w:rsidRPr="001F3C51" w:rsidRDefault="00863B62" w:rsidP="00863B62"/>
    <w:p w:rsidR="00863B62" w:rsidRPr="001F3C51" w:rsidRDefault="00863B62" w:rsidP="00863B62"/>
    <w:p w:rsidR="00231B41" w:rsidRPr="00F70A46" w:rsidRDefault="00231B41" w:rsidP="00231B41">
      <w:pPr>
        <w:pStyle w:val="referencelist1"/>
        <w:ind w:left="0" w:firstLine="0"/>
        <w:jc w:val="center"/>
      </w:pPr>
    </w:p>
    <w:p w:rsidR="000D0385" w:rsidRDefault="000D0385" w:rsidP="000D0385">
      <w:pPr>
        <w:pStyle w:val="Heading1"/>
        <w:sectPr w:rsidR="000D0385">
          <w:pgSz w:w="11906" w:h="16838" w:code="9"/>
          <w:pgMar w:top="1440" w:right="1800" w:bottom="1440" w:left="1800" w:header="1080" w:footer="835" w:gutter="0"/>
          <w:cols w:space="360"/>
          <w:noEndnote/>
        </w:sectPr>
      </w:pPr>
    </w:p>
    <w:p w:rsidR="00B368AD" w:rsidRDefault="00EB07F3" w:rsidP="00B368AD">
      <w:pPr>
        <w:pStyle w:val="Heading1"/>
        <w:spacing w:after="400"/>
      </w:pPr>
      <w:bookmarkStart w:id="174" w:name="_Toc390766590"/>
      <w:proofErr w:type="gramStart"/>
      <w:r>
        <w:t>4</w:t>
      </w:r>
      <w:r w:rsidR="00B368AD">
        <w:t xml:space="preserve">  Data</w:t>
      </w:r>
      <w:proofErr w:type="gramEnd"/>
      <w:r w:rsidR="00B368AD">
        <w:t xml:space="preserve"> analysis and discussion</w:t>
      </w:r>
      <w:bookmarkEnd w:id="174"/>
    </w:p>
    <w:p w:rsidR="009C042C" w:rsidRPr="007E657E" w:rsidRDefault="009C042C" w:rsidP="009C042C">
      <w:pPr>
        <w:pStyle w:val="Heading2"/>
      </w:pPr>
      <w:bookmarkStart w:id="175" w:name="_Toc390766591"/>
      <w:proofErr w:type="gramStart"/>
      <w:r w:rsidRPr="007E657E">
        <w:t>4.1  Surface</w:t>
      </w:r>
      <w:proofErr w:type="gramEnd"/>
      <w:r w:rsidRPr="007E657E">
        <w:t xml:space="preserve"> Water</w:t>
      </w:r>
      <w:bookmarkEnd w:id="175"/>
    </w:p>
    <w:p w:rsidR="009C042C" w:rsidRPr="007E657E" w:rsidRDefault="009C042C" w:rsidP="009C042C">
      <w:pPr>
        <w:pStyle w:val="Heading3"/>
      </w:pPr>
      <w:bookmarkStart w:id="176" w:name="_Toc390766592"/>
      <w:proofErr w:type="gramStart"/>
      <w:r w:rsidRPr="007E657E">
        <w:t>4.1.1  Onsite</w:t>
      </w:r>
      <w:proofErr w:type="gramEnd"/>
      <w:r w:rsidRPr="007E657E">
        <w:t xml:space="preserve"> </w:t>
      </w:r>
      <w:r w:rsidR="00C9034D">
        <w:t>s</w:t>
      </w:r>
      <w:r w:rsidRPr="007E657E">
        <w:t xml:space="preserve">urface </w:t>
      </w:r>
      <w:r w:rsidR="00C9034D">
        <w:t>w</w:t>
      </w:r>
      <w:r w:rsidRPr="007E657E">
        <w:t>ater</w:t>
      </w:r>
      <w:bookmarkEnd w:id="176"/>
    </w:p>
    <w:p w:rsidR="00E47A85" w:rsidRDefault="00827C4B" w:rsidP="00A70E14">
      <w:pPr>
        <w:pStyle w:val="Heading4"/>
      </w:pPr>
      <w:r w:rsidRPr="007E657E">
        <w:t>4.1.1.1</w:t>
      </w:r>
      <w:r w:rsidR="00A70E14" w:rsidRPr="007E657E">
        <w:t xml:space="preserve"> </w:t>
      </w:r>
      <w:r w:rsidRPr="007E657E">
        <w:t>R</w:t>
      </w:r>
      <w:r w:rsidR="00D91B75">
        <w:t xml:space="preserve">etention </w:t>
      </w:r>
      <w:r w:rsidRPr="007E657E">
        <w:t>P</w:t>
      </w:r>
      <w:r w:rsidR="00D91B75">
        <w:t xml:space="preserve">ond </w:t>
      </w:r>
      <w:r w:rsidR="00A70E14" w:rsidRPr="007E657E">
        <w:t>2</w:t>
      </w:r>
      <w:r w:rsidR="00D91B75">
        <w:t xml:space="preserve"> (RP2)</w:t>
      </w:r>
    </w:p>
    <w:p w:rsidR="00D91B75" w:rsidRPr="00D91B75" w:rsidRDefault="00D91B75" w:rsidP="00D91B75">
      <w:r>
        <w:t xml:space="preserve">It </w:t>
      </w:r>
      <w:r w:rsidR="001028E4">
        <w:t>was</w:t>
      </w:r>
      <w:r>
        <w:t xml:space="preserve"> determined that an unknown volume of leach slurry entered RP2 as a result of the failure of Leach Tank 1 on 7 December 2013. The following chemical analysis examines the impact of the slurry on the water quality of RP2. It should be noted in considering the results below that at the time of the incident RP2 contained approximately 500 million litres of water, while the total volume of the spill which escaped the bund was estimated at 600-700 thousand litres, only a </w:t>
      </w:r>
      <w:r w:rsidR="008161E7">
        <w:t xml:space="preserve">portion of which </w:t>
      </w:r>
      <w:r w:rsidR="00FB6429">
        <w:t>entered</w:t>
      </w:r>
      <w:r w:rsidR="008161E7">
        <w:t xml:space="preserve"> RP2, giving a highly conservative dilution ratio of </w:t>
      </w:r>
      <w:r w:rsidR="00BE087B">
        <w:t>at least</w:t>
      </w:r>
      <w:r w:rsidR="008161E7">
        <w:t xml:space="preserve"> 1000:1</w:t>
      </w:r>
      <w:r w:rsidR="00BE087B">
        <w:t xml:space="preserve"> and more likely as high as 10000:1</w:t>
      </w:r>
      <w:r w:rsidR="008161E7">
        <w:t>.</w:t>
      </w:r>
    </w:p>
    <w:p w:rsidR="00E47A85" w:rsidRPr="00D90319" w:rsidRDefault="00E47A85" w:rsidP="00A70E14">
      <w:pPr>
        <w:pStyle w:val="Heading5"/>
      </w:pPr>
      <w:r w:rsidRPr="00D90319">
        <w:t>Electrical conductivity (EC)</w:t>
      </w:r>
    </w:p>
    <w:p w:rsidR="00E47A85" w:rsidRPr="00A70E14" w:rsidRDefault="005A3FFE" w:rsidP="00E47A85">
      <w:pPr>
        <w:rPr>
          <w:szCs w:val="24"/>
        </w:rPr>
      </w:pPr>
      <w:r>
        <w:rPr>
          <w:szCs w:val="24"/>
        </w:rPr>
        <w:t>EC</w:t>
      </w:r>
      <w:r w:rsidR="00E47A85" w:rsidRPr="00A70E14">
        <w:rPr>
          <w:szCs w:val="24"/>
        </w:rPr>
        <w:t xml:space="preserve"> measure</w:t>
      </w:r>
      <w:r w:rsidR="00092638">
        <w:rPr>
          <w:szCs w:val="24"/>
        </w:rPr>
        <w:t>d by ERA in RP2 during the 2011–</w:t>
      </w:r>
      <w:r w:rsidR="00E47A85" w:rsidRPr="00A70E14">
        <w:rPr>
          <w:szCs w:val="24"/>
        </w:rPr>
        <w:t xml:space="preserve">12 </w:t>
      </w:r>
      <w:proofErr w:type="gramStart"/>
      <w:r w:rsidR="00E47A85" w:rsidRPr="00A70E14">
        <w:rPr>
          <w:szCs w:val="24"/>
        </w:rPr>
        <w:t>season</w:t>
      </w:r>
      <w:proofErr w:type="gramEnd"/>
      <w:r w:rsidR="00E47A85" w:rsidRPr="00A70E14">
        <w:rPr>
          <w:szCs w:val="24"/>
        </w:rPr>
        <w:t xml:space="preserve"> is </w:t>
      </w:r>
      <w:r>
        <w:rPr>
          <w:szCs w:val="24"/>
        </w:rPr>
        <w:t>ranged from a</w:t>
      </w:r>
      <w:r w:rsidR="00E47A85" w:rsidRPr="00A70E14">
        <w:rPr>
          <w:szCs w:val="24"/>
        </w:rPr>
        <w:t xml:space="preserve"> minimum value of 1530 µS/cm recorded on 20 December 2011 </w:t>
      </w:r>
      <w:r>
        <w:rPr>
          <w:szCs w:val="24"/>
        </w:rPr>
        <w:t>to a</w:t>
      </w:r>
      <w:r w:rsidR="00E47A85" w:rsidRPr="00A70E14">
        <w:rPr>
          <w:szCs w:val="24"/>
        </w:rPr>
        <w:t xml:space="preserve"> maximum value of 2550 µS/cm recorded on 22 October 2012 (</w:t>
      </w:r>
      <w:r w:rsidR="00205701">
        <w:rPr>
          <w:szCs w:val="24"/>
        </w:rPr>
        <w:t>F</w:t>
      </w:r>
      <w:r w:rsidR="00E47A85" w:rsidRPr="00205701">
        <w:rPr>
          <w:szCs w:val="24"/>
        </w:rPr>
        <w:t>igure 4.</w:t>
      </w:r>
      <w:r w:rsidR="00205701" w:rsidRPr="00205701">
        <w:rPr>
          <w:szCs w:val="24"/>
        </w:rPr>
        <w:t>1</w:t>
      </w:r>
      <w:r w:rsidR="00E47A85" w:rsidRPr="00205701">
        <w:rPr>
          <w:szCs w:val="24"/>
        </w:rPr>
        <w:t>A). There</w:t>
      </w:r>
      <w:r w:rsidR="00E47A85" w:rsidRPr="00A70E14">
        <w:rPr>
          <w:szCs w:val="24"/>
        </w:rPr>
        <w:t xml:space="preserve"> is a distinct peak in EC around March 2012 and a distinct trough in EC around June 20</w:t>
      </w:r>
      <w:r w:rsidR="007E657E">
        <w:rPr>
          <w:szCs w:val="24"/>
        </w:rPr>
        <w:t xml:space="preserve">12. The peak is indicative of </w:t>
      </w:r>
      <w:r w:rsidR="00E47A85" w:rsidRPr="00A70E14">
        <w:rPr>
          <w:szCs w:val="24"/>
        </w:rPr>
        <w:t>the end of dry season water quality and is caused by a period of dry mo</w:t>
      </w:r>
      <w:r w:rsidR="007E657E">
        <w:rPr>
          <w:szCs w:val="24"/>
        </w:rPr>
        <w:t>n</w:t>
      </w:r>
      <w:r w:rsidR="00E47A85" w:rsidRPr="00A70E14">
        <w:rPr>
          <w:szCs w:val="24"/>
        </w:rPr>
        <w:t>ths during w</w:t>
      </w:r>
      <w:r w:rsidR="007E657E">
        <w:rPr>
          <w:szCs w:val="24"/>
        </w:rPr>
        <w:t>h</w:t>
      </w:r>
      <w:r w:rsidR="00E47A85" w:rsidRPr="00A70E14">
        <w:rPr>
          <w:szCs w:val="24"/>
        </w:rPr>
        <w:t>i</w:t>
      </w:r>
      <w:r w:rsidR="007E657E">
        <w:rPr>
          <w:szCs w:val="24"/>
        </w:rPr>
        <w:t>c</w:t>
      </w:r>
      <w:r w:rsidR="00E47A85" w:rsidRPr="00A70E14">
        <w:rPr>
          <w:szCs w:val="24"/>
        </w:rPr>
        <w:t xml:space="preserve">h the solutes in the water </w:t>
      </w:r>
      <w:proofErr w:type="spellStart"/>
      <w:r w:rsidR="00E47A85" w:rsidRPr="00A70E14">
        <w:rPr>
          <w:szCs w:val="24"/>
        </w:rPr>
        <w:t>evapo</w:t>
      </w:r>
      <w:r w:rsidR="004D0B8F">
        <w:rPr>
          <w:szCs w:val="24"/>
        </w:rPr>
        <w:t>concen</w:t>
      </w:r>
      <w:r w:rsidR="00E47A85" w:rsidRPr="00A70E14">
        <w:rPr>
          <w:szCs w:val="24"/>
        </w:rPr>
        <w:t>trate</w:t>
      </w:r>
      <w:proofErr w:type="spellEnd"/>
      <w:r w:rsidR="00E47A85" w:rsidRPr="00A70E14">
        <w:rPr>
          <w:szCs w:val="24"/>
        </w:rPr>
        <w:t>. The trough is indicative of the dilution caused by ra</w:t>
      </w:r>
      <w:r w:rsidR="007E657E">
        <w:rPr>
          <w:szCs w:val="24"/>
        </w:rPr>
        <w:t>in water during the wet months.</w:t>
      </w:r>
    </w:p>
    <w:p w:rsidR="00E47A85" w:rsidRPr="00A70E14" w:rsidRDefault="00092638" w:rsidP="00E47A85">
      <w:pPr>
        <w:rPr>
          <w:szCs w:val="24"/>
        </w:rPr>
      </w:pPr>
      <w:r>
        <w:rPr>
          <w:szCs w:val="24"/>
        </w:rPr>
        <w:t>In the following season, 2012–</w:t>
      </w:r>
      <w:r w:rsidR="00E47A85" w:rsidRPr="00A70E14">
        <w:rPr>
          <w:szCs w:val="24"/>
        </w:rPr>
        <w:t>13, the sampling frequency was redu</w:t>
      </w:r>
      <w:r>
        <w:rPr>
          <w:szCs w:val="24"/>
        </w:rPr>
        <w:t>ced from weekly to monthly (ERA</w:t>
      </w:r>
      <w:r w:rsidR="00E47A85" w:rsidRPr="00A70E14">
        <w:rPr>
          <w:szCs w:val="24"/>
        </w:rPr>
        <w:t xml:space="preserve"> 2013). During this period</w:t>
      </w:r>
      <w:r>
        <w:rPr>
          <w:szCs w:val="24"/>
        </w:rPr>
        <w:t xml:space="preserve"> the EC ranged from 1780–</w:t>
      </w:r>
      <w:r w:rsidR="00E47A85" w:rsidRPr="00A70E14">
        <w:rPr>
          <w:szCs w:val="24"/>
        </w:rPr>
        <w:t xml:space="preserve">2480 µS/cm, with all measured values within the range measured in the previous season. Unlike the </w:t>
      </w:r>
      <w:r w:rsidR="007E657E" w:rsidRPr="00A70E14">
        <w:rPr>
          <w:szCs w:val="24"/>
        </w:rPr>
        <w:t>previous</w:t>
      </w:r>
      <w:r w:rsidR="00E47A85" w:rsidRPr="00A70E14">
        <w:rPr>
          <w:szCs w:val="24"/>
        </w:rPr>
        <w:t xml:space="preserve"> season, there are no distinct peaks or troughs in EC, rather a gradual decline over time. This is partly due to the decrease in resolution obtained with monthly sampling but other contributing factors includ</w:t>
      </w:r>
      <w:r>
        <w:rPr>
          <w:szCs w:val="24"/>
        </w:rPr>
        <w:t>e the lower than average 2012–</w:t>
      </w:r>
      <w:r w:rsidR="00E47A85" w:rsidRPr="00A70E14">
        <w:rPr>
          <w:szCs w:val="24"/>
        </w:rPr>
        <w:t>13 wet season and the addition of waste brines and distillate from the brine concentrator commissioning to the pond water circuit during September and October 2013.</w:t>
      </w:r>
    </w:p>
    <w:p w:rsidR="00E47A85" w:rsidRPr="00205701" w:rsidRDefault="00E47A85" w:rsidP="00E47A85">
      <w:pPr>
        <w:rPr>
          <w:szCs w:val="24"/>
        </w:rPr>
      </w:pPr>
      <w:r w:rsidRPr="00A70E14">
        <w:rPr>
          <w:szCs w:val="24"/>
        </w:rPr>
        <w:t xml:space="preserve">The acid leach tank failure occurred on 7 December 2014 and is indicated </w:t>
      </w:r>
      <w:r w:rsidRPr="00205701">
        <w:rPr>
          <w:szCs w:val="24"/>
        </w:rPr>
        <w:t>in Fig</w:t>
      </w:r>
      <w:r w:rsidR="00A072CD" w:rsidRPr="00205701">
        <w:rPr>
          <w:szCs w:val="24"/>
        </w:rPr>
        <w:t>ure 4.1</w:t>
      </w:r>
      <w:r w:rsidRPr="00205701">
        <w:rPr>
          <w:szCs w:val="24"/>
        </w:rPr>
        <w:t>A by a red line. The increased sampling of RP2 carried out in response to the incident show</w:t>
      </w:r>
      <w:r w:rsidR="00F70381">
        <w:rPr>
          <w:szCs w:val="24"/>
        </w:rPr>
        <w:t>s</w:t>
      </w:r>
      <w:r w:rsidRPr="00205701">
        <w:rPr>
          <w:szCs w:val="24"/>
        </w:rPr>
        <w:t xml:space="preserve"> that the EC after the incident remained within the range recorded previously.  The effect</w:t>
      </w:r>
      <w:r w:rsidRPr="00A70E14">
        <w:rPr>
          <w:szCs w:val="24"/>
        </w:rPr>
        <w:t xml:space="preserve"> of the incident on the EC of RP2 was negligible compared to the </w:t>
      </w:r>
      <w:proofErr w:type="spellStart"/>
      <w:r w:rsidRPr="00A70E14">
        <w:rPr>
          <w:szCs w:val="24"/>
        </w:rPr>
        <w:t>evapoconcentration</w:t>
      </w:r>
      <w:proofErr w:type="spellEnd"/>
      <w:r w:rsidRPr="00A70E14">
        <w:rPr>
          <w:szCs w:val="24"/>
        </w:rPr>
        <w:t xml:space="preserve"> and dilution </w:t>
      </w:r>
      <w:r w:rsidRPr="00205701">
        <w:rPr>
          <w:szCs w:val="24"/>
        </w:rPr>
        <w:t xml:space="preserve">cycles observed over </w:t>
      </w:r>
      <w:r w:rsidR="007E657E" w:rsidRPr="00205701">
        <w:rPr>
          <w:szCs w:val="24"/>
        </w:rPr>
        <w:t xml:space="preserve">previous </w:t>
      </w:r>
      <w:r w:rsidRPr="00205701">
        <w:rPr>
          <w:szCs w:val="24"/>
        </w:rPr>
        <w:t>seasons.</w:t>
      </w:r>
    </w:p>
    <w:p w:rsidR="00E47A85" w:rsidRPr="00205701" w:rsidRDefault="00A072CD" w:rsidP="00E47A85">
      <w:pPr>
        <w:rPr>
          <w:szCs w:val="24"/>
        </w:rPr>
      </w:pPr>
      <w:r w:rsidRPr="00205701">
        <w:rPr>
          <w:szCs w:val="24"/>
        </w:rPr>
        <w:t>Figure 4.1</w:t>
      </w:r>
      <w:r w:rsidR="00E47A85" w:rsidRPr="00205701">
        <w:rPr>
          <w:szCs w:val="24"/>
        </w:rPr>
        <w:t xml:space="preserve">B shows ERA’s RP2 EC data during the period 11 November 2013 to 3 February 2014. During this period the EC fluctuated due to rainfall dilution and possibly input of runoff during the wash down events, but overall there was no significant excursion from the initial level measured on the 11 November 2013. </w:t>
      </w:r>
    </w:p>
    <w:p w:rsidR="00E47A85" w:rsidRPr="00A70E14" w:rsidRDefault="00A072CD" w:rsidP="00E47A85">
      <w:pPr>
        <w:rPr>
          <w:szCs w:val="24"/>
        </w:rPr>
      </w:pPr>
      <w:r w:rsidRPr="00205701">
        <w:rPr>
          <w:szCs w:val="24"/>
        </w:rPr>
        <w:t>Figure 4.1</w:t>
      </w:r>
      <w:r w:rsidR="00E47A85" w:rsidRPr="00205701">
        <w:rPr>
          <w:szCs w:val="24"/>
        </w:rPr>
        <w:t>C compares</w:t>
      </w:r>
      <w:r w:rsidR="00E47A85" w:rsidRPr="00A70E14">
        <w:rPr>
          <w:szCs w:val="24"/>
        </w:rPr>
        <w:t xml:space="preserve"> two box plots of RP2 EC data, one including two full seasons of measurements prior to the incident (13 December 2011 to 29 November 2013) and the other including the four months of measurements after the incident (7 December 2013 to 7 April 2014). While the sample sizes for each box plot are different the comparison shows that there is no significant change in EC during the four months following the incident</w:t>
      </w:r>
      <w:r w:rsidR="005A3FFE">
        <w:rPr>
          <w:szCs w:val="24"/>
        </w:rPr>
        <w:t>,</w:t>
      </w:r>
      <w:r w:rsidR="00E47A85" w:rsidRPr="00A70E14">
        <w:rPr>
          <w:szCs w:val="24"/>
        </w:rPr>
        <w:t xml:space="preserve"> and that the range of EC measured during this period is within the </w:t>
      </w:r>
      <w:r w:rsidR="00001E43">
        <w:rPr>
          <w:szCs w:val="24"/>
        </w:rPr>
        <w:t>typical</w:t>
      </w:r>
      <w:r w:rsidR="00001E43" w:rsidRPr="00A70E14">
        <w:rPr>
          <w:szCs w:val="24"/>
        </w:rPr>
        <w:t xml:space="preserve"> </w:t>
      </w:r>
      <w:r w:rsidR="00E47A85" w:rsidRPr="00A70E14">
        <w:rPr>
          <w:szCs w:val="24"/>
        </w:rPr>
        <w:t xml:space="preserve">range, with some measurements falling below the typical minimum value.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E47A85" w:rsidRPr="00A70E14" w:rsidTr="00E47A85">
        <w:tc>
          <w:tcPr>
            <w:tcW w:w="5000" w:type="pct"/>
            <w:gridSpan w:val="2"/>
          </w:tcPr>
          <w:p w:rsidR="00E47A85" w:rsidRPr="00A70E14" w:rsidRDefault="00A70E14" w:rsidP="00A072CD">
            <w:pPr>
              <w:jc w:val="left"/>
            </w:pPr>
            <w:r>
              <w:rPr>
                <w:szCs w:val="24"/>
              </w:rPr>
              <w:br w:type="page"/>
            </w:r>
            <w:r w:rsidR="00E47A85" w:rsidRPr="00A70E14">
              <w:t>A</w:t>
            </w:r>
          </w:p>
          <w:p w:rsidR="00E47A85" w:rsidRPr="00A70E14" w:rsidRDefault="00E47A85" w:rsidP="00E47A85">
            <w:pPr>
              <w:jc w:val="center"/>
            </w:pPr>
            <w:r w:rsidRPr="00A70E14">
              <w:rPr>
                <w:noProof/>
                <w:lang w:eastAsia="en-AU"/>
              </w:rPr>
              <w:drawing>
                <wp:inline distT="0" distB="0" distL="0" distR="0">
                  <wp:extent cx="5276850" cy="3114675"/>
                  <wp:effectExtent l="0" t="0" r="0" b="0"/>
                  <wp:docPr id="13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screen"/>
                          <a:srcRect/>
                          <a:stretch>
                            <a:fillRect/>
                          </a:stretch>
                        </pic:blipFill>
                        <pic:spPr bwMode="auto">
                          <a:xfrm>
                            <a:off x="0" y="0"/>
                            <a:ext cx="5276850" cy="3114675"/>
                          </a:xfrm>
                          <a:prstGeom prst="rect">
                            <a:avLst/>
                          </a:prstGeom>
                          <a:noFill/>
                          <a:ln w="9525">
                            <a:noFill/>
                            <a:miter lim="800000"/>
                            <a:headEnd/>
                            <a:tailEnd/>
                          </a:ln>
                        </pic:spPr>
                      </pic:pic>
                    </a:graphicData>
                  </a:graphic>
                </wp:inline>
              </w:drawing>
            </w:r>
          </w:p>
        </w:tc>
      </w:tr>
      <w:tr w:rsidR="00E47A85" w:rsidRPr="00A70E14" w:rsidTr="00C9034D">
        <w:tc>
          <w:tcPr>
            <w:tcW w:w="2500" w:type="pct"/>
          </w:tcPr>
          <w:p w:rsidR="00E47A85" w:rsidRPr="00A70E14" w:rsidRDefault="00E47A85" w:rsidP="00A072CD">
            <w:pPr>
              <w:jc w:val="left"/>
              <w:rPr>
                <w:noProof/>
                <w:lang w:eastAsia="en-AU"/>
              </w:rPr>
            </w:pPr>
            <w:r w:rsidRPr="00A70E14">
              <w:rPr>
                <w:noProof/>
                <w:lang w:eastAsia="en-AU"/>
              </w:rPr>
              <w:t>B</w:t>
            </w:r>
          </w:p>
          <w:p w:rsidR="00E47A85" w:rsidRPr="00A70E14" w:rsidRDefault="00E47A85" w:rsidP="00E47A85">
            <w:pPr>
              <w:jc w:val="center"/>
            </w:pPr>
            <w:r w:rsidRPr="00A70E14">
              <w:rPr>
                <w:noProof/>
                <w:lang w:eastAsia="en-AU"/>
              </w:rPr>
              <w:drawing>
                <wp:inline distT="0" distB="0" distL="0" distR="0">
                  <wp:extent cx="2638800" cy="2160000"/>
                  <wp:effectExtent l="0" t="0" r="0" b="0"/>
                  <wp:docPr id="132"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a:blip r:embed="rId51" cstate="screen"/>
                          <a:srcRect/>
                          <a:stretch>
                            <a:fillRect/>
                          </a:stretch>
                        </pic:blipFill>
                        <pic:spPr bwMode="auto">
                          <a:xfrm>
                            <a:off x="0" y="0"/>
                            <a:ext cx="2638800" cy="2160000"/>
                          </a:xfrm>
                          <a:prstGeom prst="rect">
                            <a:avLst/>
                          </a:prstGeom>
                          <a:noFill/>
                          <a:ln w="9525">
                            <a:noFill/>
                            <a:miter lim="800000"/>
                            <a:headEnd/>
                            <a:tailEnd/>
                          </a:ln>
                        </pic:spPr>
                      </pic:pic>
                    </a:graphicData>
                  </a:graphic>
                </wp:inline>
              </w:drawing>
            </w:r>
          </w:p>
        </w:tc>
        <w:tc>
          <w:tcPr>
            <w:tcW w:w="2500" w:type="pct"/>
          </w:tcPr>
          <w:p w:rsidR="00E47A85" w:rsidRPr="00A70E14" w:rsidRDefault="00E47A85" w:rsidP="00A072CD">
            <w:pPr>
              <w:jc w:val="left"/>
              <w:rPr>
                <w:noProof/>
                <w:lang w:eastAsia="en-AU"/>
              </w:rPr>
            </w:pPr>
            <w:r w:rsidRPr="00A70E14">
              <w:rPr>
                <w:noProof/>
                <w:lang w:eastAsia="en-AU"/>
              </w:rPr>
              <w:t>C</w:t>
            </w:r>
          </w:p>
          <w:p w:rsidR="00E47A85" w:rsidRPr="00A70E14" w:rsidRDefault="00E47A85" w:rsidP="00E47A85">
            <w:r w:rsidRPr="00A70E14">
              <w:rPr>
                <w:noProof/>
                <w:lang w:eastAsia="en-AU"/>
              </w:rPr>
              <w:drawing>
                <wp:inline distT="0" distB="0" distL="0" distR="0">
                  <wp:extent cx="2638800" cy="2160270"/>
                  <wp:effectExtent l="0" t="0" r="0" b="0"/>
                  <wp:docPr id="135"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52" cstate="screen"/>
                          <a:srcRect/>
                          <a:stretch>
                            <a:fillRect/>
                          </a:stretch>
                        </pic:blipFill>
                        <pic:spPr bwMode="auto">
                          <a:xfrm>
                            <a:off x="0" y="0"/>
                            <a:ext cx="2638800" cy="2160270"/>
                          </a:xfrm>
                          <a:prstGeom prst="rect">
                            <a:avLst/>
                          </a:prstGeom>
                          <a:noFill/>
                          <a:ln w="9525">
                            <a:noFill/>
                            <a:miter lim="800000"/>
                            <a:headEnd/>
                            <a:tailEnd/>
                          </a:ln>
                        </pic:spPr>
                      </pic:pic>
                    </a:graphicData>
                  </a:graphic>
                </wp:inline>
              </w:drawing>
            </w:r>
          </w:p>
        </w:tc>
      </w:tr>
    </w:tbl>
    <w:p w:rsidR="00E47A85" w:rsidRPr="00A072CD" w:rsidRDefault="00A072CD" w:rsidP="00A072CD">
      <w:pPr>
        <w:pStyle w:val="figurecaption"/>
      </w:pPr>
      <w:bookmarkStart w:id="177" w:name="_Toc382468412"/>
      <w:bookmarkStart w:id="178" w:name="_Toc390160236"/>
      <w:bookmarkStart w:id="179" w:name="_Toc390766646"/>
      <w:proofErr w:type="gramStart"/>
      <w:r w:rsidRPr="00A072CD">
        <w:rPr>
          <w:b/>
        </w:rPr>
        <w:t>Figures 4.1A and 4.1</w:t>
      </w:r>
      <w:r w:rsidR="00E47A85" w:rsidRPr="00A072CD">
        <w:rPr>
          <w:b/>
        </w:rPr>
        <w:t>B</w:t>
      </w:r>
      <w:r w:rsidR="00E47A85" w:rsidRPr="00A072CD">
        <w:t xml:space="preserve"> ERA</w:t>
      </w:r>
      <w:r w:rsidRPr="00A072CD">
        <w:t xml:space="preserve"> EC data from RP2; </w:t>
      </w:r>
      <w:r w:rsidRPr="00A072CD">
        <w:br/>
      </w:r>
      <w:r w:rsidRPr="00A072CD">
        <w:rPr>
          <w:b/>
        </w:rPr>
        <w:t>4.1</w:t>
      </w:r>
      <w:r w:rsidR="00E47A85" w:rsidRPr="00A072CD">
        <w:rPr>
          <w:b/>
        </w:rPr>
        <w:t>C</w:t>
      </w:r>
      <w:r w:rsidR="00E47A85" w:rsidRPr="00A072CD">
        <w:t xml:space="preserve"> Box plots of ERA EC data from RP2 before and after the incident</w:t>
      </w:r>
      <w:bookmarkEnd w:id="177"/>
      <w:bookmarkEnd w:id="178"/>
      <w:bookmarkEnd w:id="179"/>
      <w:r w:rsidR="004469E5">
        <w:t>.</w:t>
      </w:r>
      <w:proofErr w:type="gramEnd"/>
    </w:p>
    <w:p w:rsidR="00E47A85" w:rsidRPr="00A70E14" w:rsidRDefault="00E47A85" w:rsidP="00A072CD">
      <w:pPr>
        <w:pStyle w:val="Heading5"/>
      </w:pPr>
      <w:proofErr w:type="gramStart"/>
      <w:r w:rsidRPr="00A70E14">
        <w:t>pH</w:t>
      </w:r>
      <w:proofErr w:type="gramEnd"/>
    </w:p>
    <w:p w:rsidR="00E47A85" w:rsidRPr="00A70E14" w:rsidRDefault="00E47A85" w:rsidP="00E47A85">
      <w:pPr>
        <w:rPr>
          <w:szCs w:val="24"/>
        </w:rPr>
      </w:pPr>
      <w:r w:rsidRPr="00A70E14">
        <w:rPr>
          <w:szCs w:val="24"/>
        </w:rPr>
        <w:t>The ERA grab sample data collected over the two seasons prior to the incident show that the RP2 data is circa pH 8, with a r</w:t>
      </w:r>
      <w:r w:rsidR="00A072CD">
        <w:rPr>
          <w:szCs w:val="24"/>
        </w:rPr>
        <w:t xml:space="preserve">ange of 7.34 to 9.36 </w:t>
      </w:r>
      <w:r w:rsidR="00A072CD" w:rsidRPr="00205701">
        <w:rPr>
          <w:szCs w:val="24"/>
        </w:rPr>
        <w:t>(Figure 4.2</w:t>
      </w:r>
      <w:r w:rsidRPr="00205701">
        <w:rPr>
          <w:szCs w:val="24"/>
        </w:rPr>
        <w:t>A).</w:t>
      </w:r>
      <w:r w:rsidRPr="00A70E14">
        <w:rPr>
          <w:szCs w:val="24"/>
        </w:rPr>
        <w:t xml:space="preserve"> A slight seasonal variation is observed with the lowest pH values measured at the end of the wet season, due in part to the slightly acidic rainfall that occurs naturally in the region </w:t>
      </w:r>
      <w:r w:rsidR="00117C79" w:rsidRPr="00A70E14">
        <w:rPr>
          <w:szCs w:val="24"/>
        </w:rPr>
        <w:fldChar w:fldCharType="begin"/>
      </w:r>
      <w:r w:rsidRPr="00A70E14">
        <w:rPr>
          <w:szCs w:val="24"/>
        </w:rPr>
        <w:instrText xml:space="preserve"> ADDIN EN.CITE &lt;EndNote&gt;&lt;Cite&gt;&lt;Author&gt;Noller&lt;/Author&gt;&lt;Year&gt;1990&lt;/Year&gt;&lt;RecNum&gt;89&lt;/RecNum&gt;&lt;DisplayText&gt; (Noller et al 1990)&lt;/DisplayText&gt;&lt;record&gt;&lt;rec-number&gt;89&lt;/rec-number&gt;&lt;foreign-keys&gt;&lt;key app="EN" db-id="ppdas0207wxd9pessfrv29a6r9s5dzdavdsw"&gt;89&lt;/key&gt;&lt;/foreign-keys&gt;&lt;ref-type name="Journal Article"&gt;17&lt;/ref-type&gt;&lt;contributors&gt;&lt;authors&gt;&lt;author&gt;Noller, B. N.&lt;/author&gt;&lt;author&gt;Currey, N. A.&lt;/author&gt;&lt;author&gt;Ayers, G. P.&lt;/author&gt;&lt;author&gt;Gillett, R. W.&lt;/author&gt;&lt;/authors&gt;&lt;/contributors&gt;&lt;titles&gt;&lt;title&gt;Chemical composition and acidity of rainfall in the Alligator Rivers Region, Northern Territory, Australia&lt;/title&gt;&lt;secondary-title&gt;Science of The Total Environment&lt;/secondary-title&gt;&lt;/titles&gt;&lt;periodical&gt;&lt;full-title&gt;Science of the Total Environment&lt;/full-title&gt;&lt;/periodical&gt;&lt;pages&gt;23-48&lt;/pages&gt;&lt;volume&gt;91&lt;/volume&gt;&lt;number&gt;0&lt;/number&gt;&lt;dates&gt;&lt;year&gt;1990&lt;/year&gt;&lt;pub-dates&gt;&lt;date&gt;2//&lt;/date&gt;&lt;/pub-dates&gt;&lt;/dates&gt;&lt;isbn&gt;0048-9697&lt;/isbn&gt;&lt;urls&gt;&lt;related-urls&gt;&lt;url&gt;http://www.sciencedirect.com/science/article/pii/0048969790902864&lt;/url&gt;&lt;/related-urls&gt;&lt;/urls&gt;&lt;electronic-resource-num&gt;http://dx.doi.org/10.1016/0048-9697(90)90286-4&lt;/electronic-resource-num&gt;&lt;/record&gt;&lt;/Cite&gt;&lt;/EndNote&gt;</w:instrText>
      </w:r>
      <w:r w:rsidR="00117C79" w:rsidRPr="00A70E14">
        <w:rPr>
          <w:szCs w:val="24"/>
        </w:rPr>
        <w:fldChar w:fldCharType="separate"/>
      </w:r>
      <w:r w:rsidRPr="00A70E14">
        <w:rPr>
          <w:noProof/>
          <w:szCs w:val="24"/>
        </w:rPr>
        <w:t> (</w:t>
      </w:r>
      <w:hyperlink w:anchor="_ENREF_2" w:tooltip="Noller, 1990 #89" w:history="1">
        <w:r w:rsidRPr="00A70E14">
          <w:rPr>
            <w:noProof/>
            <w:szCs w:val="24"/>
          </w:rPr>
          <w:t>Noller et al</w:t>
        </w:r>
        <w:r w:rsidR="00092638">
          <w:rPr>
            <w:noProof/>
            <w:szCs w:val="24"/>
          </w:rPr>
          <w:t>.</w:t>
        </w:r>
        <w:r w:rsidRPr="00A70E14">
          <w:rPr>
            <w:noProof/>
            <w:szCs w:val="24"/>
          </w:rPr>
          <w:t xml:space="preserve"> 1990</w:t>
        </w:r>
      </w:hyperlink>
      <w:r w:rsidRPr="00A70E14">
        <w:rPr>
          <w:noProof/>
          <w:szCs w:val="24"/>
        </w:rPr>
        <w:t>)</w:t>
      </w:r>
      <w:r w:rsidR="00117C79" w:rsidRPr="00A70E14">
        <w:rPr>
          <w:szCs w:val="24"/>
        </w:rPr>
        <w:fldChar w:fldCharType="end"/>
      </w:r>
      <w:r w:rsidR="005A3FFE">
        <w:rPr>
          <w:szCs w:val="24"/>
        </w:rPr>
        <w:t>,</w:t>
      </w:r>
      <w:r w:rsidRPr="00A70E14">
        <w:rPr>
          <w:szCs w:val="24"/>
        </w:rPr>
        <w:t xml:space="preserve"> and also the influx of </w:t>
      </w:r>
      <w:r w:rsidR="00074680">
        <w:rPr>
          <w:szCs w:val="24"/>
        </w:rPr>
        <w:t>runoff</w:t>
      </w:r>
      <w:r w:rsidRPr="00A70E14">
        <w:rPr>
          <w:szCs w:val="24"/>
        </w:rPr>
        <w:t xml:space="preserve"> from the tailings storage facility (TSF) walls and water transfers from the western stockpile interception trench. </w:t>
      </w:r>
    </w:p>
    <w:p w:rsidR="00E47A85" w:rsidRPr="00A70E14" w:rsidRDefault="00E47A85" w:rsidP="00E47A85">
      <w:r w:rsidRPr="00A70E14">
        <w:rPr>
          <w:szCs w:val="24"/>
        </w:rPr>
        <w:t>The pH of the acid slurry was low, between 1.2 and 1.9</w:t>
      </w:r>
      <w:r w:rsidR="00E17DB4">
        <w:rPr>
          <w:szCs w:val="24"/>
        </w:rPr>
        <w:t xml:space="preserve"> </w:t>
      </w:r>
      <w:r w:rsidR="00E17DB4" w:rsidRPr="00205701">
        <w:rPr>
          <w:szCs w:val="24"/>
        </w:rPr>
        <w:t>(Table 2.2)</w:t>
      </w:r>
      <w:r w:rsidRPr="00205701">
        <w:rPr>
          <w:szCs w:val="24"/>
        </w:rPr>
        <w:t>,</w:t>
      </w:r>
      <w:r w:rsidRPr="00A70E14">
        <w:rPr>
          <w:szCs w:val="24"/>
        </w:rPr>
        <w:t xml:space="preserve"> </w:t>
      </w:r>
      <w:r w:rsidR="00A072CD">
        <w:rPr>
          <w:szCs w:val="24"/>
        </w:rPr>
        <w:t xml:space="preserve">and the data shown in </w:t>
      </w:r>
      <w:r w:rsidR="00A072CD" w:rsidRPr="00205701">
        <w:rPr>
          <w:szCs w:val="24"/>
        </w:rPr>
        <w:t>Figure 4.2</w:t>
      </w:r>
      <w:r w:rsidRPr="00205701">
        <w:rPr>
          <w:szCs w:val="24"/>
        </w:rPr>
        <w:t>A</w:t>
      </w:r>
      <w:r w:rsidRPr="00A70E14">
        <w:rPr>
          <w:szCs w:val="24"/>
        </w:rPr>
        <w:t xml:space="preserve"> indicate that the pH of RP2 remained around 9 in the weeks following the spill, suggesting that the buffering capacity of the RP2 water was high enough at the time of the spill to neutralise </w:t>
      </w:r>
      <w:r w:rsidR="004C495D">
        <w:rPr>
          <w:szCs w:val="24"/>
        </w:rPr>
        <w:t>the</w:t>
      </w:r>
      <w:r w:rsidRPr="00A70E14">
        <w:rPr>
          <w:szCs w:val="24"/>
        </w:rPr>
        <w:t xml:space="preserve"> input of acidic slurry or associated </w:t>
      </w:r>
      <w:r w:rsidR="00074680">
        <w:rPr>
          <w:szCs w:val="24"/>
        </w:rPr>
        <w:t>runoff</w:t>
      </w:r>
      <w:r w:rsidRPr="00A70E14">
        <w:rPr>
          <w:szCs w:val="24"/>
        </w:rPr>
        <w:t xml:space="preserve"> that was generated during subsequent rainfall events or </w:t>
      </w:r>
      <w:r w:rsidR="00F70381">
        <w:rPr>
          <w:szCs w:val="24"/>
        </w:rPr>
        <w:t>the cleanup process.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E47A85" w:rsidRPr="00A70E14" w:rsidTr="00E47A85">
        <w:tc>
          <w:tcPr>
            <w:tcW w:w="5000" w:type="pct"/>
            <w:gridSpan w:val="2"/>
          </w:tcPr>
          <w:p w:rsidR="00E47A85" w:rsidRPr="00A70E14" w:rsidRDefault="00E47A85" w:rsidP="00E47A85">
            <w:pPr>
              <w:jc w:val="left"/>
            </w:pPr>
            <w:r w:rsidRPr="00A70E14">
              <w:t>A</w:t>
            </w:r>
          </w:p>
          <w:p w:rsidR="00E47A85" w:rsidRPr="00A70E14" w:rsidRDefault="00E47A85" w:rsidP="00E47A85">
            <w:pPr>
              <w:jc w:val="center"/>
            </w:pPr>
            <w:r w:rsidRPr="00A70E14">
              <w:rPr>
                <w:noProof/>
                <w:lang w:eastAsia="en-AU"/>
              </w:rPr>
              <w:drawing>
                <wp:inline distT="0" distB="0" distL="0" distR="0">
                  <wp:extent cx="5276850" cy="2981325"/>
                  <wp:effectExtent l="0" t="0" r="0" b="0"/>
                  <wp:docPr id="1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screen"/>
                          <a:srcRect/>
                          <a:stretch>
                            <a:fillRect/>
                          </a:stretch>
                        </pic:blipFill>
                        <pic:spPr bwMode="auto">
                          <a:xfrm>
                            <a:off x="0" y="0"/>
                            <a:ext cx="5276850" cy="2981325"/>
                          </a:xfrm>
                          <a:prstGeom prst="rect">
                            <a:avLst/>
                          </a:prstGeom>
                          <a:noFill/>
                          <a:ln w="9525">
                            <a:noFill/>
                            <a:miter lim="800000"/>
                            <a:headEnd/>
                            <a:tailEnd/>
                          </a:ln>
                        </pic:spPr>
                      </pic:pic>
                    </a:graphicData>
                  </a:graphic>
                </wp:inline>
              </w:drawing>
            </w:r>
          </w:p>
        </w:tc>
      </w:tr>
      <w:tr w:rsidR="00E47A85" w:rsidRPr="00A70E14" w:rsidTr="00E47A85">
        <w:tc>
          <w:tcPr>
            <w:tcW w:w="2500" w:type="pct"/>
          </w:tcPr>
          <w:p w:rsidR="00E47A85" w:rsidRPr="00A70E14" w:rsidRDefault="00E47A85" w:rsidP="00E47A85">
            <w:pPr>
              <w:jc w:val="left"/>
              <w:rPr>
                <w:noProof/>
                <w:lang w:eastAsia="en-AU"/>
              </w:rPr>
            </w:pPr>
            <w:r w:rsidRPr="00A70E14">
              <w:rPr>
                <w:noProof/>
                <w:lang w:eastAsia="en-AU"/>
              </w:rPr>
              <w:t>B</w:t>
            </w:r>
          </w:p>
          <w:p w:rsidR="00E47A85" w:rsidRPr="00A70E14" w:rsidRDefault="00E47A85" w:rsidP="00E47A85">
            <w:pPr>
              <w:jc w:val="center"/>
            </w:pPr>
            <w:r w:rsidRPr="00A70E14">
              <w:rPr>
                <w:noProof/>
                <w:lang w:eastAsia="en-AU"/>
              </w:rPr>
              <w:drawing>
                <wp:inline distT="0" distB="0" distL="0" distR="0">
                  <wp:extent cx="2638800" cy="2160270"/>
                  <wp:effectExtent l="0" t="0" r="0" b="0"/>
                  <wp:docPr id="137"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54" cstate="screen"/>
                          <a:srcRect/>
                          <a:stretch>
                            <a:fillRect/>
                          </a:stretch>
                        </pic:blipFill>
                        <pic:spPr bwMode="auto">
                          <a:xfrm>
                            <a:off x="0" y="0"/>
                            <a:ext cx="2638800" cy="2160270"/>
                          </a:xfrm>
                          <a:prstGeom prst="rect">
                            <a:avLst/>
                          </a:prstGeom>
                          <a:noFill/>
                          <a:ln w="9525">
                            <a:noFill/>
                            <a:miter lim="800000"/>
                            <a:headEnd/>
                            <a:tailEnd/>
                          </a:ln>
                        </pic:spPr>
                      </pic:pic>
                    </a:graphicData>
                  </a:graphic>
                </wp:inline>
              </w:drawing>
            </w:r>
          </w:p>
        </w:tc>
        <w:tc>
          <w:tcPr>
            <w:tcW w:w="2500" w:type="pct"/>
          </w:tcPr>
          <w:p w:rsidR="00E47A85" w:rsidRPr="00A70E14" w:rsidRDefault="00E47A85" w:rsidP="00E47A85">
            <w:pPr>
              <w:rPr>
                <w:noProof/>
                <w:lang w:eastAsia="en-AU"/>
              </w:rPr>
            </w:pPr>
            <w:r w:rsidRPr="00A70E14">
              <w:rPr>
                <w:noProof/>
                <w:lang w:eastAsia="en-AU"/>
              </w:rPr>
              <w:t>C</w:t>
            </w:r>
          </w:p>
          <w:p w:rsidR="00E47A85" w:rsidRPr="00A70E14" w:rsidRDefault="00E47A85" w:rsidP="00E47A85">
            <w:r w:rsidRPr="00A70E14">
              <w:rPr>
                <w:noProof/>
                <w:lang w:eastAsia="en-AU"/>
              </w:rPr>
              <w:drawing>
                <wp:inline distT="0" distB="0" distL="0" distR="0">
                  <wp:extent cx="2638800" cy="2160270"/>
                  <wp:effectExtent l="0" t="0" r="0" b="0"/>
                  <wp:docPr id="139"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55" cstate="screen"/>
                          <a:srcRect/>
                          <a:stretch>
                            <a:fillRect/>
                          </a:stretch>
                        </pic:blipFill>
                        <pic:spPr bwMode="auto">
                          <a:xfrm>
                            <a:off x="0" y="0"/>
                            <a:ext cx="2638800" cy="2160270"/>
                          </a:xfrm>
                          <a:prstGeom prst="rect">
                            <a:avLst/>
                          </a:prstGeom>
                          <a:noFill/>
                          <a:ln w="9525">
                            <a:noFill/>
                            <a:miter lim="800000"/>
                            <a:headEnd/>
                            <a:tailEnd/>
                          </a:ln>
                        </pic:spPr>
                      </pic:pic>
                    </a:graphicData>
                  </a:graphic>
                </wp:inline>
              </w:drawing>
            </w:r>
          </w:p>
        </w:tc>
      </w:tr>
    </w:tbl>
    <w:p w:rsidR="00E47A85" w:rsidRPr="00A70E14" w:rsidRDefault="00A072CD" w:rsidP="00E47A85">
      <w:pPr>
        <w:pStyle w:val="figurecaption"/>
        <w:rPr>
          <w:lang w:eastAsia="en-AU"/>
        </w:rPr>
      </w:pPr>
      <w:bookmarkStart w:id="180" w:name="_Toc382468413"/>
      <w:bookmarkStart w:id="181" w:name="_Toc390160237"/>
      <w:bookmarkStart w:id="182" w:name="_Toc390766647"/>
      <w:proofErr w:type="gramStart"/>
      <w:r w:rsidRPr="00A072CD">
        <w:rPr>
          <w:b/>
        </w:rPr>
        <w:t>Figures 4.2A</w:t>
      </w:r>
      <w:r>
        <w:t xml:space="preserve"> </w:t>
      </w:r>
      <w:r w:rsidRPr="00A072CD">
        <w:rPr>
          <w:b/>
        </w:rPr>
        <w:t>and 4.2</w:t>
      </w:r>
      <w:r w:rsidR="00E47A85" w:rsidRPr="00A072CD">
        <w:rPr>
          <w:b/>
        </w:rPr>
        <w:t>B</w:t>
      </w:r>
      <w:r w:rsidR="00E47A85" w:rsidRPr="00A70E14">
        <w:t xml:space="preserve"> </w:t>
      </w:r>
      <w:r w:rsidR="00E47A85" w:rsidRPr="00A70E14">
        <w:rPr>
          <w:lang w:eastAsia="en-AU"/>
        </w:rPr>
        <w:t xml:space="preserve">ERA pH data from RP2; </w:t>
      </w:r>
      <w:r w:rsidR="00E47A85" w:rsidRPr="00A70E14">
        <w:rPr>
          <w:lang w:eastAsia="en-AU"/>
        </w:rPr>
        <w:br/>
      </w:r>
      <w:r w:rsidR="00E47A85" w:rsidRPr="00A072CD">
        <w:rPr>
          <w:b/>
          <w:lang w:eastAsia="en-AU"/>
        </w:rPr>
        <w:t>4</w:t>
      </w:r>
      <w:r w:rsidRPr="00A072CD">
        <w:rPr>
          <w:b/>
          <w:lang w:eastAsia="en-AU"/>
        </w:rPr>
        <w:t>.2</w:t>
      </w:r>
      <w:r w:rsidR="00E47A85" w:rsidRPr="00205701">
        <w:rPr>
          <w:b/>
          <w:lang w:eastAsia="en-AU"/>
        </w:rPr>
        <w:t xml:space="preserve">C </w:t>
      </w:r>
      <w:r w:rsidR="00E47A85" w:rsidRPr="00A70E14">
        <w:rPr>
          <w:lang w:eastAsia="en-AU"/>
        </w:rPr>
        <w:t>Box plots of ERA pH data from RP2 before and after the incident</w:t>
      </w:r>
      <w:bookmarkEnd w:id="180"/>
      <w:bookmarkEnd w:id="181"/>
      <w:bookmarkEnd w:id="182"/>
      <w:r w:rsidR="004469E5">
        <w:rPr>
          <w:lang w:eastAsia="en-AU"/>
        </w:rPr>
        <w:t>.</w:t>
      </w:r>
      <w:proofErr w:type="gramEnd"/>
    </w:p>
    <w:p w:rsidR="00E47A85" w:rsidRPr="00205701" w:rsidRDefault="00A072CD" w:rsidP="00E47A85">
      <w:r w:rsidRPr="00205701">
        <w:t>Figure 4.2</w:t>
      </w:r>
      <w:r w:rsidR="00E47A85" w:rsidRPr="00205701">
        <w:t>B shows the variation in RP2 pH in the weeks following the tank collapse. The measurements taken in the weeks immediately after the incident indicated that there was no discernible acidifying effect caused by input of the acidic slurry</w:t>
      </w:r>
      <w:r w:rsidR="005A3FFE">
        <w:t>,</w:t>
      </w:r>
      <w:r w:rsidR="00E47A85" w:rsidRPr="00205701">
        <w:t xml:space="preserve"> and also indicate that surface runoff generated by the first few rainfall events following the incident was successfully retained in the catchment area and did not enter RP2. Most of the variation is caused by rainfall events occurring from January onwards, which is partly due to the natural acidity of the rain water but may also be attributed to surface runoff from the spill area entering RP2 via the catchment drainage systems. In all cases the pH quickly recovers and returns to levels greater than 8. </w:t>
      </w:r>
    </w:p>
    <w:p w:rsidR="00E47A85" w:rsidRPr="00A70E14" w:rsidRDefault="00A072CD" w:rsidP="00E47A85">
      <w:pPr>
        <w:rPr>
          <w:szCs w:val="24"/>
          <w:u w:val="single"/>
        </w:rPr>
      </w:pPr>
      <w:r w:rsidRPr="00205701">
        <w:rPr>
          <w:szCs w:val="24"/>
        </w:rPr>
        <w:t>Figure 4.2</w:t>
      </w:r>
      <w:r w:rsidR="00E47A85" w:rsidRPr="00205701">
        <w:rPr>
          <w:szCs w:val="24"/>
        </w:rPr>
        <w:t>C compares</w:t>
      </w:r>
      <w:r w:rsidR="00E47A85" w:rsidRPr="00A70E14">
        <w:rPr>
          <w:szCs w:val="24"/>
        </w:rPr>
        <w:t xml:space="preserve"> two box plots of RP2 pH data, one including two full seasons of measurements prior to the incident (13 December 2011 to 29 November 2013) and the other including the four months of measurements after the incident (7 December 2013 to 7 April 2014). While the sample sizes for each box plot are different the comparison shows that </w:t>
      </w:r>
      <w:r w:rsidR="00074680">
        <w:rPr>
          <w:szCs w:val="24"/>
        </w:rPr>
        <w:t xml:space="preserve">the </w:t>
      </w:r>
      <w:r w:rsidR="00E47A85" w:rsidRPr="00A70E14">
        <w:rPr>
          <w:szCs w:val="24"/>
        </w:rPr>
        <w:t xml:space="preserve">lowest pH recorded occurred after the incident, however the majority of the post-incident pH measurements were more alkaline than the historic median and ranges for both box plots are similar. </w:t>
      </w:r>
    </w:p>
    <w:p w:rsidR="00E47A85" w:rsidRPr="00827C4B" w:rsidRDefault="00E47A85" w:rsidP="00827C4B">
      <w:pPr>
        <w:pStyle w:val="Heading5"/>
      </w:pPr>
      <w:r w:rsidRPr="00827C4B">
        <w:t>Magnesium</w:t>
      </w:r>
    </w:p>
    <w:p w:rsidR="001B0D95" w:rsidRDefault="00E47A85" w:rsidP="00E47A85">
      <w:pPr>
        <w:rPr>
          <w:szCs w:val="24"/>
        </w:rPr>
      </w:pPr>
      <w:r w:rsidRPr="00A70E14">
        <w:rPr>
          <w:szCs w:val="24"/>
        </w:rPr>
        <w:t xml:space="preserve">The dissolved Mg data collected by ERA prior to the incident (between December 2011 and November 2013) show a seasonal variation of approximately 150 mg/L, with peak concentrations occurring in the late dry season due to </w:t>
      </w:r>
      <w:proofErr w:type="spellStart"/>
      <w:r w:rsidRPr="00A70E14">
        <w:rPr>
          <w:szCs w:val="24"/>
        </w:rPr>
        <w:t>evapoconcentration</w:t>
      </w:r>
      <w:proofErr w:type="spellEnd"/>
      <w:r w:rsidRPr="00A70E14">
        <w:rPr>
          <w:szCs w:val="24"/>
        </w:rPr>
        <w:t xml:space="preserve">, and the lowest concentrations occurring during the wet season due to dilution from rainfall and input of surface water </w:t>
      </w:r>
      <w:r w:rsidR="00074680">
        <w:rPr>
          <w:szCs w:val="24"/>
        </w:rPr>
        <w:t>runoff</w:t>
      </w:r>
      <w:r w:rsidRPr="00A70E14">
        <w:rPr>
          <w:szCs w:val="24"/>
        </w:rPr>
        <w:t xml:space="preserve"> from pond wate</w:t>
      </w:r>
      <w:r w:rsidR="00827C4B">
        <w:rPr>
          <w:szCs w:val="24"/>
        </w:rPr>
        <w:t xml:space="preserve">r catchments on site </w:t>
      </w:r>
      <w:r w:rsidR="00827C4B" w:rsidRPr="00205701">
        <w:rPr>
          <w:szCs w:val="24"/>
        </w:rPr>
        <w:t>(Figure 4.3</w:t>
      </w:r>
      <w:r w:rsidRPr="00205701">
        <w:rPr>
          <w:szCs w:val="24"/>
        </w:rPr>
        <w:t>A). The total Mg concentration of the leach tank slu</w:t>
      </w:r>
      <w:r w:rsidR="00E40E6A" w:rsidRPr="00205701">
        <w:rPr>
          <w:szCs w:val="24"/>
        </w:rPr>
        <w:t>rry was in excess of 3,000 mg/L</w:t>
      </w:r>
      <w:r w:rsidR="007724EE" w:rsidRPr="00205701">
        <w:rPr>
          <w:szCs w:val="24"/>
        </w:rPr>
        <w:t xml:space="preserve"> (Table 2.2)</w:t>
      </w:r>
      <w:r w:rsidR="00E40E6A" w:rsidRPr="00205701">
        <w:rPr>
          <w:szCs w:val="24"/>
        </w:rPr>
        <w:t>.</w:t>
      </w:r>
      <w:r w:rsidR="00E40E6A">
        <w:rPr>
          <w:szCs w:val="24"/>
        </w:rPr>
        <w:t xml:space="preserve"> </w:t>
      </w:r>
    </w:p>
    <w:p w:rsidR="001B0D95" w:rsidRPr="00205701" w:rsidRDefault="001B0D95" w:rsidP="001B0D95">
      <w:r w:rsidRPr="00205701">
        <w:t xml:space="preserve">Figure 4.3B shows no discernible change in the dissolved magnesium concentrations in RP2 due to the input of the leach tank slurry or surface runoff generate by rainfall and the </w:t>
      </w:r>
      <w:r w:rsidR="00F01C02">
        <w:t>cleanup</w:t>
      </w:r>
      <w:r w:rsidRPr="00205701">
        <w:t xml:space="preserve"> process. The rainfall throughout January resulted in a 50% (approximately) reduction in RP2 dissolved Mg concentration, which decreased from around 250 mg/L to 135 mg/L. This was the lowest dissolved Mg value recorded in RP2 since December 2011.</w:t>
      </w:r>
    </w:p>
    <w:p w:rsidR="001B0D95" w:rsidRPr="00A70E14" w:rsidRDefault="001B0D95" w:rsidP="001B0D95">
      <w:pPr>
        <w:rPr>
          <w:szCs w:val="24"/>
        </w:rPr>
      </w:pPr>
      <w:r w:rsidRPr="00205701">
        <w:rPr>
          <w:szCs w:val="24"/>
        </w:rPr>
        <w:t>The low dissolved Mg concentrations measured in RP2 after the incident are also shown in Figure 4.3C,</w:t>
      </w:r>
      <w:r w:rsidRPr="00A70E14">
        <w:rPr>
          <w:szCs w:val="24"/>
        </w:rPr>
        <w:t xml:space="preserve"> which compares two box plots of RP2 dissolved Mg data, one including two full seasons of measurements prior to the incident (13 December 2011 to 29 November 2013) and the other including the four months of measurements after the incident (7 December 2013 to 7 April 2014). The data indicates that the majority of the dissolved Mg concentrations </w:t>
      </w:r>
      <w:r w:rsidR="00BD25FC">
        <w:rPr>
          <w:szCs w:val="24"/>
        </w:rPr>
        <w:t xml:space="preserve">during this period </w:t>
      </w:r>
      <w:r w:rsidRPr="00A70E14">
        <w:rPr>
          <w:szCs w:val="24"/>
        </w:rPr>
        <w:t>are lower than the 25</w:t>
      </w:r>
      <w:r w:rsidRPr="00A70E14">
        <w:rPr>
          <w:szCs w:val="24"/>
          <w:vertAlign w:val="superscript"/>
        </w:rPr>
        <w:t>th</w:t>
      </w:r>
      <w:r w:rsidRPr="00A70E14">
        <w:rPr>
          <w:szCs w:val="24"/>
        </w:rPr>
        <w:t xml:space="preserve"> percentile of the historical range. These data all indicate that input of the leach tank slurry and subsequent surface </w:t>
      </w:r>
      <w:r w:rsidR="00074680">
        <w:rPr>
          <w:szCs w:val="24"/>
        </w:rPr>
        <w:t>runoff</w:t>
      </w:r>
      <w:r w:rsidRPr="00A70E14">
        <w:rPr>
          <w:szCs w:val="24"/>
        </w:rPr>
        <w:t xml:space="preserve"> from spill zones in the RP2 catchment has not had a detectable impact on the dissolved Mg concentration in RP2.</w:t>
      </w:r>
    </w:p>
    <w:p w:rsidR="001B0D95" w:rsidRDefault="001B0D95">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E47A85" w:rsidRPr="00A70E14" w:rsidTr="00E47A85">
        <w:tc>
          <w:tcPr>
            <w:tcW w:w="5000" w:type="pct"/>
            <w:gridSpan w:val="2"/>
          </w:tcPr>
          <w:p w:rsidR="00E47A85" w:rsidRPr="00A70E14" w:rsidRDefault="00E47A85" w:rsidP="00E47A85">
            <w:pPr>
              <w:jc w:val="left"/>
            </w:pPr>
            <w:r w:rsidRPr="00A70E14">
              <w:t>A</w:t>
            </w:r>
          </w:p>
          <w:p w:rsidR="00E47A85" w:rsidRPr="00A70E14" w:rsidRDefault="00E47A85" w:rsidP="00E47A85">
            <w:pPr>
              <w:jc w:val="center"/>
            </w:pPr>
            <w:r w:rsidRPr="00A70E14">
              <w:rPr>
                <w:noProof/>
                <w:lang w:eastAsia="en-AU"/>
              </w:rPr>
              <w:drawing>
                <wp:inline distT="0" distB="0" distL="0" distR="0">
                  <wp:extent cx="5276850" cy="3114675"/>
                  <wp:effectExtent l="0" t="0" r="0" b="0"/>
                  <wp:docPr id="18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cstate="screen"/>
                          <a:srcRect/>
                          <a:stretch>
                            <a:fillRect/>
                          </a:stretch>
                        </pic:blipFill>
                        <pic:spPr bwMode="auto">
                          <a:xfrm>
                            <a:off x="0" y="0"/>
                            <a:ext cx="5276850" cy="3114675"/>
                          </a:xfrm>
                          <a:prstGeom prst="rect">
                            <a:avLst/>
                          </a:prstGeom>
                          <a:noFill/>
                          <a:ln w="9525">
                            <a:noFill/>
                            <a:miter lim="800000"/>
                            <a:headEnd/>
                            <a:tailEnd/>
                          </a:ln>
                        </pic:spPr>
                      </pic:pic>
                    </a:graphicData>
                  </a:graphic>
                </wp:inline>
              </w:drawing>
            </w:r>
          </w:p>
        </w:tc>
      </w:tr>
      <w:tr w:rsidR="00E47A85" w:rsidRPr="00A70E14" w:rsidTr="001B0D95">
        <w:tc>
          <w:tcPr>
            <w:tcW w:w="2500" w:type="pct"/>
          </w:tcPr>
          <w:p w:rsidR="00E47A85" w:rsidRPr="00A70E14" w:rsidRDefault="00E47A85" w:rsidP="00E47A85">
            <w:pPr>
              <w:jc w:val="left"/>
              <w:rPr>
                <w:noProof/>
                <w:lang w:eastAsia="en-AU"/>
              </w:rPr>
            </w:pPr>
            <w:r w:rsidRPr="00A70E14">
              <w:rPr>
                <w:noProof/>
                <w:lang w:eastAsia="en-AU"/>
              </w:rPr>
              <w:t>B</w:t>
            </w:r>
          </w:p>
          <w:p w:rsidR="00E47A85" w:rsidRPr="00A70E14" w:rsidRDefault="00E47A85" w:rsidP="00E47A85">
            <w:pPr>
              <w:jc w:val="center"/>
            </w:pPr>
            <w:r w:rsidRPr="00A70E14">
              <w:rPr>
                <w:noProof/>
                <w:lang w:eastAsia="en-AU"/>
              </w:rPr>
              <w:drawing>
                <wp:inline distT="0" distB="0" distL="0" distR="0">
                  <wp:extent cx="2638800" cy="2160270"/>
                  <wp:effectExtent l="0" t="0" r="0" b="0"/>
                  <wp:docPr id="18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57" cstate="screen"/>
                          <a:srcRect/>
                          <a:stretch>
                            <a:fillRect/>
                          </a:stretch>
                        </pic:blipFill>
                        <pic:spPr bwMode="auto">
                          <a:xfrm>
                            <a:off x="0" y="0"/>
                            <a:ext cx="2638800" cy="2160270"/>
                          </a:xfrm>
                          <a:prstGeom prst="rect">
                            <a:avLst/>
                          </a:prstGeom>
                          <a:noFill/>
                          <a:ln w="9525">
                            <a:noFill/>
                            <a:miter lim="800000"/>
                            <a:headEnd/>
                            <a:tailEnd/>
                          </a:ln>
                        </pic:spPr>
                      </pic:pic>
                    </a:graphicData>
                  </a:graphic>
                </wp:inline>
              </w:drawing>
            </w:r>
          </w:p>
        </w:tc>
        <w:tc>
          <w:tcPr>
            <w:tcW w:w="2500" w:type="pct"/>
          </w:tcPr>
          <w:p w:rsidR="00E47A85" w:rsidRPr="00A70E14" w:rsidRDefault="00E47A85" w:rsidP="00E47A85">
            <w:pPr>
              <w:rPr>
                <w:noProof/>
                <w:lang w:eastAsia="en-AU"/>
              </w:rPr>
            </w:pPr>
            <w:r w:rsidRPr="00A70E14">
              <w:rPr>
                <w:noProof/>
                <w:lang w:eastAsia="en-AU"/>
              </w:rPr>
              <w:t>C</w:t>
            </w:r>
          </w:p>
          <w:p w:rsidR="00E47A85" w:rsidRPr="00A70E14" w:rsidRDefault="00E47A85" w:rsidP="00E47A85">
            <w:r w:rsidRPr="00A70E14">
              <w:rPr>
                <w:noProof/>
                <w:lang w:eastAsia="en-AU"/>
              </w:rPr>
              <w:drawing>
                <wp:inline distT="0" distB="0" distL="0" distR="0">
                  <wp:extent cx="2638800" cy="1964915"/>
                  <wp:effectExtent l="0" t="0" r="0" b="0"/>
                  <wp:docPr id="18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screen"/>
                          <a:srcRect/>
                          <a:stretch>
                            <a:fillRect/>
                          </a:stretch>
                        </pic:blipFill>
                        <pic:spPr bwMode="auto">
                          <a:xfrm>
                            <a:off x="0" y="0"/>
                            <a:ext cx="2638800" cy="1964915"/>
                          </a:xfrm>
                          <a:prstGeom prst="rect">
                            <a:avLst/>
                          </a:prstGeom>
                          <a:noFill/>
                          <a:ln w="9525">
                            <a:noFill/>
                            <a:miter lim="800000"/>
                            <a:headEnd/>
                            <a:tailEnd/>
                          </a:ln>
                        </pic:spPr>
                      </pic:pic>
                    </a:graphicData>
                  </a:graphic>
                </wp:inline>
              </w:drawing>
            </w:r>
          </w:p>
        </w:tc>
      </w:tr>
    </w:tbl>
    <w:p w:rsidR="00E47A85" w:rsidRPr="00827C4B" w:rsidRDefault="00E40E6A" w:rsidP="00827C4B">
      <w:pPr>
        <w:pStyle w:val="figurecaption"/>
      </w:pPr>
      <w:bookmarkStart w:id="183" w:name="_Toc390160238"/>
      <w:bookmarkStart w:id="184" w:name="_Toc390766648"/>
      <w:proofErr w:type="gramStart"/>
      <w:r>
        <w:rPr>
          <w:b/>
        </w:rPr>
        <w:t>Figures 4.3A and 4.3</w:t>
      </w:r>
      <w:r w:rsidR="00E47A85" w:rsidRPr="00827C4B">
        <w:rPr>
          <w:b/>
        </w:rPr>
        <w:t>B</w:t>
      </w:r>
      <w:r w:rsidR="00E47A85" w:rsidRPr="00827C4B">
        <w:t xml:space="preserve"> SSD and ERA magnesium data from RP2; </w:t>
      </w:r>
      <w:r w:rsidR="00E47A85" w:rsidRPr="00827C4B">
        <w:br/>
      </w:r>
      <w:r>
        <w:rPr>
          <w:b/>
        </w:rPr>
        <w:t>4.3</w:t>
      </w:r>
      <w:r w:rsidR="00E47A85" w:rsidRPr="00827C4B">
        <w:rPr>
          <w:b/>
        </w:rPr>
        <w:t>C</w:t>
      </w:r>
      <w:r w:rsidR="00E47A85" w:rsidRPr="00827C4B">
        <w:t xml:space="preserve"> Box plots of SSD and ERA magnesium data from RP2 before and after the incident</w:t>
      </w:r>
      <w:bookmarkEnd w:id="183"/>
      <w:bookmarkEnd w:id="184"/>
      <w:r w:rsidR="004469E5">
        <w:t>.</w:t>
      </w:r>
      <w:proofErr w:type="gramEnd"/>
    </w:p>
    <w:p w:rsidR="00E47A85" w:rsidRPr="00A70E14" w:rsidRDefault="00E47A85" w:rsidP="001B0D95">
      <w:pPr>
        <w:pStyle w:val="Heading5"/>
      </w:pPr>
      <w:r w:rsidRPr="00A70E14">
        <w:t>Calcium</w:t>
      </w:r>
    </w:p>
    <w:p w:rsidR="001B0D95" w:rsidRPr="00A70E14" w:rsidRDefault="001B0D95" w:rsidP="001B0D95">
      <w:r w:rsidRPr="00A70E14">
        <w:t xml:space="preserve">Dissolved Ca concentrations, both before and after the incident, follow very similar </w:t>
      </w:r>
      <w:r>
        <w:t xml:space="preserve">trends to magnesium </w:t>
      </w:r>
      <w:r w:rsidRPr="00205701">
        <w:t>(Figures 4.4A-C).</w:t>
      </w:r>
      <w:r w:rsidRPr="00A70E14">
        <w:t xml:space="preserve"> The mean RP2 </w:t>
      </w:r>
      <w:proofErr w:type="spellStart"/>
      <w:r w:rsidRPr="00A70E14">
        <w:t>Mg</w:t>
      </w:r>
      <w:proofErr w:type="gramStart"/>
      <w:r w:rsidRPr="00A70E14">
        <w:t>:Ca</w:t>
      </w:r>
      <w:proofErr w:type="spellEnd"/>
      <w:proofErr w:type="gramEnd"/>
      <w:r w:rsidRPr="00A70E14">
        <w:t xml:space="preserve"> ratio was similar before and after the incident, at 3.79 and 3.66 respectively. Given that the mean </w:t>
      </w:r>
      <w:proofErr w:type="spellStart"/>
      <w:r w:rsidRPr="00A70E14">
        <w:t>Mg:Ca</w:t>
      </w:r>
      <w:proofErr w:type="spellEnd"/>
      <w:r w:rsidRPr="00A70E14">
        <w:t xml:space="preserve"> rat</w:t>
      </w:r>
      <w:r>
        <w:t>io of the acid slurry was 10.7</w:t>
      </w:r>
      <w:r w:rsidRPr="00A70E14">
        <w:t xml:space="preserve">, the similarity between the ratio in RP2 before and after the incident gives further evidence </w:t>
      </w:r>
      <w:r w:rsidR="00BD25FC">
        <w:t>to</w:t>
      </w:r>
      <w:r w:rsidRPr="00A70E14">
        <w:t xml:space="preserve"> suggest there was no measureable impact </w:t>
      </w:r>
      <w:r w:rsidR="00BD25FC">
        <w:t>on</w:t>
      </w:r>
      <w:r w:rsidRPr="00A70E14">
        <w:t xml:space="preserve"> RP2 for dissolved Mg or Ca levels.</w:t>
      </w:r>
    </w:p>
    <w:p w:rsidR="00E47A85" w:rsidRPr="00A70E14" w:rsidRDefault="00E47A85" w:rsidP="00E47A85"/>
    <w:p w:rsidR="00915C45" w:rsidRDefault="00915C45">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E47A85" w:rsidRPr="00A70E14" w:rsidTr="00E47A85">
        <w:tc>
          <w:tcPr>
            <w:tcW w:w="5000" w:type="pct"/>
            <w:gridSpan w:val="2"/>
          </w:tcPr>
          <w:p w:rsidR="00E47A85" w:rsidRPr="00A70E14" w:rsidRDefault="00E47A85" w:rsidP="00E47A85">
            <w:pPr>
              <w:jc w:val="left"/>
            </w:pPr>
            <w:r w:rsidRPr="00A70E14">
              <w:t>A</w:t>
            </w:r>
          </w:p>
          <w:p w:rsidR="00E47A85" w:rsidRPr="00A70E14" w:rsidRDefault="00E47A85" w:rsidP="00E47A85">
            <w:pPr>
              <w:jc w:val="center"/>
            </w:pPr>
            <w:r w:rsidRPr="00A70E14">
              <w:rPr>
                <w:noProof/>
                <w:lang w:eastAsia="en-AU"/>
              </w:rPr>
              <w:drawing>
                <wp:inline distT="0" distB="0" distL="0" distR="0">
                  <wp:extent cx="5276850" cy="3114675"/>
                  <wp:effectExtent l="0" t="0" r="0" b="0"/>
                  <wp:docPr id="19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cstate="screen"/>
                          <a:srcRect/>
                          <a:stretch>
                            <a:fillRect/>
                          </a:stretch>
                        </pic:blipFill>
                        <pic:spPr bwMode="auto">
                          <a:xfrm>
                            <a:off x="0" y="0"/>
                            <a:ext cx="5276850" cy="3114675"/>
                          </a:xfrm>
                          <a:prstGeom prst="rect">
                            <a:avLst/>
                          </a:prstGeom>
                          <a:noFill/>
                          <a:ln w="9525">
                            <a:noFill/>
                            <a:miter lim="800000"/>
                            <a:headEnd/>
                            <a:tailEnd/>
                          </a:ln>
                        </pic:spPr>
                      </pic:pic>
                    </a:graphicData>
                  </a:graphic>
                </wp:inline>
              </w:drawing>
            </w:r>
          </w:p>
        </w:tc>
      </w:tr>
      <w:tr w:rsidR="00E47A85" w:rsidRPr="00A70E14" w:rsidTr="00915C45">
        <w:tc>
          <w:tcPr>
            <w:tcW w:w="2500" w:type="pct"/>
          </w:tcPr>
          <w:p w:rsidR="00E47A85" w:rsidRPr="00A70E14" w:rsidRDefault="00E47A85" w:rsidP="00E47A85">
            <w:pPr>
              <w:jc w:val="left"/>
              <w:rPr>
                <w:noProof/>
                <w:lang w:eastAsia="en-AU"/>
              </w:rPr>
            </w:pPr>
            <w:r w:rsidRPr="00A70E14">
              <w:rPr>
                <w:noProof/>
                <w:lang w:eastAsia="en-AU"/>
              </w:rPr>
              <w:t>B</w:t>
            </w:r>
          </w:p>
          <w:p w:rsidR="00E47A85" w:rsidRPr="00A70E14" w:rsidRDefault="00E47A85" w:rsidP="00E47A85">
            <w:pPr>
              <w:jc w:val="center"/>
            </w:pPr>
            <w:r w:rsidRPr="00A70E14">
              <w:rPr>
                <w:noProof/>
                <w:lang w:eastAsia="en-AU"/>
              </w:rPr>
              <w:drawing>
                <wp:inline distT="0" distB="0" distL="0" distR="0">
                  <wp:extent cx="2638800" cy="2160270"/>
                  <wp:effectExtent l="0" t="0" r="0" b="0"/>
                  <wp:docPr id="191"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a:blip r:embed="rId60" cstate="screen"/>
                          <a:srcRect/>
                          <a:stretch>
                            <a:fillRect/>
                          </a:stretch>
                        </pic:blipFill>
                        <pic:spPr bwMode="auto">
                          <a:xfrm>
                            <a:off x="0" y="0"/>
                            <a:ext cx="2638800" cy="2160270"/>
                          </a:xfrm>
                          <a:prstGeom prst="rect">
                            <a:avLst/>
                          </a:prstGeom>
                          <a:noFill/>
                          <a:ln w="9525">
                            <a:noFill/>
                            <a:miter lim="800000"/>
                            <a:headEnd/>
                            <a:tailEnd/>
                          </a:ln>
                        </pic:spPr>
                      </pic:pic>
                    </a:graphicData>
                  </a:graphic>
                </wp:inline>
              </w:drawing>
            </w:r>
          </w:p>
        </w:tc>
        <w:tc>
          <w:tcPr>
            <w:tcW w:w="2500" w:type="pct"/>
          </w:tcPr>
          <w:p w:rsidR="00E47A85" w:rsidRPr="00A70E14" w:rsidRDefault="00E47A85" w:rsidP="00E47A85">
            <w:pPr>
              <w:rPr>
                <w:noProof/>
                <w:lang w:eastAsia="en-AU"/>
              </w:rPr>
            </w:pPr>
            <w:r w:rsidRPr="00A70E14">
              <w:rPr>
                <w:noProof/>
                <w:lang w:eastAsia="en-AU"/>
              </w:rPr>
              <w:t>C</w:t>
            </w:r>
          </w:p>
          <w:p w:rsidR="00E47A85" w:rsidRPr="00A70E14" w:rsidRDefault="00E47A85" w:rsidP="00E47A85">
            <w:r w:rsidRPr="00A70E14">
              <w:rPr>
                <w:noProof/>
                <w:lang w:eastAsia="en-AU"/>
              </w:rPr>
              <w:drawing>
                <wp:inline distT="0" distB="0" distL="0" distR="0">
                  <wp:extent cx="2638800" cy="2160270"/>
                  <wp:effectExtent l="0" t="0" r="0" b="0"/>
                  <wp:docPr id="192"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61" cstate="screen"/>
                          <a:srcRect/>
                          <a:stretch>
                            <a:fillRect/>
                          </a:stretch>
                        </pic:blipFill>
                        <pic:spPr bwMode="auto">
                          <a:xfrm>
                            <a:off x="0" y="0"/>
                            <a:ext cx="2638800" cy="2160270"/>
                          </a:xfrm>
                          <a:prstGeom prst="rect">
                            <a:avLst/>
                          </a:prstGeom>
                          <a:noFill/>
                          <a:ln w="9525">
                            <a:noFill/>
                            <a:miter lim="800000"/>
                            <a:headEnd/>
                            <a:tailEnd/>
                          </a:ln>
                        </pic:spPr>
                      </pic:pic>
                    </a:graphicData>
                  </a:graphic>
                </wp:inline>
              </w:drawing>
            </w:r>
          </w:p>
        </w:tc>
      </w:tr>
    </w:tbl>
    <w:p w:rsidR="00E47A85" w:rsidRPr="00A70E14" w:rsidRDefault="00E40E6A" w:rsidP="00E47A85">
      <w:pPr>
        <w:pStyle w:val="figurecaption"/>
      </w:pPr>
      <w:bookmarkStart w:id="185" w:name="_Toc390160239"/>
      <w:bookmarkStart w:id="186" w:name="_Toc390766649"/>
      <w:proofErr w:type="gramStart"/>
      <w:r w:rsidRPr="007724EE">
        <w:rPr>
          <w:b/>
        </w:rPr>
        <w:t>Figures 4.4A</w:t>
      </w:r>
      <w:r>
        <w:t xml:space="preserve"> </w:t>
      </w:r>
      <w:r w:rsidRPr="007724EE">
        <w:rPr>
          <w:b/>
        </w:rPr>
        <w:t>and 4.4</w:t>
      </w:r>
      <w:r w:rsidR="00E47A85" w:rsidRPr="007724EE">
        <w:rPr>
          <w:b/>
        </w:rPr>
        <w:t>B</w:t>
      </w:r>
      <w:r w:rsidR="00E47A85" w:rsidRPr="00A70E14">
        <w:t xml:space="preserve"> SSD and </w:t>
      </w:r>
      <w:r>
        <w:rPr>
          <w:lang w:eastAsia="en-AU"/>
        </w:rPr>
        <w:t xml:space="preserve">ERA calcium data from RP2; </w:t>
      </w:r>
      <w:r>
        <w:rPr>
          <w:lang w:eastAsia="en-AU"/>
        </w:rPr>
        <w:br/>
      </w:r>
      <w:r w:rsidRPr="007724EE">
        <w:rPr>
          <w:b/>
          <w:lang w:eastAsia="en-AU"/>
        </w:rPr>
        <w:t>4.4</w:t>
      </w:r>
      <w:r w:rsidR="00E47A85" w:rsidRPr="007724EE">
        <w:rPr>
          <w:b/>
          <w:lang w:eastAsia="en-AU"/>
        </w:rPr>
        <w:t>C</w:t>
      </w:r>
      <w:r w:rsidR="00E47A85" w:rsidRPr="00A70E14">
        <w:rPr>
          <w:lang w:eastAsia="en-AU"/>
        </w:rPr>
        <w:t xml:space="preserve"> Box plots of SSD and ERA calcium data from RP2 before and after the incident</w:t>
      </w:r>
      <w:bookmarkEnd w:id="185"/>
      <w:bookmarkEnd w:id="186"/>
      <w:r w:rsidR="004469E5">
        <w:rPr>
          <w:lang w:eastAsia="en-AU"/>
        </w:rPr>
        <w:t>.</w:t>
      </w:r>
      <w:proofErr w:type="gramEnd"/>
    </w:p>
    <w:p w:rsidR="00E47A85" w:rsidRPr="00A70E14" w:rsidRDefault="00E47A85" w:rsidP="001B0D95">
      <w:pPr>
        <w:pStyle w:val="Heading5"/>
      </w:pPr>
      <w:r w:rsidRPr="00A70E14">
        <w:t>Manganese</w:t>
      </w:r>
    </w:p>
    <w:p w:rsidR="00E47A85" w:rsidRPr="00A70E14" w:rsidRDefault="00E47A85" w:rsidP="00E47A85">
      <w:pPr>
        <w:rPr>
          <w:szCs w:val="24"/>
        </w:rPr>
      </w:pPr>
      <w:r w:rsidRPr="00A70E14">
        <w:rPr>
          <w:szCs w:val="24"/>
        </w:rPr>
        <w:t xml:space="preserve">Dissolved </w:t>
      </w:r>
      <w:proofErr w:type="spellStart"/>
      <w:r w:rsidRPr="00A70E14">
        <w:rPr>
          <w:szCs w:val="24"/>
        </w:rPr>
        <w:t>Mn</w:t>
      </w:r>
      <w:proofErr w:type="spellEnd"/>
      <w:r w:rsidRPr="00A70E14">
        <w:rPr>
          <w:szCs w:val="24"/>
        </w:rPr>
        <w:t xml:space="preserve"> concentrations measured prior to the incident (ERA grab sample data) are highly variable, with concentrations ranging </w:t>
      </w:r>
      <w:r w:rsidR="007724EE">
        <w:rPr>
          <w:szCs w:val="24"/>
        </w:rPr>
        <w:t>from 0.4 to 945 mg/L (Figure 4.5</w:t>
      </w:r>
      <w:r w:rsidRPr="00A70E14">
        <w:rPr>
          <w:szCs w:val="24"/>
        </w:rPr>
        <w:t xml:space="preserve">A). While it is not </w:t>
      </w:r>
      <w:r w:rsidR="00BD25FC">
        <w:rPr>
          <w:szCs w:val="24"/>
        </w:rPr>
        <w:t>conclusive, the data suggest</w:t>
      </w:r>
      <w:r w:rsidRPr="00A70E14">
        <w:rPr>
          <w:szCs w:val="24"/>
        </w:rPr>
        <w:t xml:space="preserve"> a seasonal trend of higher concentrations during the wet season and lower concentrations during the dry season.</w:t>
      </w:r>
    </w:p>
    <w:p w:rsidR="00915C45" w:rsidRDefault="00915C45">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E47A85" w:rsidRPr="00A70E14" w:rsidTr="00E47A85">
        <w:tc>
          <w:tcPr>
            <w:tcW w:w="5000" w:type="pct"/>
            <w:gridSpan w:val="2"/>
          </w:tcPr>
          <w:p w:rsidR="00E47A85" w:rsidRPr="00A70E14" w:rsidRDefault="00E47A85" w:rsidP="00E47A85">
            <w:pPr>
              <w:jc w:val="left"/>
            </w:pPr>
            <w:r w:rsidRPr="00A70E14">
              <w:t>A</w:t>
            </w:r>
          </w:p>
          <w:p w:rsidR="00E47A85" w:rsidRPr="00A70E14" w:rsidRDefault="00E47A85" w:rsidP="00E47A85">
            <w:pPr>
              <w:jc w:val="center"/>
            </w:pPr>
            <w:r w:rsidRPr="00A70E14">
              <w:rPr>
                <w:noProof/>
                <w:lang w:eastAsia="en-AU"/>
              </w:rPr>
              <w:drawing>
                <wp:inline distT="0" distB="0" distL="0" distR="0">
                  <wp:extent cx="5277600" cy="3106190"/>
                  <wp:effectExtent l="0" t="0" r="0" b="0"/>
                  <wp:docPr id="19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cstate="screen"/>
                          <a:srcRect/>
                          <a:stretch>
                            <a:fillRect/>
                          </a:stretch>
                        </pic:blipFill>
                        <pic:spPr bwMode="auto">
                          <a:xfrm>
                            <a:off x="0" y="0"/>
                            <a:ext cx="5277600" cy="3106190"/>
                          </a:xfrm>
                          <a:prstGeom prst="rect">
                            <a:avLst/>
                          </a:prstGeom>
                          <a:noFill/>
                          <a:ln w="9525">
                            <a:noFill/>
                            <a:miter lim="800000"/>
                            <a:headEnd/>
                            <a:tailEnd/>
                          </a:ln>
                        </pic:spPr>
                      </pic:pic>
                    </a:graphicData>
                  </a:graphic>
                </wp:inline>
              </w:drawing>
            </w:r>
          </w:p>
        </w:tc>
      </w:tr>
      <w:tr w:rsidR="00E47A85" w:rsidRPr="00A70E14" w:rsidTr="00915C45">
        <w:tc>
          <w:tcPr>
            <w:tcW w:w="2500" w:type="pct"/>
          </w:tcPr>
          <w:p w:rsidR="00E47A85" w:rsidRPr="00A70E14" w:rsidRDefault="00E47A85" w:rsidP="00E47A85">
            <w:pPr>
              <w:jc w:val="left"/>
              <w:rPr>
                <w:noProof/>
                <w:lang w:eastAsia="en-AU"/>
              </w:rPr>
            </w:pPr>
            <w:r w:rsidRPr="00A70E14">
              <w:rPr>
                <w:noProof/>
                <w:lang w:eastAsia="en-AU"/>
              </w:rPr>
              <w:t>B</w:t>
            </w:r>
          </w:p>
          <w:p w:rsidR="00E47A85" w:rsidRPr="00A70E14" w:rsidRDefault="00E47A85" w:rsidP="00E47A85">
            <w:pPr>
              <w:jc w:val="center"/>
            </w:pPr>
            <w:r w:rsidRPr="00A70E14">
              <w:rPr>
                <w:noProof/>
                <w:lang w:eastAsia="en-AU"/>
              </w:rPr>
              <w:drawing>
                <wp:inline distT="0" distB="0" distL="0" distR="0">
                  <wp:extent cx="2638800" cy="2160000"/>
                  <wp:effectExtent l="0" t="0" r="0" b="0"/>
                  <wp:docPr id="194"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cstate="screen"/>
                          <a:srcRect/>
                          <a:stretch>
                            <a:fillRect/>
                          </a:stretch>
                        </pic:blipFill>
                        <pic:spPr bwMode="auto">
                          <a:xfrm>
                            <a:off x="0" y="0"/>
                            <a:ext cx="2638800" cy="2160000"/>
                          </a:xfrm>
                          <a:prstGeom prst="rect">
                            <a:avLst/>
                          </a:prstGeom>
                          <a:noFill/>
                          <a:ln w="9525">
                            <a:noFill/>
                            <a:miter lim="800000"/>
                            <a:headEnd/>
                            <a:tailEnd/>
                          </a:ln>
                        </pic:spPr>
                      </pic:pic>
                    </a:graphicData>
                  </a:graphic>
                </wp:inline>
              </w:drawing>
            </w:r>
          </w:p>
        </w:tc>
        <w:tc>
          <w:tcPr>
            <w:tcW w:w="2500" w:type="pct"/>
          </w:tcPr>
          <w:p w:rsidR="00E47A85" w:rsidRPr="00A70E14" w:rsidRDefault="00E47A85" w:rsidP="00E47A85">
            <w:pPr>
              <w:rPr>
                <w:noProof/>
                <w:lang w:eastAsia="en-AU"/>
              </w:rPr>
            </w:pPr>
            <w:r w:rsidRPr="00A70E14">
              <w:rPr>
                <w:noProof/>
                <w:lang w:eastAsia="en-AU"/>
              </w:rPr>
              <w:t>C</w:t>
            </w:r>
          </w:p>
          <w:p w:rsidR="00E47A85" w:rsidRPr="00A70E14" w:rsidRDefault="00E47A85" w:rsidP="00E47A85">
            <w:r w:rsidRPr="00A70E14">
              <w:rPr>
                <w:noProof/>
                <w:lang w:eastAsia="en-AU"/>
              </w:rPr>
              <w:drawing>
                <wp:inline distT="0" distB="0" distL="0" distR="0">
                  <wp:extent cx="2638800" cy="2162175"/>
                  <wp:effectExtent l="0" t="0" r="0" b="0"/>
                  <wp:docPr id="19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64" cstate="screen"/>
                          <a:srcRect/>
                          <a:stretch>
                            <a:fillRect/>
                          </a:stretch>
                        </pic:blipFill>
                        <pic:spPr bwMode="auto">
                          <a:xfrm>
                            <a:off x="0" y="0"/>
                            <a:ext cx="2638800" cy="2162175"/>
                          </a:xfrm>
                          <a:prstGeom prst="rect">
                            <a:avLst/>
                          </a:prstGeom>
                          <a:noFill/>
                          <a:ln w="9525">
                            <a:noFill/>
                            <a:miter lim="800000"/>
                            <a:headEnd/>
                            <a:tailEnd/>
                          </a:ln>
                        </pic:spPr>
                      </pic:pic>
                    </a:graphicData>
                  </a:graphic>
                </wp:inline>
              </w:drawing>
            </w:r>
          </w:p>
        </w:tc>
      </w:tr>
    </w:tbl>
    <w:p w:rsidR="00E47A85" w:rsidRPr="00A70E14" w:rsidRDefault="007724EE" w:rsidP="00E47A85">
      <w:pPr>
        <w:pStyle w:val="figurecaption"/>
      </w:pPr>
      <w:bookmarkStart w:id="187" w:name="_Toc390160240"/>
      <w:bookmarkStart w:id="188" w:name="_Toc390766650"/>
      <w:proofErr w:type="gramStart"/>
      <w:r w:rsidRPr="007724EE">
        <w:rPr>
          <w:b/>
        </w:rPr>
        <w:t>Figures 4.</w:t>
      </w:r>
      <w:r>
        <w:rPr>
          <w:b/>
        </w:rPr>
        <w:t>5A and 4.5</w:t>
      </w:r>
      <w:r w:rsidR="00E47A85" w:rsidRPr="007724EE">
        <w:rPr>
          <w:b/>
        </w:rPr>
        <w:t>B</w:t>
      </w:r>
      <w:r w:rsidR="00E47A85" w:rsidRPr="00A70E14">
        <w:t xml:space="preserve"> SSD and </w:t>
      </w:r>
      <w:r w:rsidR="00E47A85" w:rsidRPr="00A70E14">
        <w:rPr>
          <w:lang w:eastAsia="en-AU"/>
        </w:rPr>
        <w:t>E</w:t>
      </w:r>
      <w:r>
        <w:rPr>
          <w:lang w:eastAsia="en-AU"/>
        </w:rPr>
        <w:t xml:space="preserve">RA manganese data from RP2; </w:t>
      </w:r>
      <w:r>
        <w:rPr>
          <w:lang w:eastAsia="en-AU"/>
        </w:rPr>
        <w:br/>
      </w:r>
      <w:r w:rsidRPr="007724EE">
        <w:rPr>
          <w:b/>
          <w:lang w:eastAsia="en-AU"/>
        </w:rPr>
        <w:t>4.</w:t>
      </w:r>
      <w:r>
        <w:rPr>
          <w:b/>
          <w:lang w:eastAsia="en-AU"/>
        </w:rPr>
        <w:t>5</w:t>
      </w:r>
      <w:r w:rsidR="00E47A85" w:rsidRPr="007724EE">
        <w:rPr>
          <w:b/>
          <w:lang w:eastAsia="en-AU"/>
        </w:rPr>
        <w:t>C</w:t>
      </w:r>
      <w:r w:rsidR="00E47A85" w:rsidRPr="00A70E14">
        <w:rPr>
          <w:lang w:eastAsia="en-AU"/>
        </w:rPr>
        <w:t xml:space="preserve"> Box plots of SSD and ERA manganese data from RP2 before and after the incident</w:t>
      </w:r>
      <w:bookmarkEnd w:id="187"/>
      <w:bookmarkEnd w:id="188"/>
      <w:r w:rsidR="004469E5">
        <w:rPr>
          <w:lang w:eastAsia="en-AU"/>
        </w:rPr>
        <w:t>.</w:t>
      </w:r>
      <w:proofErr w:type="gramEnd"/>
    </w:p>
    <w:p w:rsidR="00E47A85" w:rsidRPr="00A70E14" w:rsidRDefault="00E47A85" w:rsidP="00E47A85">
      <w:r w:rsidRPr="00A70E14">
        <w:rPr>
          <w:szCs w:val="24"/>
        </w:rPr>
        <w:t xml:space="preserve">The maximum total </w:t>
      </w:r>
      <w:proofErr w:type="spellStart"/>
      <w:r w:rsidRPr="00A70E14">
        <w:rPr>
          <w:szCs w:val="24"/>
        </w:rPr>
        <w:t>Mn</w:t>
      </w:r>
      <w:proofErr w:type="spellEnd"/>
      <w:r w:rsidRPr="00A70E14">
        <w:rPr>
          <w:szCs w:val="24"/>
        </w:rPr>
        <w:t xml:space="preserve"> concentration measured in the slurry was 1,340 mg/L </w:t>
      </w:r>
      <w:r w:rsidRPr="00205701">
        <w:rPr>
          <w:szCs w:val="24"/>
        </w:rPr>
        <w:t>(</w:t>
      </w:r>
      <w:r w:rsidR="007024CB" w:rsidRPr="00205701">
        <w:rPr>
          <w:szCs w:val="24"/>
        </w:rPr>
        <w:t>Table 2.2</w:t>
      </w:r>
      <w:r w:rsidRPr="00A70E14">
        <w:rPr>
          <w:szCs w:val="24"/>
        </w:rPr>
        <w:t xml:space="preserve">). </w:t>
      </w:r>
      <w:r w:rsidRPr="00A70E14">
        <w:t>The dissolve</w:t>
      </w:r>
      <w:r w:rsidR="007024CB">
        <w:t xml:space="preserve">d </w:t>
      </w:r>
      <w:proofErr w:type="spellStart"/>
      <w:r w:rsidR="007024CB">
        <w:t>Mn</w:t>
      </w:r>
      <w:proofErr w:type="spellEnd"/>
      <w:r w:rsidR="007024CB">
        <w:t xml:space="preserve"> results shown in </w:t>
      </w:r>
      <w:r w:rsidR="007024CB" w:rsidRPr="00205701">
        <w:t>Figure 4.5</w:t>
      </w:r>
      <w:r w:rsidRPr="00205701">
        <w:t xml:space="preserve">B indicate that there is no discernible change in concentration immediately following the incident, or during the cleanup process for Zones 1 and 2. However, on 14 January 2014 a dissolved </w:t>
      </w:r>
      <w:proofErr w:type="spellStart"/>
      <w:r w:rsidRPr="00205701">
        <w:t>Mn</w:t>
      </w:r>
      <w:proofErr w:type="spellEnd"/>
      <w:r w:rsidRPr="00205701">
        <w:t xml:space="preserve"> concentration of 2,490 mg/L was recorded by ERA, which is considerably higher than the historic maximum observed in data</w:t>
      </w:r>
      <w:r w:rsidR="007024CB" w:rsidRPr="00205701">
        <w:t xml:space="preserve"> since December 2011 (Figure 4.5</w:t>
      </w:r>
      <w:r w:rsidRPr="00205701">
        <w:t xml:space="preserve">A). </w:t>
      </w:r>
      <w:r w:rsidR="007024CB" w:rsidRPr="00205701">
        <w:t>This is also shown in Figure 4.5</w:t>
      </w:r>
      <w:r w:rsidRPr="00205701">
        <w:t>C,</w:t>
      </w:r>
      <w:r w:rsidRPr="00205701">
        <w:rPr>
          <w:szCs w:val="24"/>
        </w:rPr>
        <w:t xml:space="preserve"> which compares two box plots of RP2 dissolved </w:t>
      </w:r>
      <w:proofErr w:type="spellStart"/>
      <w:r w:rsidRPr="00205701">
        <w:rPr>
          <w:szCs w:val="24"/>
        </w:rPr>
        <w:t>Mn</w:t>
      </w:r>
      <w:proofErr w:type="spellEnd"/>
      <w:r w:rsidRPr="00205701">
        <w:rPr>
          <w:szCs w:val="24"/>
        </w:rPr>
        <w:t xml:space="preserve"> data, one including two full seasons of</w:t>
      </w:r>
      <w:r w:rsidRPr="00A70E14">
        <w:rPr>
          <w:szCs w:val="24"/>
        </w:rPr>
        <w:t xml:space="preserve"> measurements prior to the incident (13 December 2011 to 29 November 2013) and the other including the four months of measurements after the incident (7 December 2013 to 7 April 2014). While the median values for both set</w:t>
      </w:r>
      <w:r w:rsidR="00BD25FC">
        <w:rPr>
          <w:szCs w:val="24"/>
        </w:rPr>
        <w:t>s</w:t>
      </w:r>
      <w:r w:rsidRPr="00A70E14">
        <w:rPr>
          <w:szCs w:val="24"/>
        </w:rPr>
        <w:t xml:space="preserve"> of data are similar, a greater proportion of post-incident dissolved </w:t>
      </w:r>
      <w:proofErr w:type="spellStart"/>
      <w:r w:rsidRPr="00A70E14">
        <w:rPr>
          <w:szCs w:val="24"/>
        </w:rPr>
        <w:t>Mn</w:t>
      </w:r>
      <w:proofErr w:type="spellEnd"/>
      <w:r w:rsidRPr="00A70E14">
        <w:rPr>
          <w:szCs w:val="24"/>
        </w:rPr>
        <w:t xml:space="preserve"> concentrations fall in the 3</w:t>
      </w:r>
      <w:r w:rsidRPr="00A70E14">
        <w:rPr>
          <w:szCs w:val="24"/>
          <w:vertAlign w:val="superscript"/>
        </w:rPr>
        <w:t>rd</w:t>
      </w:r>
      <w:r w:rsidRPr="00A70E14">
        <w:rPr>
          <w:szCs w:val="24"/>
        </w:rPr>
        <w:t xml:space="preserve"> quartile at levels above the historical median.</w:t>
      </w:r>
    </w:p>
    <w:p w:rsidR="00E47A85" w:rsidRPr="00A70E14" w:rsidRDefault="00E47A85" w:rsidP="00E47A85">
      <w:pPr>
        <w:spacing w:after="0" w:line="240" w:lineRule="auto"/>
        <w:rPr>
          <w:szCs w:val="24"/>
        </w:rPr>
      </w:pPr>
      <w:r w:rsidRPr="00A70E14">
        <w:rPr>
          <w:szCs w:val="24"/>
        </w:rPr>
        <w:t>ERA reported to stakeholders in the 13</w:t>
      </w:r>
      <w:r w:rsidRPr="00A70E14">
        <w:rPr>
          <w:szCs w:val="24"/>
          <w:vertAlign w:val="superscript"/>
        </w:rPr>
        <w:t>th</w:t>
      </w:r>
      <w:r w:rsidRPr="00A70E14">
        <w:rPr>
          <w:szCs w:val="24"/>
        </w:rPr>
        <w:t xml:space="preserve"> wa</w:t>
      </w:r>
      <w:r w:rsidR="00092638">
        <w:rPr>
          <w:szCs w:val="24"/>
        </w:rPr>
        <w:t>ter quality report for the 2013–</w:t>
      </w:r>
      <w:r w:rsidRPr="00A70E14">
        <w:rPr>
          <w:szCs w:val="24"/>
        </w:rPr>
        <w:t xml:space="preserve">14 wet </w:t>
      </w:r>
      <w:proofErr w:type="gramStart"/>
      <w:r w:rsidRPr="00A70E14">
        <w:rPr>
          <w:szCs w:val="24"/>
        </w:rPr>
        <w:t>season</w:t>
      </w:r>
      <w:proofErr w:type="gramEnd"/>
      <w:r w:rsidRPr="00A70E14">
        <w:rPr>
          <w:szCs w:val="24"/>
        </w:rPr>
        <w:t>, issued on 10 February 2014 that:</w:t>
      </w:r>
    </w:p>
    <w:p w:rsidR="00E47A85" w:rsidRPr="00A70E14" w:rsidRDefault="00E47A85" w:rsidP="007024CB">
      <w:pPr>
        <w:spacing w:before="120"/>
        <w:ind w:left="567" w:right="510"/>
        <w:rPr>
          <w:rFonts w:ascii="Arial" w:hAnsi="Arial" w:cs="Arial"/>
          <w:i/>
          <w:sz w:val="21"/>
          <w:szCs w:val="21"/>
        </w:rPr>
      </w:pPr>
      <w:r w:rsidRPr="00A70E14">
        <w:rPr>
          <w:rFonts w:ascii="Arial" w:hAnsi="Arial" w:cs="Arial"/>
          <w:i/>
          <w:sz w:val="21"/>
          <w:szCs w:val="21"/>
        </w:rPr>
        <w:t>Fluctuations in uranium, manganese and ammonia were observed for samples collected on 14 January 2014. At the time of sampling the water level of RP2 was very low due to the ongoing treatment of RP2 pond water by WTP1 and WTP2. It is believed that as the inventory of RP2 decreased due to treatment from the WTPs, the poorer quality water, located in deeper parts of the pond was sampled. With the large amount of rainfall that has occurred since 14 January 2014, concentrations of uranium, manganese and ammonia have restabilised to be consistent with historical levels as well as the inventory of RP2 increasing.</w:t>
      </w:r>
    </w:p>
    <w:p w:rsidR="00E47A85" w:rsidRPr="00A70E14" w:rsidRDefault="00E47A85" w:rsidP="00E47A85">
      <w:r w:rsidRPr="00A70E14">
        <w:rPr>
          <w:szCs w:val="24"/>
        </w:rPr>
        <w:t xml:space="preserve">Statutory water quality monitoring records for RP2 show that dissolved </w:t>
      </w:r>
      <w:proofErr w:type="spellStart"/>
      <w:r w:rsidRPr="00A70E14">
        <w:rPr>
          <w:szCs w:val="24"/>
        </w:rPr>
        <w:t>Mn</w:t>
      </w:r>
      <w:proofErr w:type="spellEnd"/>
      <w:r w:rsidRPr="00A70E14">
        <w:rPr>
          <w:szCs w:val="24"/>
        </w:rPr>
        <w:t xml:space="preserve"> concentrations above 2,500 mg/L were recorded on 29 occasions between 1983 and 2000, ranging from 2,600 mg/L in 1983 to 22,240 mg/L in 2000. Give the occurrence of such high dissolved </w:t>
      </w:r>
      <w:proofErr w:type="spellStart"/>
      <w:r w:rsidRPr="00A70E14">
        <w:rPr>
          <w:szCs w:val="24"/>
        </w:rPr>
        <w:t>Mn</w:t>
      </w:r>
      <w:proofErr w:type="spellEnd"/>
      <w:r w:rsidRPr="00A70E14">
        <w:rPr>
          <w:szCs w:val="24"/>
        </w:rPr>
        <w:t xml:space="preserve"> concentrations in the </w:t>
      </w:r>
      <w:proofErr w:type="gramStart"/>
      <w:r w:rsidRPr="00A70E14">
        <w:rPr>
          <w:szCs w:val="24"/>
        </w:rPr>
        <w:t>past</w:t>
      </w:r>
      <w:r w:rsidR="00BD25FC">
        <w:rPr>
          <w:szCs w:val="24"/>
        </w:rPr>
        <w:t>,</w:t>
      </w:r>
      <w:proofErr w:type="gramEnd"/>
      <w:r w:rsidRPr="00A70E14">
        <w:rPr>
          <w:szCs w:val="24"/>
        </w:rPr>
        <w:t xml:space="preserve"> the result from 14 January 2014 is not in itself a</w:t>
      </w:r>
      <w:r w:rsidR="00D91B75">
        <w:rPr>
          <w:szCs w:val="24"/>
        </w:rPr>
        <w:t xml:space="preserve"> </w:t>
      </w:r>
      <w:r w:rsidR="00E45211">
        <w:rPr>
          <w:szCs w:val="24"/>
        </w:rPr>
        <w:t>definitive</w:t>
      </w:r>
      <w:r w:rsidRPr="00A70E14">
        <w:rPr>
          <w:szCs w:val="24"/>
        </w:rPr>
        <w:t xml:space="preserve"> indicator of impact from the leach tank incident. </w:t>
      </w:r>
    </w:p>
    <w:p w:rsidR="00E47A85" w:rsidRPr="00A70E14" w:rsidRDefault="00E47A85" w:rsidP="00D91B75">
      <w:pPr>
        <w:pStyle w:val="Heading5"/>
      </w:pPr>
      <w:proofErr w:type="spellStart"/>
      <w:r w:rsidRPr="00A70E14">
        <w:t>Sulfate</w:t>
      </w:r>
      <w:proofErr w:type="spellEnd"/>
    </w:p>
    <w:p w:rsidR="00E47A85" w:rsidRPr="00A70E14" w:rsidRDefault="00E47A85" w:rsidP="00E47A85">
      <w:r w:rsidRPr="00A70E14">
        <w:t>Dissolved SO</w:t>
      </w:r>
      <w:r w:rsidRPr="00A70E14">
        <w:rPr>
          <w:vertAlign w:val="subscript"/>
        </w:rPr>
        <w:t>4</w:t>
      </w:r>
      <w:r w:rsidRPr="00A70E14">
        <w:t xml:space="preserve"> concentrations, both before and after the incident</w:t>
      </w:r>
      <w:r w:rsidR="005B4208">
        <w:t xml:space="preserve"> (Figure 4.6)</w:t>
      </w:r>
      <w:r w:rsidRPr="00A70E14">
        <w:t xml:space="preserve">, follow very similar trends to magnesium </w:t>
      </w:r>
      <w:r w:rsidR="007024CB">
        <w:t xml:space="preserve">and calcium (seen in </w:t>
      </w:r>
      <w:r w:rsidR="007024CB" w:rsidRPr="00205701">
        <w:t>Figures 4.</w:t>
      </w:r>
      <w:r w:rsidR="00205701" w:rsidRPr="00205701">
        <w:t>3</w:t>
      </w:r>
      <w:r w:rsidR="007024CB" w:rsidRPr="00205701">
        <w:t xml:space="preserve"> and 4.</w:t>
      </w:r>
      <w:r w:rsidR="00205701" w:rsidRPr="00205701">
        <w:t>4</w:t>
      </w:r>
      <w:r w:rsidRPr="00A70E14">
        <w:t xml:space="preserve"> respectively). The similarity in the behaviour of the major ions is also shown by the mean </w:t>
      </w:r>
      <w:proofErr w:type="spellStart"/>
      <w:r w:rsidRPr="00A70E14">
        <w:t>Mg</w:t>
      </w:r>
      <w:proofErr w:type="gramStart"/>
      <w:r w:rsidRPr="00A70E14">
        <w:t>:SO</w:t>
      </w:r>
      <w:proofErr w:type="spellEnd"/>
      <w:r w:rsidRPr="00A70E14">
        <w:rPr>
          <w:snapToGrid w:val="0"/>
          <w:color w:val="000000"/>
          <w:position w:val="-5"/>
          <w:sz w:val="15"/>
          <w:szCs w:val="0"/>
          <w:u w:color="000000"/>
        </w:rPr>
        <w:t>4</w:t>
      </w:r>
      <w:proofErr w:type="gramEnd"/>
      <w:r w:rsidRPr="00A70E14">
        <w:t xml:space="preserve"> ratio, which was similar at 0.218 prior to the incident and 0.220 after the incident. The average </w:t>
      </w:r>
      <w:proofErr w:type="spellStart"/>
      <w:r w:rsidRPr="00A70E14">
        <w:t>Mg</w:t>
      </w:r>
      <w:proofErr w:type="gramStart"/>
      <w:r w:rsidRPr="00A70E14">
        <w:t>:SO</w:t>
      </w:r>
      <w:proofErr w:type="spellEnd"/>
      <w:r w:rsidRPr="00A70E14">
        <w:rPr>
          <w:snapToGrid w:val="0"/>
          <w:color w:val="000000"/>
          <w:position w:val="-5"/>
          <w:sz w:val="15"/>
          <w:szCs w:val="0"/>
          <w:u w:color="000000"/>
        </w:rPr>
        <w:t>4</w:t>
      </w:r>
      <w:proofErr w:type="gramEnd"/>
      <w:r w:rsidRPr="00A70E14">
        <w:t xml:space="preserve"> ratio for the slurry was lower, at 0.</w:t>
      </w:r>
      <w:r w:rsidR="005B4208">
        <w:t>15</w:t>
      </w:r>
      <w:r w:rsidRPr="00205701">
        <w:t xml:space="preserve"> (</w:t>
      </w:r>
      <w:r w:rsidR="007724EE" w:rsidRPr="00205701">
        <w:rPr>
          <w:szCs w:val="24"/>
        </w:rPr>
        <w:t>Table 2.2</w:t>
      </w:r>
      <w:r w:rsidRPr="00205701">
        <w:t>), however</w:t>
      </w:r>
      <w:r w:rsidR="00BD25FC">
        <w:t>,</w:t>
      </w:r>
      <w:r w:rsidRPr="00A70E14">
        <w:t xml:space="preserve"> input of slurry or surface </w:t>
      </w:r>
      <w:r w:rsidR="00074680">
        <w:t>runoff</w:t>
      </w:r>
      <w:r w:rsidRPr="00A70E14">
        <w:t xml:space="preserve"> from the spill area doesn’t appea</w:t>
      </w:r>
      <w:r w:rsidR="00A975DA">
        <w:t>r to have impact</w:t>
      </w:r>
      <w:r w:rsidR="00807493">
        <w:t>ed</w:t>
      </w:r>
      <w:r w:rsidR="00A975DA">
        <w:t xml:space="preserve"> the RP2 ratio.</w:t>
      </w:r>
    </w:p>
    <w:p w:rsidR="00D91B75" w:rsidRDefault="00D91B75">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E47A85" w:rsidRPr="00A70E14" w:rsidTr="00E47A85">
        <w:tc>
          <w:tcPr>
            <w:tcW w:w="5000" w:type="pct"/>
            <w:gridSpan w:val="2"/>
          </w:tcPr>
          <w:p w:rsidR="00E47A85" w:rsidRPr="00A70E14" w:rsidRDefault="00E47A85" w:rsidP="00E47A85">
            <w:pPr>
              <w:jc w:val="left"/>
              <w:rPr>
                <w:b/>
              </w:rPr>
            </w:pPr>
            <w:r w:rsidRPr="00A70E14">
              <w:rPr>
                <w:b/>
              </w:rPr>
              <w:t>A</w:t>
            </w:r>
          </w:p>
          <w:p w:rsidR="00E47A85" w:rsidRPr="00A70E14" w:rsidRDefault="00E47A85" w:rsidP="00E47A85">
            <w:pPr>
              <w:jc w:val="center"/>
              <w:rPr>
                <w:b/>
              </w:rPr>
            </w:pPr>
            <w:r w:rsidRPr="00A70E14">
              <w:rPr>
                <w:b/>
                <w:noProof/>
                <w:lang w:eastAsia="en-AU"/>
              </w:rPr>
              <w:drawing>
                <wp:inline distT="0" distB="0" distL="0" distR="0">
                  <wp:extent cx="5276850" cy="3114675"/>
                  <wp:effectExtent l="0" t="0" r="0" b="0"/>
                  <wp:docPr id="19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cstate="screen"/>
                          <a:srcRect/>
                          <a:stretch>
                            <a:fillRect/>
                          </a:stretch>
                        </pic:blipFill>
                        <pic:spPr bwMode="auto">
                          <a:xfrm>
                            <a:off x="0" y="0"/>
                            <a:ext cx="5276850" cy="3114675"/>
                          </a:xfrm>
                          <a:prstGeom prst="rect">
                            <a:avLst/>
                          </a:prstGeom>
                          <a:noFill/>
                          <a:ln w="9525">
                            <a:noFill/>
                            <a:miter lim="800000"/>
                            <a:headEnd/>
                            <a:tailEnd/>
                          </a:ln>
                        </pic:spPr>
                      </pic:pic>
                    </a:graphicData>
                  </a:graphic>
                </wp:inline>
              </w:drawing>
            </w:r>
          </w:p>
        </w:tc>
      </w:tr>
      <w:tr w:rsidR="00E47A85" w:rsidRPr="00A70E14" w:rsidTr="00D91B75">
        <w:tc>
          <w:tcPr>
            <w:tcW w:w="2500" w:type="pct"/>
          </w:tcPr>
          <w:p w:rsidR="00E47A85" w:rsidRPr="00A70E14" w:rsidRDefault="00E47A85" w:rsidP="00E47A85">
            <w:pPr>
              <w:jc w:val="left"/>
              <w:rPr>
                <w:b/>
                <w:noProof/>
                <w:lang w:eastAsia="en-AU"/>
              </w:rPr>
            </w:pPr>
            <w:r w:rsidRPr="00A70E14">
              <w:rPr>
                <w:b/>
                <w:noProof/>
                <w:lang w:eastAsia="en-AU"/>
              </w:rPr>
              <w:t>B</w:t>
            </w:r>
          </w:p>
          <w:p w:rsidR="00E47A85" w:rsidRPr="00A70E14" w:rsidRDefault="00E47A85" w:rsidP="00E47A85">
            <w:pPr>
              <w:jc w:val="center"/>
              <w:rPr>
                <w:b/>
              </w:rPr>
            </w:pPr>
            <w:r w:rsidRPr="00A70E14">
              <w:rPr>
                <w:b/>
                <w:noProof/>
                <w:lang w:eastAsia="en-AU"/>
              </w:rPr>
              <w:drawing>
                <wp:inline distT="0" distB="0" distL="0" distR="0">
                  <wp:extent cx="2638800" cy="2160000"/>
                  <wp:effectExtent l="0" t="0" r="0" b="0"/>
                  <wp:docPr id="197"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cstate="screen"/>
                          <a:srcRect/>
                          <a:stretch>
                            <a:fillRect/>
                          </a:stretch>
                        </pic:blipFill>
                        <pic:spPr bwMode="auto">
                          <a:xfrm>
                            <a:off x="0" y="0"/>
                            <a:ext cx="2638800" cy="2160000"/>
                          </a:xfrm>
                          <a:prstGeom prst="rect">
                            <a:avLst/>
                          </a:prstGeom>
                          <a:noFill/>
                          <a:ln w="9525">
                            <a:noFill/>
                            <a:miter lim="800000"/>
                            <a:headEnd/>
                            <a:tailEnd/>
                          </a:ln>
                        </pic:spPr>
                      </pic:pic>
                    </a:graphicData>
                  </a:graphic>
                </wp:inline>
              </w:drawing>
            </w:r>
          </w:p>
        </w:tc>
        <w:tc>
          <w:tcPr>
            <w:tcW w:w="2500" w:type="pct"/>
          </w:tcPr>
          <w:p w:rsidR="00E47A85" w:rsidRPr="00A70E14" w:rsidRDefault="00E47A85" w:rsidP="00E47A85">
            <w:pPr>
              <w:rPr>
                <w:b/>
                <w:noProof/>
                <w:lang w:eastAsia="en-AU"/>
              </w:rPr>
            </w:pPr>
            <w:r w:rsidRPr="00A70E14">
              <w:rPr>
                <w:b/>
                <w:noProof/>
                <w:lang w:eastAsia="en-AU"/>
              </w:rPr>
              <w:t>C</w:t>
            </w:r>
          </w:p>
          <w:p w:rsidR="00E47A85" w:rsidRPr="00A70E14" w:rsidRDefault="00E47A85" w:rsidP="00E47A85">
            <w:pPr>
              <w:rPr>
                <w:b/>
              </w:rPr>
            </w:pPr>
            <w:r w:rsidRPr="00A70E14">
              <w:rPr>
                <w:b/>
                <w:noProof/>
                <w:lang w:eastAsia="en-AU"/>
              </w:rPr>
              <w:drawing>
                <wp:inline distT="0" distB="0" distL="0" distR="0">
                  <wp:extent cx="2638800" cy="2162175"/>
                  <wp:effectExtent l="0" t="0" r="0" b="0"/>
                  <wp:docPr id="198"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67" cstate="screen"/>
                          <a:srcRect/>
                          <a:stretch>
                            <a:fillRect/>
                          </a:stretch>
                        </pic:blipFill>
                        <pic:spPr bwMode="auto">
                          <a:xfrm>
                            <a:off x="0" y="0"/>
                            <a:ext cx="2638800" cy="2162175"/>
                          </a:xfrm>
                          <a:prstGeom prst="rect">
                            <a:avLst/>
                          </a:prstGeom>
                          <a:noFill/>
                          <a:ln w="9525">
                            <a:noFill/>
                            <a:miter lim="800000"/>
                            <a:headEnd/>
                            <a:tailEnd/>
                          </a:ln>
                        </pic:spPr>
                      </pic:pic>
                    </a:graphicData>
                  </a:graphic>
                </wp:inline>
              </w:drawing>
            </w:r>
          </w:p>
        </w:tc>
      </w:tr>
    </w:tbl>
    <w:p w:rsidR="00E47A85" w:rsidRPr="00A70E14" w:rsidRDefault="007024CB" w:rsidP="00E47A85">
      <w:pPr>
        <w:pStyle w:val="figurecaption"/>
      </w:pPr>
      <w:bookmarkStart w:id="189" w:name="_Toc390160241"/>
      <w:bookmarkStart w:id="190" w:name="_Toc390766651"/>
      <w:r w:rsidRPr="007024CB">
        <w:rPr>
          <w:b/>
        </w:rPr>
        <w:t>Figures 4.6A and 4.6</w:t>
      </w:r>
      <w:r w:rsidR="00E47A85" w:rsidRPr="007024CB">
        <w:rPr>
          <w:b/>
        </w:rPr>
        <w:t>B</w:t>
      </w:r>
      <w:r w:rsidR="00E47A85" w:rsidRPr="00A70E14">
        <w:t xml:space="preserve"> SSD and </w:t>
      </w:r>
      <w:r>
        <w:rPr>
          <w:lang w:eastAsia="en-AU"/>
        </w:rPr>
        <w:t xml:space="preserve">ERA </w:t>
      </w:r>
      <w:proofErr w:type="spellStart"/>
      <w:r>
        <w:rPr>
          <w:lang w:eastAsia="en-AU"/>
        </w:rPr>
        <w:t>sulfate</w:t>
      </w:r>
      <w:proofErr w:type="spellEnd"/>
      <w:r>
        <w:rPr>
          <w:lang w:eastAsia="en-AU"/>
        </w:rPr>
        <w:t xml:space="preserve"> data from RP2; </w:t>
      </w:r>
      <w:r>
        <w:rPr>
          <w:lang w:eastAsia="en-AU"/>
        </w:rPr>
        <w:br/>
      </w:r>
      <w:r w:rsidRPr="007024CB">
        <w:rPr>
          <w:b/>
          <w:lang w:eastAsia="en-AU"/>
        </w:rPr>
        <w:t>4.6</w:t>
      </w:r>
      <w:r w:rsidR="00E47A85" w:rsidRPr="007024CB">
        <w:rPr>
          <w:b/>
          <w:lang w:eastAsia="en-AU"/>
        </w:rPr>
        <w:t>C</w:t>
      </w:r>
      <w:r w:rsidR="00E47A85" w:rsidRPr="00A70E14">
        <w:rPr>
          <w:lang w:eastAsia="en-AU"/>
        </w:rPr>
        <w:t xml:space="preserve"> Box plots of SSD and ERA </w:t>
      </w:r>
      <w:proofErr w:type="spellStart"/>
      <w:r w:rsidR="00E47A85" w:rsidRPr="00A70E14">
        <w:rPr>
          <w:lang w:eastAsia="en-AU"/>
        </w:rPr>
        <w:t>sulfate</w:t>
      </w:r>
      <w:proofErr w:type="spellEnd"/>
      <w:r w:rsidR="00E47A85" w:rsidRPr="00A70E14">
        <w:rPr>
          <w:lang w:eastAsia="en-AU"/>
        </w:rPr>
        <w:t xml:space="preserve"> data from RP2 before and after the incident</w:t>
      </w:r>
      <w:bookmarkEnd w:id="189"/>
      <w:bookmarkEnd w:id="190"/>
      <w:r w:rsidR="00EE509B">
        <w:rPr>
          <w:lang w:eastAsia="en-AU"/>
        </w:rPr>
        <w:t>.</w:t>
      </w:r>
    </w:p>
    <w:p w:rsidR="00E47A85" w:rsidRPr="00A70E14" w:rsidRDefault="00E47A85" w:rsidP="00E45211">
      <w:pPr>
        <w:pStyle w:val="Heading5"/>
      </w:pPr>
      <w:r w:rsidRPr="00A70E14">
        <w:t>Uranium</w:t>
      </w:r>
    </w:p>
    <w:p w:rsidR="00E47A85" w:rsidRPr="00A70E14" w:rsidRDefault="00E47A85" w:rsidP="00E47A85">
      <w:pPr>
        <w:rPr>
          <w:szCs w:val="24"/>
        </w:rPr>
      </w:pPr>
      <w:r w:rsidRPr="00A70E14">
        <w:rPr>
          <w:szCs w:val="24"/>
        </w:rPr>
        <w:t xml:space="preserve">The dissolved U concentrations measured by ERA prior to the incident show a seasonal variation of approximately 6,000 </w:t>
      </w:r>
      <w:r w:rsidRPr="00A70E14">
        <w:rPr>
          <w:rFonts w:ascii="Calibri" w:hAnsi="Calibri"/>
          <w:szCs w:val="24"/>
        </w:rPr>
        <w:t>µ</w:t>
      </w:r>
      <w:r w:rsidRPr="00A70E14">
        <w:rPr>
          <w:szCs w:val="24"/>
        </w:rPr>
        <w:t xml:space="preserve">g/L, with concentrations ranging from around 2,000 </w:t>
      </w:r>
      <w:r w:rsidRPr="00A70E14">
        <w:rPr>
          <w:rFonts w:ascii="Calibri" w:hAnsi="Calibri"/>
          <w:szCs w:val="24"/>
        </w:rPr>
        <w:t>µ</w:t>
      </w:r>
      <w:r w:rsidRPr="00A70E14">
        <w:rPr>
          <w:szCs w:val="24"/>
        </w:rPr>
        <w:t xml:space="preserve">g/L in the wet season to between 7,000 and 8,000 </w:t>
      </w:r>
      <w:r w:rsidRPr="00A70E14">
        <w:rPr>
          <w:rFonts w:ascii="Calibri" w:hAnsi="Calibri"/>
          <w:szCs w:val="24"/>
        </w:rPr>
        <w:t>µ</w:t>
      </w:r>
      <w:r w:rsidRPr="00A70E14">
        <w:rPr>
          <w:szCs w:val="24"/>
        </w:rPr>
        <w:t>g</w:t>
      </w:r>
      <w:r w:rsidR="007024CB">
        <w:rPr>
          <w:szCs w:val="24"/>
        </w:rPr>
        <w:t xml:space="preserve">/L in the dry season </w:t>
      </w:r>
      <w:r w:rsidR="007024CB" w:rsidRPr="005B4208">
        <w:rPr>
          <w:szCs w:val="24"/>
        </w:rPr>
        <w:t>(Figure 4.7</w:t>
      </w:r>
      <w:r w:rsidRPr="005B4208">
        <w:rPr>
          <w:szCs w:val="24"/>
        </w:rPr>
        <w:t>A</w:t>
      </w:r>
      <w:r w:rsidRPr="00A70E14">
        <w:rPr>
          <w:szCs w:val="24"/>
        </w:rPr>
        <w:t xml:space="preserve">). Like the other solutes discussed, this is due to </w:t>
      </w:r>
      <w:proofErr w:type="spellStart"/>
      <w:r w:rsidRPr="00A70E14">
        <w:rPr>
          <w:szCs w:val="24"/>
        </w:rPr>
        <w:t>evapoconcentration</w:t>
      </w:r>
      <w:proofErr w:type="spellEnd"/>
      <w:r w:rsidRPr="00A70E14">
        <w:rPr>
          <w:szCs w:val="24"/>
        </w:rPr>
        <w:t xml:space="preserve"> during the dry season and dilution during the wet season. </w:t>
      </w:r>
    </w:p>
    <w:p w:rsidR="00781FF0" w:rsidRDefault="00781FF0">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E47A85" w:rsidRPr="00A70E14" w:rsidTr="00E47A85">
        <w:tc>
          <w:tcPr>
            <w:tcW w:w="5000" w:type="pct"/>
            <w:gridSpan w:val="2"/>
          </w:tcPr>
          <w:p w:rsidR="00E47A85" w:rsidRPr="00A70E14" w:rsidRDefault="00E47A85" w:rsidP="00E47A85">
            <w:pPr>
              <w:jc w:val="left"/>
            </w:pPr>
            <w:r w:rsidRPr="00A70E14">
              <w:t>A</w:t>
            </w:r>
          </w:p>
          <w:p w:rsidR="00E47A85" w:rsidRPr="00A70E14" w:rsidRDefault="00E47A85" w:rsidP="00E47A85">
            <w:pPr>
              <w:jc w:val="center"/>
            </w:pPr>
            <w:r w:rsidRPr="00A70E14">
              <w:rPr>
                <w:noProof/>
                <w:lang w:eastAsia="en-AU"/>
              </w:rPr>
              <w:drawing>
                <wp:inline distT="0" distB="0" distL="0" distR="0">
                  <wp:extent cx="5276850" cy="3228975"/>
                  <wp:effectExtent l="0" t="0" r="0" b="0"/>
                  <wp:docPr id="19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cstate="screen"/>
                          <a:srcRect/>
                          <a:stretch>
                            <a:fillRect/>
                          </a:stretch>
                        </pic:blipFill>
                        <pic:spPr bwMode="auto">
                          <a:xfrm>
                            <a:off x="0" y="0"/>
                            <a:ext cx="5276850" cy="3228975"/>
                          </a:xfrm>
                          <a:prstGeom prst="rect">
                            <a:avLst/>
                          </a:prstGeom>
                          <a:noFill/>
                          <a:ln w="9525">
                            <a:noFill/>
                            <a:miter lim="800000"/>
                            <a:headEnd/>
                            <a:tailEnd/>
                          </a:ln>
                        </pic:spPr>
                      </pic:pic>
                    </a:graphicData>
                  </a:graphic>
                </wp:inline>
              </w:drawing>
            </w:r>
          </w:p>
        </w:tc>
      </w:tr>
      <w:tr w:rsidR="00E47A85" w:rsidRPr="00A70E14" w:rsidTr="00781FF0">
        <w:tc>
          <w:tcPr>
            <w:tcW w:w="2500" w:type="pct"/>
          </w:tcPr>
          <w:p w:rsidR="00E47A85" w:rsidRPr="00A70E14" w:rsidRDefault="00E47A85" w:rsidP="00E47A85">
            <w:pPr>
              <w:jc w:val="left"/>
              <w:rPr>
                <w:noProof/>
                <w:lang w:eastAsia="en-AU"/>
              </w:rPr>
            </w:pPr>
            <w:r w:rsidRPr="00A70E14">
              <w:rPr>
                <w:noProof/>
                <w:lang w:eastAsia="en-AU"/>
              </w:rPr>
              <w:t>B</w:t>
            </w:r>
          </w:p>
          <w:p w:rsidR="00E47A85" w:rsidRPr="00A70E14" w:rsidRDefault="00E47A85" w:rsidP="00E47A85">
            <w:pPr>
              <w:jc w:val="center"/>
            </w:pPr>
            <w:r w:rsidRPr="00A70E14">
              <w:rPr>
                <w:noProof/>
                <w:lang w:eastAsia="en-AU"/>
              </w:rPr>
              <w:drawing>
                <wp:inline distT="0" distB="0" distL="0" distR="0">
                  <wp:extent cx="2638800" cy="1952475"/>
                  <wp:effectExtent l="0" t="0" r="0" b="0"/>
                  <wp:docPr id="20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cstate="screen"/>
                          <a:srcRect/>
                          <a:stretch>
                            <a:fillRect/>
                          </a:stretch>
                        </pic:blipFill>
                        <pic:spPr bwMode="auto">
                          <a:xfrm>
                            <a:off x="0" y="0"/>
                            <a:ext cx="2638800" cy="1952475"/>
                          </a:xfrm>
                          <a:prstGeom prst="rect">
                            <a:avLst/>
                          </a:prstGeom>
                          <a:noFill/>
                          <a:ln w="9525">
                            <a:noFill/>
                            <a:miter lim="800000"/>
                            <a:headEnd/>
                            <a:tailEnd/>
                          </a:ln>
                        </pic:spPr>
                      </pic:pic>
                    </a:graphicData>
                  </a:graphic>
                </wp:inline>
              </w:drawing>
            </w:r>
          </w:p>
        </w:tc>
        <w:tc>
          <w:tcPr>
            <w:tcW w:w="2500" w:type="pct"/>
          </w:tcPr>
          <w:p w:rsidR="00E47A85" w:rsidRPr="00A70E14" w:rsidRDefault="00E47A85" w:rsidP="00E47A85">
            <w:pPr>
              <w:rPr>
                <w:noProof/>
                <w:lang w:eastAsia="en-AU"/>
              </w:rPr>
            </w:pPr>
            <w:r w:rsidRPr="00A70E14">
              <w:rPr>
                <w:noProof/>
                <w:lang w:eastAsia="en-AU"/>
              </w:rPr>
              <w:t>C</w:t>
            </w:r>
          </w:p>
          <w:p w:rsidR="00E47A85" w:rsidRPr="00A70E14" w:rsidRDefault="00E47A85" w:rsidP="00E47A85">
            <w:r w:rsidRPr="00A70E14">
              <w:rPr>
                <w:noProof/>
                <w:lang w:eastAsia="en-AU"/>
              </w:rPr>
              <w:drawing>
                <wp:inline distT="0" distB="0" distL="0" distR="0">
                  <wp:extent cx="2638800" cy="2160270"/>
                  <wp:effectExtent l="0" t="0" r="0" b="0"/>
                  <wp:docPr id="201"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70" cstate="screen"/>
                          <a:srcRect/>
                          <a:stretch>
                            <a:fillRect/>
                          </a:stretch>
                        </pic:blipFill>
                        <pic:spPr bwMode="auto">
                          <a:xfrm>
                            <a:off x="0" y="0"/>
                            <a:ext cx="2638800" cy="2160270"/>
                          </a:xfrm>
                          <a:prstGeom prst="rect">
                            <a:avLst/>
                          </a:prstGeom>
                          <a:noFill/>
                          <a:ln w="9525">
                            <a:noFill/>
                            <a:miter lim="800000"/>
                            <a:headEnd/>
                            <a:tailEnd/>
                          </a:ln>
                        </pic:spPr>
                      </pic:pic>
                    </a:graphicData>
                  </a:graphic>
                </wp:inline>
              </w:drawing>
            </w:r>
          </w:p>
        </w:tc>
      </w:tr>
    </w:tbl>
    <w:p w:rsidR="00E47A85" w:rsidRPr="00A70E14" w:rsidRDefault="007024CB" w:rsidP="00E47A85">
      <w:pPr>
        <w:pStyle w:val="figurecaption"/>
        <w:rPr>
          <w:lang w:eastAsia="en-AU"/>
        </w:rPr>
      </w:pPr>
      <w:bookmarkStart w:id="191" w:name="_Toc390160242"/>
      <w:bookmarkStart w:id="192" w:name="_Toc390766652"/>
      <w:proofErr w:type="gramStart"/>
      <w:r w:rsidRPr="007024CB">
        <w:rPr>
          <w:b/>
        </w:rPr>
        <w:t>Figures 4.7A and 4.7</w:t>
      </w:r>
      <w:r w:rsidR="00E47A85" w:rsidRPr="007024CB">
        <w:rPr>
          <w:b/>
        </w:rPr>
        <w:t>B</w:t>
      </w:r>
      <w:r w:rsidR="00E47A85" w:rsidRPr="00A70E14">
        <w:t xml:space="preserve"> SSD and </w:t>
      </w:r>
      <w:r>
        <w:rPr>
          <w:lang w:eastAsia="en-AU"/>
        </w:rPr>
        <w:t xml:space="preserve">ERA uranium data from RP2; </w:t>
      </w:r>
      <w:r>
        <w:rPr>
          <w:lang w:eastAsia="en-AU"/>
        </w:rPr>
        <w:br/>
      </w:r>
      <w:r w:rsidRPr="007024CB">
        <w:rPr>
          <w:b/>
          <w:lang w:eastAsia="en-AU"/>
        </w:rPr>
        <w:t>4.7</w:t>
      </w:r>
      <w:r w:rsidR="00E47A85" w:rsidRPr="007024CB">
        <w:rPr>
          <w:b/>
          <w:lang w:eastAsia="en-AU"/>
        </w:rPr>
        <w:t>C</w:t>
      </w:r>
      <w:r w:rsidR="00E47A85" w:rsidRPr="00A70E14">
        <w:rPr>
          <w:lang w:eastAsia="en-AU"/>
        </w:rPr>
        <w:t xml:space="preserve"> Box plots of SSD and ERA uranium data from RP2 before and after the incident</w:t>
      </w:r>
      <w:bookmarkEnd w:id="191"/>
      <w:bookmarkEnd w:id="192"/>
      <w:r w:rsidR="00EE509B">
        <w:rPr>
          <w:lang w:eastAsia="en-AU"/>
        </w:rPr>
        <w:t>.</w:t>
      </w:r>
      <w:proofErr w:type="gramEnd"/>
    </w:p>
    <w:p w:rsidR="00E47A85" w:rsidRPr="00A70E14" w:rsidRDefault="00E47A85" w:rsidP="00E47A85">
      <w:pPr>
        <w:rPr>
          <w:lang w:eastAsia="en-AU"/>
        </w:rPr>
      </w:pPr>
    </w:p>
    <w:p w:rsidR="00E47A85" w:rsidRPr="005B4208" w:rsidRDefault="00E47A85" w:rsidP="00E47A85">
      <w:r w:rsidRPr="00A70E14">
        <w:rPr>
          <w:szCs w:val="24"/>
        </w:rPr>
        <w:t>The dissolved U concentration in</w:t>
      </w:r>
      <w:r w:rsidR="00BD25FC">
        <w:rPr>
          <w:szCs w:val="24"/>
        </w:rPr>
        <w:t xml:space="preserve"> the</w:t>
      </w:r>
      <w:r w:rsidRPr="00A70E14">
        <w:rPr>
          <w:szCs w:val="24"/>
        </w:rPr>
        <w:t xml:space="preserve"> slurry was </w:t>
      </w:r>
      <w:r w:rsidR="007024CB">
        <w:rPr>
          <w:szCs w:val="24"/>
        </w:rPr>
        <w:t xml:space="preserve">a maximum </w:t>
      </w:r>
      <w:proofErr w:type="gramStart"/>
      <w:r w:rsidR="007024CB">
        <w:rPr>
          <w:szCs w:val="24"/>
        </w:rPr>
        <w:t xml:space="preserve">of </w:t>
      </w:r>
      <w:r w:rsidRPr="00A70E14">
        <w:rPr>
          <w:szCs w:val="24"/>
        </w:rPr>
        <w:t>386,000 </w:t>
      </w:r>
      <w:r w:rsidRPr="00A70E14">
        <w:rPr>
          <w:rFonts w:ascii="Calibri" w:hAnsi="Calibri"/>
          <w:szCs w:val="24"/>
        </w:rPr>
        <w:t>µ</w:t>
      </w:r>
      <w:r w:rsidRPr="00A70E14">
        <w:rPr>
          <w:szCs w:val="24"/>
        </w:rPr>
        <w:t xml:space="preserve">g/L </w:t>
      </w:r>
      <w:r w:rsidRPr="005B4208">
        <w:rPr>
          <w:szCs w:val="24"/>
        </w:rPr>
        <w:t>(</w:t>
      </w:r>
      <w:r w:rsidR="007024CB" w:rsidRPr="005B4208">
        <w:rPr>
          <w:szCs w:val="24"/>
        </w:rPr>
        <w:t>Table 2.2</w:t>
      </w:r>
      <w:r w:rsidRPr="00A70E14">
        <w:rPr>
          <w:szCs w:val="24"/>
        </w:rPr>
        <w:t>)</w:t>
      </w:r>
      <w:proofErr w:type="gramEnd"/>
      <w:r w:rsidRPr="00A70E14">
        <w:rPr>
          <w:szCs w:val="24"/>
        </w:rPr>
        <w:t xml:space="preserve">. </w:t>
      </w:r>
      <w:r w:rsidR="007024CB" w:rsidRPr="005B4208">
        <w:t>Figure 4.7</w:t>
      </w:r>
      <w:r w:rsidRPr="005B4208">
        <w:t xml:space="preserve">B shows the dissolved U concentration in RP2 samples collected over the 4 weeks following the incident. These concentration were the lowest recorded in the last two years of monitoring, and as such, show no evidence of increased concentration in relation to input of the leach tank slurry nor the subsequent rainfall and </w:t>
      </w:r>
      <w:r w:rsidR="00F01C02">
        <w:t>cleanup</w:t>
      </w:r>
      <w:r w:rsidRPr="005B4208">
        <w:t xml:space="preserve"> generated runoff. Since March 2014 the dissolved U concentration is starting to increase again, however</w:t>
      </w:r>
      <w:r w:rsidR="00BD25FC">
        <w:t>,</w:t>
      </w:r>
      <w:r w:rsidRPr="005B4208">
        <w:t xml:space="preserve"> the level is still well within the historical range.</w:t>
      </w:r>
    </w:p>
    <w:p w:rsidR="007724EE" w:rsidRDefault="007024CB" w:rsidP="007724EE">
      <w:pPr>
        <w:rPr>
          <w:szCs w:val="24"/>
        </w:rPr>
      </w:pPr>
      <w:r w:rsidRPr="005B4208">
        <w:rPr>
          <w:szCs w:val="24"/>
        </w:rPr>
        <w:t>Figure 4.7</w:t>
      </w:r>
      <w:r w:rsidR="00E47A85" w:rsidRPr="005B4208">
        <w:rPr>
          <w:szCs w:val="24"/>
        </w:rPr>
        <w:t>C compares two box plots of RP2 dissolved U data, one including two full se</w:t>
      </w:r>
      <w:r w:rsidR="00E47A85" w:rsidRPr="00A70E14">
        <w:rPr>
          <w:szCs w:val="24"/>
        </w:rPr>
        <w:t>asons of measurements prior to the incident (13 December 2011 to 29 November 2013) and the other including the four months of measurements after the incident (7 December 2013 to 7 April 2014). The data show that</w:t>
      </w:r>
      <w:r w:rsidR="00BD25FC">
        <w:rPr>
          <w:szCs w:val="24"/>
        </w:rPr>
        <w:t>,</w:t>
      </w:r>
      <w:r w:rsidR="00E47A85" w:rsidRPr="00A70E14">
        <w:rPr>
          <w:szCs w:val="24"/>
        </w:rPr>
        <w:t xml:space="preserve"> since the incident</w:t>
      </w:r>
      <w:r w:rsidR="00BD25FC">
        <w:rPr>
          <w:szCs w:val="24"/>
        </w:rPr>
        <w:t>,</w:t>
      </w:r>
      <w:r w:rsidR="00E47A85" w:rsidRPr="00A70E14">
        <w:rPr>
          <w:szCs w:val="24"/>
        </w:rPr>
        <w:t xml:space="preserve"> the dissolved U concentration in RP2 has be</w:t>
      </w:r>
      <w:r w:rsidR="00BD25FC">
        <w:rPr>
          <w:szCs w:val="24"/>
        </w:rPr>
        <w:t>en lower than historical levels;</w:t>
      </w:r>
      <w:r w:rsidR="00E47A85" w:rsidRPr="00A70E14">
        <w:rPr>
          <w:szCs w:val="24"/>
        </w:rPr>
        <w:t xml:space="preserve"> all the post-incident concentrations </w:t>
      </w:r>
      <w:proofErr w:type="gramStart"/>
      <w:r w:rsidR="00E47A85" w:rsidRPr="00A70E14">
        <w:rPr>
          <w:szCs w:val="24"/>
        </w:rPr>
        <w:t>l</w:t>
      </w:r>
      <w:r w:rsidR="00BD25FC">
        <w:rPr>
          <w:szCs w:val="24"/>
        </w:rPr>
        <w:t>a</w:t>
      </w:r>
      <w:r w:rsidR="00E47A85" w:rsidRPr="00A70E14">
        <w:rPr>
          <w:szCs w:val="24"/>
        </w:rPr>
        <w:t>ying</w:t>
      </w:r>
      <w:proofErr w:type="gramEnd"/>
      <w:r w:rsidR="00E47A85" w:rsidRPr="00A70E14">
        <w:rPr>
          <w:szCs w:val="24"/>
        </w:rPr>
        <w:t xml:space="preserve"> under the historical median of 3,900 </w:t>
      </w:r>
      <w:r w:rsidR="00E47A85" w:rsidRPr="00A70E14">
        <w:rPr>
          <w:rFonts w:ascii="Calibri" w:hAnsi="Calibri"/>
          <w:szCs w:val="24"/>
        </w:rPr>
        <w:t>µ</w:t>
      </w:r>
      <w:r w:rsidR="00E47A85" w:rsidRPr="00A70E14">
        <w:rPr>
          <w:szCs w:val="24"/>
        </w:rPr>
        <w:t>g/L, and the post-incident 75</w:t>
      </w:r>
      <w:r w:rsidR="00E47A85" w:rsidRPr="00A70E14">
        <w:rPr>
          <w:szCs w:val="24"/>
          <w:vertAlign w:val="superscript"/>
        </w:rPr>
        <w:t>th</w:t>
      </w:r>
      <w:r w:rsidR="00E47A85" w:rsidRPr="00A70E14">
        <w:rPr>
          <w:szCs w:val="24"/>
        </w:rPr>
        <w:t xml:space="preserve"> percentile concentration of 2,228 </w:t>
      </w:r>
      <w:r w:rsidR="00E47A85" w:rsidRPr="00A70E14">
        <w:rPr>
          <w:rFonts w:ascii="Calibri" w:hAnsi="Calibri"/>
          <w:szCs w:val="24"/>
        </w:rPr>
        <w:t>µ</w:t>
      </w:r>
      <w:r w:rsidR="00E47A85" w:rsidRPr="00A70E14">
        <w:rPr>
          <w:szCs w:val="24"/>
        </w:rPr>
        <w:t xml:space="preserve">g/L </w:t>
      </w:r>
      <w:r w:rsidR="00BD25FC">
        <w:rPr>
          <w:szCs w:val="24"/>
        </w:rPr>
        <w:t>was</w:t>
      </w:r>
      <w:r w:rsidR="00E47A85" w:rsidRPr="00A70E14">
        <w:rPr>
          <w:szCs w:val="24"/>
        </w:rPr>
        <w:t xml:space="preserve"> less than the historical 25</w:t>
      </w:r>
      <w:r w:rsidR="00E47A85" w:rsidRPr="00A70E14">
        <w:rPr>
          <w:szCs w:val="24"/>
          <w:vertAlign w:val="superscript"/>
        </w:rPr>
        <w:t>th</w:t>
      </w:r>
      <w:r w:rsidR="00E47A85" w:rsidRPr="00A70E14">
        <w:rPr>
          <w:szCs w:val="24"/>
        </w:rPr>
        <w:t xml:space="preserve"> percentile concentration of 3,050 </w:t>
      </w:r>
      <w:r w:rsidR="00E47A85" w:rsidRPr="00A70E14">
        <w:rPr>
          <w:rFonts w:ascii="Calibri" w:hAnsi="Calibri"/>
          <w:szCs w:val="24"/>
        </w:rPr>
        <w:t>µ</w:t>
      </w:r>
      <w:r w:rsidR="00E47A85" w:rsidRPr="00A70E14">
        <w:rPr>
          <w:szCs w:val="24"/>
        </w:rPr>
        <w:t xml:space="preserve">g/L. </w:t>
      </w:r>
    </w:p>
    <w:p w:rsidR="00E47A85" w:rsidRPr="00A70E14" w:rsidRDefault="00E47A85" w:rsidP="00781FF0">
      <w:pPr>
        <w:pStyle w:val="Heading5"/>
      </w:pPr>
      <w:r w:rsidRPr="00A70E14">
        <w:t>Radium</w:t>
      </w:r>
      <w:r w:rsidR="00BD25FC" w:rsidRPr="00A70E14">
        <w:t>-226</w:t>
      </w:r>
    </w:p>
    <w:p w:rsidR="00E47A85" w:rsidRPr="005B4208" w:rsidRDefault="005C3AD4" w:rsidP="00E47A85">
      <w:pPr>
        <w:rPr>
          <w:szCs w:val="24"/>
        </w:rPr>
      </w:pPr>
      <w:r w:rsidRPr="005B4208">
        <w:rPr>
          <w:szCs w:val="24"/>
        </w:rPr>
        <w:t>Figure 4.8</w:t>
      </w:r>
      <w:r w:rsidR="00E47A85" w:rsidRPr="005B4208">
        <w:rPr>
          <w:szCs w:val="24"/>
        </w:rPr>
        <w:t xml:space="preserve">A shows residual and </w:t>
      </w:r>
      <w:r w:rsidR="00221805">
        <w:rPr>
          <w:szCs w:val="24"/>
        </w:rPr>
        <w:t>filterable</w:t>
      </w:r>
      <w:r w:rsidR="00E47A85" w:rsidRPr="005B4208">
        <w:rPr>
          <w:szCs w:val="24"/>
        </w:rPr>
        <w:t xml:space="preserve"> </w:t>
      </w:r>
      <w:r w:rsidR="00E47A85" w:rsidRPr="005B4208">
        <w:rPr>
          <w:szCs w:val="24"/>
          <w:vertAlign w:val="superscript"/>
        </w:rPr>
        <w:t>226</w:t>
      </w:r>
      <w:r w:rsidR="00E47A85" w:rsidRPr="005B4208">
        <w:rPr>
          <w:szCs w:val="24"/>
        </w:rPr>
        <w:t>Ra activity concentration data for RP2 collected by both ERA and the SSD. Prior to 2002</w:t>
      </w:r>
      <w:r w:rsidR="00221805">
        <w:rPr>
          <w:szCs w:val="24"/>
        </w:rPr>
        <w:t>,</w:t>
      </w:r>
      <w:r w:rsidR="00E47A85" w:rsidRPr="005B4208">
        <w:rPr>
          <w:szCs w:val="24"/>
        </w:rPr>
        <w:t xml:space="preserve"> ERA’s routine water quality monitoring program included analysis of residual and dissolved </w:t>
      </w:r>
      <w:r w:rsidR="00E47A85" w:rsidRPr="005B4208">
        <w:rPr>
          <w:szCs w:val="24"/>
          <w:vertAlign w:val="superscript"/>
        </w:rPr>
        <w:t>226</w:t>
      </w:r>
      <w:r w:rsidR="00E47A85" w:rsidRPr="005B4208">
        <w:rPr>
          <w:szCs w:val="24"/>
        </w:rPr>
        <w:t xml:space="preserve">Ra activity concentrations in RP2. Since 2002 ERA have only analysed for total </w:t>
      </w:r>
      <w:r w:rsidR="00E47A85" w:rsidRPr="005B4208">
        <w:rPr>
          <w:szCs w:val="24"/>
          <w:vertAlign w:val="superscript"/>
        </w:rPr>
        <w:t>226</w:t>
      </w:r>
      <w:r w:rsidR="00E47A85" w:rsidRPr="005B4208">
        <w:rPr>
          <w:szCs w:val="24"/>
        </w:rPr>
        <w:t>Ra activity concentration</w:t>
      </w:r>
      <w:r w:rsidRPr="005B4208">
        <w:rPr>
          <w:szCs w:val="24"/>
        </w:rPr>
        <w:t>s, which are shown in Figure 4.8</w:t>
      </w:r>
      <w:r w:rsidR="00E47A85" w:rsidRPr="005B4208">
        <w:rPr>
          <w:szCs w:val="24"/>
        </w:rPr>
        <w:t xml:space="preserve">B. In 2006 </w:t>
      </w:r>
      <w:proofErr w:type="spellStart"/>
      <w:r w:rsidR="00E47A85" w:rsidRPr="005B4208">
        <w:rPr>
          <w:szCs w:val="24"/>
        </w:rPr>
        <w:t>Akber</w:t>
      </w:r>
      <w:proofErr w:type="spellEnd"/>
      <w:r w:rsidR="00E47A85" w:rsidRPr="005B4208">
        <w:rPr>
          <w:szCs w:val="24"/>
        </w:rPr>
        <w:t xml:space="preserve"> et al</w:t>
      </w:r>
      <w:r w:rsidR="00092638">
        <w:rPr>
          <w:szCs w:val="24"/>
        </w:rPr>
        <w:t>.</w:t>
      </w:r>
      <w:r w:rsidR="00E47A85" w:rsidRPr="005B4208">
        <w:rPr>
          <w:szCs w:val="24"/>
        </w:rPr>
        <w:t xml:space="preserve"> (2011) carried out residual and filterable analysis on a single RP2 sample, which is shown in Figure 4.9A. </w:t>
      </w:r>
    </w:p>
    <w:p w:rsidR="00E47A85" w:rsidRPr="00A70E14" w:rsidRDefault="00E47A85" w:rsidP="00E47A85">
      <w:r w:rsidRPr="005B4208">
        <w:t>Historically</w:t>
      </w:r>
      <w:r w:rsidR="00221805">
        <w:t>,</w:t>
      </w:r>
      <w:r w:rsidRPr="005B4208">
        <w:t xml:space="preserve"> the dissolved activity concentrations were less than 5 </w:t>
      </w:r>
      <w:proofErr w:type="spellStart"/>
      <w:r w:rsidRPr="005B4208">
        <w:t>Bq</w:t>
      </w:r>
      <w:proofErr w:type="spellEnd"/>
      <w:r w:rsidRPr="005B4208">
        <w:t>/L and residual activity concentrations w</w:t>
      </w:r>
      <w:r w:rsidR="005C3AD4" w:rsidRPr="005B4208">
        <w:t xml:space="preserve">ere less than 1 </w:t>
      </w:r>
      <w:proofErr w:type="spellStart"/>
      <w:r w:rsidR="005C3AD4" w:rsidRPr="005B4208">
        <w:t>Bq</w:t>
      </w:r>
      <w:proofErr w:type="spellEnd"/>
      <w:r w:rsidR="005C3AD4" w:rsidRPr="005B4208">
        <w:t>/L (Figure 4.8</w:t>
      </w:r>
      <w:r w:rsidRPr="005B4208">
        <w:t xml:space="preserve">A). The SSD samples taken in December 2014 show a dissolved activity concentration of 1.14 </w:t>
      </w:r>
      <w:proofErr w:type="spellStart"/>
      <w:r w:rsidRPr="005B4208">
        <w:t>Bq</w:t>
      </w:r>
      <w:proofErr w:type="spellEnd"/>
      <w:r w:rsidRPr="005B4208">
        <w:t>/L and a residual activity concentration of 0</w:t>
      </w:r>
      <w:r w:rsidRPr="00A70E14">
        <w:t xml:space="preserve">.16 </w:t>
      </w:r>
      <w:proofErr w:type="spellStart"/>
      <w:r w:rsidRPr="00A70E14">
        <w:t>Bq</w:t>
      </w:r>
      <w:proofErr w:type="spellEnd"/>
      <w:r w:rsidRPr="00A70E14">
        <w:t xml:space="preserve">/L. Both of these activity concentrations fall well within the historical range, with the dissolved activity concentration being slightly less than the historical median of 1.4 </w:t>
      </w:r>
      <w:proofErr w:type="spellStart"/>
      <w:r w:rsidRPr="00A70E14">
        <w:t>Bq</w:t>
      </w:r>
      <w:proofErr w:type="spellEnd"/>
      <w:r w:rsidRPr="00A70E14">
        <w:t>/L and the residual activity concentration being similar to the historical 75</w:t>
      </w:r>
      <w:r w:rsidRPr="00A70E14">
        <w:rPr>
          <w:vertAlign w:val="superscript"/>
        </w:rPr>
        <w:t>th</w:t>
      </w:r>
      <w:r w:rsidRPr="00A70E14">
        <w:t xml:space="preserve"> percentile of 0.17 </w:t>
      </w:r>
      <w:proofErr w:type="spellStart"/>
      <w:r w:rsidRPr="00A70E14">
        <w:t>Bq</w:t>
      </w:r>
      <w:proofErr w:type="spellEnd"/>
      <w:r w:rsidRPr="00A70E14">
        <w:t>/L.</w:t>
      </w:r>
    </w:p>
    <w:p w:rsidR="00D05087" w:rsidRDefault="00D05087">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E47A85" w:rsidRPr="00A70E14" w:rsidTr="00E47A85">
        <w:tc>
          <w:tcPr>
            <w:tcW w:w="5000" w:type="pct"/>
            <w:gridSpan w:val="2"/>
          </w:tcPr>
          <w:p w:rsidR="00E47A85" w:rsidRPr="00A70E14" w:rsidRDefault="00E47A85" w:rsidP="00E47A85">
            <w:pPr>
              <w:jc w:val="left"/>
            </w:pPr>
            <w:r w:rsidRPr="00A70E14">
              <w:t>A</w:t>
            </w:r>
          </w:p>
          <w:p w:rsidR="00E47A85" w:rsidRPr="00A70E14" w:rsidRDefault="00E47A85" w:rsidP="00E47A85">
            <w:pPr>
              <w:jc w:val="center"/>
            </w:pPr>
            <w:r w:rsidRPr="00A70E14">
              <w:rPr>
                <w:noProof/>
                <w:lang w:eastAsia="en-AU"/>
              </w:rPr>
              <w:drawing>
                <wp:inline distT="0" distB="0" distL="0" distR="0">
                  <wp:extent cx="5277600" cy="3124835"/>
                  <wp:effectExtent l="0" t="0" r="0" b="0"/>
                  <wp:docPr id="20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71" cstate="screen"/>
                          <a:srcRect/>
                          <a:stretch>
                            <a:fillRect/>
                          </a:stretch>
                        </pic:blipFill>
                        <pic:spPr bwMode="auto">
                          <a:xfrm>
                            <a:off x="0" y="0"/>
                            <a:ext cx="5277600" cy="3124835"/>
                          </a:xfrm>
                          <a:prstGeom prst="rect">
                            <a:avLst/>
                          </a:prstGeom>
                          <a:noFill/>
                          <a:ln w="9525">
                            <a:noFill/>
                            <a:miter lim="800000"/>
                            <a:headEnd/>
                            <a:tailEnd/>
                          </a:ln>
                        </pic:spPr>
                      </pic:pic>
                    </a:graphicData>
                  </a:graphic>
                </wp:inline>
              </w:drawing>
            </w:r>
          </w:p>
        </w:tc>
      </w:tr>
      <w:tr w:rsidR="00E47A85" w:rsidRPr="00A70E14" w:rsidTr="00D05087">
        <w:tc>
          <w:tcPr>
            <w:tcW w:w="2500" w:type="pct"/>
          </w:tcPr>
          <w:p w:rsidR="00E47A85" w:rsidRPr="00A70E14" w:rsidRDefault="00E47A85" w:rsidP="00E47A85">
            <w:pPr>
              <w:jc w:val="left"/>
              <w:rPr>
                <w:noProof/>
                <w:lang w:eastAsia="en-AU"/>
              </w:rPr>
            </w:pPr>
            <w:r w:rsidRPr="00A70E14">
              <w:rPr>
                <w:noProof/>
                <w:lang w:eastAsia="en-AU"/>
              </w:rPr>
              <w:t>B</w:t>
            </w:r>
          </w:p>
          <w:p w:rsidR="00E47A85" w:rsidRPr="00A70E14" w:rsidRDefault="00E47A85" w:rsidP="00E47A85">
            <w:pPr>
              <w:jc w:val="center"/>
            </w:pPr>
            <w:r w:rsidRPr="00A70E14">
              <w:rPr>
                <w:noProof/>
                <w:lang w:eastAsia="en-AU"/>
              </w:rPr>
              <w:drawing>
                <wp:inline distT="0" distB="0" distL="0" distR="0">
                  <wp:extent cx="2638800" cy="2160000"/>
                  <wp:effectExtent l="19050" t="0" r="9150" b="0"/>
                  <wp:docPr id="203"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72" cstate="screen"/>
                          <a:srcRect/>
                          <a:stretch>
                            <a:fillRect/>
                          </a:stretch>
                        </pic:blipFill>
                        <pic:spPr bwMode="auto">
                          <a:xfrm>
                            <a:off x="0" y="0"/>
                            <a:ext cx="2638800" cy="2160000"/>
                          </a:xfrm>
                          <a:prstGeom prst="rect">
                            <a:avLst/>
                          </a:prstGeom>
                          <a:noFill/>
                          <a:ln w="9525">
                            <a:noFill/>
                            <a:miter lim="800000"/>
                            <a:headEnd/>
                            <a:tailEnd/>
                          </a:ln>
                        </pic:spPr>
                      </pic:pic>
                    </a:graphicData>
                  </a:graphic>
                </wp:inline>
              </w:drawing>
            </w:r>
          </w:p>
        </w:tc>
        <w:tc>
          <w:tcPr>
            <w:tcW w:w="2500" w:type="pct"/>
          </w:tcPr>
          <w:p w:rsidR="00E47A85" w:rsidRPr="00A70E14" w:rsidRDefault="00E47A85" w:rsidP="00E47A85">
            <w:pPr>
              <w:rPr>
                <w:noProof/>
                <w:lang w:eastAsia="en-AU"/>
              </w:rPr>
            </w:pPr>
            <w:r w:rsidRPr="00A70E14">
              <w:rPr>
                <w:noProof/>
                <w:lang w:eastAsia="en-AU"/>
              </w:rPr>
              <w:t>C</w:t>
            </w:r>
          </w:p>
          <w:p w:rsidR="00E47A85" w:rsidRPr="00A70E14" w:rsidRDefault="00E47A85" w:rsidP="00E47A85">
            <w:r w:rsidRPr="00A70E14">
              <w:rPr>
                <w:noProof/>
                <w:lang w:eastAsia="en-AU"/>
              </w:rPr>
              <w:drawing>
                <wp:inline distT="0" distB="0" distL="0" distR="0">
                  <wp:extent cx="2638800" cy="2160270"/>
                  <wp:effectExtent l="19050" t="0" r="9150" b="0"/>
                  <wp:docPr id="204"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73" cstate="screen"/>
                          <a:srcRect t="7430" r="5370"/>
                          <a:stretch>
                            <a:fillRect/>
                          </a:stretch>
                        </pic:blipFill>
                        <pic:spPr bwMode="auto">
                          <a:xfrm>
                            <a:off x="0" y="0"/>
                            <a:ext cx="2638800" cy="2160270"/>
                          </a:xfrm>
                          <a:prstGeom prst="rect">
                            <a:avLst/>
                          </a:prstGeom>
                          <a:noFill/>
                          <a:ln w="9525">
                            <a:noFill/>
                            <a:miter lim="800000"/>
                            <a:headEnd/>
                            <a:tailEnd/>
                          </a:ln>
                        </pic:spPr>
                      </pic:pic>
                    </a:graphicData>
                  </a:graphic>
                </wp:inline>
              </w:drawing>
            </w:r>
          </w:p>
        </w:tc>
      </w:tr>
    </w:tbl>
    <w:p w:rsidR="00E47A85" w:rsidRPr="00A70E14" w:rsidRDefault="005C3AD4" w:rsidP="00E47A85">
      <w:pPr>
        <w:pStyle w:val="figurecaption"/>
        <w:rPr>
          <w:lang w:eastAsia="en-AU"/>
        </w:rPr>
      </w:pPr>
      <w:bookmarkStart w:id="193" w:name="_Toc390160243"/>
      <w:bookmarkStart w:id="194" w:name="_Toc390766653"/>
      <w:r w:rsidRPr="005C3AD4">
        <w:rPr>
          <w:b/>
        </w:rPr>
        <w:t>Figures 4.8</w:t>
      </w:r>
      <w:r w:rsidR="00E47A85" w:rsidRPr="005C3AD4">
        <w:rPr>
          <w:b/>
        </w:rPr>
        <w:t>A</w:t>
      </w:r>
      <w:r w:rsidR="00E47A85" w:rsidRPr="00A70E14">
        <w:t xml:space="preserve"> SSD and </w:t>
      </w:r>
      <w:r w:rsidR="00E47A85" w:rsidRPr="00A70E14">
        <w:rPr>
          <w:lang w:eastAsia="en-AU"/>
        </w:rPr>
        <w:t xml:space="preserve">ERA </w:t>
      </w:r>
      <w:r w:rsidR="00E47A85" w:rsidRPr="00A70E14">
        <w:rPr>
          <w:snapToGrid w:val="0"/>
          <w:color w:val="000000"/>
          <w:position w:val="4"/>
          <w:sz w:val="12"/>
          <w:szCs w:val="0"/>
          <w:u w:color="000000"/>
          <w:lang w:eastAsia="en-AU"/>
        </w:rPr>
        <w:t>226</w:t>
      </w:r>
      <w:r w:rsidR="00E47A85" w:rsidRPr="00A70E14">
        <w:rPr>
          <w:lang w:eastAsia="en-AU"/>
        </w:rPr>
        <w:t xml:space="preserve">Ra filterable and residual activity concentrations data (ERA data sourced from </w:t>
      </w:r>
      <w:proofErr w:type="spellStart"/>
      <w:r w:rsidR="00E47A85" w:rsidRPr="00A70E14">
        <w:rPr>
          <w:lang w:eastAsia="en-AU"/>
        </w:rPr>
        <w:t>Akber</w:t>
      </w:r>
      <w:proofErr w:type="spellEnd"/>
      <w:r w:rsidR="00E47A85" w:rsidRPr="00A70E14">
        <w:rPr>
          <w:lang w:eastAsia="en-AU"/>
        </w:rPr>
        <w:t xml:space="preserve"> et al. 2011) from RP2; </w:t>
      </w:r>
      <w:r w:rsidRPr="005C3AD4">
        <w:rPr>
          <w:b/>
        </w:rPr>
        <w:t>4.8</w:t>
      </w:r>
      <w:r w:rsidR="00E47A85" w:rsidRPr="005C3AD4">
        <w:rPr>
          <w:b/>
        </w:rPr>
        <w:t>B</w:t>
      </w:r>
      <w:r w:rsidR="00E47A85" w:rsidRPr="00A70E14">
        <w:t xml:space="preserve"> SSD and </w:t>
      </w:r>
      <w:r w:rsidR="00E47A85" w:rsidRPr="00A70E14">
        <w:rPr>
          <w:lang w:eastAsia="en-AU"/>
        </w:rPr>
        <w:t xml:space="preserve">ERA total </w:t>
      </w:r>
      <w:r w:rsidR="00E47A85" w:rsidRPr="00A70E14">
        <w:rPr>
          <w:snapToGrid w:val="0"/>
          <w:color w:val="000000"/>
          <w:position w:val="4"/>
          <w:sz w:val="12"/>
          <w:szCs w:val="0"/>
          <w:u w:color="000000"/>
          <w:lang w:eastAsia="en-AU"/>
        </w:rPr>
        <w:t>226</w:t>
      </w:r>
      <w:r w:rsidR="00E47A85" w:rsidRPr="00A70E14">
        <w:rPr>
          <w:lang w:eastAsia="en-AU"/>
        </w:rPr>
        <w:t xml:space="preserve">Ra </w:t>
      </w:r>
      <w:r>
        <w:rPr>
          <w:lang w:eastAsia="en-AU"/>
        </w:rPr>
        <w:t xml:space="preserve">activity concentration data; </w:t>
      </w:r>
      <w:r w:rsidRPr="005C3AD4">
        <w:rPr>
          <w:b/>
          <w:lang w:eastAsia="en-AU"/>
        </w:rPr>
        <w:t>4.8</w:t>
      </w:r>
      <w:r w:rsidR="00E47A85" w:rsidRPr="005C3AD4">
        <w:rPr>
          <w:b/>
          <w:lang w:eastAsia="en-AU"/>
        </w:rPr>
        <w:t>C</w:t>
      </w:r>
      <w:r w:rsidR="00E47A85" w:rsidRPr="00A70E14">
        <w:rPr>
          <w:lang w:eastAsia="en-AU"/>
        </w:rPr>
        <w:t xml:space="preserve"> Box plots of ERA </w:t>
      </w:r>
      <w:r w:rsidR="00E47A85" w:rsidRPr="00A70E14">
        <w:rPr>
          <w:snapToGrid w:val="0"/>
          <w:color w:val="000000"/>
          <w:position w:val="4"/>
          <w:sz w:val="12"/>
          <w:szCs w:val="0"/>
          <w:u w:color="000000"/>
          <w:lang w:eastAsia="en-AU"/>
        </w:rPr>
        <w:t>226</w:t>
      </w:r>
      <w:r w:rsidR="00E47A85" w:rsidRPr="00A70E14">
        <w:rPr>
          <w:lang w:eastAsia="en-AU"/>
        </w:rPr>
        <w:t xml:space="preserve">Ra relative proportion of filterable and residual data from RP2 </w:t>
      </w:r>
      <w:r w:rsidR="00E47A85" w:rsidRPr="00A70E14">
        <w:rPr>
          <w:lang w:eastAsia="en-AU"/>
        </w:rPr>
        <w:br/>
        <w:t xml:space="preserve">(sourced from </w:t>
      </w:r>
      <w:proofErr w:type="spellStart"/>
      <w:r w:rsidR="00E47A85" w:rsidRPr="00A70E14">
        <w:rPr>
          <w:lang w:eastAsia="en-AU"/>
        </w:rPr>
        <w:t>Akber</w:t>
      </w:r>
      <w:proofErr w:type="spellEnd"/>
      <w:r w:rsidR="00E47A85" w:rsidRPr="00A70E14">
        <w:rPr>
          <w:lang w:eastAsia="en-AU"/>
        </w:rPr>
        <w:t xml:space="preserve"> et al. 2011) before the incident and SSD after the incident</w:t>
      </w:r>
      <w:bookmarkEnd w:id="193"/>
      <w:bookmarkEnd w:id="194"/>
      <w:r w:rsidR="00EE509B">
        <w:rPr>
          <w:lang w:eastAsia="en-AU"/>
        </w:rPr>
        <w:t>.</w:t>
      </w:r>
    </w:p>
    <w:p w:rsidR="00E47A85" w:rsidRPr="005B4208" w:rsidRDefault="00E47A85" w:rsidP="00E47A85">
      <w:pPr>
        <w:spacing w:after="0" w:line="240" w:lineRule="auto"/>
      </w:pPr>
      <w:r w:rsidRPr="00A70E14">
        <w:t xml:space="preserve">Total </w:t>
      </w:r>
      <w:r w:rsidRPr="00A70E14">
        <w:rPr>
          <w:snapToGrid w:val="0"/>
          <w:color w:val="000000"/>
          <w:position w:val="5"/>
          <w:sz w:val="15"/>
          <w:szCs w:val="0"/>
          <w:u w:color="000000"/>
        </w:rPr>
        <w:t>226</w:t>
      </w:r>
      <w:r w:rsidRPr="00A70E14">
        <w:t xml:space="preserve">Ra activity concentration data measured by ERA and SSD before and after the incident are shown </w:t>
      </w:r>
      <w:r w:rsidRPr="005B4208">
        <w:t>in Fig</w:t>
      </w:r>
      <w:r w:rsidR="005C3AD4" w:rsidRPr="005B4208">
        <w:t>ure 4.8</w:t>
      </w:r>
      <w:r w:rsidRPr="005B4208">
        <w:t>B. Three samples collected by ERA between January and April 2012 had total activity concentrations between 2.0 and 2.4 </w:t>
      </w:r>
      <w:proofErr w:type="spellStart"/>
      <w:r w:rsidRPr="005B4208">
        <w:t>Bq</w:t>
      </w:r>
      <w:proofErr w:type="spellEnd"/>
      <w:r w:rsidRPr="005B4208">
        <w:t>/L, which are higher than the total activity concentrations measured by SSD and ERA following the incident and the Zone 1 and 2 cleanups. All total activity concentratio</w:t>
      </w:r>
      <w:r w:rsidR="00C253C3">
        <w:t xml:space="preserve">ns measured since December 2011 </w:t>
      </w:r>
      <w:proofErr w:type="gramStart"/>
      <w:r w:rsidRPr="005B4208">
        <w:t>were</w:t>
      </w:r>
      <w:proofErr w:type="gramEnd"/>
      <w:r w:rsidRPr="005B4208">
        <w:t xml:space="preserve"> less than 1.3 </w:t>
      </w:r>
      <w:proofErr w:type="spellStart"/>
      <w:r w:rsidRPr="005B4208">
        <w:t>Bq</w:t>
      </w:r>
      <w:proofErr w:type="spellEnd"/>
      <w:r w:rsidRPr="005B4208">
        <w:t>/L.</w:t>
      </w:r>
    </w:p>
    <w:p w:rsidR="00E47A85" w:rsidRPr="005B4208" w:rsidRDefault="00E47A85" w:rsidP="00E47A85">
      <w:pPr>
        <w:spacing w:after="0" w:line="240" w:lineRule="auto"/>
      </w:pPr>
    </w:p>
    <w:p w:rsidR="00E47A85" w:rsidRPr="00D800A5" w:rsidRDefault="005C3AD4" w:rsidP="00E47A85">
      <w:pPr>
        <w:spacing w:after="0" w:line="240" w:lineRule="auto"/>
      </w:pPr>
      <w:r w:rsidRPr="005B4208">
        <w:t>Figure 4.8</w:t>
      </w:r>
      <w:r w:rsidR="00E47A85" w:rsidRPr="005B4208">
        <w:t xml:space="preserve">C uses box plots to compare the relative proportion of dissolved and residual </w:t>
      </w:r>
      <w:r w:rsidR="00E47A85" w:rsidRPr="005B4208">
        <w:rPr>
          <w:snapToGrid w:val="0"/>
          <w:color w:val="000000"/>
          <w:position w:val="5"/>
          <w:sz w:val="15"/>
          <w:szCs w:val="0"/>
          <w:u w:color="000000"/>
        </w:rPr>
        <w:t>226</w:t>
      </w:r>
      <w:r w:rsidR="00E47A85" w:rsidRPr="005B4208">
        <w:t>Ra activity (as a percentage of the combined total) in samples before and after the incident. The box plots show that</w:t>
      </w:r>
      <w:r w:rsidR="00E47A85" w:rsidRPr="00A70E14">
        <w:t xml:space="preserve"> the distribution of </w:t>
      </w:r>
      <w:r w:rsidR="00E47A85" w:rsidRPr="00A70E14">
        <w:rPr>
          <w:vertAlign w:val="superscript"/>
        </w:rPr>
        <w:t>226</w:t>
      </w:r>
      <w:r w:rsidR="00E47A85" w:rsidRPr="00A70E14">
        <w:t xml:space="preserve">Ra activity between the residual and the </w:t>
      </w:r>
      <w:r w:rsidR="00221805">
        <w:t>filterable</w:t>
      </w:r>
      <w:r w:rsidR="00E47A85" w:rsidRPr="00A70E14">
        <w:t xml:space="preserve"> fractions following the incident is similar to the distribution prior to the incident, with around 90% of the </w:t>
      </w:r>
      <w:r w:rsidR="00E47A85" w:rsidRPr="00A70E14">
        <w:rPr>
          <w:vertAlign w:val="superscript"/>
        </w:rPr>
        <w:t>226</w:t>
      </w:r>
      <w:r w:rsidR="00E47A85" w:rsidRPr="00A70E14">
        <w:t xml:space="preserve">Ra activity associated with the </w:t>
      </w:r>
      <w:r w:rsidR="00221805">
        <w:t>filterable</w:t>
      </w:r>
      <w:r w:rsidR="00E47A85" w:rsidRPr="00A70E14">
        <w:t xml:space="preserve"> fraction (&lt;0.45 µm) and 10% associated with the residual fraction (&gt;0.45 µm). This, along with the fact that the total activity concentrations measured after the incident are lower than those measured in 2012, indicate that there was no impact on the </w:t>
      </w:r>
      <w:r w:rsidR="00E47A85" w:rsidRPr="00A70E14">
        <w:rPr>
          <w:vertAlign w:val="superscript"/>
        </w:rPr>
        <w:t>226</w:t>
      </w:r>
      <w:r w:rsidR="00E47A85" w:rsidRPr="00A70E14">
        <w:t>Ra activity concentrations in RP2.</w:t>
      </w:r>
    </w:p>
    <w:p w:rsidR="00E47A85" w:rsidRPr="006D6E8F" w:rsidRDefault="00E47A85" w:rsidP="00E47A85">
      <w:pPr>
        <w:spacing w:after="0" w:line="240" w:lineRule="auto"/>
      </w:pPr>
    </w:p>
    <w:p w:rsidR="009C042C" w:rsidRPr="00266E77" w:rsidRDefault="005C3AD4" w:rsidP="009C042C">
      <w:pPr>
        <w:pStyle w:val="Heading4"/>
        <w:rPr>
          <w:highlight w:val="yellow"/>
        </w:rPr>
      </w:pPr>
      <w:proofErr w:type="gramStart"/>
      <w:r w:rsidRPr="00D05087">
        <w:t>4.1.1.2</w:t>
      </w:r>
      <w:r w:rsidR="009C042C" w:rsidRPr="00D05087">
        <w:t xml:space="preserve">  Process</w:t>
      </w:r>
      <w:proofErr w:type="gramEnd"/>
      <w:r w:rsidR="009C042C" w:rsidRPr="00D05087">
        <w:t xml:space="preserve"> to Pond </w:t>
      </w:r>
      <w:r w:rsidR="00C9034D">
        <w:t>w</w:t>
      </w:r>
      <w:r w:rsidR="009C042C" w:rsidRPr="00D05087">
        <w:t xml:space="preserve">ater </w:t>
      </w:r>
      <w:r w:rsidR="00C9034D">
        <w:t>c</w:t>
      </w:r>
      <w:r w:rsidR="009C042C" w:rsidRPr="00D05087">
        <w:t xml:space="preserve">atchment </w:t>
      </w:r>
      <w:r w:rsidR="00C9034D">
        <w:t>c</w:t>
      </w:r>
      <w:r w:rsidR="009C042C" w:rsidRPr="00D05087">
        <w:t>learance</w:t>
      </w:r>
    </w:p>
    <w:p w:rsidR="009C042C" w:rsidRDefault="009C042C" w:rsidP="009C042C">
      <w:pPr>
        <w:pStyle w:val="Heading5"/>
      </w:pPr>
      <w:r>
        <w:t>Surface soil scrapes</w:t>
      </w:r>
    </w:p>
    <w:p w:rsidR="009C042C" w:rsidRPr="009C042C" w:rsidRDefault="009C042C" w:rsidP="009C042C">
      <w:r w:rsidRPr="009C042C">
        <w:t>The water soluble concentrations of elements in exposed soils</w:t>
      </w:r>
      <w:r w:rsidR="00A35F4C">
        <w:t xml:space="preserve"> in the Ranger plant area</w:t>
      </w:r>
      <w:r w:rsidRPr="009C042C">
        <w:t xml:space="preserve"> were compared to the control soils to determine if contact with the slurry increased the amount of labile soil bound or precipitated elements that would readily become mobile during rainfall events and eventually runoff into the RP2 catchment area.</w:t>
      </w:r>
    </w:p>
    <w:p w:rsidR="009C042C" w:rsidRPr="009C042C" w:rsidRDefault="009C042C" w:rsidP="009C042C">
      <w:r w:rsidRPr="009C042C">
        <w:t xml:space="preserve">In general, the soil concentrations of many elements were higher under the crushing transfer tower compared to the acid plant, for both the control and the exposed soils. This </w:t>
      </w:r>
      <w:r w:rsidR="00A35F4C">
        <w:t>is</w:t>
      </w:r>
      <w:r w:rsidRPr="009C042C">
        <w:t xml:space="preserve"> expected given the years of accumulation of dust and fine particles that fall from the crushed ore that is transferred via the conveyor belt overhead. However, most elements in the crushing transfer tower soils were higher in the control compared to the </w:t>
      </w:r>
      <w:r w:rsidR="00A35F4C">
        <w:t>slurry</w:t>
      </w:r>
      <w:r w:rsidR="00221805">
        <w:t>-</w:t>
      </w:r>
      <w:r w:rsidRPr="009C042C">
        <w:t>exposed soil</w:t>
      </w:r>
      <w:r w:rsidR="00221805">
        <w:t xml:space="preserve"> (data not shown)</w:t>
      </w:r>
      <w:r w:rsidRPr="009C042C">
        <w:t>. This is likely to be because</w:t>
      </w:r>
      <w:r w:rsidR="00A35F4C">
        <w:t xml:space="preserve"> during the cleanup operation,</w:t>
      </w:r>
      <w:r w:rsidRPr="009C042C">
        <w:t xml:space="preserve"> prior to sample collection</w:t>
      </w:r>
      <w:r w:rsidR="00A35F4C">
        <w:t>,</w:t>
      </w:r>
      <w:r w:rsidRPr="009C042C">
        <w:t xml:space="preserve"> the </w:t>
      </w:r>
      <w:r w:rsidR="00A35F4C">
        <w:t>surface</w:t>
      </w:r>
      <w:r w:rsidRPr="009C042C">
        <w:t xml:space="preserve"> </w:t>
      </w:r>
      <w:r w:rsidR="00A35F4C">
        <w:t>layer</w:t>
      </w:r>
      <w:r w:rsidRPr="009C042C">
        <w:t xml:space="preserve"> of the road verge in front of the crushing transfer tower was scraped (using light machinery). While the majority of the soil that was in contact with the slurry was removed, the underlying surface still showed elevated levels of a number of elements. </w:t>
      </w:r>
    </w:p>
    <w:p w:rsidR="009C042C" w:rsidRPr="009C042C" w:rsidRDefault="009C042C" w:rsidP="009C042C">
      <w:r w:rsidRPr="009C042C">
        <w:t xml:space="preserve">The key elements that were elevated in the exposed soils compared to the control soils at both locations were uranium, calcium, magnesium, sodium and sulphur (including sulphate and any other sulphur species present). </w:t>
      </w:r>
      <w:r w:rsidRPr="005B4208">
        <w:t>Table 4.1 shows</w:t>
      </w:r>
      <w:r w:rsidRPr="009C042C">
        <w:t xml:space="preserve"> the water soluble soil concentrations of each of these elements in the exposed and control samples from each location, the percent difference between the exposed and the control and the concentrations measured in filtered samples of the slurry (mean of three samples collected from different locations).</w:t>
      </w:r>
    </w:p>
    <w:p w:rsidR="009C042C" w:rsidRPr="009C042C" w:rsidRDefault="009C042C" w:rsidP="009C042C">
      <w:pPr>
        <w:pStyle w:val="tablecaption"/>
      </w:pPr>
      <w:bookmarkStart w:id="195" w:name="_Toc390766609"/>
      <w:r w:rsidRPr="009C042C">
        <w:rPr>
          <w:b/>
        </w:rPr>
        <w:t xml:space="preserve">Table </w:t>
      </w:r>
      <w:proofErr w:type="gramStart"/>
      <w:r w:rsidRPr="009C042C">
        <w:rPr>
          <w:b/>
        </w:rPr>
        <w:t>4.1</w:t>
      </w:r>
      <w:r w:rsidRPr="009C042C">
        <w:t xml:space="preserve">  Percentage</w:t>
      </w:r>
      <w:proofErr w:type="gramEnd"/>
      <w:r w:rsidRPr="009C042C">
        <w:t xml:space="preserve"> difference in the soil concentration between the exposed and the control soils for elements that were elevated in the exposed soil.</w:t>
      </w:r>
      <w:bookmarkEnd w:id="195"/>
    </w:p>
    <w:tbl>
      <w:tblPr>
        <w:tblStyle w:val="TableGrid"/>
        <w:tblW w:w="4630" w:type="pct"/>
        <w:tblLook w:val="04A0"/>
      </w:tblPr>
      <w:tblGrid>
        <w:gridCol w:w="2185"/>
        <w:gridCol w:w="1084"/>
        <w:gridCol w:w="1136"/>
        <w:gridCol w:w="1136"/>
        <w:gridCol w:w="1136"/>
        <w:gridCol w:w="1214"/>
      </w:tblGrid>
      <w:tr w:rsidR="009C042C" w:rsidRPr="009C042C" w:rsidTr="009C042C">
        <w:tc>
          <w:tcPr>
            <w:tcW w:w="1384" w:type="pct"/>
          </w:tcPr>
          <w:p w:rsidR="009C042C" w:rsidRPr="009C042C" w:rsidRDefault="009C042C" w:rsidP="009C042C">
            <w:pPr>
              <w:spacing w:before="60" w:after="60" w:line="200" w:lineRule="atLeast"/>
              <w:jc w:val="left"/>
              <w:rPr>
                <w:rFonts w:ascii="Arial" w:hAnsi="Arial"/>
                <w:b/>
                <w:sz w:val="16"/>
              </w:rPr>
            </w:pPr>
            <w:r w:rsidRPr="009C042C">
              <w:rPr>
                <w:rFonts w:ascii="Arial" w:hAnsi="Arial"/>
                <w:b/>
                <w:sz w:val="16"/>
              </w:rPr>
              <w:t>Sampling Location</w:t>
            </w:r>
          </w:p>
        </w:tc>
        <w:tc>
          <w:tcPr>
            <w:tcW w:w="686" w:type="pct"/>
          </w:tcPr>
          <w:p w:rsidR="009C042C" w:rsidRPr="009C042C" w:rsidRDefault="009C042C" w:rsidP="009C042C">
            <w:pPr>
              <w:spacing w:before="60" w:after="60" w:line="200" w:lineRule="atLeast"/>
              <w:jc w:val="left"/>
              <w:rPr>
                <w:rFonts w:ascii="Arial" w:hAnsi="Arial"/>
                <w:b/>
                <w:sz w:val="16"/>
              </w:rPr>
            </w:pPr>
            <w:r w:rsidRPr="009C042C">
              <w:rPr>
                <w:rFonts w:ascii="Arial" w:hAnsi="Arial"/>
                <w:b/>
                <w:sz w:val="16"/>
              </w:rPr>
              <w:t>U (µg/kg)</w:t>
            </w:r>
          </w:p>
        </w:tc>
        <w:tc>
          <w:tcPr>
            <w:tcW w:w="720" w:type="pct"/>
          </w:tcPr>
          <w:p w:rsidR="009C042C" w:rsidRPr="009C042C" w:rsidRDefault="009C042C" w:rsidP="009C042C">
            <w:pPr>
              <w:spacing w:before="60" w:after="60" w:line="200" w:lineRule="atLeast"/>
              <w:jc w:val="left"/>
              <w:rPr>
                <w:rFonts w:ascii="Arial" w:hAnsi="Arial"/>
                <w:b/>
                <w:sz w:val="16"/>
              </w:rPr>
            </w:pPr>
            <w:r w:rsidRPr="009C042C">
              <w:rPr>
                <w:rFonts w:ascii="Arial" w:hAnsi="Arial"/>
                <w:b/>
                <w:sz w:val="16"/>
              </w:rPr>
              <w:t>Ca (mg/kg)</w:t>
            </w:r>
          </w:p>
        </w:tc>
        <w:tc>
          <w:tcPr>
            <w:tcW w:w="720" w:type="pct"/>
          </w:tcPr>
          <w:p w:rsidR="009C042C" w:rsidRPr="009C042C" w:rsidRDefault="009C042C" w:rsidP="009C042C">
            <w:pPr>
              <w:spacing w:before="60" w:after="60" w:line="200" w:lineRule="atLeast"/>
              <w:jc w:val="left"/>
              <w:rPr>
                <w:rFonts w:ascii="Arial" w:hAnsi="Arial"/>
                <w:b/>
                <w:sz w:val="16"/>
              </w:rPr>
            </w:pPr>
            <w:r w:rsidRPr="009C042C">
              <w:rPr>
                <w:rFonts w:ascii="Arial" w:hAnsi="Arial"/>
                <w:b/>
                <w:sz w:val="16"/>
              </w:rPr>
              <w:t>Mg (mg/kg)</w:t>
            </w:r>
          </w:p>
        </w:tc>
        <w:tc>
          <w:tcPr>
            <w:tcW w:w="720" w:type="pct"/>
          </w:tcPr>
          <w:p w:rsidR="009C042C" w:rsidRPr="009C042C" w:rsidRDefault="009C042C" w:rsidP="009C042C">
            <w:pPr>
              <w:spacing w:before="60" w:after="60" w:line="200" w:lineRule="atLeast"/>
              <w:jc w:val="left"/>
              <w:rPr>
                <w:rFonts w:ascii="Arial" w:hAnsi="Arial"/>
                <w:b/>
                <w:sz w:val="16"/>
              </w:rPr>
            </w:pPr>
            <w:r w:rsidRPr="009C042C">
              <w:rPr>
                <w:rFonts w:ascii="Arial" w:hAnsi="Arial"/>
                <w:b/>
                <w:sz w:val="16"/>
              </w:rPr>
              <w:t>Na (mg/kg)</w:t>
            </w:r>
          </w:p>
        </w:tc>
        <w:tc>
          <w:tcPr>
            <w:tcW w:w="769" w:type="pct"/>
          </w:tcPr>
          <w:p w:rsidR="009C042C" w:rsidRPr="009C042C" w:rsidRDefault="009C042C" w:rsidP="009C042C">
            <w:pPr>
              <w:spacing w:before="60" w:after="60" w:line="200" w:lineRule="atLeast"/>
              <w:jc w:val="left"/>
              <w:rPr>
                <w:rFonts w:ascii="Arial" w:hAnsi="Arial"/>
                <w:b/>
                <w:sz w:val="16"/>
              </w:rPr>
            </w:pPr>
            <w:r w:rsidRPr="009C042C">
              <w:rPr>
                <w:rFonts w:ascii="Arial" w:hAnsi="Arial"/>
                <w:b/>
                <w:sz w:val="16"/>
              </w:rPr>
              <w:t>S (mg/kg)</w:t>
            </w:r>
          </w:p>
        </w:tc>
      </w:tr>
      <w:tr w:rsidR="009C042C" w:rsidRPr="009C042C" w:rsidTr="009C042C">
        <w:tc>
          <w:tcPr>
            <w:tcW w:w="1384" w:type="pct"/>
          </w:tcPr>
          <w:p w:rsidR="009C042C" w:rsidRPr="009C042C" w:rsidRDefault="009C042C" w:rsidP="00092638">
            <w:pPr>
              <w:pStyle w:val="table1"/>
            </w:pPr>
            <w:r w:rsidRPr="009C042C">
              <w:t>Acid plant</w:t>
            </w:r>
          </w:p>
        </w:tc>
        <w:tc>
          <w:tcPr>
            <w:tcW w:w="686" w:type="pct"/>
          </w:tcPr>
          <w:p w:rsidR="009C042C" w:rsidRPr="009C042C" w:rsidRDefault="009C042C" w:rsidP="00092638">
            <w:pPr>
              <w:pStyle w:val="table1"/>
            </w:pPr>
          </w:p>
        </w:tc>
        <w:tc>
          <w:tcPr>
            <w:tcW w:w="720" w:type="pct"/>
          </w:tcPr>
          <w:p w:rsidR="009C042C" w:rsidRPr="009C042C" w:rsidRDefault="009C042C" w:rsidP="00092638">
            <w:pPr>
              <w:pStyle w:val="table1"/>
            </w:pPr>
          </w:p>
        </w:tc>
        <w:tc>
          <w:tcPr>
            <w:tcW w:w="720" w:type="pct"/>
          </w:tcPr>
          <w:p w:rsidR="009C042C" w:rsidRPr="009C042C" w:rsidRDefault="009C042C" w:rsidP="00092638">
            <w:pPr>
              <w:pStyle w:val="table1"/>
            </w:pPr>
          </w:p>
        </w:tc>
        <w:tc>
          <w:tcPr>
            <w:tcW w:w="720" w:type="pct"/>
          </w:tcPr>
          <w:p w:rsidR="009C042C" w:rsidRPr="009C042C" w:rsidRDefault="009C042C" w:rsidP="00092638">
            <w:pPr>
              <w:pStyle w:val="table1"/>
            </w:pPr>
          </w:p>
        </w:tc>
        <w:tc>
          <w:tcPr>
            <w:tcW w:w="769" w:type="pct"/>
          </w:tcPr>
          <w:p w:rsidR="009C042C" w:rsidRPr="009C042C" w:rsidRDefault="009C042C" w:rsidP="00092638">
            <w:pPr>
              <w:pStyle w:val="table1"/>
            </w:pPr>
          </w:p>
        </w:tc>
      </w:tr>
      <w:tr w:rsidR="009C042C" w:rsidRPr="009C042C" w:rsidTr="009C042C">
        <w:tc>
          <w:tcPr>
            <w:tcW w:w="1384" w:type="pct"/>
            <w:vAlign w:val="center"/>
          </w:tcPr>
          <w:p w:rsidR="009C042C" w:rsidRPr="009C042C" w:rsidRDefault="009C042C" w:rsidP="00092638">
            <w:pPr>
              <w:pStyle w:val="table1"/>
            </w:pPr>
            <w:r w:rsidRPr="009C042C">
              <w:t>Control concentration</w:t>
            </w:r>
          </w:p>
        </w:tc>
        <w:tc>
          <w:tcPr>
            <w:tcW w:w="686" w:type="pct"/>
          </w:tcPr>
          <w:p w:rsidR="009C042C" w:rsidRPr="009C042C" w:rsidRDefault="009C042C" w:rsidP="00092638">
            <w:pPr>
              <w:pStyle w:val="table1"/>
            </w:pPr>
            <w:r w:rsidRPr="009C042C">
              <w:t>445</w:t>
            </w:r>
          </w:p>
        </w:tc>
        <w:tc>
          <w:tcPr>
            <w:tcW w:w="720" w:type="pct"/>
          </w:tcPr>
          <w:p w:rsidR="009C042C" w:rsidRPr="009C042C" w:rsidRDefault="009C042C" w:rsidP="00092638">
            <w:pPr>
              <w:pStyle w:val="table1"/>
            </w:pPr>
            <w:r w:rsidRPr="009C042C">
              <w:t>550</w:t>
            </w:r>
          </w:p>
        </w:tc>
        <w:tc>
          <w:tcPr>
            <w:tcW w:w="720" w:type="pct"/>
          </w:tcPr>
          <w:p w:rsidR="009C042C" w:rsidRPr="009C042C" w:rsidRDefault="009C042C" w:rsidP="00092638">
            <w:pPr>
              <w:pStyle w:val="table1"/>
            </w:pPr>
            <w:r w:rsidRPr="009C042C">
              <w:t>320</w:t>
            </w:r>
          </w:p>
        </w:tc>
        <w:tc>
          <w:tcPr>
            <w:tcW w:w="720" w:type="pct"/>
          </w:tcPr>
          <w:p w:rsidR="009C042C" w:rsidRPr="009C042C" w:rsidRDefault="009C042C" w:rsidP="00092638">
            <w:pPr>
              <w:pStyle w:val="table1"/>
            </w:pPr>
            <w:r w:rsidRPr="009C042C">
              <w:t>30</w:t>
            </w:r>
          </w:p>
        </w:tc>
        <w:tc>
          <w:tcPr>
            <w:tcW w:w="769" w:type="pct"/>
          </w:tcPr>
          <w:p w:rsidR="009C042C" w:rsidRPr="009C042C" w:rsidRDefault="009C042C" w:rsidP="00092638">
            <w:pPr>
              <w:pStyle w:val="table1"/>
            </w:pPr>
            <w:r w:rsidRPr="009C042C">
              <w:t>773</w:t>
            </w:r>
          </w:p>
        </w:tc>
      </w:tr>
      <w:tr w:rsidR="009C042C" w:rsidRPr="009C042C" w:rsidTr="009C042C">
        <w:tc>
          <w:tcPr>
            <w:tcW w:w="1384" w:type="pct"/>
            <w:vAlign w:val="center"/>
          </w:tcPr>
          <w:p w:rsidR="009C042C" w:rsidRPr="009C042C" w:rsidRDefault="009C042C" w:rsidP="00092638">
            <w:pPr>
              <w:pStyle w:val="table1"/>
            </w:pPr>
            <w:r w:rsidRPr="009C042C">
              <w:t>Exposed concentration</w:t>
            </w:r>
          </w:p>
        </w:tc>
        <w:tc>
          <w:tcPr>
            <w:tcW w:w="686" w:type="pct"/>
          </w:tcPr>
          <w:p w:rsidR="009C042C" w:rsidRPr="009C042C" w:rsidRDefault="009C042C" w:rsidP="00092638">
            <w:pPr>
              <w:pStyle w:val="table1"/>
            </w:pPr>
            <w:r w:rsidRPr="009C042C">
              <w:t>10,250</w:t>
            </w:r>
          </w:p>
        </w:tc>
        <w:tc>
          <w:tcPr>
            <w:tcW w:w="720" w:type="pct"/>
          </w:tcPr>
          <w:p w:rsidR="009C042C" w:rsidRPr="009C042C" w:rsidRDefault="009C042C" w:rsidP="00092638">
            <w:pPr>
              <w:pStyle w:val="table1"/>
            </w:pPr>
            <w:r w:rsidRPr="009C042C">
              <w:t>870</w:t>
            </w:r>
          </w:p>
        </w:tc>
        <w:tc>
          <w:tcPr>
            <w:tcW w:w="720" w:type="pct"/>
          </w:tcPr>
          <w:p w:rsidR="009C042C" w:rsidRPr="009C042C" w:rsidRDefault="009C042C" w:rsidP="00092638">
            <w:pPr>
              <w:pStyle w:val="table1"/>
            </w:pPr>
            <w:r w:rsidRPr="009C042C">
              <w:t>330</w:t>
            </w:r>
          </w:p>
        </w:tc>
        <w:tc>
          <w:tcPr>
            <w:tcW w:w="720" w:type="pct"/>
          </w:tcPr>
          <w:p w:rsidR="009C042C" w:rsidRPr="009C042C" w:rsidRDefault="009C042C" w:rsidP="00092638">
            <w:pPr>
              <w:pStyle w:val="table1"/>
            </w:pPr>
            <w:r w:rsidRPr="009C042C">
              <w:t>50</w:t>
            </w:r>
          </w:p>
        </w:tc>
        <w:tc>
          <w:tcPr>
            <w:tcW w:w="769" w:type="pct"/>
          </w:tcPr>
          <w:p w:rsidR="009C042C" w:rsidRPr="009C042C" w:rsidRDefault="009C042C" w:rsidP="00092638">
            <w:pPr>
              <w:pStyle w:val="table1"/>
            </w:pPr>
            <w:r w:rsidRPr="009C042C">
              <w:t>949</w:t>
            </w:r>
          </w:p>
        </w:tc>
      </w:tr>
      <w:tr w:rsidR="009C042C" w:rsidRPr="009C042C" w:rsidTr="009C042C">
        <w:tc>
          <w:tcPr>
            <w:tcW w:w="1384" w:type="pct"/>
            <w:vAlign w:val="center"/>
          </w:tcPr>
          <w:p w:rsidR="009C042C" w:rsidRPr="009C042C" w:rsidRDefault="009C042C" w:rsidP="00092638">
            <w:pPr>
              <w:pStyle w:val="table1"/>
              <w:rPr>
                <w:i/>
              </w:rPr>
            </w:pPr>
            <w:r w:rsidRPr="009C042C">
              <w:rPr>
                <w:i/>
              </w:rPr>
              <w:t>Percent difference</w:t>
            </w:r>
          </w:p>
        </w:tc>
        <w:tc>
          <w:tcPr>
            <w:tcW w:w="686" w:type="pct"/>
          </w:tcPr>
          <w:p w:rsidR="009C042C" w:rsidRPr="009C042C" w:rsidRDefault="00221805" w:rsidP="00092638">
            <w:pPr>
              <w:pStyle w:val="table1"/>
              <w:rPr>
                <w:i/>
              </w:rPr>
            </w:pPr>
            <w:r>
              <w:rPr>
                <w:i/>
              </w:rPr>
              <w:t>2200</w:t>
            </w:r>
          </w:p>
        </w:tc>
        <w:tc>
          <w:tcPr>
            <w:tcW w:w="720" w:type="pct"/>
          </w:tcPr>
          <w:p w:rsidR="009C042C" w:rsidRPr="009C042C" w:rsidRDefault="009C042C" w:rsidP="00092638">
            <w:pPr>
              <w:pStyle w:val="table1"/>
              <w:rPr>
                <w:i/>
              </w:rPr>
            </w:pPr>
            <w:r w:rsidRPr="009C042C">
              <w:rPr>
                <w:i/>
              </w:rPr>
              <w:t>58</w:t>
            </w:r>
          </w:p>
        </w:tc>
        <w:tc>
          <w:tcPr>
            <w:tcW w:w="720" w:type="pct"/>
          </w:tcPr>
          <w:p w:rsidR="009C042C" w:rsidRPr="009C042C" w:rsidRDefault="009C042C" w:rsidP="00092638">
            <w:pPr>
              <w:pStyle w:val="table1"/>
              <w:rPr>
                <w:i/>
              </w:rPr>
            </w:pPr>
            <w:r w:rsidRPr="009C042C">
              <w:rPr>
                <w:i/>
              </w:rPr>
              <w:t>3</w:t>
            </w:r>
          </w:p>
        </w:tc>
        <w:tc>
          <w:tcPr>
            <w:tcW w:w="720" w:type="pct"/>
          </w:tcPr>
          <w:p w:rsidR="009C042C" w:rsidRPr="009C042C" w:rsidRDefault="009C042C" w:rsidP="00092638">
            <w:pPr>
              <w:pStyle w:val="table1"/>
              <w:rPr>
                <w:i/>
              </w:rPr>
            </w:pPr>
            <w:r w:rsidRPr="009C042C">
              <w:rPr>
                <w:i/>
              </w:rPr>
              <w:t>67</w:t>
            </w:r>
          </w:p>
        </w:tc>
        <w:tc>
          <w:tcPr>
            <w:tcW w:w="769" w:type="pct"/>
          </w:tcPr>
          <w:p w:rsidR="009C042C" w:rsidRPr="009C042C" w:rsidRDefault="009C042C" w:rsidP="00092638">
            <w:pPr>
              <w:pStyle w:val="table1"/>
              <w:rPr>
                <w:i/>
              </w:rPr>
            </w:pPr>
            <w:r w:rsidRPr="009C042C">
              <w:rPr>
                <w:i/>
              </w:rPr>
              <w:t>23</w:t>
            </w:r>
          </w:p>
        </w:tc>
      </w:tr>
      <w:tr w:rsidR="009C042C" w:rsidRPr="009C042C" w:rsidTr="009C042C">
        <w:tc>
          <w:tcPr>
            <w:tcW w:w="1384" w:type="pct"/>
          </w:tcPr>
          <w:p w:rsidR="009C042C" w:rsidRPr="009C042C" w:rsidRDefault="009C042C" w:rsidP="00092638">
            <w:pPr>
              <w:pStyle w:val="table1"/>
            </w:pPr>
            <w:r w:rsidRPr="009C042C">
              <w:t>Crushing transfer tower</w:t>
            </w:r>
          </w:p>
        </w:tc>
        <w:tc>
          <w:tcPr>
            <w:tcW w:w="686" w:type="pct"/>
          </w:tcPr>
          <w:p w:rsidR="009C042C" w:rsidRPr="009C042C" w:rsidRDefault="009C042C" w:rsidP="00092638">
            <w:pPr>
              <w:pStyle w:val="table1"/>
            </w:pPr>
          </w:p>
        </w:tc>
        <w:tc>
          <w:tcPr>
            <w:tcW w:w="720" w:type="pct"/>
          </w:tcPr>
          <w:p w:rsidR="009C042C" w:rsidRPr="009C042C" w:rsidRDefault="009C042C" w:rsidP="00092638">
            <w:pPr>
              <w:pStyle w:val="table1"/>
            </w:pPr>
          </w:p>
        </w:tc>
        <w:tc>
          <w:tcPr>
            <w:tcW w:w="720" w:type="pct"/>
          </w:tcPr>
          <w:p w:rsidR="009C042C" w:rsidRPr="009C042C" w:rsidRDefault="009C042C" w:rsidP="00092638">
            <w:pPr>
              <w:pStyle w:val="table1"/>
            </w:pPr>
          </w:p>
        </w:tc>
        <w:tc>
          <w:tcPr>
            <w:tcW w:w="720" w:type="pct"/>
          </w:tcPr>
          <w:p w:rsidR="009C042C" w:rsidRPr="009C042C" w:rsidRDefault="009C042C" w:rsidP="00092638">
            <w:pPr>
              <w:pStyle w:val="table1"/>
            </w:pPr>
          </w:p>
        </w:tc>
        <w:tc>
          <w:tcPr>
            <w:tcW w:w="769" w:type="pct"/>
          </w:tcPr>
          <w:p w:rsidR="009C042C" w:rsidRPr="009C042C" w:rsidRDefault="009C042C" w:rsidP="00092638">
            <w:pPr>
              <w:pStyle w:val="table1"/>
            </w:pPr>
          </w:p>
        </w:tc>
      </w:tr>
      <w:tr w:rsidR="009C042C" w:rsidRPr="009C042C" w:rsidTr="009C042C">
        <w:tc>
          <w:tcPr>
            <w:tcW w:w="1384" w:type="pct"/>
            <w:vAlign w:val="center"/>
          </w:tcPr>
          <w:p w:rsidR="009C042C" w:rsidRPr="009C042C" w:rsidRDefault="009C042C" w:rsidP="00092638">
            <w:pPr>
              <w:pStyle w:val="table1"/>
            </w:pPr>
            <w:r w:rsidRPr="009C042C">
              <w:t>Control concentration</w:t>
            </w:r>
          </w:p>
        </w:tc>
        <w:tc>
          <w:tcPr>
            <w:tcW w:w="686" w:type="pct"/>
          </w:tcPr>
          <w:p w:rsidR="009C042C" w:rsidRPr="009C042C" w:rsidRDefault="009C042C" w:rsidP="00092638">
            <w:pPr>
              <w:pStyle w:val="table1"/>
            </w:pPr>
            <w:r w:rsidRPr="009C042C">
              <w:t>12,000</w:t>
            </w:r>
          </w:p>
        </w:tc>
        <w:tc>
          <w:tcPr>
            <w:tcW w:w="720" w:type="pct"/>
          </w:tcPr>
          <w:p w:rsidR="009C042C" w:rsidRPr="009C042C" w:rsidRDefault="009C042C" w:rsidP="00092638">
            <w:pPr>
              <w:pStyle w:val="table1"/>
            </w:pPr>
            <w:r w:rsidRPr="009C042C">
              <w:t>140</w:t>
            </w:r>
          </w:p>
        </w:tc>
        <w:tc>
          <w:tcPr>
            <w:tcW w:w="720" w:type="pct"/>
          </w:tcPr>
          <w:p w:rsidR="009C042C" w:rsidRPr="009C042C" w:rsidRDefault="009C042C" w:rsidP="00092638">
            <w:pPr>
              <w:pStyle w:val="table1"/>
            </w:pPr>
            <w:r w:rsidRPr="009C042C">
              <w:t>575</w:t>
            </w:r>
          </w:p>
        </w:tc>
        <w:tc>
          <w:tcPr>
            <w:tcW w:w="720" w:type="pct"/>
          </w:tcPr>
          <w:p w:rsidR="009C042C" w:rsidRPr="009C042C" w:rsidRDefault="009C042C" w:rsidP="00092638">
            <w:pPr>
              <w:pStyle w:val="table1"/>
            </w:pPr>
            <w:r w:rsidRPr="009C042C">
              <w:t>5</w:t>
            </w:r>
          </w:p>
        </w:tc>
        <w:tc>
          <w:tcPr>
            <w:tcW w:w="769" w:type="pct"/>
          </w:tcPr>
          <w:p w:rsidR="009C042C" w:rsidRPr="009C042C" w:rsidRDefault="009C042C" w:rsidP="00092638">
            <w:pPr>
              <w:pStyle w:val="table1"/>
            </w:pPr>
            <w:r w:rsidRPr="009C042C">
              <w:t>64</w:t>
            </w:r>
          </w:p>
        </w:tc>
      </w:tr>
      <w:tr w:rsidR="009C042C" w:rsidRPr="009C042C" w:rsidTr="009C042C">
        <w:tc>
          <w:tcPr>
            <w:tcW w:w="1384" w:type="pct"/>
            <w:vAlign w:val="center"/>
          </w:tcPr>
          <w:p w:rsidR="009C042C" w:rsidRPr="009C042C" w:rsidRDefault="009C042C" w:rsidP="00092638">
            <w:pPr>
              <w:pStyle w:val="table1"/>
            </w:pPr>
            <w:r w:rsidRPr="009C042C">
              <w:t>Exposed concentration</w:t>
            </w:r>
          </w:p>
        </w:tc>
        <w:tc>
          <w:tcPr>
            <w:tcW w:w="686" w:type="pct"/>
          </w:tcPr>
          <w:p w:rsidR="009C042C" w:rsidRPr="009C042C" w:rsidRDefault="009C042C" w:rsidP="00092638">
            <w:pPr>
              <w:pStyle w:val="table1"/>
            </w:pPr>
            <w:r w:rsidRPr="009C042C">
              <w:t>49,000</w:t>
            </w:r>
          </w:p>
        </w:tc>
        <w:tc>
          <w:tcPr>
            <w:tcW w:w="720" w:type="pct"/>
          </w:tcPr>
          <w:p w:rsidR="009C042C" w:rsidRPr="009C042C" w:rsidRDefault="009C042C" w:rsidP="00092638">
            <w:pPr>
              <w:pStyle w:val="table1"/>
            </w:pPr>
            <w:r w:rsidRPr="009C042C">
              <w:t>1,465</w:t>
            </w:r>
          </w:p>
        </w:tc>
        <w:tc>
          <w:tcPr>
            <w:tcW w:w="720" w:type="pct"/>
          </w:tcPr>
          <w:p w:rsidR="009C042C" w:rsidRPr="009C042C" w:rsidRDefault="009C042C" w:rsidP="00092638">
            <w:pPr>
              <w:pStyle w:val="table1"/>
            </w:pPr>
            <w:r w:rsidRPr="009C042C">
              <w:t>2,340</w:t>
            </w:r>
          </w:p>
        </w:tc>
        <w:tc>
          <w:tcPr>
            <w:tcW w:w="720" w:type="pct"/>
          </w:tcPr>
          <w:p w:rsidR="009C042C" w:rsidRPr="009C042C" w:rsidRDefault="009C042C" w:rsidP="00092638">
            <w:pPr>
              <w:pStyle w:val="table1"/>
            </w:pPr>
            <w:r w:rsidRPr="009C042C">
              <w:t>85</w:t>
            </w:r>
          </w:p>
        </w:tc>
        <w:tc>
          <w:tcPr>
            <w:tcW w:w="769" w:type="pct"/>
          </w:tcPr>
          <w:p w:rsidR="009C042C" w:rsidRPr="009C042C" w:rsidRDefault="009C042C" w:rsidP="00092638">
            <w:pPr>
              <w:pStyle w:val="table1"/>
            </w:pPr>
            <w:r w:rsidRPr="009C042C">
              <w:t>3,895</w:t>
            </w:r>
          </w:p>
        </w:tc>
      </w:tr>
      <w:tr w:rsidR="009C042C" w:rsidRPr="009C042C" w:rsidTr="009C042C">
        <w:tc>
          <w:tcPr>
            <w:tcW w:w="1384" w:type="pct"/>
            <w:vAlign w:val="center"/>
          </w:tcPr>
          <w:p w:rsidR="009C042C" w:rsidRPr="009C042C" w:rsidRDefault="009C042C" w:rsidP="00092638">
            <w:pPr>
              <w:pStyle w:val="table1"/>
              <w:rPr>
                <w:i/>
              </w:rPr>
            </w:pPr>
            <w:r w:rsidRPr="009C042C">
              <w:rPr>
                <w:i/>
              </w:rPr>
              <w:t>Percent difference</w:t>
            </w:r>
          </w:p>
        </w:tc>
        <w:tc>
          <w:tcPr>
            <w:tcW w:w="686" w:type="pct"/>
          </w:tcPr>
          <w:p w:rsidR="009C042C" w:rsidRPr="009C042C" w:rsidRDefault="00221805" w:rsidP="00092638">
            <w:pPr>
              <w:pStyle w:val="table1"/>
              <w:rPr>
                <w:i/>
              </w:rPr>
            </w:pPr>
            <w:r>
              <w:rPr>
                <w:i/>
              </w:rPr>
              <w:t>300</w:t>
            </w:r>
          </w:p>
        </w:tc>
        <w:tc>
          <w:tcPr>
            <w:tcW w:w="720" w:type="pct"/>
          </w:tcPr>
          <w:p w:rsidR="009C042C" w:rsidRPr="009C042C" w:rsidRDefault="00221805" w:rsidP="00092638">
            <w:pPr>
              <w:pStyle w:val="table1"/>
              <w:rPr>
                <w:i/>
              </w:rPr>
            </w:pPr>
            <w:r>
              <w:rPr>
                <w:i/>
              </w:rPr>
              <w:t>950</w:t>
            </w:r>
          </w:p>
        </w:tc>
        <w:tc>
          <w:tcPr>
            <w:tcW w:w="720" w:type="pct"/>
          </w:tcPr>
          <w:p w:rsidR="009C042C" w:rsidRPr="009C042C" w:rsidRDefault="00221805" w:rsidP="00092638">
            <w:pPr>
              <w:pStyle w:val="table1"/>
              <w:rPr>
                <w:i/>
              </w:rPr>
            </w:pPr>
            <w:r>
              <w:rPr>
                <w:i/>
              </w:rPr>
              <w:t>300</w:t>
            </w:r>
          </w:p>
        </w:tc>
        <w:tc>
          <w:tcPr>
            <w:tcW w:w="720" w:type="pct"/>
          </w:tcPr>
          <w:p w:rsidR="009C042C" w:rsidRPr="009C042C" w:rsidRDefault="009C042C" w:rsidP="00092638">
            <w:pPr>
              <w:pStyle w:val="table1"/>
              <w:rPr>
                <w:i/>
              </w:rPr>
            </w:pPr>
            <w:r w:rsidRPr="009C042C">
              <w:rPr>
                <w:i/>
              </w:rPr>
              <w:t>1,600</w:t>
            </w:r>
          </w:p>
        </w:tc>
        <w:tc>
          <w:tcPr>
            <w:tcW w:w="769" w:type="pct"/>
          </w:tcPr>
          <w:p w:rsidR="009C042C" w:rsidRPr="009C042C" w:rsidRDefault="00221805" w:rsidP="00092638">
            <w:pPr>
              <w:pStyle w:val="table1"/>
              <w:rPr>
                <w:i/>
              </w:rPr>
            </w:pPr>
            <w:r>
              <w:rPr>
                <w:i/>
              </w:rPr>
              <w:t>6000</w:t>
            </w:r>
          </w:p>
        </w:tc>
      </w:tr>
      <w:tr w:rsidR="009C042C" w:rsidRPr="009C042C" w:rsidTr="009C042C">
        <w:tc>
          <w:tcPr>
            <w:tcW w:w="1384" w:type="pct"/>
          </w:tcPr>
          <w:p w:rsidR="009C042C" w:rsidRPr="009C042C" w:rsidRDefault="009C042C" w:rsidP="00092638">
            <w:pPr>
              <w:pStyle w:val="table1"/>
            </w:pPr>
            <w:r w:rsidRPr="009C042C">
              <w:t>Mean slurry concentration (n=3)</w:t>
            </w:r>
          </w:p>
        </w:tc>
        <w:tc>
          <w:tcPr>
            <w:tcW w:w="686" w:type="pct"/>
          </w:tcPr>
          <w:p w:rsidR="009C042C" w:rsidRPr="009C042C" w:rsidRDefault="009C042C" w:rsidP="00092638">
            <w:pPr>
              <w:pStyle w:val="table1"/>
            </w:pPr>
            <w:r w:rsidRPr="009C042C">
              <w:t>33,130 mg/L</w:t>
            </w:r>
          </w:p>
        </w:tc>
        <w:tc>
          <w:tcPr>
            <w:tcW w:w="720" w:type="pct"/>
          </w:tcPr>
          <w:p w:rsidR="009C042C" w:rsidRPr="009C042C" w:rsidRDefault="009C042C" w:rsidP="00092638">
            <w:pPr>
              <w:pStyle w:val="table1"/>
            </w:pPr>
            <w:r w:rsidRPr="009C042C">
              <w:t>35,233 mg/L</w:t>
            </w:r>
          </w:p>
        </w:tc>
        <w:tc>
          <w:tcPr>
            <w:tcW w:w="720" w:type="pct"/>
          </w:tcPr>
          <w:p w:rsidR="009C042C" w:rsidRPr="009C042C" w:rsidRDefault="009C042C" w:rsidP="00092638">
            <w:pPr>
              <w:pStyle w:val="table1"/>
            </w:pPr>
            <w:r w:rsidRPr="009C042C">
              <w:t>378,000 mg/L</w:t>
            </w:r>
          </w:p>
        </w:tc>
        <w:tc>
          <w:tcPr>
            <w:tcW w:w="720" w:type="pct"/>
          </w:tcPr>
          <w:p w:rsidR="009C042C" w:rsidRPr="009C042C" w:rsidRDefault="009C042C" w:rsidP="00092638">
            <w:pPr>
              <w:pStyle w:val="table1"/>
            </w:pPr>
            <w:r w:rsidRPr="009C042C">
              <w:t>7,053 mg/L</w:t>
            </w:r>
          </w:p>
        </w:tc>
        <w:tc>
          <w:tcPr>
            <w:tcW w:w="769" w:type="pct"/>
          </w:tcPr>
          <w:p w:rsidR="009C042C" w:rsidRPr="009C042C" w:rsidRDefault="009C042C" w:rsidP="00092638">
            <w:pPr>
              <w:pStyle w:val="table1"/>
            </w:pPr>
            <w:r w:rsidRPr="009C042C">
              <w:t>2,523,300 mg/L (as sulphate)</w:t>
            </w:r>
          </w:p>
        </w:tc>
      </w:tr>
    </w:tbl>
    <w:p w:rsidR="009C042C" w:rsidRPr="009C042C" w:rsidRDefault="009C042C" w:rsidP="009C042C"/>
    <w:p w:rsidR="009C042C" w:rsidRPr="009C042C" w:rsidRDefault="009C042C" w:rsidP="009C042C">
      <w:r w:rsidRPr="009C042C">
        <w:t>To put these results into context of the potential mobilisation and transport of contaminants in rainwater, a very course approximation can be made using a scenario where a given surface area is exposed to a given volume rainfall over a given time. If the area of soil is 1 m</w:t>
      </w:r>
      <w:r w:rsidRPr="009C042C">
        <w:rPr>
          <w:vertAlign w:val="superscript"/>
        </w:rPr>
        <w:t>2</w:t>
      </w:r>
      <w:r w:rsidRPr="009C042C">
        <w:t xml:space="preserve"> and it is assumed </w:t>
      </w:r>
      <w:r w:rsidR="0052439E">
        <w:t>runoff will contact only the surface horizon</w:t>
      </w:r>
      <w:r w:rsidR="0052439E" w:rsidRPr="009C042C">
        <w:t xml:space="preserve"> </w:t>
      </w:r>
      <w:r w:rsidR="0052439E">
        <w:t>due to</w:t>
      </w:r>
      <w:r w:rsidRPr="009C042C">
        <w:t xml:space="preserve"> the highly c</w:t>
      </w:r>
      <w:r w:rsidR="0052439E">
        <w:t>onsolidated nature of the soil, exposure is</w:t>
      </w:r>
      <w:r w:rsidRPr="009C042C">
        <w:t xml:space="preserve"> limited to a depth of 0.01 m</w:t>
      </w:r>
      <w:r w:rsidR="0052439E">
        <w:t>. T</w:t>
      </w:r>
      <w:r w:rsidRPr="009C042C">
        <w:t xml:space="preserve">he total volume of </w:t>
      </w:r>
      <w:proofErr w:type="gramStart"/>
      <w:r w:rsidRPr="009C042C">
        <w:t xml:space="preserve">soil </w:t>
      </w:r>
      <w:r w:rsidR="0052439E">
        <w:t xml:space="preserve"> will</w:t>
      </w:r>
      <w:proofErr w:type="gramEnd"/>
      <w:r w:rsidR="0052439E">
        <w:t xml:space="preserve"> then be</w:t>
      </w:r>
      <w:r w:rsidRPr="009C042C">
        <w:t xml:space="preserve"> 0.01 m</w:t>
      </w:r>
      <w:r w:rsidRPr="009C042C">
        <w:rPr>
          <w:vertAlign w:val="superscript"/>
        </w:rPr>
        <w:t>3</w:t>
      </w:r>
      <w:r w:rsidRPr="009C042C">
        <w:t xml:space="preserve"> (1 m length by 1 m breadth by 0.01 m depth). Very compacted soils are known to have a bulk density of greater than 2 g/cm</w:t>
      </w:r>
      <w:r w:rsidRPr="009C042C">
        <w:rPr>
          <w:vertAlign w:val="superscript"/>
        </w:rPr>
        <w:t>3</w:t>
      </w:r>
      <w:r w:rsidRPr="009C042C">
        <w:t xml:space="preserve"> (</w:t>
      </w:r>
      <w:proofErr w:type="spellStart"/>
      <w:r w:rsidR="00092638">
        <w:rPr>
          <w:lang w:val="en-US"/>
        </w:rPr>
        <w:t>Cresswell</w:t>
      </w:r>
      <w:proofErr w:type="spellEnd"/>
      <w:r w:rsidR="00092638">
        <w:rPr>
          <w:lang w:val="en-US"/>
        </w:rPr>
        <w:t xml:space="preserve"> &amp;</w:t>
      </w:r>
      <w:r w:rsidRPr="009C042C">
        <w:rPr>
          <w:lang w:val="en-US"/>
        </w:rPr>
        <w:t xml:space="preserve"> Hamilton, 2002)</w:t>
      </w:r>
      <w:r w:rsidRPr="009C042C">
        <w:t>, so to assess the worst case scenario the soil bulk density is assumed to be 2.5 g/cm</w:t>
      </w:r>
      <w:r w:rsidRPr="009C042C">
        <w:rPr>
          <w:vertAlign w:val="superscript"/>
        </w:rPr>
        <w:t>3</w:t>
      </w:r>
      <w:r w:rsidRPr="009C042C">
        <w:t>. For the soil volume of 0.01 m</w:t>
      </w:r>
      <w:r w:rsidRPr="009C042C">
        <w:rPr>
          <w:vertAlign w:val="superscript"/>
        </w:rPr>
        <w:t>3</w:t>
      </w:r>
      <w:r w:rsidRPr="009C042C">
        <w:t xml:space="preserve"> the total soil mass will be 25 kg. The soil is highly consolidated and likely to have a low infiltration rate and high rate of surface run off. This means that the contact time between the rainwater and the soil will be brief, however given the laboratory extraction used to derive the data </w:t>
      </w:r>
      <w:r w:rsidRPr="005B4208">
        <w:t xml:space="preserve">in Table </w:t>
      </w:r>
      <w:r w:rsidR="00E52E50" w:rsidRPr="005B4208">
        <w:t>4</w:t>
      </w:r>
      <w:r w:rsidR="00E52E50">
        <w:t>.1</w:t>
      </w:r>
      <w:r w:rsidRPr="009C042C">
        <w:t xml:space="preserve"> was a 24 hour extraction</w:t>
      </w:r>
      <w:r w:rsidR="00E52E50">
        <w:t>,</w:t>
      </w:r>
      <w:r w:rsidRPr="009C042C">
        <w:t xml:space="preserve"> 24 hours will also be used in this scenario. It is unrealistic, but again will present a worst case scenario. The volume of water coming in contact with the soil is assumed to be 0.01 cubic metres (1 m length by 1 m breadth by 0.01 m depth), which is equivalent to 10 litres. So the scenario assumes that 25 kg of soil is exposed to 10 L of rainwater for 24 hours and the estimated concentrations of elements in the surface runoff are shown in </w:t>
      </w:r>
      <w:r w:rsidRPr="005B4208">
        <w:t xml:space="preserve">Table </w:t>
      </w:r>
      <w:r w:rsidR="000A37A4" w:rsidRPr="005B4208">
        <w:t>4.2</w:t>
      </w:r>
      <w:r w:rsidRPr="005B4208">
        <w:t>.</w:t>
      </w:r>
    </w:p>
    <w:p w:rsidR="009C042C" w:rsidRPr="009C042C" w:rsidRDefault="009C042C" w:rsidP="009C042C">
      <w:pPr>
        <w:pStyle w:val="tablecaption"/>
      </w:pPr>
      <w:bookmarkStart w:id="196" w:name="_Toc390766610"/>
      <w:r w:rsidRPr="000A37A4">
        <w:rPr>
          <w:b/>
        </w:rPr>
        <w:t xml:space="preserve">Table </w:t>
      </w:r>
      <w:proofErr w:type="gramStart"/>
      <w:r w:rsidRPr="000A37A4">
        <w:rPr>
          <w:b/>
        </w:rPr>
        <w:t>4.2</w:t>
      </w:r>
      <w:r w:rsidRPr="009C042C">
        <w:t xml:space="preserve">  Estimated</w:t>
      </w:r>
      <w:proofErr w:type="gramEnd"/>
      <w:r w:rsidRPr="009C042C">
        <w:t xml:space="preserve"> runoff concentrations when </w:t>
      </w:r>
      <w:r w:rsidR="007A3580">
        <w:t>25</w:t>
      </w:r>
      <w:r w:rsidRPr="009C042C">
        <w:t xml:space="preserve"> kg</w:t>
      </w:r>
      <w:r w:rsidR="007A3580">
        <w:t xml:space="preserve"> of</w:t>
      </w:r>
      <w:r w:rsidRPr="009C042C">
        <w:t xml:space="preserve"> soil is exposed to 10 L of rainwater over a 24 hour period.</w:t>
      </w:r>
      <w:bookmarkEnd w:id="196"/>
      <w:r w:rsidRPr="009C042C">
        <w:t xml:space="preserve"> </w:t>
      </w:r>
    </w:p>
    <w:tbl>
      <w:tblPr>
        <w:tblStyle w:val="TableGrid"/>
        <w:tblW w:w="0" w:type="auto"/>
        <w:tblLook w:val="04A0"/>
      </w:tblPr>
      <w:tblGrid>
        <w:gridCol w:w="3177"/>
        <w:gridCol w:w="865"/>
        <w:gridCol w:w="954"/>
        <w:gridCol w:w="981"/>
        <w:gridCol w:w="954"/>
        <w:gridCol w:w="1141"/>
      </w:tblGrid>
      <w:tr w:rsidR="009C042C" w:rsidRPr="009C042C" w:rsidTr="009C042C">
        <w:tc>
          <w:tcPr>
            <w:tcW w:w="0" w:type="auto"/>
            <w:vAlign w:val="center"/>
          </w:tcPr>
          <w:p w:rsidR="009C042C" w:rsidRPr="009C042C" w:rsidRDefault="009C042C" w:rsidP="009C042C">
            <w:pPr>
              <w:spacing w:before="60" w:after="60" w:line="200" w:lineRule="atLeast"/>
              <w:jc w:val="left"/>
              <w:rPr>
                <w:rFonts w:ascii="Arial" w:hAnsi="Arial"/>
                <w:b/>
                <w:sz w:val="16"/>
              </w:rPr>
            </w:pPr>
            <w:r w:rsidRPr="009C042C">
              <w:rPr>
                <w:rFonts w:ascii="Arial" w:hAnsi="Arial"/>
                <w:b/>
                <w:sz w:val="16"/>
              </w:rPr>
              <w:t>Sampling Location</w:t>
            </w:r>
          </w:p>
        </w:tc>
        <w:tc>
          <w:tcPr>
            <w:tcW w:w="0" w:type="auto"/>
            <w:vAlign w:val="center"/>
          </w:tcPr>
          <w:p w:rsidR="009C042C" w:rsidRPr="009C042C" w:rsidRDefault="009C042C" w:rsidP="009C042C">
            <w:pPr>
              <w:spacing w:before="60" w:after="60" w:line="200" w:lineRule="atLeast"/>
              <w:jc w:val="left"/>
              <w:rPr>
                <w:rFonts w:ascii="Arial" w:hAnsi="Arial"/>
                <w:b/>
                <w:sz w:val="16"/>
              </w:rPr>
            </w:pPr>
            <w:r w:rsidRPr="009C042C">
              <w:rPr>
                <w:rFonts w:ascii="Arial" w:hAnsi="Arial"/>
                <w:b/>
                <w:sz w:val="16"/>
              </w:rPr>
              <w:t>U (mg/L)</w:t>
            </w:r>
          </w:p>
        </w:tc>
        <w:tc>
          <w:tcPr>
            <w:tcW w:w="0" w:type="auto"/>
            <w:vAlign w:val="center"/>
          </w:tcPr>
          <w:p w:rsidR="009C042C" w:rsidRPr="009C042C" w:rsidRDefault="009C042C" w:rsidP="009C042C">
            <w:pPr>
              <w:spacing w:before="60" w:after="60" w:line="200" w:lineRule="atLeast"/>
              <w:jc w:val="left"/>
              <w:rPr>
                <w:rFonts w:ascii="Arial" w:hAnsi="Arial"/>
                <w:b/>
                <w:sz w:val="16"/>
              </w:rPr>
            </w:pPr>
            <w:r w:rsidRPr="009C042C">
              <w:rPr>
                <w:rFonts w:ascii="Arial" w:hAnsi="Arial"/>
                <w:b/>
                <w:sz w:val="16"/>
              </w:rPr>
              <w:t>Ca (mg/L)</w:t>
            </w:r>
          </w:p>
        </w:tc>
        <w:tc>
          <w:tcPr>
            <w:tcW w:w="0" w:type="auto"/>
            <w:vAlign w:val="center"/>
          </w:tcPr>
          <w:p w:rsidR="009C042C" w:rsidRPr="009C042C" w:rsidRDefault="009C042C" w:rsidP="009C042C">
            <w:pPr>
              <w:spacing w:before="60" w:after="60" w:line="200" w:lineRule="atLeast"/>
              <w:jc w:val="left"/>
              <w:rPr>
                <w:rFonts w:ascii="Arial" w:hAnsi="Arial"/>
                <w:b/>
                <w:sz w:val="16"/>
              </w:rPr>
            </w:pPr>
            <w:r w:rsidRPr="009C042C">
              <w:rPr>
                <w:rFonts w:ascii="Arial" w:hAnsi="Arial"/>
                <w:b/>
                <w:sz w:val="16"/>
              </w:rPr>
              <w:t>Mg (mg/L)</w:t>
            </w:r>
          </w:p>
        </w:tc>
        <w:tc>
          <w:tcPr>
            <w:tcW w:w="0" w:type="auto"/>
            <w:vAlign w:val="center"/>
          </w:tcPr>
          <w:p w:rsidR="009C042C" w:rsidRPr="009C042C" w:rsidRDefault="009C042C" w:rsidP="009C042C">
            <w:pPr>
              <w:spacing w:before="60" w:after="60" w:line="200" w:lineRule="atLeast"/>
              <w:jc w:val="left"/>
              <w:rPr>
                <w:rFonts w:ascii="Arial" w:hAnsi="Arial"/>
                <w:b/>
                <w:sz w:val="16"/>
              </w:rPr>
            </w:pPr>
            <w:r w:rsidRPr="009C042C">
              <w:rPr>
                <w:rFonts w:ascii="Arial" w:hAnsi="Arial"/>
                <w:b/>
                <w:sz w:val="16"/>
              </w:rPr>
              <w:t>Na (mg/L)</w:t>
            </w:r>
          </w:p>
        </w:tc>
        <w:tc>
          <w:tcPr>
            <w:tcW w:w="0" w:type="auto"/>
            <w:vAlign w:val="center"/>
          </w:tcPr>
          <w:p w:rsidR="009C042C" w:rsidRPr="009C042C" w:rsidRDefault="009C042C" w:rsidP="009C042C">
            <w:pPr>
              <w:spacing w:before="60" w:after="60" w:line="200" w:lineRule="atLeast"/>
              <w:jc w:val="left"/>
              <w:rPr>
                <w:rFonts w:ascii="Arial" w:hAnsi="Arial"/>
                <w:b/>
                <w:sz w:val="16"/>
              </w:rPr>
            </w:pPr>
            <w:r w:rsidRPr="009C042C">
              <w:rPr>
                <w:rFonts w:ascii="Arial" w:hAnsi="Arial"/>
                <w:b/>
                <w:sz w:val="16"/>
              </w:rPr>
              <w:t>S (mg/L)</w:t>
            </w:r>
          </w:p>
        </w:tc>
      </w:tr>
      <w:tr w:rsidR="009C042C" w:rsidRPr="009C042C" w:rsidTr="009C042C">
        <w:tc>
          <w:tcPr>
            <w:tcW w:w="0" w:type="auto"/>
            <w:vAlign w:val="center"/>
          </w:tcPr>
          <w:p w:rsidR="009C042C" w:rsidRPr="009C042C" w:rsidRDefault="009C042C" w:rsidP="009C042C">
            <w:pPr>
              <w:spacing w:before="60" w:after="60" w:line="200" w:lineRule="atLeast"/>
              <w:jc w:val="left"/>
              <w:rPr>
                <w:rFonts w:ascii="Arial" w:hAnsi="Arial"/>
                <w:b/>
                <w:sz w:val="16"/>
              </w:rPr>
            </w:pPr>
            <w:r w:rsidRPr="009C042C">
              <w:rPr>
                <w:rFonts w:ascii="Arial" w:hAnsi="Arial"/>
                <w:b/>
                <w:sz w:val="16"/>
              </w:rPr>
              <w:t>Acid plant</w:t>
            </w:r>
          </w:p>
        </w:tc>
        <w:tc>
          <w:tcPr>
            <w:tcW w:w="0" w:type="auto"/>
            <w:vAlign w:val="center"/>
          </w:tcPr>
          <w:p w:rsidR="009C042C" w:rsidRPr="009C042C" w:rsidRDefault="009C042C" w:rsidP="009C042C">
            <w:pPr>
              <w:spacing w:before="60" w:after="60" w:line="200" w:lineRule="atLeast"/>
              <w:jc w:val="left"/>
              <w:rPr>
                <w:rFonts w:ascii="Arial" w:hAnsi="Arial"/>
                <w:sz w:val="16"/>
              </w:rPr>
            </w:pPr>
          </w:p>
        </w:tc>
        <w:tc>
          <w:tcPr>
            <w:tcW w:w="0" w:type="auto"/>
            <w:vAlign w:val="center"/>
          </w:tcPr>
          <w:p w:rsidR="009C042C" w:rsidRPr="009C042C" w:rsidRDefault="009C042C" w:rsidP="009C042C">
            <w:pPr>
              <w:spacing w:before="60" w:after="60" w:line="200" w:lineRule="atLeast"/>
              <w:jc w:val="left"/>
              <w:rPr>
                <w:rFonts w:ascii="Arial" w:hAnsi="Arial"/>
                <w:sz w:val="16"/>
              </w:rPr>
            </w:pPr>
          </w:p>
        </w:tc>
        <w:tc>
          <w:tcPr>
            <w:tcW w:w="0" w:type="auto"/>
            <w:vAlign w:val="center"/>
          </w:tcPr>
          <w:p w:rsidR="009C042C" w:rsidRPr="009C042C" w:rsidRDefault="009C042C" w:rsidP="009C042C">
            <w:pPr>
              <w:spacing w:before="60" w:after="60" w:line="200" w:lineRule="atLeast"/>
              <w:jc w:val="left"/>
              <w:rPr>
                <w:rFonts w:ascii="Arial" w:hAnsi="Arial"/>
                <w:sz w:val="16"/>
              </w:rPr>
            </w:pPr>
          </w:p>
        </w:tc>
        <w:tc>
          <w:tcPr>
            <w:tcW w:w="0" w:type="auto"/>
            <w:vAlign w:val="center"/>
          </w:tcPr>
          <w:p w:rsidR="009C042C" w:rsidRPr="009C042C" w:rsidRDefault="009C042C" w:rsidP="009C042C">
            <w:pPr>
              <w:spacing w:before="60" w:after="60" w:line="200" w:lineRule="atLeast"/>
              <w:jc w:val="left"/>
              <w:rPr>
                <w:rFonts w:ascii="Arial" w:hAnsi="Arial"/>
                <w:sz w:val="16"/>
              </w:rPr>
            </w:pPr>
          </w:p>
        </w:tc>
        <w:tc>
          <w:tcPr>
            <w:tcW w:w="0" w:type="auto"/>
            <w:vAlign w:val="center"/>
          </w:tcPr>
          <w:p w:rsidR="009C042C" w:rsidRPr="009C042C" w:rsidRDefault="009C042C" w:rsidP="009C042C">
            <w:pPr>
              <w:spacing w:before="60" w:after="60" w:line="200" w:lineRule="atLeast"/>
              <w:jc w:val="left"/>
              <w:rPr>
                <w:rFonts w:ascii="Arial" w:hAnsi="Arial"/>
                <w:sz w:val="16"/>
              </w:rPr>
            </w:pPr>
          </w:p>
        </w:tc>
      </w:tr>
      <w:tr w:rsidR="009C042C" w:rsidRPr="009C042C" w:rsidTr="009C042C">
        <w:tc>
          <w:tcPr>
            <w:tcW w:w="0" w:type="auto"/>
            <w:vAlign w:val="center"/>
          </w:tcPr>
          <w:p w:rsidR="009C042C" w:rsidRPr="009C042C" w:rsidRDefault="009C042C" w:rsidP="009C042C">
            <w:pPr>
              <w:spacing w:before="60" w:after="60" w:line="200" w:lineRule="atLeast"/>
              <w:jc w:val="right"/>
              <w:rPr>
                <w:rFonts w:ascii="Arial" w:hAnsi="Arial"/>
                <w:sz w:val="16"/>
              </w:rPr>
            </w:pPr>
            <w:r w:rsidRPr="009C042C">
              <w:rPr>
                <w:rFonts w:ascii="Arial" w:hAnsi="Arial"/>
                <w:sz w:val="16"/>
              </w:rPr>
              <w:t>Control concentration</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1.11</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1,375</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800</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75</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1,933</w:t>
            </w:r>
          </w:p>
        </w:tc>
      </w:tr>
      <w:tr w:rsidR="009C042C" w:rsidRPr="009C042C" w:rsidTr="009C042C">
        <w:tc>
          <w:tcPr>
            <w:tcW w:w="0" w:type="auto"/>
            <w:vAlign w:val="center"/>
          </w:tcPr>
          <w:p w:rsidR="009C042C" w:rsidRPr="009C042C" w:rsidRDefault="009C042C" w:rsidP="009C042C">
            <w:pPr>
              <w:spacing w:before="60" w:after="60" w:line="200" w:lineRule="atLeast"/>
              <w:jc w:val="right"/>
              <w:rPr>
                <w:rFonts w:ascii="Arial" w:hAnsi="Arial"/>
                <w:sz w:val="16"/>
              </w:rPr>
            </w:pPr>
            <w:r w:rsidRPr="009C042C">
              <w:rPr>
                <w:rFonts w:ascii="Arial" w:hAnsi="Arial"/>
                <w:sz w:val="16"/>
              </w:rPr>
              <w:t>Exposed concentration</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25.6</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2,175</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825</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125</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2,373</w:t>
            </w:r>
          </w:p>
        </w:tc>
      </w:tr>
      <w:tr w:rsidR="009C042C" w:rsidRPr="009C042C" w:rsidTr="009C042C">
        <w:tc>
          <w:tcPr>
            <w:tcW w:w="0" w:type="auto"/>
          </w:tcPr>
          <w:p w:rsidR="009C042C" w:rsidRPr="009C042C" w:rsidRDefault="009C042C" w:rsidP="009C042C">
            <w:pPr>
              <w:spacing w:before="60" w:after="60" w:line="200" w:lineRule="atLeast"/>
              <w:jc w:val="left"/>
              <w:rPr>
                <w:rFonts w:ascii="Arial" w:hAnsi="Arial"/>
                <w:b/>
                <w:sz w:val="16"/>
              </w:rPr>
            </w:pPr>
            <w:r w:rsidRPr="009C042C">
              <w:rPr>
                <w:rFonts w:ascii="Arial" w:hAnsi="Arial"/>
                <w:b/>
                <w:sz w:val="16"/>
              </w:rPr>
              <w:t>Crushing transfer tower</w:t>
            </w:r>
          </w:p>
        </w:tc>
        <w:tc>
          <w:tcPr>
            <w:tcW w:w="0" w:type="auto"/>
            <w:vAlign w:val="center"/>
          </w:tcPr>
          <w:p w:rsidR="009C042C" w:rsidRPr="009C042C" w:rsidRDefault="009C042C" w:rsidP="009C042C">
            <w:pPr>
              <w:spacing w:before="60" w:after="60" w:line="200" w:lineRule="atLeast"/>
              <w:jc w:val="left"/>
              <w:rPr>
                <w:rFonts w:ascii="Arial" w:hAnsi="Arial"/>
                <w:sz w:val="16"/>
              </w:rPr>
            </w:pPr>
          </w:p>
        </w:tc>
        <w:tc>
          <w:tcPr>
            <w:tcW w:w="0" w:type="auto"/>
            <w:vAlign w:val="center"/>
          </w:tcPr>
          <w:p w:rsidR="009C042C" w:rsidRPr="009C042C" w:rsidRDefault="009C042C" w:rsidP="009C042C">
            <w:pPr>
              <w:spacing w:before="60" w:after="60" w:line="200" w:lineRule="atLeast"/>
              <w:jc w:val="left"/>
              <w:rPr>
                <w:rFonts w:ascii="Arial" w:hAnsi="Arial"/>
                <w:sz w:val="16"/>
              </w:rPr>
            </w:pPr>
          </w:p>
        </w:tc>
        <w:tc>
          <w:tcPr>
            <w:tcW w:w="0" w:type="auto"/>
            <w:vAlign w:val="center"/>
          </w:tcPr>
          <w:p w:rsidR="009C042C" w:rsidRPr="009C042C" w:rsidRDefault="009C042C" w:rsidP="009C042C">
            <w:pPr>
              <w:spacing w:before="60" w:after="60" w:line="200" w:lineRule="atLeast"/>
              <w:jc w:val="left"/>
              <w:rPr>
                <w:rFonts w:ascii="Arial" w:hAnsi="Arial"/>
                <w:sz w:val="16"/>
              </w:rPr>
            </w:pPr>
          </w:p>
        </w:tc>
        <w:tc>
          <w:tcPr>
            <w:tcW w:w="0" w:type="auto"/>
            <w:vAlign w:val="center"/>
          </w:tcPr>
          <w:p w:rsidR="009C042C" w:rsidRPr="009C042C" w:rsidRDefault="009C042C" w:rsidP="009C042C">
            <w:pPr>
              <w:spacing w:before="60" w:after="60" w:line="200" w:lineRule="atLeast"/>
              <w:jc w:val="left"/>
              <w:rPr>
                <w:rFonts w:ascii="Arial" w:hAnsi="Arial"/>
                <w:sz w:val="16"/>
              </w:rPr>
            </w:pPr>
          </w:p>
        </w:tc>
        <w:tc>
          <w:tcPr>
            <w:tcW w:w="0" w:type="auto"/>
            <w:vAlign w:val="center"/>
          </w:tcPr>
          <w:p w:rsidR="009C042C" w:rsidRPr="009C042C" w:rsidRDefault="009C042C" w:rsidP="009C042C">
            <w:pPr>
              <w:spacing w:before="60" w:after="60" w:line="200" w:lineRule="atLeast"/>
              <w:jc w:val="left"/>
              <w:rPr>
                <w:rFonts w:ascii="Arial" w:hAnsi="Arial"/>
                <w:sz w:val="16"/>
              </w:rPr>
            </w:pPr>
          </w:p>
        </w:tc>
      </w:tr>
      <w:tr w:rsidR="009C042C" w:rsidRPr="009C042C" w:rsidTr="009C042C">
        <w:tc>
          <w:tcPr>
            <w:tcW w:w="0" w:type="auto"/>
            <w:vAlign w:val="center"/>
          </w:tcPr>
          <w:p w:rsidR="009C042C" w:rsidRPr="009C042C" w:rsidRDefault="009C042C" w:rsidP="009C042C">
            <w:pPr>
              <w:spacing w:before="60" w:after="60" w:line="200" w:lineRule="atLeast"/>
              <w:jc w:val="right"/>
              <w:rPr>
                <w:rFonts w:ascii="Arial" w:hAnsi="Arial"/>
                <w:sz w:val="16"/>
              </w:rPr>
            </w:pPr>
            <w:r w:rsidRPr="009C042C">
              <w:rPr>
                <w:rFonts w:ascii="Arial" w:hAnsi="Arial"/>
                <w:sz w:val="16"/>
              </w:rPr>
              <w:t>Control concentration</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30.0</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350</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1,438</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12.5</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160</w:t>
            </w:r>
          </w:p>
        </w:tc>
      </w:tr>
      <w:tr w:rsidR="009C042C" w:rsidRPr="009C042C" w:rsidTr="009C042C">
        <w:tc>
          <w:tcPr>
            <w:tcW w:w="0" w:type="auto"/>
            <w:vAlign w:val="center"/>
          </w:tcPr>
          <w:p w:rsidR="009C042C" w:rsidRPr="009C042C" w:rsidRDefault="009C042C" w:rsidP="009C042C">
            <w:pPr>
              <w:spacing w:before="60" w:after="60" w:line="200" w:lineRule="atLeast"/>
              <w:jc w:val="right"/>
              <w:rPr>
                <w:rFonts w:ascii="Arial" w:hAnsi="Arial"/>
                <w:sz w:val="16"/>
              </w:rPr>
            </w:pPr>
            <w:r w:rsidRPr="009C042C">
              <w:rPr>
                <w:rFonts w:ascii="Arial" w:hAnsi="Arial"/>
                <w:sz w:val="16"/>
              </w:rPr>
              <w:t>Exposed concentration</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123</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3,663</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5,850</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213</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9,738</w:t>
            </w:r>
          </w:p>
        </w:tc>
      </w:tr>
      <w:tr w:rsidR="009C042C" w:rsidRPr="009C042C" w:rsidTr="009C042C">
        <w:tc>
          <w:tcPr>
            <w:tcW w:w="0" w:type="auto"/>
          </w:tcPr>
          <w:p w:rsidR="009C042C" w:rsidRPr="009C042C" w:rsidRDefault="009C042C" w:rsidP="009C042C">
            <w:pPr>
              <w:spacing w:before="60" w:after="60" w:line="200" w:lineRule="atLeast"/>
              <w:jc w:val="left"/>
              <w:rPr>
                <w:rFonts w:ascii="Arial" w:hAnsi="Arial"/>
                <w:b/>
                <w:sz w:val="16"/>
              </w:rPr>
            </w:pPr>
            <w:r w:rsidRPr="009C042C">
              <w:rPr>
                <w:rFonts w:ascii="Arial" w:hAnsi="Arial"/>
                <w:b/>
                <w:sz w:val="16"/>
              </w:rPr>
              <w:t>Mean slurry concentration (n=3)</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33,130</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35,233</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378,000</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7,053</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2,523,300</w:t>
            </w:r>
            <w:r w:rsidRPr="009C042C">
              <w:rPr>
                <w:rFonts w:ascii="Arial" w:hAnsi="Arial"/>
                <w:sz w:val="16"/>
              </w:rPr>
              <w:br/>
              <w:t>(as sulphate)</w:t>
            </w:r>
          </w:p>
        </w:tc>
      </w:tr>
      <w:tr w:rsidR="009C042C" w:rsidRPr="009C042C" w:rsidTr="009C042C">
        <w:tc>
          <w:tcPr>
            <w:tcW w:w="0" w:type="auto"/>
          </w:tcPr>
          <w:p w:rsidR="009C042C" w:rsidRPr="009C042C" w:rsidRDefault="009C042C" w:rsidP="009C042C">
            <w:pPr>
              <w:spacing w:before="60" w:after="60" w:line="200" w:lineRule="atLeast"/>
              <w:jc w:val="left"/>
              <w:rPr>
                <w:rFonts w:ascii="Arial" w:hAnsi="Arial"/>
                <w:b/>
                <w:sz w:val="16"/>
              </w:rPr>
            </w:pPr>
            <w:r w:rsidRPr="009C042C">
              <w:rPr>
                <w:rFonts w:ascii="Arial" w:hAnsi="Arial"/>
                <w:b/>
                <w:sz w:val="16"/>
              </w:rPr>
              <w:t>Indicative RP2 concentration</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4</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53</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230</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NA</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1,010</w:t>
            </w:r>
            <w:r w:rsidRPr="009C042C">
              <w:rPr>
                <w:rFonts w:ascii="Arial" w:hAnsi="Arial"/>
                <w:sz w:val="16"/>
              </w:rPr>
              <w:br/>
              <w:t>(as sulphate)</w:t>
            </w:r>
          </w:p>
        </w:tc>
      </w:tr>
      <w:tr w:rsidR="009C042C" w:rsidRPr="009C042C" w:rsidTr="009C042C">
        <w:tc>
          <w:tcPr>
            <w:tcW w:w="0" w:type="auto"/>
            <w:vAlign w:val="center"/>
          </w:tcPr>
          <w:p w:rsidR="009C042C" w:rsidRPr="009C042C" w:rsidRDefault="009C042C" w:rsidP="009C042C">
            <w:pPr>
              <w:spacing w:before="60" w:after="60" w:line="200" w:lineRule="atLeast"/>
              <w:jc w:val="left"/>
              <w:rPr>
                <w:rFonts w:ascii="Arial" w:hAnsi="Arial"/>
                <w:b/>
                <w:sz w:val="16"/>
              </w:rPr>
            </w:pPr>
            <w:r w:rsidRPr="009C042C">
              <w:rPr>
                <w:rFonts w:ascii="Arial" w:hAnsi="Arial"/>
                <w:b/>
                <w:sz w:val="16"/>
              </w:rPr>
              <w:t>Indicative process water concentration</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24</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519</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6,219</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NA</w:t>
            </w:r>
          </w:p>
        </w:tc>
        <w:tc>
          <w:tcPr>
            <w:tcW w:w="0" w:type="auto"/>
            <w:vAlign w:val="center"/>
          </w:tcPr>
          <w:p w:rsidR="009C042C" w:rsidRPr="009C042C" w:rsidRDefault="009C042C" w:rsidP="009C042C">
            <w:pPr>
              <w:spacing w:before="60" w:after="60" w:line="200" w:lineRule="atLeast"/>
              <w:jc w:val="left"/>
              <w:rPr>
                <w:rFonts w:ascii="Arial" w:hAnsi="Arial"/>
                <w:sz w:val="16"/>
              </w:rPr>
            </w:pPr>
            <w:r w:rsidRPr="009C042C">
              <w:rPr>
                <w:rFonts w:ascii="Arial" w:hAnsi="Arial"/>
                <w:sz w:val="16"/>
              </w:rPr>
              <w:t>32,458</w:t>
            </w:r>
            <w:r w:rsidRPr="009C042C">
              <w:rPr>
                <w:rFonts w:ascii="Arial" w:hAnsi="Arial"/>
                <w:sz w:val="16"/>
              </w:rPr>
              <w:br/>
              <w:t>(as sulphate)</w:t>
            </w:r>
          </w:p>
        </w:tc>
      </w:tr>
    </w:tbl>
    <w:p w:rsidR="009C042C" w:rsidRPr="009C042C" w:rsidRDefault="009C042C" w:rsidP="009C042C"/>
    <w:p w:rsidR="009C042C" w:rsidRDefault="009C042C" w:rsidP="009C042C">
      <w:r w:rsidRPr="009C042C">
        <w:t xml:space="preserve">The values </w:t>
      </w:r>
      <w:r w:rsidRPr="005B4208">
        <w:t>in Table 4.2</w:t>
      </w:r>
      <w:r w:rsidRPr="009C042C">
        <w:t xml:space="preserve"> are likely to be gross overestimates given that a conservative soil bulk density is used and because it is highly unlikely that the contact period between the soil and the water will be so high. Furthermore, prior to the laboratory extraction the samples were homogenised and the surface area for contact between the soil particles and the water would have been far greater than would occur </w:t>
      </w:r>
      <w:r w:rsidR="0052439E">
        <w:rPr>
          <w:i/>
        </w:rPr>
        <w:t xml:space="preserve">in </w:t>
      </w:r>
      <w:r w:rsidRPr="0052439E">
        <w:rPr>
          <w:i/>
        </w:rPr>
        <w:t>situ</w:t>
      </w:r>
      <w:r w:rsidRPr="009C042C">
        <w:t>. However, the data show that while there is potential that elevated concentrations of key elements might be mobilised from the soils exposed to the slurry, the background concentrations are also high compared to the indicative RP2 and process water concentrations.</w:t>
      </w:r>
      <w:r>
        <w:t xml:space="preserve"> </w:t>
      </w:r>
    </w:p>
    <w:p w:rsidR="000A37A4" w:rsidRDefault="000A37A4" w:rsidP="000A37A4">
      <w:pPr>
        <w:pStyle w:val="Heading5"/>
      </w:pPr>
      <w:r>
        <w:t>Zone 1 Clearance</w:t>
      </w:r>
    </w:p>
    <w:p w:rsidR="000A37A4" w:rsidRPr="000A37A4" w:rsidRDefault="000A37A4" w:rsidP="000A37A4">
      <w:r w:rsidRPr="000A37A4">
        <w:t xml:space="preserve">Given that RP2 water was used in the wash down process all of the samples will exhibit baseline chemistry values that reflect RP2 water quality. This baseline was defined by analysing a sample taken directly from the water cart (J0269 Water Cart). The </w:t>
      </w:r>
      <w:proofErr w:type="spellStart"/>
      <w:r w:rsidRPr="000A37A4">
        <w:t>analyte</w:t>
      </w:r>
      <w:proofErr w:type="spellEnd"/>
      <w:r w:rsidRPr="000A37A4">
        <w:t xml:space="preserve"> concentrations measured in each sample were then normalised by subtracting the baseline values, as measured in the water cart sample. The resultant concentrations shown </w:t>
      </w:r>
      <w:r w:rsidRPr="005B4208">
        <w:t xml:space="preserve">in Table 4.3 are assumed to represent the concentrations that would be present in rainwater </w:t>
      </w:r>
      <w:r w:rsidR="00074680">
        <w:t>runoff</w:t>
      </w:r>
      <w:r w:rsidRPr="005B4208">
        <w:t xml:space="preserve"> from the Zone 1 area. These concentrations are compared to the indicative water quality classes as described in ERA’s Water Management Plan (2013). In some samples some of the </w:t>
      </w:r>
      <w:proofErr w:type="spellStart"/>
      <w:r w:rsidRPr="005B4208">
        <w:t>analyte</w:t>
      </w:r>
      <w:proofErr w:type="spellEnd"/>
      <w:r w:rsidRPr="005B4208">
        <w:t xml:space="preserve"> concentrations were similar to the baseline RP2 concentrations. They are indicated in Table 4.3 by “RP2”.</w:t>
      </w:r>
      <w:r w:rsidRPr="000A37A4">
        <w:t xml:space="preserve"> </w:t>
      </w:r>
    </w:p>
    <w:p w:rsidR="00CC5FB9" w:rsidRDefault="00CC5FB9">
      <w:pPr>
        <w:spacing w:after="0" w:line="240" w:lineRule="auto"/>
        <w:jc w:val="left"/>
        <w:rPr>
          <w:rFonts w:ascii="Arial" w:hAnsi="Arial"/>
          <w:b/>
          <w:sz w:val="18"/>
        </w:rPr>
      </w:pPr>
      <w:r>
        <w:rPr>
          <w:b/>
        </w:rPr>
        <w:br w:type="page"/>
      </w:r>
    </w:p>
    <w:p w:rsidR="000A37A4" w:rsidRPr="000A37A4" w:rsidRDefault="000A37A4" w:rsidP="000A37A4">
      <w:pPr>
        <w:pStyle w:val="tablecaption"/>
      </w:pPr>
      <w:bookmarkStart w:id="197" w:name="_Toc390766611"/>
      <w:r w:rsidRPr="000A37A4">
        <w:rPr>
          <w:b/>
        </w:rPr>
        <w:t>Table 4.3</w:t>
      </w:r>
      <w:r w:rsidRPr="000A37A4">
        <w:t xml:space="preserve"> Key dissolved </w:t>
      </w:r>
      <w:proofErr w:type="spellStart"/>
      <w:r w:rsidRPr="000A37A4">
        <w:t>analyte</w:t>
      </w:r>
      <w:proofErr w:type="spellEnd"/>
      <w:r w:rsidRPr="000A37A4">
        <w:t xml:space="preserve"> concentrations measured in runoff from Zone 1</w:t>
      </w:r>
      <w:bookmarkEnd w:id="197"/>
      <w:r w:rsidR="00EE509B">
        <w:t>.</w:t>
      </w:r>
    </w:p>
    <w:tbl>
      <w:tblPr>
        <w:tblStyle w:val="TableGrid"/>
        <w:tblW w:w="5000" w:type="pct"/>
        <w:tblLook w:val="04A0"/>
      </w:tblPr>
      <w:tblGrid>
        <w:gridCol w:w="959"/>
        <w:gridCol w:w="3294"/>
        <w:gridCol w:w="847"/>
        <w:gridCol w:w="849"/>
        <w:gridCol w:w="849"/>
        <w:gridCol w:w="849"/>
        <w:gridCol w:w="875"/>
      </w:tblGrid>
      <w:tr w:rsidR="000A37A4" w:rsidTr="000A37A4">
        <w:tc>
          <w:tcPr>
            <w:tcW w:w="565" w:type="pct"/>
            <w:tcBorders>
              <w:top w:val="single" w:sz="4" w:space="0" w:color="auto"/>
              <w:left w:val="single" w:sz="4" w:space="0" w:color="auto"/>
              <w:bottom w:val="single" w:sz="4" w:space="0" w:color="auto"/>
              <w:right w:val="nil"/>
            </w:tcBorders>
          </w:tcPr>
          <w:p w:rsidR="000A37A4" w:rsidRPr="00221805" w:rsidRDefault="000A37A4" w:rsidP="000A37A4">
            <w:pPr>
              <w:spacing w:after="0"/>
              <w:rPr>
                <w:rFonts w:ascii="Arial" w:hAnsi="Arial" w:cs="Arial"/>
                <w:b/>
                <w:sz w:val="16"/>
                <w:szCs w:val="16"/>
              </w:rPr>
            </w:pPr>
            <w:r w:rsidRPr="00221805">
              <w:rPr>
                <w:rFonts w:ascii="Arial" w:hAnsi="Arial" w:cs="Arial"/>
                <w:b/>
                <w:sz w:val="16"/>
                <w:szCs w:val="16"/>
              </w:rPr>
              <w:t>Sample No.</w:t>
            </w:r>
          </w:p>
        </w:tc>
        <w:tc>
          <w:tcPr>
            <w:tcW w:w="1935" w:type="pct"/>
            <w:tcBorders>
              <w:top w:val="single" w:sz="4" w:space="0" w:color="auto"/>
              <w:left w:val="nil"/>
              <w:bottom w:val="single" w:sz="4" w:space="0" w:color="auto"/>
              <w:right w:val="nil"/>
            </w:tcBorders>
          </w:tcPr>
          <w:p w:rsidR="000A37A4" w:rsidRPr="00221805" w:rsidRDefault="000A37A4" w:rsidP="000A37A4">
            <w:pPr>
              <w:spacing w:after="0"/>
              <w:rPr>
                <w:rFonts w:ascii="Arial" w:hAnsi="Arial" w:cs="Arial"/>
                <w:b/>
                <w:sz w:val="16"/>
                <w:szCs w:val="16"/>
              </w:rPr>
            </w:pPr>
            <w:r w:rsidRPr="00221805">
              <w:rPr>
                <w:rFonts w:ascii="Arial" w:hAnsi="Arial" w:cs="Arial"/>
                <w:b/>
                <w:sz w:val="16"/>
                <w:szCs w:val="16"/>
              </w:rPr>
              <w:t>Location</w:t>
            </w:r>
          </w:p>
        </w:tc>
        <w:tc>
          <w:tcPr>
            <w:tcW w:w="499" w:type="pct"/>
            <w:tcBorders>
              <w:top w:val="single" w:sz="4" w:space="0" w:color="auto"/>
              <w:left w:val="nil"/>
              <w:bottom w:val="single" w:sz="4" w:space="0" w:color="auto"/>
              <w:right w:val="nil"/>
            </w:tcBorders>
          </w:tcPr>
          <w:p w:rsidR="000A37A4" w:rsidRPr="00221805" w:rsidRDefault="000A37A4" w:rsidP="000A37A4">
            <w:pPr>
              <w:spacing w:after="0"/>
              <w:rPr>
                <w:rFonts w:ascii="Arial" w:hAnsi="Arial" w:cs="Arial"/>
                <w:b/>
                <w:sz w:val="16"/>
                <w:szCs w:val="16"/>
              </w:rPr>
            </w:pPr>
            <w:proofErr w:type="spellStart"/>
            <w:r w:rsidRPr="00221805">
              <w:rPr>
                <w:rFonts w:ascii="Arial" w:hAnsi="Arial" w:cs="Arial"/>
                <w:b/>
                <w:sz w:val="16"/>
                <w:szCs w:val="16"/>
              </w:rPr>
              <w:t>Mg_F</w:t>
            </w:r>
            <w:proofErr w:type="spellEnd"/>
          </w:p>
          <w:p w:rsidR="000A37A4" w:rsidRPr="00221805" w:rsidRDefault="000A37A4" w:rsidP="000A37A4">
            <w:pPr>
              <w:spacing w:after="0"/>
              <w:rPr>
                <w:rFonts w:ascii="Arial" w:hAnsi="Arial" w:cs="Arial"/>
                <w:b/>
                <w:sz w:val="16"/>
                <w:szCs w:val="16"/>
              </w:rPr>
            </w:pPr>
            <w:r w:rsidRPr="00221805">
              <w:rPr>
                <w:rFonts w:ascii="Arial" w:hAnsi="Arial" w:cs="Arial"/>
                <w:b/>
                <w:sz w:val="16"/>
                <w:szCs w:val="16"/>
              </w:rPr>
              <w:t>mg/L</w:t>
            </w:r>
          </w:p>
        </w:tc>
        <w:tc>
          <w:tcPr>
            <w:tcW w:w="500" w:type="pct"/>
            <w:tcBorders>
              <w:top w:val="single" w:sz="4" w:space="0" w:color="auto"/>
              <w:left w:val="nil"/>
              <w:bottom w:val="single" w:sz="4" w:space="0" w:color="auto"/>
              <w:right w:val="nil"/>
            </w:tcBorders>
          </w:tcPr>
          <w:p w:rsidR="000A37A4" w:rsidRPr="00221805" w:rsidRDefault="000A37A4" w:rsidP="000A37A4">
            <w:pPr>
              <w:spacing w:after="0"/>
              <w:rPr>
                <w:rFonts w:ascii="Arial" w:hAnsi="Arial" w:cs="Arial"/>
                <w:b/>
                <w:sz w:val="16"/>
                <w:szCs w:val="16"/>
              </w:rPr>
            </w:pPr>
            <w:proofErr w:type="spellStart"/>
            <w:r w:rsidRPr="00221805">
              <w:rPr>
                <w:rFonts w:ascii="Arial" w:hAnsi="Arial" w:cs="Arial"/>
                <w:b/>
                <w:sz w:val="16"/>
                <w:szCs w:val="16"/>
              </w:rPr>
              <w:t>Mn_F</w:t>
            </w:r>
            <w:proofErr w:type="spellEnd"/>
          </w:p>
          <w:p w:rsidR="000A37A4" w:rsidRPr="00221805" w:rsidRDefault="000A37A4" w:rsidP="000A37A4">
            <w:pPr>
              <w:spacing w:after="0"/>
              <w:rPr>
                <w:rFonts w:ascii="Arial" w:hAnsi="Arial" w:cs="Arial"/>
                <w:b/>
                <w:sz w:val="16"/>
                <w:szCs w:val="16"/>
              </w:rPr>
            </w:pPr>
            <w:r w:rsidRPr="00221805">
              <w:rPr>
                <w:rFonts w:ascii="Arial" w:hAnsi="Arial" w:cs="Arial"/>
                <w:b/>
                <w:sz w:val="16"/>
                <w:szCs w:val="16"/>
              </w:rPr>
              <w:t>mg/L</w:t>
            </w:r>
          </w:p>
        </w:tc>
        <w:tc>
          <w:tcPr>
            <w:tcW w:w="500" w:type="pct"/>
            <w:tcBorders>
              <w:top w:val="single" w:sz="4" w:space="0" w:color="auto"/>
              <w:left w:val="nil"/>
              <w:bottom w:val="single" w:sz="4" w:space="0" w:color="auto"/>
              <w:right w:val="nil"/>
            </w:tcBorders>
          </w:tcPr>
          <w:p w:rsidR="000A37A4" w:rsidRPr="00221805" w:rsidRDefault="000A37A4" w:rsidP="000A37A4">
            <w:pPr>
              <w:spacing w:after="0"/>
              <w:rPr>
                <w:rFonts w:ascii="Arial" w:hAnsi="Arial" w:cs="Arial"/>
                <w:b/>
                <w:sz w:val="16"/>
                <w:szCs w:val="16"/>
              </w:rPr>
            </w:pPr>
            <w:r w:rsidRPr="00221805">
              <w:rPr>
                <w:rFonts w:ascii="Arial" w:hAnsi="Arial" w:cs="Arial"/>
                <w:b/>
                <w:sz w:val="16"/>
                <w:szCs w:val="16"/>
              </w:rPr>
              <w:t>SO4_F</w:t>
            </w:r>
          </w:p>
          <w:p w:rsidR="000A37A4" w:rsidRPr="00221805" w:rsidRDefault="000A37A4" w:rsidP="000A37A4">
            <w:pPr>
              <w:spacing w:after="0"/>
              <w:rPr>
                <w:rFonts w:ascii="Arial" w:hAnsi="Arial" w:cs="Arial"/>
                <w:b/>
                <w:sz w:val="16"/>
                <w:szCs w:val="16"/>
              </w:rPr>
            </w:pPr>
            <w:r w:rsidRPr="00221805">
              <w:rPr>
                <w:rFonts w:ascii="Arial" w:hAnsi="Arial" w:cs="Arial"/>
                <w:b/>
                <w:sz w:val="16"/>
                <w:szCs w:val="16"/>
              </w:rPr>
              <w:t>mg/L</w:t>
            </w:r>
          </w:p>
        </w:tc>
        <w:tc>
          <w:tcPr>
            <w:tcW w:w="500" w:type="pct"/>
            <w:tcBorders>
              <w:top w:val="single" w:sz="4" w:space="0" w:color="auto"/>
              <w:left w:val="nil"/>
              <w:bottom w:val="single" w:sz="4" w:space="0" w:color="auto"/>
              <w:right w:val="nil"/>
            </w:tcBorders>
          </w:tcPr>
          <w:p w:rsidR="000A37A4" w:rsidRPr="00221805" w:rsidRDefault="000A37A4" w:rsidP="000A37A4">
            <w:pPr>
              <w:spacing w:after="0"/>
              <w:rPr>
                <w:rFonts w:ascii="Arial" w:hAnsi="Arial" w:cs="Arial"/>
                <w:b/>
                <w:sz w:val="16"/>
                <w:szCs w:val="16"/>
              </w:rPr>
            </w:pPr>
            <w:r w:rsidRPr="00221805">
              <w:rPr>
                <w:rFonts w:ascii="Arial" w:hAnsi="Arial" w:cs="Arial"/>
                <w:b/>
                <w:sz w:val="16"/>
                <w:szCs w:val="16"/>
              </w:rPr>
              <w:t>U_F</w:t>
            </w:r>
          </w:p>
          <w:p w:rsidR="000A37A4" w:rsidRPr="00221805" w:rsidRDefault="000A37A4" w:rsidP="000A37A4">
            <w:pPr>
              <w:spacing w:after="0"/>
              <w:rPr>
                <w:rFonts w:ascii="Arial" w:hAnsi="Arial" w:cs="Arial"/>
                <w:b/>
                <w:sz w:val="16"/>
                <w:szCs w:val="16"/>
              </w:rPr>
            </w:pPr>
            <w:r w:rsidRPr="00221805">
              <w:rPr>
                <w:rFonts w:ascii="Arial" w:hAnsi="Arial" w:cs="Arial"/>
                <w:b/>
                <w:sz w:val="16"/>
                <w:szCs w:val="16"/>
              </w:rPr>
              <w:t>µg/L</w:t>
            </w:r>
          </w:p>
        </w:tc>
        <w:tc>
          <w:tcPr>
            <w:tcW w:w="500" w:type="pct"/>
            <w:tcBorders>
              <w:top w:val="single" w:sz="4" w:space="0" w:color="auto"/>
              <w:left w:val="nil"/>
              <w:bottom w:val="single" w:sz="4" w:space="0" w:color="auto"/>
              <w:right w:val="single" w:sz="4" w:space="0" w:color="auto"/>
            </w:tcBorders>
          </w:tcPr>
          <w:p w:rsidR="000A37A4" w:rsidRPr="00221805" w:rsidRDefault="000A37A4" w:rsidP="000A37A4">
            <w:pPr>
              <w:spacing w:after="0"/>
              <w:rPr>
                <w:rFonts w:ascii="Arial" w:hAnsi="Arial" w:cs="Arial"/>
                <w:b/>
                <w:snapToGrid w:val="0"/>
                <w:color w:val="000000"/>
                <w:sz w:val="16"/>
                <w:szCs w:val="16"/>
                <w:u w:color="000000"/>
              </w:rPr>
            </w:pPr>
            <w:r w:rsidRPr="00221805">
              <w:rPr>
                <w:rFonts w:ascii="Arial" w:hAnsi="Arial" w:cs="Arial"/>
                <w:b/>
                <w:snapToGrid w:val="0"/>
                <w:color w:val="000000"/>
                <w:position w:val="5"/>
                <w:sz w:val="16"/>
                <w:szCs w:val="16"/>
                <w:u w:color="000000"/>
              </w:rPr>
              <w:t>226</w:t>
            </w:r>
            <w:proofErr w:type="spellStart"/>
            <w:r w:rsidRPr="00221805">
              <w:rPr>
                <w:rFonts w:ascii="Arial" w:hAnsi="Arial" w:cs="Arial"/>
                <w:b/>
                <w:snapToGrid w:val="0"/>
                <w:color w:val="000000"/>
                <w:sz w:val="16"/>
                <w:szCs w:val="16"/>
                <w:u w:color="000000"/>
              </w:rPr>
              <w:t>Ra_F</w:t>
            </w:r>
            <w:proofErr w:type="spellEnd"/>
          </w:p>
          <w:p w:rsidR="000A37A4" w:rsidRPr="00221805" w:rsidRDefault="000A37A4" w:rsidP="000A37A4">
            <w:pPr>
              <w:spacing w:after="0"/>
              <w:rPr>
                <w:rFonts w:ascii="Arial" w:hAnsi="Arial" w:cs="Arial"/>
                <w:b/>
                <w:sz w:val="16"/>
                <w:szCs w:val="16"/>
              </w:rPr>
            </w:pPr>
            <w:proofErr w:type="spellStart"/>
            <w:r w:rsidRPr="00221805">
              <w:rPr>
                <w:rFonts w:ascii="Arial" w:hAnsi="Arial" w:cs="Arial"/>
                <w:b/>
                <w:snapToGrid w:val="0"/>
                <w:color w:val="000000"/>
                <w:sz w:val="16"/>
                <w:szCs w:val="16"/>
                <w:u w:color="000000"/>
              </w:rPr>
              <w:t>mBq</w:t>
            </w:r>
            <w:proofErr w:type="spellEnd"/>
            <w:r w:rsidRPr="00221805">
              <w:rPr>
                <w:rFonts w:ascii="Arial" w:hAnsi="Arial" w:cs="Arial"/>
                <w:b/>
                <w:snapToGrid w:val="0"/>
                <w:color w:val="000000"/>
                <w:sz w:val="16"/>
                <w:szCs w:val="16"/>
                <w:u w:color="000000"/>
              </w:rPr>
              <w:t>/L</w:t>
            </w:r>
          </w:p>
        </w:tc>
      </w:tr>
      <w:tr w:rsidR="000A37A4" w:rsidTr="000A37A4">
        <w:tc>
          <w:tcPr>
            <w:tcW w:w="565" w:type="pct"/>
            <w:tcBorders>
              <w:top w:val="single" w:sz="4" w:space="0" w:color="auto"/>
              <w:left w:val="single" w:sz="4" w:space="0" w:color="auto"/>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JO263</w:t>
            </w:r>
          </w:p>
        </w:tc>
        <w:tc>
          <w:tcPr>
            <w:tcW w:w="1935" w:type="pct"/>
            <w:tcBorders>
              <w:top w:val="single" w:sz="4" w:space="0" w:color="auto"/>
              <w:left w:val="nil"/>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Site 1 (WS1)</w:t>
            </w:r>
          </w:p>
        </w:tc>
        <w:tc>
          <w:tcPr>
            <w:tcW w:w="499" w:type="pct"/>
            <w:tcBorders>
              <w:top w:val="single" w:sz="4" w:space="0" w:color="auto"/>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91.0</w:t>
            </w:r>
          </w:p>
        </w:tc>
        <w:tc>
          <w:tcPr>
            <w:tcW w:w="500" w:type="pct"/>
            <w:tcBorders>
              <w:top w:val="single" w:sz="4" w:space="0" w:color="auto"/>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14.3</w:t>
            </w:r>
          </w:p>
        </w:tc>
        <w:tc>
          <w:tcPr>
            <w:tcW w:w="500" w:type="pct"/>
            <w:tcBorders>
              <w:top w:val="single" w:sz="4" w:space="0" w:color="auto"/>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486</w:t>
            </w:r>
          </w:p>
        </w:tc>
        <w:tc>
          <w:tcPr>
            <w:tcW w:w="500" w:type="pct"/>
            <w:tcBorders>
              <w:top w:val="single" w:sz="4" w:space="0" w:color="auto"/>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70.0</w:t>
            </w:r>
          </w:p>
        </w:tc>
        <w:tc>
          <w:tcPr>
            <w:tcW w:w="500" w:type="pct"/>
            <w:tcBorders>
              <w:top w:val="single" w:sz="4" w:space="0" w:color="auto"/>
              <w:left w:val="nil"/>
              <w:bottom w:val="nil"/>
              <w:right w:val="single" w:sz="4" w:space="0" w:color="auto"/>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4370</w:t>
            </w:r>
          </w:p>
        </w:tc>
      </w:tr>
      <w:tr w:rsidR="000A37A4" w:rsidTr="000A37A4">
        <w:tc>
          <w:tcPr>
            <w:tcW w:w="565" w:type="pct"/>
            <w:tcBorders>
              <w:top w:val="nil"/>
              <w:left w:val="single" w:sz="4" w:space="0" w:color="auto"/>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JO264</w:t>
            </w:r>
          </w:p>
        </w:tc>
        <w:tc>
          <w:tcPr>
            <w:tcW w:w="1935" w:type="pct"/>
            <w:tcBorders>
              <w:top w:val="nil"/>
              <w:left w:val="nil"/>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Site 2 (WS2)</w:t>
            </w:r>
          </w:p>
        </w:tc>
        <w:tc>
          <w:tcPr>
            <w:tcW w:w="499"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361</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83.1</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1930</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3750</w:t>
            </w:r>
          </w:p>
        </w:tc>
        <w:tc>
          <w:tcPr>
            <w:tcW w:w="500" w:type="pct"/>
            <w:tcBorders>
              <w:top w:val="nil"/>
              <w:left w:val="nil"/>
              <w:bottom w:val="nil"/>
              <w:right w:val="single" w:sz="4" w:space="0" w:color="auto"/>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109</w:t>
            </w:r>
          </w:p>
        </w:tc>
      </w:tr>
      <w:tr w:rsidR="000A37A4" w:rsidTr="000A37A4">
        <w:tc>
          <w:tcPr>
            <w:tcW w:w="565" w:type="pct"/>
            <w:tcBorders>
              <w:top w:val="nil"/>
              <w:left w:val="single" w:sz="4" w:space="0" w:color="auto"/>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JO265</w:t>
            </w:r>
          </w:p>
        </w:tc>
        <w:tc>
          <w:tcPr>
            <w:tcW w:w="1935" w:type="pct"/>
            <w:tcBorders>
              <w:top w:val="nil"/>
              <w:left w:val="nil"/>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Site 3 (WS3)</w:t>
            </w:r>
          </w:p>
        </w:tc>
        <w:tc>
          <w:tcPr>
            <w:tcW w:w="499"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157</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19.2</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845</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RP2</w:t>
            </w:r>
          </w:p>
        </w:tc>
        <w:tc>
          <w:tcPr>
            <w:tcW w:w="500" w:type="pct"/>
            <w:tcBorders>
              <w:top w:val="nil"/>
              <w:left w:val="nil"/>
              <w:bottom w:val="nil"/>
              <w:right w:val="single" w:sz="4" w:space="0" w:color="auto"/>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7600</w:t>
            </w:r>
          </w:p>
        </w:tc>
      </w:tr>
      <w:tr w:rsidR="000A37A4" w:rsidTr="000A37A4">
        <w:tc>
          <w:tcPr>
            <w:tcW w:w="565" w:type="pct"/>
            <w:tcBorders>
              <w:top w:val="nil"/>
              <w:left w:val="single" w:sz="4" w:space="0" w:color="auto"/>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JO266</w:t>
            </w:r>
          </w:p>
        </w:tc>
        <w:tc>
          <w:tcPr>
            <w:tcW w:w="1935" w:type="pct"/>
            <w:tcBorders>
              <w:top w:val="nil"/>
              <w:left w:val="nil"/>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Site 4 (WS4)</w:t>
            </w:r>
          </w:p>
        </w:tc>
        <w:tc>
          <w:tcPr>
            <w:tcW w:w="499"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145</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19.3</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716</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1300</w:t>
            </w:r>
          </w:p>
        </w:tc>
        <w:tc>
          <w:tcPr>
            <w:tcW w:w="500" w:type="pct"/>
            <w:tcBorders>
              <w:top w:val="nil"/>
              <w:left w:val="nil"/>
              <w:bottom w:val="nil"/>
              <w:right w:val="single" w:sz="4" w:space="0" w:color="auto"/>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1900</w:t>
            </w:r>
          </w:p>
        </w:tc>
      </w:tr>
      <w:tr w:rsidR="000A37A4" w:rsidTr="000A37A4">
        <w:tc>
          <w:tcPr>
            <w:tcW w:w="565" w:type="pct"/>
            <w:tcBorders>
              <w:top w:val="nil"/>
              <w:left w:val="single" w:sz="4" w:space="0" w:color="auto"/>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JO267</w:t>
            </w:r>
          </w:p>
        </w:tc>
        <w:tc>
          <w:tcPr>
            <w:tcW w:w="1935" w:type="pct"/>
            <w:tcBorders>
              <w:top w:val="nil"/>
              <w:left w:val="nil"/>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Site 5 (WS5)</w:t>
            </w:r>
          </w:p>
        </w:tc>
        <w:tc>
          <w:tcPr>
            <w:tcW w:w="499"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93.0</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10.1</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506</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950</w:t>
            </w:r>
          </w:p>
        </w:tc>
        <w:tc>
          <w:tcPr>
            <w:tcW w:w="500" w:type="pct"/>
            <w:tcBorders>
              <w:top w:val="nil"/>
              <w:left w:val="nil"/>
              <w:bottom w:val="nil"/>
              <w:right w:val="single" w:sz="4" w:space="0" w:color="auto"/>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3860</w:t>
            </w:r>
          </w:p>
        </w:tc>
      </w:tr>
      <w:tr w:rsidR="000A37A4" w:rsidTr="000A37A4">
        <w:tc>
          <w:tcPr>
            <w:tcW w:w="565" w:type="pct"/>
            <w:tcBorders>
              <w:top w:val="nil"/>
              <w:left w:val="single" w:sz="4" w:space="0" w:color="auto"/>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JO268</w:t>
            </w:r>
          </w:p>
        </w:tc>
        <w:tc>
          <w:tcPr>
            <w:tcW w:w="1935" w:type="pct"/>
            <w:tcBorders>
              <w:top w:val="nil"/>
              <w:left w:val="nil"/>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Site 5 (WS5) duplicate</w:t>
            </w:r>
          </w:p>
        </w:tc>
        <w:tc>
          <w:tcPr>
            <w:tcW w:w="499"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91.0</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9.88</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506</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1270</w:t>
            </w:r>
          </w:p>
        </w:tc>
        <w:tc>
          <w:tcPr>
            <w:tcW w:w="500" w:type="pct"/>
            <w:tcBorders>
              <w:top w:val="nil"/>
              <w:left w:val="nil"/>
              <w:bottom w:val="nil"/>
              <w:right w:val="single" w:sz="4" w:space="0" w:color="auto"/>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3890</w:t>
            </w:r>
          </w:p>
        </w:tc>
      </w:tr>
      <w:tr w:rsidR="000A37A4" w:rsidTr="000A37A4">
        <w:tc>
          <w:tcPr>
            <w:tcW w:w="565" w:type="pct"/>
            <w:tcBorders>
              <w:top w:val="nil"/>
              <w:left w:val="single" w:sz="4" w:space="0" w:color="auto"/>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JO270</w:t>
            </w:r>
          </w:p>
        </w:tc>
        <w:tc>
          <w:tcPr>
            <w:tcW w:w="1935" w:type="pct"/>
            <w:tcBorders>
              <w:top w:val="nil"/>
              <w:left w:val="nil"/>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RP2 central drain before release</w:t>
            </w:r>
          </w:p>
        </w:tc>
        <w:tc>
          <w:tcPr>
            <w:tcW w:w="499"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15.0</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2.24</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96.0</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RP2</w:t>
            </w:r>
          </w:p>
        </w:tc>
        <w:tc>
          <w:tcPr>
            <w:tcW w:w="500" w:type="pct"/>
            <w:tcBorders>
              <w:top w:val="nil"/>
              <w:left w:val="nil"/>
              <w:bottom w:val="nil"/>
              <w:right w:val="single" w:sz="4" w:space="0" w:color="auto"/>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1691</w:t>
            </w:r>
          </w:p>
        </w:tc>
      </w:tr>
      <w:tr w:rsidR="000A37A4" w:rsidTr="000A37A4">
        <w:tc>
          <w:tcPr>
            <w:tcW w:w="565" w:type="pct"/>
            <w:tcBorders>
              <w:top w:val="nil"/>
              <w:left w:val="single" w:sz="4" w:space="0" w:color="auto"/>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JO271</w:t>
            </w:r>
          </w:p>
        </w:tc>
        <w:tc>
          <w:tcPr>
            <w:tcW w:w="1935" w:type="pct"/>
            <w:tcBorders>
              <w:top w:val="nil"/>
              <w:left w:val="nil"/>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RP2 central drain outflow</w:t>
            </w:r>
          </w:p>
        </w:tc>
        <w:tc>
          <w:tcPr>
            <w:tcW w:w="499"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81.0</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24.2</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506</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5200</w:t>
            </w:r>
          </w:p>
        </w:tc>
        <w:tc>
          <w:tcPr>
            <w:tcW w:w="500" w:type="pct"/>
            <w:tcBorders>
              <w:top w:val="nil"/>
              <w:left w:val="nil"/>
              <w:bottom w:val="nil"/>
              <w:right w:val="single" w:sz="4" w:space="0" w:color="auto"/>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3472</w:t>
            </w:r>
          </w:p>
        </w:tc>
      </w:tr>
      <w:tr w:rsidR="000A37A4" w:rsidTr="000A37A4">
        <w:tc>
          <w:tcPr>
            <w:tcW w:w="565" w:type="pct"/>
            <w:tcBorders>
              <w:top w:val="nil"/>
              <w:left w:val="single" w:sz="4" w:space="0" w:color="auto"/>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JO272</w:t>
            </w:r>
          </w:p>
        </w:tc>
        <w:tc>
          <w:tcPr>
            <w:tcW w:w="1935" w:type="pct"/>
            <w:tcBorders>
              <w:top w:val="nil"/>
              <w:left w:val="nil"/>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RP2 central drain after release</w:t>
            </w:r>
          </w:p>
        </w:tc>
        <w:tc>
          <w:tcPr>
            <w:tcW w:w="499"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RP2</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RP2</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RP2</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RP2</w:t>
            </w:r>
          </w:p>
        </w:tc>
        <w:tc>
          <w:tcPr>
            <w:tcW w:w="500" w:type="pct"/>
            <w:tcBorders>
              <w:top w:val="nil"/>
              <w:left w:val="nil"/>
              <w:bottom w:val="nil"/>
              <w:right w:val="single" w:sz="4" w:space="0" w:color="auto"/>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RP2</w:t>
            </w:r>
          </w:p>
        </w:tc>
      </w:tr>
      <w:tr w:rsidR="000A37A4" w:rsidTr="000A37A4">
        <w:tc>
          <w:tcPr>
            <w:tcW w:w="565" w:type="pct"/>
            <w:tcBorders>
              <w:top w:val="nil"/>
              <w:left w:val="single" w:sz="4" w:space="0" w:color="auto"/>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JO273</w:t>
            </w:r>
          </w:p>
        </w:tc>
        <w:tc>
          <w:tcPr>
            <w:tcW w:w="1935" w:type="pct"/>
            <w:tcBorders>
              <w:top w:val="nil"/>
              <w:left w:val="nil"/>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RP2 west drain after release</w:t>
            </w:r>
          </w:p>
        </w:tc>
        <w:tc>
          <w:tcPr>
            <w:tcW w:w="499"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RP2</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0.21</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RP2</w:t>
            </w:r>
          </w:p>
        </w:tc>
        <w:tc>
          <w:tcPr>
            <w:tcW w:w="500" w:type="pct"/>
            <w:tcBorders>
              <w:top w:val="nil"/>
              <w:left w:val="nil"/>
              <w:bottom w:val="nil"/>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270</w:t>
            </w:r>
          </w:p>
        </w:tc>
        <w:tc>
          <w:tcPr>
            <w:tcW w:w="500" w:type="pct"/>
            <w:tcBorders>
              <w:top w:val="nil"/>
              <w:left w:val="nil"/>
              <w:bottom w:val="nil"/>
              <w:right w:val="single" w:sz="4" w:space="0" w:color="auto"/>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409</w:t>
            </w:r>
          </w:p>
        </w:tc>
      </w:tr>
      <w:tr w:rsidR="000A37A4" w:rsidTr="000A37A4">
        <w:tc>
          <w:tcPr>
            <w:tcW w:w="565" w:type="pct"/>
            <w:tcBorders>
              <w:top w:val="nil"/>
              <w:left w:val="single" w:sz="4" w:space="0" w:color="auto"/>
              <w:bottom w:val="single" w:sz="4" w:space="0" w:color="auto"/>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JO269</w:t>
            </w:r>
          </w:p>
        </w:tc>
        <w:tc>
          <w:tcPr>
            <w:tcW w:w="1935" w:type="pct"/>
            <w:tcBorders>
              <w:top w:val="nil"/>
              <w:left w:val="nil"/>
              <w:bottom w:val="single" w:sz="4" w:space="0" w:color="auto"/>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Water Cart</w:t>
            </w:r>
          </w:p>
        </w:tc>
        <w:tc>
          <w:tcPr>
            <w:tcW w:w="499" w:type="pct"/>
            <w:tcBorders>
              <w:top w:val="nil"/>
              <w:left w:val="nil"/>
              <w:bottom w:val="single" w:sz="4" w:space="0" w:color="auto"/>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188</w:t>
            </w:r>
          </w:p>
        </w:tc>
        <w:tc>
          <w:tcPr>
            <w:tcW w:w="500" w:type="pct"/>
            <w:tcBorders>
              <w:top w:val="nil"/>
              <w:left w:val="nil"/>
              <w:bottom w:val="single" w:sz="4" w:space="0" w:color="auto"/>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0.0495</w:t>
            </w:r>
          </w:p>
        </w:tc>
        <w:tc>
          <w:tcPr>
            <w:tcW w:w="500" w:type="pct"/>
            <w:tcBorders>
              <w:top w:val="nil"/>
              <w:left w:val="nil"/>
              <w:bottom w:val="single" w:sz="4" w:space="0" w:color="auto"/>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904</w:t>
            </w:r>
          </w:p>
        </w:tc>
        <w:tc>
          <w:tcPr>
            <w:tcW w:w="500" w:type="pct"/>
            <w:tcBorders>
              <w:top w:val="nil"/>
              <w:left w:val="nil"/>
              <w:bottom w:val="single" w:sz="4" w:space="0" w:color="auto"/>
              <w:right w:val="nil"/>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1550</w:t>
            </w:r>
          </w:p>
        </w:tc>
        <w:tc>
          <w:tcPr>
            <w:tcW w:w="500" w:type="pct"/>
            <w:tcBorders>
              <w:top w:val="nil"/>
              <w:left w:val="nil"/>
              <w:bottom w:val="single" w:sz="4" w:space="0" w:color="auto"/>
              <w:right w:val="single" w:sz="4" w:space="0" w:color="auto"/>
            </w:tcBorders>
          </w:tcPr>
          <w:p w:rsidR="000A37A4" w:rsidRPr="00221805" w:rsidRDefault="000A37A4" w:rsidP="000A37A4">
            <w:pPr>
              <w:spacing w:after="0"/>
              <w:jc w:val="right"/>
              <w:rPr>
                <w:rFonts w:ascii="Arial" w:hAnsi="Arial" w:cs="Arial"/>
                <w:sz w:val="16"/>
                <w:szCs w:val="16"/>
              </w:rPr>
            </w:pPr>
            <w:r w:rsidRPr="00221805">
              <w:rPr>
                <w:rFonts w:ascii="Arial" w:hAnsi="Arial" w:cs="Arial"/>
                <w:sz w:val="16"/>
                <w:szCs w:val="16"/>
              </w:rPr>
              <w:t>1691</w:t>
            </w:r>
          </w:p>
        </w:tc>
      </w:tr>
      <w:tr w:rsidR="000A37A4" w:rsidTr="000A37A4">
        <w:tc>
          <w:tcPr>
            <w:tcW w:w="565" w:type="pct"/>
            <w:tcBorders>
              <w:top w:val="single" w:sz="4" w:space="0" w:color="auto"/>
              <w:left w:val="single" w:sz="4" w:space="0" w:color="auto"/>
              <w:bottom w:val="nil"/>
              <w:right w:val="nil"/>
            </w:tcBorders>
          </w:tcPr>
          <w:p w:rsidR="000A37A4" w:rsidRPr="00221805" w:rsidRDefault="000A37A4" w:rsidP="000A37A4">
            <w:pPr>
              <w:spacing w:after="0"/>
              <w:rPr>
                <w:rFonts w:ascii="Arial" w:hAnsi="Arial" w:cs="Arial"/>
                <w:sz w:val="16"/>
                <w:szCs w:val="16"/>
              </w:rPr>
            </w:pPr>
          </w:p>
        </w:tc>
        <w:tc>
          <w:tcPr>
            <w:tcW w:w="1935" w:type="pct"/>
            <w:tcBorders>
              <w:top w:val="single" w:sz="4" w:space="0" w:color="auto"/>
              <w:left w:val="nil"/>
              <w:bottom w:val="nil"/>
              <w:right w:val="nil"/>
            </w:tcBorders>
          </w:tcPr>
          <w:p w:rsidR="000A37A4" w:rsidRPr="00221805" w:rsidRDefault="000A37A4" w:rsidP="000A37A4">
            <w:pPr>
              <w:spacing w:after="0"/>
              <w:rPr>
                <w:rFonts w:ascii="Arial" w:hAnsi="Arial" w:cs="Arial"/>
                <w:sz w:val="16"/>
                <w:szCs w:val="16"/>
              </w:rPr>
            </w:pPr>
          </w:p>
        </w:tc>
        <w:tc>
          <w:tcPr>
            <w:tcW w:w="499" w:type="pct"/>
            <w:tcBorders>
              <w:top w:val="single" w:sz="4" w:space="0" w:color="auto"/>
              <w:left w:val="nil"/>
              <w:bottom w:val="nil"/>
              <w:right w:val="nil"/>
            </w:tcBorders>
          </w:tcPr>
          <w:p w:rsidR="000A37A4" w:rsidRPr="00221805" w:rsidRDefault="000A37A4" w:rsidP="000A37A4">
            <w:pPr>
              <w:spacing w:after="0"/>
              <w:rPr>
                <w:rFonts w:ascii="Arial" w:hAnsi="Arial" w:cs="Arial"/>
                <w:sz w:val="16"/>
                <w:szCs w:val="16"/>
              </w:rPr>
            </w:pPr>
          </w:p>
        </w:tc>
        <w:tc>
          <w:tcPr>
            <w:tcW w:w="500" w:type="pct"/>
            <w:tcBorders>
              <w:top w:val="single" w:sz="4" w:space="0" w:color="auto"/>
              <w:left w:val="nil"/>
              <w:bottom w:val="nil"/>
              <w:right w:val="nil"/>
            </w:tcBorders>
          </w:tcPr>
          <w:p w:rsidR="000A37A4" w:rsidRPr="00221805" w:rsidRDefault="000A37A4" w:rsidP="000A37A4">
            <w:pPr>
              <w:spacing w:after="0"/>
              <w:rPr>
                <w:rFonts w:ascii="Arial" w:hAnsi="Arial" w:cs="Arial"/>
                <w:sz w:val="16"/>
                <w:szCs w:val="16"/>
              </w:rPr>
            </w:pPr>
          </w:p>
        </w:tc>
        <w:tc>
          <w:tcPr>
            <w:tcW w:w="500" w:type="pct"/>
            <w:tcBorders>
              <w:top w:val="single" w:sz="4" w:space="0" w:color="auto"/>
              <w:left w:val="nil"/>
              <w:bottom w:val="nil"/>
              <w:right w:val="nil"/>
            </w:tcBorders>
          </w:tcPr>
          <w:p w:rsidR="000A37A4" w:rsidRPr="00221805" w:rsidRDefault="000A37A4" w:rsidP="000A37A4">
            <w:pPr>
              <w:spacing w:after="0"/>
              <w:rPr>
                <w:rFonts w:ascii="Arial" w:hAnsi="Arial" w:cs="Arial"/>
                <w:sz w:val="16"/>
                <w:szCs w:val="16"/>
              </w:rPr>
            </w:pPr>
          </w:p>
        </w:tc>
        <w:tc>
          <w:tcPr>
            <w:tcW w:w="500" w:type="pct"/>
            <w:tcBorders>
              <w:top w:val="single" w:sz="4" w:space="0" w:color="auto"/>
              <w:left w:val="nil"/>
              <w:bottom w:val="nil"/>
              <w:right w:val="nil"/>
            </w:tcBorders>
          </w:tcPr>
          <w:p w:rsidR="000A37A4" w:rsidRPr="00221805" w:rsidRDefault="000A37A4" w:rsidP="000A37A4">
            <w:pPr>
              <w:spacing w:after="0"/>
              <w:rPr>
                <w:rFonts w:ascii="Arial" w:hAnsi="Arial" w:cs="Arial"/>
                <w:sz w:val="16"/>
                <w:szCs w:val="16"/>
              </w:rPr>
            </w:pPr>
          </w:p>
        </w:tc>
        <w:tc>
          <w:tcPr>
            <w:tcW w:w="500" w:type="pct"/>
            <w:tcBorders>
              <w:top w:val="single" w:sz="4" w:space="0" w:color="auto"/>
              <w:left w:val="nil"/>
              <w:bottom w:val="nil"/>
              <w:right w:val="single" w:sz="4" w:space="0" w:color="auto"/>
            </w:tcBorders>
          </w:tcPr>
          <w:p w:rsidR="000A37A4" w:rsidRPr="00221805" w:rsidRDefault="000A37A4" w:rsidP="000A37A4">
            <w:pPr>
              <w:spacing w:after="0"/>
              <w:rPr>
                <w:rFonts w:ascii="Arial" w:hAnsi="Arial" w:cs="Arial"/>
                <w:sz w:val="16"/>
                <w:szCs w:val="16"/>
              </w:rPr>
            </w:pPr>
          </w:p>
        </w:tc>
      </w:tr>
      <w:tr w:rsidR="000A37A4" w:rsidTr="000A37A4">
        <w:tc>
          <w:tcPr>
            <w:tcW w:w="565" w:type="pct"/>
            <w:tcBorders>
              <w:top w:val="nil"/>
              <w:left w:val="single" w:sz="4" w:space="0" w:color="auto"/>
              <w:bottom w:val="nil"/>
              <w:right w:val="nil"/>
            </w:tcBorders>
          </w:tcPr>
          <w:p w:rsidR="000A37A4" w:rsidRPr="00221805" w:rsidRDefault="000A37A4" w:rsidP="000A37A4">
            <w:pPr>
              <w:spacing w:after="0"/>
              <w:rPr>
                <w:rFonts w:ascii="Arial" w:hAnsi="Arial" w:cs="Arial"/>
                <w:sz w:val="16"/>
                <w:szCs w:val="16"/>
              </w:rPr>
            </w:pPr>
          </w:p>
        </w:tc>
        <w:tc>
          <w:tcPr>
            <w:tcW w:w="1935" w:type="pct"/>
            <w:tcBorders>
              <w:top w:val="nil"/>
              <w:left w:val="nil"/>
              <w:bottom w:val="nil"/>
              <w:right w:val="nil"/>
            </w:tcBorders>
          </w:tcPr>
          <w:p w:rsidR="000A37A4" w:rsidRPr="00221805" w:rsidRDefault="000A37A4" w:rsidP="003E692B">
            <w:pPr>
              <w:spacing w:after="0"/>
              <w:rPr>
                <w:rFonts w:ascii="Arial" w:hAnsi="Arial" w:cs="Arial"/>
                <w:sz w:val="16"/>
                <w:szCs w:val="16"/>
              </w:rPr>
            </w:pPr>
            <w:r w:rsidRPr="00221805">
              <w:rPr>
                <w:rFonts w:ascii="Arial" w:hAnsi="Arial" w:cs="Arial"/>
                <w:sz w:val="16"/>
                <w:szCs w:val="16"/>
              </w:rPr>
              <w:t xml:space="preserve">RP2 </w:t>
            </w:r>
            <w:r w:rsidR="003E692B" w:rsidRPr="00221805">
              <w:rPr>
                <w:rFonts w:ascii="Arial" w:hAnsi="Arial" w:cs="Arial"/>
                <w:sz w:val="16"/>
                <w:szCs w:val="16"/>
              </w:rPr>
              <w:t>i</w:t>
            </w:r>
            <w:r w:rsidRPr="00221805">
              <w:rPr>
                <w:rFonts w:ascii="Arial" w:hAnsi="Arial" w:cs="Arial"/>
                <w:sz w:val="16"/>
                <w:szCs w:val="16"/>
              </w:rPr>
              <w:t>ndicative water quality</w:t>
            </w:r>
          </w:p>
        </w:tc>
        <w:tc>
          <w:tcPr>
            <w:tcW w:w="499" w:type="pct"/>
            <w:tcBorders>
              <w:top w:val="nil"/>
              <w:left w:val="nil"/>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230</w:t>
            </w:r>
          </w:p>
        </w:tc>
        <w:tc>
          <w:tcPr>
            <w:tcW w:w="500" w:type="pct"/>
            <w:tcBorders>
              <w:top w:val="nil"/>
              <w:left w:val="nil"/>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0.2</w:t>
            </w:r>
          </w:p>
        </w:tc>
        <w:tc>
          <w:tcPr>
            <w:tcW w:w="500" w:type="pct"/>
            <w:tcBorders>
              <w:top w:val="nil"/>
              <w:left w:val="nil"/>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1010</w:t>
            </w:r>
          </w:p>
        </w:tc>
        <w:tc>
          <w:tcPr>
            <w:tcW w:w="500" w:type="pct"/>
            <w:tcBorders>
              <w:top w:val="nil"/>
              <w:left w:val="nil"/>
              <w:bottom w:val="nil"/>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4000</w:t>
            </w:r>
          </w:p>
        </w:tc>
        <w:tc>
          <w:tcPr>
            <w:tcW w:w="500" w:type="pct"/>
            <w:tcBorders>
              <w:top w:val="nil"/>
              <w:left w:val="nil"/>
              <w:bottom w:val="nil"/>
              <w:right w:val="single" w:sz="4" w:space="0" w:color="auto"/>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2940</w:t>
            </w:r>
            <w:r w:rsidRPr="00252D36">
              <w:rPr>
                <w:rFonts w:ascii="Arial" w:hAnsi="Arial" w:cs="Arial"/>
                <w:snapToGrid w:val="0"/>
                <w:color w:val="000000"/>
                <w:position w:val="5"/>
                <w:sz w:val="12"/>
                <w:szCs w:val="12"/>
                <w:u w:color="000000"/>
              </w:rPr>
              <w:t>1</w:t>
            </w:r>
          </w:p>
        </w:tc>
      </w:tr>
      <w:tr w:rsidR="000A37A4" w:rsidTr="000A37A4">
        <w:tc>
          <w:tcPr>
            <w:tcW w:w="565" w:type="pct"/>
            <w:tcBorders>
              <w:top w:val="nil"/>
              <w:left w:val="single" w:sz="4" w:space="0" w:color="auto"/>
              <w:bottom w:val="single" w:sz="4" w:space="0" w:color="auto"/>
              <w:right w:val="nil"/>
            </w:tcBorders>
          </w:tcPr>
          <w:p w:rsidR="000A37A4" w:rsidRPr="00221805" w:rsidRDefault="000A37A4" w:rsidP="000A37A4">
            <w:pPr>
              <w:spacing w:after="0"/>
              <w:rPr>
                <w:rFonts w:ascii="Arial" w:hAnsi="Arial" w:cs="Arial"/>
                <w:sz w:val="16"/>
                <w:szCs w:val="16"/>
              </w:rPr>
            </w:pPr>
          </w:p>
        </w:tc>
        <w:tc>
          <w:tcPr>
            <w:tcW w:w="1935" w:type="pct"/>
            <w:tcBorders>
              <w:top w:val="nil"/>
              <w:left w:val="nil"/>
              <w:bottom w:val="single" w:sz="4" w:space="0" w:color="auto"/>
              <w:right w:val="nil"/>
            </w:tcBorders>
          </w:tcPr>
          <w:p w:rsidR="000A37A4" w:rsidRPr="00221805" w:rsidRDefault="000A37A4" w:rsidP="003E692B">
            <w:pPr>
              <w:spacing w:after="0"/>
              <w:jc w:val="left"/>
              <w:rPr>
                <w:rFonts w:ascii="Arial" w:hAnsi="Arial" w:cs="Arial"/>
                <w:sz w:val="16"/>
                <w:szCs w:val="16"/>
              </w:rPr>
            </w:pPr>
            <w:r w:rsidRPr="00221805">
              <w:rPr>
                <w:rFonts w:ascii="Arial" w:hAnsi="Arial" w:cs="Arial"/>
                <w:sz w:val="16"/>
                <w:szCs w:val="16"/>
              </w:rPr>
              <w:t xml:space="preserve">Process </w:t>
            </w:r>
            <w:r w:rsidR="003E692B" w:rsidRPr="00221805">
              <w:rPr>
                <w:rFonts w:ascii="Arial" w:hAnsi="Arial" w:cs="Arial"/>
                <w:sz w:val="16"/>
                <w:szCs w:val="16"/>
              </w:rPr>
              <w:t>w</w:t>
            </w:r>
            <w:r w:rsidRPr="00221805">
              <w:rPr>
                <w:rFonts w:ascii="Arial" w:hAnsi="Arial" w:cs="Arial"/>
                <w:sz w:val="16"/>
                <w:szCs w:val="16"/>
              </w:rPr>
              <w:t xml:space="preserve">ater </w:t>
            </w:r>
            <w:r w:rsidR="003E692B" w:rsidRPr="00221805">
              <w:rPr>
                <w:rFonts w:ascii="Arial" w:hAnsi="Arial" w:cs="Arial"/>
                <w:sz w:val="16"/>
                <w:szCs w:val="16"/>
              </w:rPr>
              <w:t>indicative</w:t>
            </w:r>
            <w:r w:rsidRPr="00221805">
              <w:rPr>
                <w:rFonts w:ascii="Arial" w:hAnsi="Arial" w:cs="Arial"/>
                <w:sz w:val="16"/>
                <w:szCs w:val="16"/>
              </w:rPr>
              <w:t xml:space="preserve"> water quality</w:t>
            </w:r>
          </w:p>
        </w:tc>
        <w:tc>
          <w:tcPr>
            <w:tcW w:w="499" w:type="pct"/>
            <w:tcBorders>
              <w:top w:val="nil"/>
              <w:left w:val="nil"/>
              <w:bottom w:val="single" w:sz="4" w:space="0" w:color="auto"/>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6219</w:t>
            </w:r>
          </w:p>
        </w:tc>
        <w:tc>
          <w:tcPr>
            <w:tcW w:w="500" w:type="pct"/>
            <w:tcBorders>
              <w:top w:val="nil"/>
              <w:left w:val="nil"/>
              <w:bottom w:val="single" w:sz="4" w:space="0" w:color="auto"/>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2107</w:t>
            </w:r>
          </w:p>
        </w:tc>
        <w:tc>
          <w:tcPr>
            <w:tcW w:w="500" w:type="pct"/>
            <w:tcBorders>
              <w:top w:val="nil"/>
              <w:left w:val="nil"/>
              <w:bottom w:val="single" w:sz="4" w:space="0" w:color="auto"/>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34528</w:t>
            </w:r>
          </w:p>
        </w:tc>
        <w:tc>
          <w:tcPr>
            <w:tcW w:w="500" w:type="pct"/>
            <w:tcBorders>
              <w:top w:val="nil"/>
              <w:left w:val="nil"/>
              <w:bottom w:val="single" w:sz="4" w:space="0" w:color="auto"/>
              <w:right w:val="nil"/>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24000</w:t>
            </w:r>
          </w:p>
        </w:tc>
        <w:tc>
          <w:tcPr>
            <w:tcW w:w="500" w:type="pct"/>
            <w:tcBorders>
              <w:top w:val="nil"/>
              <w:left w:val="nil"/>
              <w:bottom w:val="single" w:sz="4" w:space="0" w:color="auto"/>
              <w:right w:val="single" w:sz="4" w:space="0" w:color="auto"/>
            </w:tcBorders>
          </w:tcPr>
          <w:p w:rsidR="000A37A4" w:rsidRPr="00221805" w:rsidRDefault="000A37A4" w:rsidP="000A37A4">
            <w:pPr>
              <w:spacing w:after="0"/>
              <w:rPr>
                <w:rFonts w:ascii="Arial" w:hAnsi="Arial" w:cs="Arial"/>
                <w:sz w:val="16"/>
                <w:szCs w:val="16"/>
              </w:rPr>
            </w:pPr>
            <w:r w:rsidRPr="00221805">
              <w:rPr>
                <w:rFonts w:ascii="Arial" w:hAnsi="Arial" w:cs="Arial"/>
                <w:sz w:val="16"/>
                <w:szCs w:val="16"/>
              </w:rPr>
              <w:t>13500</w:t>
            </w:r>
            <w:r w:rsidRPr="00252D36">
              <w:rPr>
                <w:rFonts w:ascii="Arial" w:hAnsi="Arial" w:cs="Arial"/>
                <w:snapToGrid w:val="0"/>
                <w:color w:val="000000"/>
                <w:position w:val="5"/>
                <w:sz w:val="12"/>
                <w:szCs w:val="12"/>
                <w:u w:color="000000"/>
              </w:rPr>
              <w:t>2</w:t>
            </w:r>
          </w:p>
        </w:tc>
      </w:tr>
    </w:tbl>
    <w:p w:rsidR="000A37A4" w:rsidRDefault="000A37A4" w:rsidP="000A37A4">
      <w:pPr>
        <w:spacing w:before="120" w:line="180" w:lineRule="atLeast"/>
        <w:ind w:left="238" w:hanging="238"/>
        <w:rPr>
          <w:rFonts w:ascii="Arial" w:hAnsi="Arial" w:cs="Arial"/>
          <w:sz w:val="14"/>
          <w:szCs w:val="14"/>
        </w:rPr>
      </w:pPr>
      <w:r>
        <w:rPr>
          <w:rFonts w:ascii="Arial" w:hAnsi="Arial" w:cs="Arial"/>
          <w:sz w:val="14"/>
          <w:szCs w:val="14"/>
          <w:vertAlign w:val="superscript"/>
        </w:rPr>
        <w:t>1.</w:t>
      </w:r>
      <w:r>
        <w:rPr>
          <w:rFonts w:ascii="Arial" w:hAnsi="Arial" w:cs="Arial"/>
          <w:sz w:val="14"/>
          <w:szCs w:val="14"/>
        </w:rPr>
        <w:t xml:space="preserve"> Mean percentage of filterable </w:t>
      </w:r>
      <w:r w:rsidR="007F1420" w:rsidRPr="007F1420">
        <w:rPr>
          <w:rFonts w:ascii="Arial" w:hAnsi="Arial"/>
          <w:snapToGrid w:val="0"/>
          <w:color w:val="000000"/>
          <w:position w:val="3"/>
          <w:sz w:val="9"/>
          <w:szCs w:val="0"/>
          <w:u w:color="000000"/>
        </w:rPr>
        <w:t>226</w:t>
      </w:r>
      <w:r w:rsidR="007F1420">
        <w:rPr>
          <w:rFonts w:ascii="Arial" w:hAnsi="Arial" w:cs="Arial"/>
          <w:sz w:val="14"/>
          <w:szCs w:val="14"/>
        </w:rPr>
        <w:t>Ra</w:t>
      </w:r>
      <w:r>
        <w:rPr>
          <w:rFonts w:ascii="Arial" w:hAnsi="Arial" w:cs="Arial"/>
          <w:sz w:val="14"/>
          <w:szCs w:val="14"/>
        </w:rPr>
        <w:t xml:space="preserve"> in RP2 waters (</w:t>
      </w:r>
      <w:proofErr w:type="spellStart"/>
      <w:r>
        <w:rPr>
          <w:rFonts w:ascii="Arial" w:hAnsi="Arial" w:cs="Arial"/>
          <w:sz w:val="14"/>
          <w:szCs w:val="14"/>
        </w:rPr>
        <w:t>Akber</w:t>
      </w:r>
      <w:proofErr w:type="spellEnd"/>
      <w:r>
        <w:rPr>
          <w:rFonts w:ascii="Arial" w:hAnsi="Arial" w:cs="Arial"/>
          <w:sz w:val="14"/>
          <w:szCs w:val="14"/>
        </w:rPr>
        <w:t xml:space="preserve"> et al. 2011). </w:t>
      </w:r>
    </w:p>
    <w:p w:rsidR="000A37A4" w:rsidRDefault="000A37A4" w:rsidP="000A37A4">
      <w:pPr>
        <w:spacing w:before="120" w:line="180" w:lineRule="atLeast"/>
        <w:ind w:left="238" w:hanging="238"/>
        <w:rPr>
          <w:rFonts w:ascii="Arial" w:hAnsi="Arial" w:cs="Arial"/>
          <w:sz w:val="14"/>
          <w:szCs w:val="14"/>
        </w:rPr>
      </w:pPr>
      <w:r>
        <w:rPr>
          <w:rFonts w:ascii="Arial" w:hAnsi="Arial" w:cs="Arial"/>
          <w:sz w:val="14"/>
          <w:szCs w:val="14"/>
          <w:vertAlign w:val="superscript"/>
        </w:rPr>
        <w:t>2.</w:t>
      </w:r>
      <w:r>
        <w:rPr>
          <w:rFonts w:ascii="Arial" w:hAnsi="Arial" w:cs="Arial"/>
          <w:sz w:val="14"/>
          <w:szCs w:val="14"/>
        </w:rPr>
        <w:t xml:space="preserve"> Mean percentage of filterable </w:t>
      </w:r>
      <w:r w:rsidR="007F1420" w:rsidRPr="007F1420">
        <w:rPr>
          <w:rFonts w:ascii="Arial" w:hAnsi="Arial"/>
          <w:snapToGrid w:val="0"/>
          <w:color w:val="000000"/>
          <w:position w:val="3"/>
          <w:sz w:val="9"/>
          <w:szCs w:val="0"/>
          <w:u w:color="000000"/>
        </w:rPr>
        <w:t>226</w:t>
      </w:r>
      <w:r w:rsidR="007F1420">
        <w:rPr>
          <w:rFonts w:ascii="Arial" w:hAnsi="Arial" w:cs="Arial"/>
          <w:sz w:val="14"/>
          <w:szCs w:val="14"/>
        </w:rPr>
        <w:t xml:space="preserve">Ra </w:t>
      </w:r>
      <w:r>
        <w:rPr>
          <w:rFonts w:ascii="Arial" w:hAnsi="Arial" w:cs="Arial"/>
          <w:sz w:val="14"/>
          <w:szCs w:val="14"/>
        </w:rPr>
        <w:t>in process water (</w:t>
      </w:r>
      <w:proofErr w:type="spellStart"/>
      <w:r>
        <w:rPr>
          <w:rFonts w:ascii="Arial" w:hAnsi="Arial" w:cs="Arial"/>
          <w:sz w:val="14"/>
          <w:szCs w:val="14"/>
        </w:rPr>
        <w:t>EnRad</w:t>
      </w:r>
      <w:proofErr w:type="spellEnd"/>
      <w:r>
        <w:rPr>
          <w:rFonts w:ascii="Arial" w:hAnsi="Arial" w:cs="Arial"/>
          <w:sz w:val="14"/>
          <w:szCs w:val="14"/>
        </w:rPr>
        <w:t xml:space="preserve"> unpublished data).</w:t>
      </w:r>
      <w:r>
        <w:rPr>
          <w:rFonts w:ascii="Arial" w:hAnsi="Arial" w:cs="Arial"/>
          <w:sz w:val="16"/>
          <w:szCs w:val="16"/>
        </w:rPr>
        <w:t> </w:t>
      </w:r>
    </w:p>
    <w:p w:rsidR="000A37A4" w:rsidRPr="000A37A4" w:rsidRDefault="000A37A4" w:rsidP="000A37A4">
      <w:r w:rsidRPr="000A37A4">
        <w:t xml:space="preserve">The </w:t>
      </w:r>
      <w:proofErr w:type="spellStart"/>
      <w:r w:rsidRPr="000A37A4">
        <w:t>analyte</w:t>
      </w:r>
      <w:proofErr w:type="spellEnd"/>
      <w:r w:rsidRPr="000A37A4">
        <w:t xml:space="preserve"> concentrations in the majority of the samples were either below, equal to or within two times the RP2 indicative water quality concentrations. The notable exception is dissolved </w:t>
      </w:r>
      <w:proofErr w:type="spellStart"/>
      <w:r w:rsidRPr="000A37A4">
        <w:t>Mn</w:t>
      </w:r>
      <w:proofErr w:type="spellEnd"/>
      <w:r w:rsidRPr="000A37A4">
        <w:t xml:space="preserve"> which was elevated compared to the RP2 indicative water quality concentration (0.2 mg/L) in almost all samples. When comparing the surface runoff to RP2 water quality the difference in the respective matrices and the </w:t>
      </w:r>
      <w:proofErr w:type="spellStart"/>
      <w:r w:rsidRPr="000A37A4">
        <w:t>physico</w:t>
      </w:r>
      <w:proofErr w:type="spellEnd"/>
      <w:r w:rsidRPr="000A37A4">
        <w:t xml:space="preserve">-chemistry needs to be taken into account. The pH of RP2 is around 8 and at this level </w:t>
      </w:r>
      <w:proofErr w:type="spellStart"/>
      <w:r w:rsidRPr="000A37A4">
        <w:t>Mn</w:t>
      </w:r>
      <w:proofErr w:type="spellEnd"/>
      <w:r w:rsidRPr="000A37A4">
        <w:t xml:space="preserve"> is typically present in oxidation states that readily adsorb to particulate material and bond with organic matter and oxides to form insoluble compounds, resulting in a reasonably low concentration of dissolved </w:t>
      </w:r>
      <w:proofErr w:type="spellStart"/>
      <w:r w:rsidRPr="000A37A4">
        <w:t>Mn</w:t>
      </w:r>
      <w:proofErr w:type="spellEnd"/>
      <w:r w:rsidRPr="000A37A4">
        <w:t xml:space="preserve">. The source of the elevated concentrations in the runoff may be caused by the </w:t>
      </w:r>
      <w:proofErr w:type="spellStart"/>
      <w:r w:rsidRPr="000A37A4">
        <w:t>pyrolusite</w:t>
      </w:r>
      <w:proofErr w:type="spellEnd"/>
      <w:r w:rsidRPr="000A37A4">
        <w:t xml:space="preserve"> (</w:t>
      </w:r>
      <w:proofErr w:type="spellStart"/>
      <w:r w:rsidRPr="000A37A4">
        <w:t>MnO</w:t>
      </w:r>
      <w:proofErr w:type="spellEnd"/>
      <w:r w:rsidRPr="000A37A4">
        <w:rPr>
          <w:snapToGrid w:val="0"/>
          <w:color w:val="000000"/>
          <w:position w:val="-5"/>
          <w:sz w:val="15"/>
          <w:szCs w:val="0"/>
          <w:u w:color="000000"/>
        </w:rPr>
        <w:t>2</w:t>
      </w:r>
      <w:r w:rsidRPr="000A37A4">
        <w:t xml:space="preserve">) used in the acid leaching process. Whilst the concentrations are increased compared to RP2 water the concentrations are </w:t>
      </w:r>
      <w:r w:rsidR="00252D36">
        <w:t>generally 2-3 orders of magnitude</w:t>
      </w:r>
      <w:r w:rsidRPr="000A37A4">
        <w:t xml:space="preserve"> less than the process water indicative water quality concentration (2,107 mg/L).</w:t>
      </w:r>
    </w:p>
    <w:p w:rsidR="000A37A4" w:rsidRPr="000A37A4" w:rsidRDefault="000A37A4" w:rsidP="000A37A4">
      <w:r w:rsidRPr="000A37A4">
        <w:t xml:space="preserve">The sample collected from Site 2 (J0264) was higher in Mg, </w:t>
      </w:r>
      <w:proofErr w:type="spellStart"/>
      <w:r w:rsidRPr="000A37A4">
        <w:t>Mn</w:t>
      </w:r>
      <w:proofErr w:type="spellEnd"/>
      <w:r w:rsidRPr="000A37A4">
        <w:t>, SO</w:t>
      </w:r>
      <w:r w:rsidRPr="000A37A4">
        <w:rPr>
          <w:vertAlign w:val="subscript"/>
        </w:rPr>
        <w:t>4</w:t>
      </w:r>
      <w:r w:rsidRPr="000A37A4">
        <w:t xml:space="preserve"> and U compared to other samples. This was the first sample collected during the wash down process and it was collected after a comparatively small volume of water had been applied. As a result, the sample was particularly contaminated with the labile metals and precipitated solutes present in Zone 1 in the vicinity of the WS2. All other samples were collected after significantly larger volume had been applied and as such the concentrations were more diluted. </w:t>
      </w:r>
    </w:p>
    <w:p w:rsidR="000A37A4" w:rsidRPr="000A37A4" w:rsidRDefault="000A37A4" w:rsidP="000A37A4">
      <w:r w:rsidRPr="000A37A4">
        <w:t xml:space="preserve">The sample collected at the central drain during the flushing process (J0271) showed comparatively high concentrations of dissolved </w:t>
      </w:r>
      <w:proofErr w:type="spellStart"/>
      <w:r w:rsidRPr="000A37A4">
        <w:t>Mn</w:t>
      </w:r>
      <w:proofErr w:type="spellEnd"/>
      <w:r w:rsidRPr="000A37A4">
        <w:t xml:space="preserve"> and U. This suggests that during the flushing process some of the residual slurry, of low pH, was washed through the storm drain system and into RP2. However the sample of RP2 water collected in the vicinity of the drain immediately after the flushing took place (J0272) resembled RP2 water, indicating that the storm drain was fully cleared of all slurry residue during the initial period of the flush.</w:t>
      </w:r>
    </w:p>
    <w:p w:rsidR="000A37A4" w:rsidRDefault="000A37A4" w:rsidP="000A37A4">
      <w:pPr>
        <w:pStyle w:val="Heading5"/>
      </w:pPr>
      <w:r>
        <w:t>Zone 2 Clearance</w:t>
      </w:r>
    </w:p>
    <w:p w:rsidR="000A37A4" w:rsidRPr="000A37A4" w:rsidRDefault="000A37A4" w:rsidP="000A37A4">
      <w:r w:rsidRPr="000A37A4">
        <w:t xml:space="preserve">The concentrations of key </w:t>
      </w:r>
      <w:proofErr w:type="spellStart"/>
      <w:r w:rsidRPr="000A37A4">
        <w:t>analytes</w:t>
      </w:r>
      <w:proofErr w:type="spellEnd"/>
      <w:r w:rsidRPr="000A37A4">
        <w:t xml:space="preserve"> in samples collected from Zone 2 on 19 De</w:t>
      </w:r>
      <w:r>
        <w:t>cember 2013 are shown in Table 4.4</w:t>
      </w:r>
      <w:r w:rsidRPr="000A37A4">
        <w:t xml:space="preserve">. </w:t>
      </w:r>
    </w:p>
    <w:p w:rsidR="000A37A4" w:rsidRPr="000A37A4" w:rsidRDefault="000A37A4" w:rsidP="000A37A4">
      <w:pPr>
        <w:pStyle w:val="tablecaption"/>
      </w:pPr>
      <w:bookmarkStart w:id="198" w:name="_Toc390766612"/>
      <w:r w:rsidRPr="000A37A4">
        <w:rPr>
          <w:b/>
        </w:rPr>
        <w:t>Table 4.4</w:t>
      </w:r>
      <w:r w:rsidRPr="000A37A4">
        <w:t xml:space="preserve"> Key dissolved </w:t>
      </w:r>
      <w:proofErr w:type="spellStart"/>
      <w:r w:rsidRPr="000A37A4">
        <w:t>analyte</w:t>
      </w:r>
      <w:proofErr w:type="spellEnd"/>
      <w:r w:rsidRPr="000A37A4">
        <w:t xml:space="preserve"> concentrations measured in pooled rainfall from Zone 2</w:t>
      </w:r>
      <w:bookmarkEnd w:id="198"/>
      <w:r w:rsidR="00EE509B">
        <w:t>.</w:t>
      </w:r>
    </w:p>
    <w:tbl>
      <w:tblPr>
        <w:tblStyle w:val="TableGrid"/>
        <w:tblW w:w="5000" w:type="pct"/>
        <w:tblLook w:val="04A0"/>
      </w:tblPr>
      <w:tblGrid>
        <w:gridCol w:w="959"/>
        <w:gridCol w:w="3294"/>
        <w:gridCol w:w="847"/>
        <w:gridCol w:w="849"/>
        <w:gridCol w:w="849"/>
        <w:gridCol w:w="849"/>
        <w:gridCol w:w="875"/>
      </w:tblGrid>
      <w:tr w:rsidR="000A37A4" w:rsidRPr="003E765F" w:rsidTr="000A37A4">
        <w:tc>
          <w:tcPr>
            <w:tcW w:w="565" w:type="pct"/>
            <w:tcBorders>
              <w:top w:val="single" w:sz="4" w:space="0" w:color="auto"/>
              <w:left w:val="single" w:sz="4" w:space="0" w:color="auto"/>
              <w:bottom w:val="single" w:sz="4" w:space="0" w:color="auto"/>
              <w:right w:val="nil"/>
            </w:tcBorders>
          </w:tcPr>
          <w:p w:rsidR="000A37A4" w:rsidRPr="00252D36" w:rsidRDefault="000A37A4" w:rsidP="000A37A4">
            <w:pPr>
              <w:rPr>
                <w:rFonts w:ascii="Arial" w:hAnsi="Arial" w:cs="Arial"/>
                <w:b/>
                <w:sz w:val="16"/>
                <w:szCs w:val="16"/>
              </w:rPr>
            </w:pPr>
            <w:r w:rsidRPr="00252D36">
              <w:rPr>
                <w:rFonts w:ascii="Arial" w:hAnsi="Arial" w:cs="Arial"/>
                <w:b/>
                <w:sz w:val="16"/>
                <w:szCs w:val="16"/>
              </w:rPr>
              <w:t>Sample No.</w:t>
            </w:r>
          </w:p>
        </w:tc>
        <w:tc>
          <w:tcPr>
            <w:tcW w:w="1935" w:type="pct"/>
            <w:tcBorders>
              <w:top w:val="single" w:sz="4" w:space="0" w:color="auto"/>
              <w:left w:val="nil"/>
              <w:bottom w:val="single" w:sz="4" w:space="0" w:color="auto"/>
              <w:right w:val="nil"/>
            </w:tcBorders>
          </w:tcPr>
          <w:p w:rsidR="000A37A4" w:rsidRPr="00252D36" w:rsidRDefault="000A37A4" w:rsidP="000A37A4">
            <w:pPr>
              <w:rPr>
                <w:rFonts w:ascii="Arial" w:hAnsi="Arial" w:cs="Arial"/>
                <w:b/>
                <w:sz w:val="16"/>
                <w:szCs w:val="16"/>
              </w:rPr>
            </w:pPr>
            <w:r w:rsidRPr="00252D36">
              <w:rPr>
                <w:rFonts w:ascii="Arial" w:hAnsi="Arial" w:cs="Arial"/>
                <w:b/>
                <w:sz w:val="16"/>
                <w:szCs w:val="16"/>
              </w:rPr>
              <w:t>Location</w:t>
            </w:r>
          </w:p>
        </w:tc>
        <w:tc>
          <w:tcPr>
            <w:tcW w:w="499" w:type="pct"/>
            <w:tcBorders>
              <w:top w:val="single" w:sz="4" w:space="0" w:color="auto"/>
              <w:left w:val="nil"/>
              <w:bottom w:val="single" w:sz="4" w:space="0" w:color="auto"/>
              <w:right w:val="nil"/>
            </w:tcBorders>
          </w:tcPr>
          <w:p w:rsidR="000A37A4" w:rsidRPr="00252D36" w:rsidRDefault="000A37A4" w:rsidP="000A37A4">
            <w:pPr>
              <w:rPr>
                <w:rFonts w:ascii="Arial" w:hAnsi="Arial" w:cs="Arial"/>
                <w:b/>
                <w:sz w:val="16"/>
                <w:szCs w:val="16"/>
              </w:rPr>
            </w:pPr>
            <w:proofErr w:type="spellStart"/>
            <w:r w:rsidRPr="00252D36">
              <w:rPr>
                <w:rFonts w:ascii="Arial" w:hAnsi="Arial" w:cs="Arial"/>
                <w:b/>
                <w:sz w:val="16"/>
                <w:szCs w:val="16"/>
              </w:rPr>
              <w:t>Mg_F</w:t>
            </w:r>
            <w:proofErr w:type="spellEnd"/>
          </w:p>
          <w:p w:rsidR="000A37A4" w:rsidRPr="00252D36" w:rsidRDefault="000A37A4" w:rsidP="000A37A4">
            <w:pPr>
              <w:rPr>
                <w:rFonts w:ascii="Arial" w:hAnsi="Arial" w:cs="Arial"/>
                <w:b/>
                <w:sz w:val="16"/>
                <w:szCs w:val="16"/>
              </w:rPr>
            </w:pPr>
            <w:r w:rsidRPr="00252D36">
              <w:rPr>
                <w:rFonts w:ascii="Arial" w:hAnsi="Arial" w:cs="Arial"/>
                <w:b/>
                <w:sz w:val="16"/>
                <w:szCs w:val="16"/>
              </w:rPr>
              <w:t>mg/L</w:t>
            </w:r>
          </w:p>
        </w:tc>
        <w:tc>
          <w:tcPr>
            <w:tcW w:w="500" w:type="pct"/>
            <w:tcBorders>
              <w:top w:val="single" w:sz="4" w:space="0" w:color="auto"/>
              <w:left w:val="nil"/>
              <w:bottom w:val="single" w:sz="4" w:space="0" w:color="auto"/>
              <w:right w:val="nil"/>
            </w:tcBorders>
          </w:tcPr>
          <w:p w:rsidR="000A37A4" w:rsidRPr="00252D36" w:rsidRDefault="000A37A4" w:rsidP="000A37A4">
            <w:pPr>
              <w:rPr>
                <w:rFonts w:ascii="Arial" w:hAnsi="Arial" w:cs="Arial"/>
                <w:b/>
                <w:sz w:val="16"/>
                <w:szCs w:val="16"/>
              </w:rPr>
            </w:pPr>
            <w:proofErr w:type="spellStart"/>
            <w:r w:rsidRPr="00252D36">
              <w:rPr>
                <w:rFonts w:ascii="Arial" w:hAnsi="Arial" w:cs="Arial"/>
                <w:b/>
                <w:sz w:val="16"/>
                <w:szCs w:val="16"/>
              </w:rPr>
              <w:t>Mn_F</w:t>
            </w:r>
            <w:proofErr w:type="spellEnd"/>
          </w:p>
          <w:p w:rsidR="000A37A4" w:rsidRPr="00252D36" w:rsidRDefault="000A37A4" w:rsidP="000A37A4">
            <w:pPr>
              <w:rPr>
                <w:rFonts w:ascii="Arial" w:hAnsi="Arial" w:cs="Arial"/>
                <w:b/>
                <w:sz w:val="16"/>
                <w:szCs w:val="16"/>
              </w:rPr>
            </w:pPr>
            <w:r w:rsidRPr="00252D36">
              <w:rPr>
                <w:rFonts w:ascii="Arial" w:hAnsi="Arial" w:cs="Arial"/>
                <w:b/>
                <w:sz w:val="16"/>
                <w:szCs w:val="16"/>
              </w:rPr>
              <w:t>mg/L</w:t>
            </w:r>
          </w:p>
        </w:tc>
        <w:tc>
          <w:tcPr>
            <w:tcW w:w="500" w:type="pct"/>
            <w:tcBorders>
              <w:top w:val="single" w:sz="4" w:space="0" w:color="auto"/>
              <w:left w:val="nil"/>
              <w:bottom w:val="single" w:sz="4" w:space="0" w:color="auto"/>
              <w:right w:val="nil"/>
            </w:tcBorders>
          </w:tcPr>
          <w:p w:rsidR="000A37A4" w:rsidRPr="00252D36" w:rsidRDefault="000A37A4" w:rsidP="000A37A4">
            <w:pPr>
              <w:rPr>
                <w:rFonts w:ascii="Arial" w:hAnsi="Arial" w:cs="Arial"/>
                <w:b/>
                <w:sz w:val="16"/>
                <w:szCs w:val="16"/>
              </w:rPr>
            </w:pPr>
            <w:r w:rsidRPr="00252D36">
              <w:rPr>
                <w:rFonts w:ascii="Arial" w:hAnsi="Arial" w:cs="Arial"/>
                <w:b/>
                <w:sz w:val="16"/>
                <w:szCs w:val="16"/>
              </w:rPr>
              <w:t>SO4_F</w:t>
            </w:r>
          </w:p>
          <w:p w:rsidR="000A37A4" w:rsidRPr="00252D36" w:rsidRDefault="000A37A4" w:rsidP="000A37A4">
            <w:pPr>
              <w:rPr>
                <w:rFonts w:ascii="Arial" w:hAnsi="Arial" w:cs="Arial"/>
                <w:b/>
                <w:sz w:val="16"/>
                <w:szCs w:val="16"/>
              </w:rPr>
            </w:pPr>
            <w:r w:rsidRPr="00252D36">
              <w:rPr>
                <w:rFonts w:ascii="Arial" w:hAnsi="Arial" w:cs="Arial"/>
                <w:b/>
                <w:sz w:val="16"/>
                <w:szCs w:val="16"/>
              </w:rPr>
              <w:t>mg/L</w:t>
            </w:r>
          </w:p>
        </w:tc>
        <w:tc>
          <w:tcPr>
            <w:tcW w:w="500" w:type="pct"/>
            <w:tcBorders>
              <w:top w:val="single" w:sz="4" w:space="0" w:color="auto"/>
              <w:left w:val="nil"/>
              <w:bottom w:val="single" w:sz="4" w:space="0" w:color="auto"/>
              <w:right w:val="nil"/>
            </w:tcBorders>
          </w:tcPr>
          <w:p w:rsidR="000A37A4" w:rsidRPr="00252D36" w:rsidRDefault="000A37A4" w:rsidP="000A37A4">
            <w:pPr>
              <w:rPr>
                <w:rFonts w:ascii="Arial" w:hAnsi="Arial" w:cs="Arial"/>
                <w:b/>
                <w:sz w:val="16"/>
                <w:szCs w:val="16"/>
              </w:rPr>
            </w:pPr>
            <w:r w:rsidRPr="00252D36">
              <w:rPr>
                <w:rFonts w:ascii="Arial" w:hAnsi="Arial" w:cs="Arial"/>
                <w:b/>
                <w:sz w:val="16"/>
                <w:szCs w:val="16"/>
              </w:rPr>
              <w:t>U_F</w:t>
            </w:r>
          </w:p>
          <w:p w:rsidR="000A37A4" w:rsidRPr="00252D36" w:rsidRDefault="000A37A4" w:rsidP="000A37A4">
            <w:pPr>
              <w:rPr>
                <w:rFonts w:ascii="Arial" w:hAnsi="Arial" w:cs="Arial"/>
                <w:b/>
                <w:sz w:val="16"/>
                <w:szCs w:val="16"/>
              </w:rPr>
            </w:pPr>
            <w:r w:rsidRPr="00252D36">
              <w:rPr>
                <w:rFonts w:ascii="Arial" w:hAnsi="Arial" w:cs="Arial"/>
                <w:b/>
                <w:sz w:val="16"/>
                <w:szCs w:val="16"/>
              </w:rPr>
              <w:t>µg/L</w:t>
            </w:r>
          </w:p>
        </w:tc>
        <w:tc>
          <w:tcPr>
            <w:tcW w:w="500" w:type="pct"/>
            <w:tcBorders>
              <w:top w:val="single" w:sz="4" w:space="0" w:color="auto"/>
              <w:left w:val="nil"/>
              <w:bottom w:val="single" w:sz="4" w:space="0" w:color="auto"/>
              <w:right w:val="single" w:sz="4" w:space="0" w:color="auto"/>
            </w:tcBorders>
          </w:tcPr>
          <w:p w:rsidR="000A37A4" w:rsidRPr="00252D36" w:rsidRDefault="000A37A4" w:rsidP="000A37A4">
            <w:pPr>
              <w:rPr>
                <w:rFonts w:ascii="Arial" w:hAnsi="Arial" w:cs="Arial"/>
                <w:b/>
                <w:snapToGrid w:val="0"/>
                <w:color w:val="000000"/>
                <w:sz w:val="16"/>
                <w:szCs w:val="16"/>
                <w:u w:color="000000"/>
              </w:rPr>
            </w:pPr>
            <w:r w:rsidRPr="00252D36">
              <w:rPr>
                <w:rFonts w:ascii="Arial" w:hAnsi="Arial" w:cs="Arial"/>
                <w:b/>
                <w:snapToGrid w:val="0"/>
                <w:color w:val="000000"/>
                <w:position w:val="5"/>
                <w:sz w:val="16"/>
                <w:szCs w:val="16"/>
                <w:u w:color="000000"/>
              </w:rPr>
              <w:t>226</w:t>
            </w:r>
            <w:proofErr w:type="spellStart"/>
            <w:r w:rsidRPr="00252D36">
              <w:rPr>
                <w:rFonts w:ascii="Arial" w:hAnsi="Arial" w:cs="Arial"/>
                <w:b/>
                <w:snapToGrid w:val="0"/>
                <w:color w:val="000000"/>
                <w:sz w:val="16"/>
                <w:szCs w:val="16"/>
                <w:u w:color="000000"/>
              </w:rPr>
              <w:t>Ra_F</w:t>
            </w:r>
            <w:proofErr w:type="spellEnd"/>
          </w:p>
          <w:p w:rsidR="000A37A4" w:rsidRPr="00252D36" w:rsidRDefault="000A37A4" w:rsidP="000A37A4">
            <w:pPr>
              <w:rPr>
                <w:rFonts w:ascii="Arial" w:hAnsi="Arial" w:cs="Arial"/>
                <w:b/>
                <w:sz w:val="16"/>
                <w:szCs w:val="16"/>
              </w:rPr>
            </w:pPr>
            <w:proofErr w:type="spellStart"/>
            <w:r w:rsidRPr="00252D36">
              <w:rPr>
                <w:rFonts w:ascii="Arial" w:hAnsi="Arial" w:cs="Arial"/>
                <w:b/>
                <w:snapToGrid w:val="0"/>
                <w:color w:val="000000"/>
                <w:sz w:val="16"/>
                <w:szCs w:val="16"/>
                <w:u w:color="000000"/>
              </w:rPr>
              <w:t>mBq</w:t>
            </w:r>
            <w:proofErr w:type="spellEnd"/>
            <w:r w:rsidRPr="00252D36">
              <w:rPr>
                <w:rFonts w:ascii="Arial" w:hAnsi="Arial" w:cs="Arial"/>
                <w:b/>
                <w:snapToGrid w:val="0"/>
                <w:color w:val="000000"/>
                <w:sz w:val="16"/>
                <w:szCs w:val="16"/>
                <w:u w:color="000000"/>
              </w:rPr>
              <w:t>/L</w:t>
            </w:r>
          </w:p>
        </w:tc>
      </w:tr>
      <w:tr w:rsidR="000A37A4" w:rsidRPr="003E765F" w:rsidTr="000A37A4">
        <w:trPr>
          <w:trHeight w:val="282"/>
        </w:trPr>
        <w:tc>
          <w:tcPr>
            <w:tcW w:w="565" w:type="pct"/>
            <w:tcBorders>
              <w:top w:val="single" w:sz="4" w:space="0" w:color="auto"/>
              <w:left w:val="single" w:sz="4" w:space="0" w:color="auto"/>
              <w:bottom w:val="nil"/>
              <w:right w:val="nil"/>
            </w:tcBorders>
          </w:tcPr>
          <w:p w:rsidR="000A37A4" w:rsidRPr="00252D36" w:rsidRDefault="000A37A4" w:rsidP="000A37A4">
            <w:pPr>
              <w:spacing w:after="0"/>
              <w:rPr>
                <w:rFonts w:ascii="Arial" w:hAnsi="Arial" w:cs="Arial"/>
                <w:sz w:val="16"/>
                <w:szCs w:val="16"/>
              </w:rPr>
            </w:pPr>
            <w:r w:rsidRPr="00252D36">
              <w:rPr>
                <w:rFonts w:ascii="Arial" w:hAnsi="Arial" w:cs="Arial"/>
                <w:sz w:val="16"/>
                <w:szCs w:val="16"/>
              </w:rPr>
              <w:t>JO376</w:t>
            </w:r>
          </w:p>
        </w:tc>
        <w:tc>
          <w:tcPr>
            <w:tcW w:w="1935" w:type="pct"/>
            <w:tcBorders>
              <w:top w:val="single" w:sz="4" w:space="0" w:color="auto"/>
              <w:left w:val="nil"/>
              <w:bottom w:val="nil"/>
              <w:right w:val="nil"/>
            </w:tcBorders>
          </w:tcPr>
          <w:p w:rsidR="000A37A4" w:rsidRPr="00252D36" w:rsidRDefault="000A37A4" w:rsidP="000A37A4">
            <w:pPr>
              <w:spacing w:after="0"/>
              <w:rPr>
                <w:rFonts w:ascii="Arial" w:hAnsi="Arial" w:cs="Arial"/>
                <w:sz w:val="16"/>
                <w:szCs w:val="16"/>
              </w:rPr>
            </w:pPr>
            <w:r w:rsidRPr="00252D36">
              <w:rPr>
                <w:rFonts w:ascii="Arial" w:hAnsi="Arial" w:cs="Arial"/>
                <w:sz w:val="16"/>
                <w:szCs w:val="16"/>
              </w:rPr>
              <w:t>Site 1</w:t>
            </w:r>
          </w:p>
        </w:tc>
        <w:tc>
          <w:tcPr>
            <w:tcW w:w="499" w:type="pct"/>
            <w:tcBorders>
              <w:top w:val="single" w:sz="4" w:space="0" w:color="auto"/>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752</w:t>
            </w:r>
          </w:p>
        </w:tc>
        <w:tc>
          <w:tcPr>
            <w:tcW w:w="500" w:type="pct"/>
            <w:tcBorders>
              <w:top w:val="single" w:sz="4" w:space="0" w:color="auto"/>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132</w:t>
            </w:r>
          </w:p>
        </w:tc>
        <w:tc>
          <w:tcPr>
            <w:tcW w:w="500" w:type="pct"/>
            <w:tcBorders>
              <w:top w:val="single" w:sz="4" w:space="0" w:color="auto"/>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3450</w:t>
            </w:r>
          </w:p>
        </w:tc>
        <w:tc>
          <w:tcPr>
            <w:tcW w:w="500" w:type="pct"/>
            <w:tcBorders>
              <w:top w:val="single" w:sz="4" w:space="0" w:color="auto"/>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2130</w:t>
            </w:r>
          </w:p>
        </w:tc>
        <w:tc>
          <w:tcPr>
            <w:tcW w:w="500" w:type="pct"/>
            <w:tcBorders>
              <w:top w:val="single" w:sz="4" w:space="0" w:color="auto"/>
              <w:left w:val="nil"/>
              <w:bottom w:val="nil"/>
              <w:right w:val="single" w:sz="4" w:space="0" w:color="auto"/>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3670</w:t>
            </w:r>
          </w:p>
        </w:tc>
      </w:tr>
      <w:tr w:rsidR="000A37A4" w:rsidRPr="003E765F" w:rsidTr="000A37A4">
        <w:tc>
          <w:tcPr>
            <w:tcW w:w="565" w:type="pct"/>
            <w:tcBorders>
              <w:top w:val="nil"/>
              <w:left w:val="single" w:sz="4" w:space="0" w:color="auto"/>
              <w:bottom w:val="nil"/>
              <w:right w:val="nil"/>
            </w:tcBorders>
          </w:tcPr>
          <w:p w:rsidR="000A37A4" w:rsidRPr="00252D36" w:rsidRDefault="000A37A4" w:rsidP="000A37A4">
            <w:pPr>
              <w:spacing w:after="0"/>
              <w:rPr>
                <w:rFonts w:ascii="Arial" w:hAnsi="Arial" w:cs="Arial"/>
                <w:sz w:val="16"/>
                <w:szCs w:val="16"/>
              </w:rPr>
            </w:pPr>
            <w:r w:rsidRPr="00252D36">
              <w:rPr>
                <w:rFonts w:ascii="Arial" w:hAnsi="Arial" w:cs="Arial"/>
                <w:sz w:val="16"/>
                <w:szCs w:val="16"/>
              </w:rPr>
              <w:t>JO377</w:t>
            </w:r>
          </w:p>
        </w:tc>
        <w:tc>
          <w:tcPr>
            <w:tcW w:w="1935" w:type="pct"/>
            <w:tcBorders>
              <w:top w:val="nil"/>
              <w:left w:val="nil"/>
              <w:bottom w:val="nil"/>
              <w:right w:val="nil"/>
            </w:tcBorders>
          </w:tcPr>
          <w:p w:rsidR="000A37A4" w:rsidRPr="00252D36" w:rsidRDefault="000A37A4" w:rsidP="000A37A4">
            <w:pPr>
              <w:spacing w:after="0"/>
              <w:rPr>
                <w:rFonts w:ascii="Arial" w:hAnsi="Arial" w:cs="Arial"/>
                <w:sz w:val="16"/>
                <w:szCs w:val="16"/>
              </w:rPr>
            </w:pPr>
            <w:r w:rsidRPr="00252D36">
              <w:rPr>
                <w:rFonts w:ascii="Arial" w:hAnsi="Arial" w:cs="Arial"/>
                <w:sz w:val="16"/>
                <w:szCs w:val="16"/>
              </w:rPr>
              <w:t>Site 2</w:t>
            </w:r>
          </w:p>
        </w:tc>
        <w:tc>
          <w:tcPr>
            <w:tcW w:w="499"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1070</w:t>
            </w:r>
          </w:p>
        </w:tc>
        <w:tc>
          <w:tcPr>
            <w:tcW w:w="50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192</w:t>
            </w:r>
          </w:p>
        </w:tc>
        <w:tc>
          <w:tcPr>
            <w:tcW w:w="50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4870</w:t>
            </w:r>
          </w:p>
        </w:tc>
        <w:tc>
          <w:tcPr>
            <w:tcW w:w="50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2410</w:t>
            </w:r>
          </w:p>
        </w:tc>
        <w:tc>
          <w:tcPr>
            <w:tcW w:w="500" w:type="pct"/>
            <w:tcBorders>
              <w:top w:val="nil"/>
              <w:left w:val="nil"/>
              <w:bottom w:val="nil"/>
              <w:right w:val="single" w:sz="4" w:space="0" w:color="auto"/>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3780</w:t>
            </w:r>
          </w:p>
        </w:tc>
      </w:tr>
      <w:tr w:rsidR="000A37A4" w:rsidRPr="003E765F" w:rsidTr="000A37A4">
        <w:tc>
          <w:tcPr>
            <w:tcW w:w="565" w:type="pct"/>
            <w:tcBorders>
              <w:top w:val="nil"/>
              <w:left w:val="single" w:sz="4" w:space="0" w:color="auto"/>
              <w:bottom w:val="nil"/>
              <w:right w:val="nil"/>
            </w:tcBorders>
          </w:tcPr>
          <w:p w:rsidR="000A37A4" w:rsidRPr="00252D36" w:rsidRDefault="000A37A4" w:rsidP="000A37A4">
            <w:pPr>
              <w:spacing w:after="0"/>
              <w:rPr>
                <w:rFonts w:ascii="Arial" w:hAnsi="Arial" w:cs="Arial"/>
                <w:sz w:val="16"/>
                <w:szCs w:val="16"/>
              </w:rPr>
            </w:pPr>
            <w:r w:rsidRPr="00252D36">
              <w:rPr>
                <w:rFonts w:ascii="Arial" w:hAnsi="Arial" w:cs="Arial"/>
                <w:sz w:val="16"/>
                <w:szCs w:val="16"/>
              </w:rPr>
              <w:t>JO378</w:t>
            </w:r>
          </w:p>
        </w:tc>
        <w:tc>
          <w:tcPr>
            <w:tcW w:w="1935" w:type="pct"/>
            <w:tcBorders>
              <w:top w:val="nil"/>
              <w:left w:val="nil"/>
              <w:bottom w:val="nil"/>
              <w:right w:val="nil"/>
            </w:tcBorders>
          </w:tcPr>
          <w:p w:rsidR="000A37A4" w:rsidRPr="00252D36" w:rsidRDefault="000A37A4" w:rsidP="000A37A4">
            <w:pPr>
              <w:spacing w:after="0"/>
              <w:rPr>
                <w:rFonts w:ascii="Arial" w:hAnsi="Arial" w:cs="Arial"/>
                <w:sz w:val="16"/>
                <w:szCs w:val="16"/>
              </w:rPr>
            </w:pPr>
            <w:r w:rsidRPr="00252D36">
              <w:rPr>
                <w:rFonts w:ascii="Arial" w:hAnsi="Arial" w:cs="Arial"/>
                <w:sz w:val="16"/>
                <w:szCs w:val="16"/>
              </w:rPr>
              <w:t>Site 2 dup</w:t>
            </w:r>
          </w:p>
        </w:tc>
        <w:tc>
          <w:tcPr>
            <w:tcW w:w="499"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1050</w:t>
            </w:r>
          </w:p>
        </w:tc>
        <w:tc>
          <w:tcPr>
            <w:tcW w:w="50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193</w:t>
            </w:r>
          </w:p>
        </w:tc>
        <w:tc>
          <w:tcPr>
            <w:tcW w:w="50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4930</w:t>
            </w:r>
          </w:p>
        </w:tc>
        <w:tc>
          <w:tcPr>
            <w:tcW w:w="50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2410</w:t>
            </w:r>
          </w:p>
        </w:tc>
        <w:tc>
          <w:tcPr>
            <w:tcW w:w="500" w:type="pct"/>
            <w:tcBorders>
              <w:top w:val="nil"/>
              <w:left w:val="nil"/>
              <w:bottom w:val="nil"/>
              <w:right w:val="single" w:sz="4" w:space="0" w:color="auto"/>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3310</w:t>
            </w:r>
          </w:p>
        </w:tc>
      </w:tr>
      <w:tr w:rsidR="000A37A4" w:rsidRPr="003E765F" w:rsidTr="000A37A4">
        <w:tc>
          <w:tcPr>
            <w:tcW w:w="565" w:type="pct"/>
            <w:tcBorders>
              <w:top w:val="nil"/>
              <w:left w:val="single" w:sz="4" w:space="0" w:color="auto"/>
              <w:bottom w:val="nil"/>
              <w:right w:val="nil"/>
            </w:tcBorders>
          </w:tcPr>
          <w:p w:rsidR="000A37A4" w:rsidRPr="00252D36" w:rsidRDefault="000A37A4" w:rsidP="000A37A4">
            <w:pPr>
              <w:spacing w:after="0"/>
              <w:rPr>
                <w:rFonts w:ascii="Arial" w:hAnsi="Arial" w:cs="Arial"/>
                <w:sz w:val="16"/>
                <w:szCs w:val="16"/>
              </w:rPr>
            </w:pPr>
            <w:r w:rsidRPr="00252D36">
              <w:rPr>
                <w:rFonts w:ascii="Arial" w:hAnsi="Arial" w:cs="Arial"/>
                <w:sz w:val="16"/>
                <w:szCs w:val="16"/>
              </w:rPr>
              <w:t>JO379</w:t>
            </w:r>
          </w:p>
        </w:tc>
        <w:tc>
          <w:tcPr>
            <w:tcW w:w="1935" w:type="pct"/>
            <w:tcBorders>
              <w:top w:val="nil"/>
              <w:left w:val="nil"/>
              <w:bottom w:val="nil"/>
              <w:right w:val="nil"/>
            </w:tcBorders>
          </w:tcPr>
          <w:p w:rsidR="000A37A4" w:rsidRPr="00252D36" w:rsidRDefault="000A37A4" w:rsidP="000A37A4">
            <w:pPr>
              <w:spacing w:after="0"/>
              <w:rPr>
                <w:rFonts w:ascii="Arial" w:hAnsi="Arial" w:cs="Arial"/>
                <w:sz w:val="16"/>
                <w:szCs w:val="16"/>
              </w:rPr>
            </w:pPr>
            <w:r w:rsidRPr="00252D36">
              <w:rPr>
                <w:rFonts w:ascii="Arial" w:hAnsi="Arial" w:cs="Arial"/>
                <w:sz w:val="16"/>
                <w:szCs w:val="16"/>
              </w:rPr>
              <w:t>Site 3</w:t>
            </w:r>
          </w:p>
        </w:tc>
        <w:tc>
          <w:tcPr>
            <w:tcW w:w="499"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910</w:t>
            </w:r>
          </w:p>
        </w:tc>
        <w:tc>
          <w:tcPr>
            <w:tcW w:w="50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162</w:t>
            </w:r>
          </w:p>
        </w:tc>
        <w:tc>
          <w:tcPr>
            <w:tcW w:w="50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4210</w:t>
            </w:r>
          </w:p>
        </w:tc>
        <w:tc>
          <w:tcPr>
            <w:tcW w:w="50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1110</w:t>
            </w:r>
          </w:p>
        </w:tc>
        <w:tc>
          <w:tcPr>
            <w:tcW w:w="500" w:type="pct"/>
            <w:tcBorders>
              <w:top w:val="nil"/>
              <w:left w:val="nil"/>
              <w:bottom w:val="nil"/>
              <w:right w:val="single" w:sz="4" w:space="0" w:color="auto"/>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3610</w:t>
            </w:r>
          </w:p>
        </w:tc>
      </w:tr>
      <w:tr w:rsidR="000A37A4" w:rsidRPr="003E765F" w:rsidTr="000A37A4">
        <w:tc>
          <w:tcPr>
            <w:tcW w:w="565" w:type="pct"/>
            <w:tcBorders>
              <w:top w:val="nil"/>
              <w:left w:val="single" w:sz="4" w:space="0" w:color="auto"/>
              <w:bottom w:val="nil"/>
              <w:right w:val="nil"/>
            </w:tcBorders>
          </w:tcPr>
          <w:p w:rsidR="000A37A4" w:rsidRPr="00252D36" w:rsidRDefault="000A37A4" w:rsidP="000A37A4">
            <w:pPr>
              <w:spacing w:after="0"/>
              <w:rPr>
                <w:rFonts w:ascii="Arial" w:hAnsi="Arial" w:cs="Arial"/>
                <w:sz w:val="16"/>
                <w:szCs w:val="16"/>
              </w:rPr>
            </w:pPr>
            <w:r w:rsidRPr="00252D36">
              <w:rPr>
                <w:rFonts w:ascii="Arial" w:hAnsi="Arial" w:cs="Arial"/>
                <w:sz w:val="16"/>
                <w:szCs w:val="16"/>
              </w:rPr>
              <w:t>JO380</w:t>
            </w:r>
          </w:p>
        </w:tc>
        <w:tc>
          <w:tcPr>
            <w:tcW w:w="1935" w:type="pct"/>
            <w:tcBorders>
              <w:top w:val="nil"/>
              <w:left w:val="nil"/>
              <w:bottom w:val="nil"/>
              <w:right w:val="nil"/>
            </w:tcBorders>
          </w:tcPr>
          <w:p w:rsidR="000A37A4" w:rsidRPr="00252D36" w:rsidRDefault="000A37A4" w:rsidP="000A37A4">
            <w:pPr>
              <w:spacing w:after="0"/>
              <w:rPr>
                <w:rFonts w:ascii="Arial" w:hAnsi="Arial" w:cs="Arial"/>
                <w:sz w:val="16"/>
                <w:szCs w:val="16"/>
              </w:rPr>
            </w:pPr>
            <w:r w:rsidRPr="00252D36">
              <w:rPr>
                <w:rFonts w:ascii="Arial" w:hAnsi="Arial" w:cs="Arial"/>
                <w:sz w:val="16"/>
                <w:szCs w:val="16"/>
              </w:rPr>
              <w:t>Site 4</w:t>
            </w:r>
          </w:p>
        </w:tc>
        <w:tc>
          <w:tcPr>
            <w:tcW w:w="499"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756</w:t>
            </w:r>
          </w:p>
        </w:tc>
        <w:tc>
          <w:tcPr>
            <w:tcW w:w="50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161</w:t>
            </w:r>
          </w:p>
        </w:tc>
        <w:tc>
          <w:tcPr>
            <w:tcW w:w="50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3820</w:t>
            </w:r>
          </w:p>
        </w:tc>
        <w:tc>
          <w:tcPr>
            <w:tcW w:w="50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2340</w:t>
            </w:r>
          </w:p>
        </w:tc>
        <w:tc>
          <w:tcPr>
            <w:tcW w:w="500" w:type="pct"/>
            <w:tcBorders>
              <w:top w:val="nil"/>
              <w:left w:val="nil"/>
              <w:bottom w:val="nil"/>
              <w:right w:val="single" w:sz="4" w:space="0" w:color="auto"/>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2530</w:t>
            </w:r>
          </w:p>
        </w:tc>
      </w:tr>
      <w:tr w:rsidR="000A37A4" w:rsidRPr="003E765F" w:rsidTr="000A37A4">
        <w:tc>
          <w:tcPr>
            <w:tcW w:w="565" w:type="pct"/>
            <w:tcBorders>
              <w:top w:val="nil"/>
              <w:left w:val="single" w:sz="4" w:space="0" w:color="auto"/>
              <w:bottom w:val="nil"/>
              <w:right w:val="nil"/>
            </w:tcBorders>
          </w:tcPr>
          <w:p w:rsidR="000A37A4" w:rsidRPr="00252D36" w:rsidRDefault="000A37A4" w:rsidP="000A37A4">
            <w:pPr>
              <w:spacing w:after="0"/>
              <w:rPr>
                <w:rFonts w:ascii="Arial" w:hAnsi="Arial" w:cs="Arial"/>
                <w:sz w:val="16"/>
                <w:szCs w:val="16"/>
              </w:rPr>
            </w:pPr>
            <w:r w:rsidRPr="00252D36">
              <w:rPr>
                <w:rFonts w:ascii="Arial" w:hAnsi="Arial" w:cs="Arial"/>
                <w:sz w:val="16"/>
                <w:szCs w:val="16"/>
              </w:rPr>
              <w:t>JO381</w:t>
            </w:r>
          </w:p>
        </w:tc>
        <w:tc>
          <w:tcPr>
            <w:tcW w:w="1935" w:type="pct"/>
            <w:tcBorders>
              <w:top w:val="nil"/>
              <w:left w:val="nil"/>
              <w:bottom w:val="nil"/>
              <w:right w:val="nil"/>
            </w:tcBorders>
          </w:tcPr>
          <w:p w:rsidR="000A37A4" w:rsidRPr="00252D36" w:rsidRDefault="000A37A4" w:rsidP="000A37A4">
            <w:pPr>
              <w:spacing w:after="0"/>
              <w:rPr>
                <w:rFonts w:ascii="Arial" w:hAnsi="Arial" w:cs="Arial"/>
                <w:sz w:val="16"/>
                <w:szCs w:val="16"/>
              </w:rPr>
            </w:pPr>
            <w:r w:rsidRPr="00252D36">
              <w:rPr>
                <w:rFonts w:ascii="Arial" w:hAnsi="Arial" w:cs="Arial"/>
                <w:sz w:val="16"/>
                <w:szCs w:val="16"/>
              </w:rPr>
              <w:t>Site 5</w:t>
            </w:r>
          </w:p>
        </w:tc>
        <w:tc>
          <w:tcPr>
            <w:tcW w:w="499"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1040</w:t>
            </w:r>
          </w:p>
        </w:tc>
        <w:tc>
          <w:tcPr>
            <w:tcW w:w="50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188</w:t>
            </w:r>
          </w:p>
        </w:tc>
        <w:tc>
          <w:tcPr>
            <w:tcW w:w="50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5070</w:t>
            </w:r>
          </w:p>
        </w:tc>
        <w:tc>
          <w:tcPr>
            <w:tcW w:w="50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3100</w:t>
            </w:r>
          </w:p>
        </w:tc>
        <w:tc>
          <w:tcPr>
            <w:tcW w:w="500" w:type="pct"/>
            <w:tcBorders>
              <w:top w:val="nil"/>
              <w:left w:val="nil"/>
              <w:bottom w:val="nil"/>
              <w:right w:val="single" w:sz="4" w:space="0" w:color="auto"/>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4130</w:t>
            </w:r>
          </w:p>
        </w:tc>
      </w:tr>
      <w:tr w:rsidR="000A37A4" w:rsidRPr="003E765F" w:rsidTr="000A37A4">
        <w:tc>
          <w:tcPr>
            <w:tcW w:w="565" w:type="pct"/>
            <w:tcBorders>
              <w:top w:val="nil"/>
              <w:left w:val="single" w:sz="4" w:space="0" w:color="auto"/>
              <w:bottom w:val="single" w:sz="4" w:space="0" w:color="auto"/>
              <w:right w:val="nil"/>
            </w:tcBorders>
          </w:tcPr>
          <w:p w:rsidR="000A37A4" w:rsidRPr="00252D36" w:rsidRDefault="000A37A4" w:rsidP="000A37A4">
            <w:pPr>
              <w:spacing w:after="0"/>
              <w:rPr>
                <w:rFonts w:ascii="Arial" w:hAnsi="Arial" w:cs="Arial"/>
                <w:sz w:val="16"/>
                <w:szCs w:val="16"/>
              </w:rPr>
            </w:pPr>
            <w:r w:rsidRPr="00252D36">
              <w:rPr>
                <w:rFonts w:ascii="Arial" w:hAnsi="Arial" w:cs="Arial"/>
                <w:sz w:val="16"/>
                <w:szCs w:val="16"/>
              </w:rPr>
              <w:t>JO382</w:t>
            </w:r>
          </w:p>
        </w:tc>
        <w:tc>
          <w:tcPr>
            <w:tcW w:w="1935" w:type="pct"/>
            <w:tcBorders>
              <w:top w:val="nil"/>
              <w:left w:val="nil"/>
              <w:bottom w:val="single" w:sz="4" w:space="0" w:color="auto"/>
              <w:right w:val="nil"/>
            </w:tcBorders>
          </w:tcPr>
          <w:p w:rsidR="000A37A4" w:rsidRPr="00252D36" w:rsidRDefault="000A37A4" w:rsidP="000A37A4">
            <w:pPr>
              <w:spacing w:after="0"/>
              <w:rPr>
                <w:rFonts w:ascii="Arial" w:hAnsi="Arial" w:cs="Arial"/>
                <w:sz w:val="16"/>
                <w:szCs w:val="16"/>
              </w:rPr>
            </w:pPr>
            <w:r w:rsidRPr="00252D36">
              <w:rPr>
                <w:rFonts w:ascii="Arial" w:hAnsi="Arial" w:cs="Arial"/>
                <w:sz w:val="16"/>
                <w:szCs w:val="16"/>
              </w:rPr>
              <w:t>Site 6</w:t>
            </w:r>
          </w:p>
        </w:tc>
        <w:tc>
          <w:tcPr>
            <w:tcW w:w="499"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1970</w:t>
            </w:r>
          </w:p>
        </w:tc>
        <w:tc>
          <w:tcPr>
            <w:tcW w:w="500"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525</w:t>
            </w:r>
          </w:p>
        </w:tc>
        <w:tc>
          <w:tcPr>
            <w:tcW w:w="500"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10100</w:t>
            </w:r>
          </w:p>
        </w:tc>
        <w:tc>
          <w:tcPr>
            <w:tcW w:w="500"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9250</w:t>
            </w:r>
          </w:p>
        </w:tc>
        <w:tc>
          <w:tcPr>
            <w:tcW w:w="500" w:type="pct"/>
            <w:tcBorders>
              <w:top w:val="nil"/>
              <w:left w:val="nil"/>
              <w:bottom w:val="single" w:sz="4" w:space="0" w:color="auto"/>
              <w:right w:val="single" w:sz="4" w:space="0" w:color="auto"/>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4810</w:t>
            </w:r>
          </w:p>
        </w:tc>
      </w:tr>
      <w:tr w:rsidR="000A37A4" w:rsidRPr="003E765F" w:rsidTr="000A37A4">
        <w:tc>
          <w:tcPr>
            <w:tcW w:w="565" w:type="pct"/>
            <w:tcBorders>
              <w:top w:val="single" w:sz="4" w:space="0" w:color="auto"/>
              <w:left w:val="single" w:sz="4" w:space="0" w:color="auto"/>
              <w:bottom w:val="nil"/>
              <w:right w:val="nil"/>
            </w:tcBorders>
          </w:tcPr>
          <w:p w:rsidR="000A37A4" w:rsidRPr="00252D36" w:rsidRDefault="000A37A4" w:rsidP="000A37A4">
            <w:pPr>
              <w:spacing w:after="0"/>
              <w:rPr>
                <w:rFonts w:ascii="Arial" w:hAnsi="Arial" w:cs="Arial"/>
                <w:sz w:val="16"/>
                <w:szCs w:val="16"/>
              </w:rPr>
            </w:pPr>
          </w:p>
        </w:tc>
        <w:tc>
          <w:tcPr>
            <w:tcW w:w="1935" w:type="pct"/>
            <w:tcBorders>
              <w:top w:val="single" w:sz="4" w:space="0" w:color="auto"/>
              <w:left w:val="nil"/>
              <w:bottom w:val="nil"/>
              <w:right w:val="nil"/>
            </w:tcBorders>
          </w:tcPr>
          <w:p w:rsidR="000A37A4" w:rsidRPr="00252D36" w:rsidRDefault="000A37A4" w:rsidP="000A37A4">
            <w:pPr>
              <w:spacing w:after="0"/>
              <w:rPr>
                <w:rFonts w:ascii="Arial" w:hAnsi="Arial" w:cs="Arial"/>
                <w:sz w:val="16"/>
                <w:szCs w:val="16"/>
              </w:rPr>
            </w:pPr>
          </w:p>
        </w:tc>
        <w:tc>
          <w:tcPr>
            <w:tcW w:w="499" w:type="pct"/>
            <w:tcBorders>
              <w:top w:val="single" w:sz="4" w:space="0" w:color="auto"/>
              <w:left w:val="nil"/>
              <w:bottom w:val="nil"/>
              <w:right w:val="nil"/>
            </w:tcBorders>
          </w:tcPr>
          <w:p w:rsidR="000A37A4" w:rsidRPr="00252D36" w:rsidRDefault="000A37A4" w:rsidP="000A37A4">
            <w:pPr>
              <w:spacing w:after="0"/>
              <w:rPr>
                <w:rFonts w:ascii="Arial" w:hAnsi="Arial" w:cs="Arial"/>
                <w:sz w:val="16"/>
                <w:szCs w:val="16"/>
              </w:rPr>
            </w:pPr>
          </w:p>
        </w:tc>
        <w:tc>
          <w:tcPr>
            <w:tcW w:w="500" w:type="pct"/>
            <w:tcBorders>
              <w:top w:val="single" w:sz="4" w:space="0" w:color="auto"/>
              <w:left w:val="nil"/>
              <w:bottom w:val="nil"/>
              <w:right w:val="nil"/>
            </w:tcBorders>
          </w:tcPr>
          <w:p w:rsidR="000A37A4" w:rsidRPr="00252D36" w:rsidRDefault="000A37A4" w:rsidP="000A37A4">
            <w:pPr>
              <w:spacing w:after="0"/>
              <w:rPr>
                <w:rFonts w:ascii="Arial" w:hAnsi="Arial" w:cs="Arial"/>
                <w:sz w:val="16"/>
                <w:szCs w:val="16"/>
              </w:rPr>
            </w:pPr>
          </w:p>
        </w:tc>
        <w:tc>
          <w:tcPr>
            <w:tcW w:w="500" w:type="pct"/>
            <w:tcBorders>
              <w:top w:val="single" w:sz="4" w:space="0" w:color="auto"/>
              <w:left w:val="nil"/>
              <w:bottom w:val="nil"/>
              <w:right w:val="nil"/>
            </w:tcBorders>
          </w:tcPr>
          <w:p w:rsidR="000A37A4" w:rsidRPr="00252D36" w:rsidRDefault="000A37A4" w:rsidP="000A37A4">
            <w:pPr>
              <w:spacing w:after="0"/>
              <w:rPr>
                <w:rFonts w:ascii="Arial" w:hAnsi="Arial" w:cs="Arial"/>
                <w:sz w:val="16"/>
                <w:szCs w:val="16"/>
              </w:rPr>
            </w:pPr>
          </w:p>
        </w:tc>
        <w:tc>
          <w:tcPr>
            <w:tcW w:w="500" w:type="pct"/>
            <w:tcBorders>
              <w:top w:val="single" w:sz="4" w:space="0" w:color="auto"/>
              <w:left w:val="nil"/>
              <w:bottom w:val="nil"/>
              <w:right w:val="nil"/>
            </w:tcBorders>
          </w:tcPr>
          <w:p w:rsidR="000A37A4" w:rsidRPr="00252D36" w:rsidRDefault="000A37A4" w:rsidP="000A37A4">
            <w:pPr>
              <w:spacing w:after="0"/>
              <w:rPr>
                <w:rFonts w:ascii="Arial" w:hAnsi="Arial" w:cs="Arial"/>
                <w:sz w:val="16"/>
                <w:szCs w:val="16"/>
              </w:rPr>
            </w:pPr>
          </w:p>
        </w:tc>
        <w:tc>
          <w:tcPr>
            <w:tcW w:w="500" w:type="pct"/>
            <w:tcBorders>
              <w:top w:val="single" w:sz="4" w:space="0" w:color="auto"/>
              <w:left w:val="nil"/>
              <w:bottom w:val="nil"/>
              <w:right w:val="single" w:sz="4" w:space="0" w:color="auto"/>
            </w:tcBorders>
          </w:tcPr>
          <w:p w:rsidR="000A37A4" w:rsidRPr="00252D36" w:rsidRDefault="000A37A4" w:rsidP="000A37A4">
            <w:pPr>
              <w:spacing w:after="0"/>
              <w:rPr>
                <w:rFonts w:ascii="Arial" w:hAnsi="Arial" w:cs="Arial"/>
                <w:sz w:val="16"/>
                <w:szCs w:val="16"/>
              </w:rPr>
            </w:pPr>
          </w:p>
        </w:tc>
      </w:tr>
      <w:tr w:rsidR="000A37A4" w:rsidRPr="003E765F" w:rsidTr="000A37A4">
        <w:tc>
          <w:tcPr>
            <w:tcW w:w="565" w:type="pct"/>
            <w:tcBorders>
              <w:top w:val="nil"/>
              <w:left w:val="single" w:sz="4" w:space="0" w:color="auto"/>
              <w:bottom w:val="nil"/>
              <w:right w:val="nil"/>
            </w:tcBorders>
          </w:tcPr>
          <w:p w:rsidR="000A37A4" w:rsidRPr="00252D36" w:rsidRDefault="000A37A4" w:rsidP="000A37A4">
            <w:pPr>
              <w:spacing w:after="0"/>
              <w:rPr>
                <w:rFonts w:ascii="Arial" w:hAnsi="Arial" w:cs="Arial"/>
                <w:sz w:val="16"/>
                <w:szCs w:val="16"/>
              </w:rPr>
            </w:pPr>
          </w:p>
        </w:tc>
        <w:tc>
          <w:tcPr>
            <w:tcW w:w="1935" w:type="pct"/>
            <w:tcBorders>
              <w:top w:val="nil"/>
              <w:left w:val="nil"/>
              <w:bottom w:val="nil"/>
              <w:right w:val="nil"/>
            </w:tcBorders>
          </w:tcPr>
          <w:p w:rsidR="000A37A4" w:rsidRPr="00252D36" w:rsidRDefault="000A37A4" w:rsidP="005546B2">
            <w:pPr>
              <w:spacing w:after="0"/>
              <w:rPr>
                <w:rFonts w:ascii="Arial" w:hAnsi="Arial" w:cs="Arial"/>
                <w:sz w:val="16"/>
                <w:szCs w:val="16"/>
              </w:rPr>
            </w:pPr>
            <w:r w:rsidRPr="00252D36">
              <w:rPr>
                <w:rFonts w:ascii="Arial" w:hAnsi="Arial" w:cs="Arial"/>
                <w:sz w:val="16"/>
                <w:szCs w:val="16"/>
              </w:rPr>
              <w:t xml:space="preserve">RP2 </w:t>
            </w:r>
            <w:r w:rsidR="005546B2" w:rsidRPr="00252D36">
              <w:rPr>
                <w:rFonts w:ascii="Arial" w:hAnsi="Arial" w:cs="Arial"/>
                <w:sz w:val="16"/>
                <w:szCs w:val="16"/>
              </w:rPr>
              <w:t>i</w:t>
            </w:r>
            <w:r w:rsidRPr="00252D36">
              <w:rPr>
                <w:rFonts w:ascii="Arial" w:hAnsi="Arial" w:cs="Arial"/>
                <w:sz w:val="16"/>
                <w:szCs w:val="16"/>
              </w:rPr>
              <w:t>ndicative water quality</w:t>
            </w:r>
          </w:p>
        </w:tc>
        <w:tc>
          <w:tcPr>
            <w:tcW w:w="499"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230</w:t>
            </w:r>
          </w:p>
        </w:tc>
        <w:tc>
          <w:tcPr>
            <w:tcW w:w="50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0.2</w:t>
            </w:r>
          </w:p>
        </w:tc>
        <w:tc>
          <w:tcPr>
            <w:tcW w:w="50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1010</w:t>
            </w:r>
          </w:p>
        </w:tc>
        <w:tc>
          <w:tcPr>
            <w:tcW w:w="50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4000</w:t>
            </w:r>
          </w:p>
        </w:tc>
        <w:tc>
          <w:tcPr>
            <w:tcW w:w="500" w:type="pct"/>
            <w:tcBorders>
              <w:top w:val="nil"/>
              <w:left w:val="nil"/>
              <w:bottom w:val="nil"/>
              <w:right w:val="single" w:sz="4" w:space="0" w:color="auto"/>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2940</w:t>
            </w:r>
            <w:r w:rsidRPr="00252D36">
              <w:rPr>
                <w:rFonts w:ascii="Arial" w:hAnsi="Arial" w:cs="Arial"/>
                <w:snapToGrid w:val="0"/>
                <w:color w:val="000000"/>
                <w:position w:val="5"/>
                <w:sz w:val="12"/>
                <w:szCs w:val="12"/>
                <w:u w:color="000000"/>
              </w:rPr>
              <w:t>1</w:t>
            </w:r>
          </w:p>
        </w:tc>
      </w:tr>
      <w:tr w:rsidR="000A37A4" w:rsidRPr="003E765F" w:rsidTr="000A37A4">
        <w:tc>
          <w:tcPr>
            <w:tcW w:w="565" w:type="pct"/>
            <w:tcBorders>
              <w:top w:val="nil"/>
              <w:left w:val="single" w:sz="4" w:space="0" w:color="auto"/>
              <w:bottom w:val="single" w:sz="4" w:space="0" w:color="auto"/>
              <w:right w:val="nil"/>
            </w:tcBorders>
          </w:tcPr>
          <w:p w:rsidR="000A37A4" w:rsidRPr="00252D36" w:rsidRDefault="000A37A4" w:rsidP="000A37A4">
            <w:pPr>
              <w:spacing w:after="0"/>
              <w:rPr>
                <w:rFonts w:ascii="Arial" w:hAnsi="Arial" w:cs="Arial"/>
                <w:sz w:val="16"/>
                <w:szCs w:val="16"/>
              </w:rPr>
            </w:pPr>
          </w:p>
        </w:tc>
        <w:tc>
          <w:tcPr>
            <w:tcW w:w="1935" w:type="pct"/>
            <w:tcBorders>
              <w:top w:val="nil"/>
              <w:left w:val="nil"/>
              <w:bottom w:val="single" w:sz="4" w:space="0" w:color="auto"/>
              <w:right w:val="nil"/>
            </w:tcBorders>
          </w:tcPr>
          <w:p w:rsidR="000A37A4" w:rsidRPr="00252D36" w:rsidRDefault="000A37A4" w:rsidP="00F33306">
            <w:pPr>
              <w:spacing w:after="0"/>
              <w:jc w:val="left"/>
              <w:rPr>
                <w:rFonts w:ascii="Arial" w:hAnsi="Arial" w:cs="Arial"/>
                <w:sz w:val="16"/>
                <w:szCs w:val="16"/>
              </w:rPr>
            </w:pPr>
            <w:r w:rsidRPr="00252D36">
              <w:rPr>
                <w:rFonts w:ascii="Arial" w:hAnsi="Arial" w:cs="Arial"/>
                <w:sz w:val="16"/>
                <w:szCs w:val="16"/>
              </w:rPr>
              <w:t xml:space="preserve">Process </w:t>
            </w:r>
            <w:r w:rsidR="00F33306" w:rsidRPr="00252D36">
              <w:rPr>
                <w:rFonts w:ascii="Arial" w:hAnsi="Arial" w:cs="Arial"/>
                <w:sz w:val="16"/>
                <w:szCs w:val="16"/>
              </w:rPr>
              <w:t>w</w:t>
            </w:r>
            <w:r w:rsidRPr="00252D36">
              <w:rPr>
                <w:rFonts w:ascii="Arial" w:hAnsi="Arial" w:cs="Arial"/>
                <w:sz w:val="16"/>
                <w:szCs w:val="16"/>
              </w:rPr>
              <w:t>ater indicative water quality</w:t>
            </w:r>
          </w:p>
        </w:tc>
        <w:tc>
          <w:tcPr>
            <w:tcW w:w="499"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6219</w:t>
            </w:r>
          </w:p>
        </w:tc>
        <w:tc>
          <w:tcPr>
            <w:tcW w:w="500"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2107</w:t>
            </w:r>
          </w:p>
        </w:tc>
        <w:tc>
          <w:tcPr>
            <w:tcW w:w="500"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34528</w:t>
            </w:r>
          </w:p>
        </w:tc>
        <w:tc>
          <w:tcPr>
            <w:tcW w:w="500"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24000</w:t>
            </w:r>
          </w:p>
        </w:tc>
        <w:tc>
          <w:tcPr>
            <w:tcW w:w="500" w:type="pct"/>
            <w:tcBorders>
              <w:top w:val="nil"/>
              <w:left w:val="nil"/>
              <w:bottom w:val="single" w:sz="4" w:space="0" w:color="auto"/>
              <w:right w:val="single" w:sz="4" w:space="0" w:color="auto"/>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13500</w:t>
            </w:r>
            <w:r w:rsidRPr="00252D36">
              <w:rPr>
                <w:rFonts w:ascii="Arial" w:hAnsi="Arial" w:cs="Arial"/>
                <w:snapToGrid w:val="0"/>
                <w:color w:val="000000"/>
                <w:position w:val="5"/>
                <w:sz w:val="12"/>
                <w:szCs w:val="12"/>
                <w:u w:color="000000"/>
              </w:rPr>
              <w:t>2</w:t>
            </w:r>
          </w:p>
        </w:tc>
      </w:tr>
    </w:tbl>
    <w:p w:rsidR="000A37A4" w:rsidRDefault="000A37A4" w:rsidP="000A37A4">
      <w:pPr>
        <w:spacing w:before="60" w:line="180" w:lineRule="atLeast"/>
        <w:ind w:left="238" w:hanging="238"/>
        <w:rPr>
          <w:rFonts w:ascii="Arial" w:hAnsi="Arial" w:cs="Arial"/>
          <w:sz w:val="14"/>
          <w:szCs w:val="14"/>
        </w:rPr>
      </w:pPr>
      <w:r>
        <w:rPr>
          <w:rFonts w:ascii="Arial" w:hAnsi="Arial" w:cs="Arial"/>
          <w:sz w:val="14"/>
          <w:szCs w:val="14"/>
          <w:vertAlign w:val="superscript"/>
        </w:rPr>
        <w:t>1.</w:t>
      </w:r>
      <w:r>
        <w:rPr>
          <w:rFonts w:ascii="Arial" w:hAnsi="Arial" w:cs="Arial"/>
          <w:sz w:val="14"/>
          <w:szCs w:val="14"/>
        </w:rPr>
        <w:t xml:space="preserve"> Mean percentage of filterable </w:t>
      </w:r>
      <w:r w:rsidR="007F1420" w:rsidRPr="007F1420">
        <w:rPr>
          <w:rFonts w:ascii="Arial" w:hAnsi="Arial"/>
          <w:snapToGrid w:val="0"/>
          <w:color w:val="000000"/>
          <w:position w:val="3"/>
          <w:sz w:val="9"/>
          <w:szCs w:val="0"/>
          <w:u w:color="000000"/>
        </w:rPr>
        <w:t>226</w:t>
      </w:r>
      <w:r w:rsidR="007F1420">
        <w:rPr>
          <w:rFonts w:ascii="Arial" w:hAnsi="Arial" w:cs="Arial"/>
          <w:sz w:val="14"/>
          <w:szCs w:val="14"/>
        </w:rPr>
        <w:t xml:space="preserve">Ra </w:t>
      </w:r>
      <w:r>
        <w:rPr>
          <w:rFonts w:ascii="Arial" w:hAnsi="Arial" w:cs="Arial"/>
          <w:sz w:val="14"/>
          <w:szCs w:val="14"/>
        </w:rPr>
        <w:t>in RP2 waters (</w:t>
      </w:r>
      <w:proofErr w:type="spellStart"/>
      <w:r>
        <w:rPr>
          <w:rFonts w:ascii="Arial" w:hAnsi="Arial" w:cs="Arial"/>
          <w:sz w:val="14"/>
          <w:szCs w:val="14"/>
        </w:rPr>
        <w:t>Akber</w:t>
      </w:r>
      <w:proofErr w:type="spellEnd"/>
      <w:r>
        <w:rPr>
          <w:rFonts w:ascii="Arial" w:hAnsi="Arial" w:cs="Arial"/>
          <w:sz w:val="14"/>
          <w:szCs w:val="14"/>
        </w:rPr>
        <w:t xml:space="preserve"> et al. 2011). </w:t>
      </w:r>
    </w:p>
    <w:p w:rsidR="000A37A4" w:rsidRDefault="000A37A4" w:rsidP="000A37A4">
      <w:pPr>
        <w:spacing w:before="60" w:line="180" w:lineRule="atLeast"/>
        <w:ind w:left="238" w:hanging="238"/>
        <w:rPr>
          <w:rFonts w:ascii="Arial" w:hAnsi="Arial" w:cs="Arial"/>
          <w:sz w:val="14"/>
          <w:szCs w:val="14"/>
        </w:rPr>
      </w:pPr>
      <w:r>
        <w:rPr>
          <w:rFonts w:ascii="Arial" w:hAnsi="Arial" w:cs="Arial"/>
          <w:sz w:val="14"/>
          <w:szCs w:val="14"/>
          <w:vertAlign w:val="superscript"/>
        </w:rPr>
        <w:t>2.</w:t>
      </w:r>
      <w:r>
        <w:rPr>
          <w:rFonts w:ascii="Arial" w:hAnsi="Arial" w:cs="Arial"/>
          <w:sz w:val="14"/>
          <w:szCs w:val="14"/>
        </w:rPr>
        <w:t xml:space="preserve"> Mean percentage of filterable </w:t>
      </w:r>
      <w:r w:rsidR="007F1420" w:rsidRPr="007F1420">
        <w:rPr>
          <w:rFonts w:ascii="Arial" w:hAnsi="Arial"/>
          <w:snapToGrid w:val="0"/>
          <w:color w:val="000000"/>
          <w:position w:val="3"/>
          <w:sz w:val="9"/>
          <w:szCs w:val="0"/>
          <w:u w:color="000000"/>
        </w:rPr>
        <w:t>226</w:t>
      </w:r>
      <w:r w:rsidR="007F1420">
        <w:rPr>
          <w:rFonts w:ascii="Arial" w:hAnsi="Arial" w:cs="Arial"/>
          <w:sz w:val="14"/>
          <w:szCs w:val="14"/>
        </w:rPr>
        <w:t xml:space="preserve">Ra </w:t>
      </w:r>
      <w:r>
        <w:rPr>
          <w:rFonts w:ascii="Arial" w:hAnsi="Arial" w:cs="Arial"/>
          <w:sz w:val="14"/>
          <w:szCs w:val="14"/>
        </w:rPr>
        <w:t>in process water (</w:t>
      </w:r>
      <w:proofErr w:type="spellStart"/>
      <w:r>
        <w:rPr>
          <w:rFonts w:ascii="Arial" w:hAnsi="Arial" w:cs="Arial"/>
          <w:sz w:val="14"/>
          <w:szCs w:val="14"/>
        </w:rPr>
        <w:t>EnRad</w:t>
      </w:r>
      <w:proofErr w:type="spellEnd"/>
      <w:r>
        <w:rPr>
          <w:rFonts w:ascii="Arial" w:hAnsi="Arial" w:cs="Arial"/>
          <w:sz w:val="14"/>
          <w:szCs w:val="14"/>
        </w:rPr>
        <w:t xml:space="preserve"> unpublished data).</w:t>
      </w:r>
      <w:r>
        <w:rPr>
          <w:rFonts w:ascii="Arial" w:hAnsi="Arial" w:cs="Arial"/>
          <w:sz w:val="16"/>
          <w:szCs w:val="16"/>
        </w:rPr>
        <w:t> </w:t>
      </w:r>
    </w:p>
    <w:p w:rsidR="000A37A4" w:rsidRPr="000A37A4" w:rsidRDefault="000A37A4" w:rsidP="000A37A4">
      <w:r w:rsidRPr="000A37A4">
        <w:t xml:space="preserve">The results show that the concentration of most </w:t>
      </w:r>
      <w:proofErr w:type="spellStart"/>
      <w:r w:rsidRPr="000A37A4">
        <w:t>analytes</w:t>
      </w:r>
      <w:proofErr w:type="spellEnd"/>
      <w:r w:rsidRPr="000A37A4">
        <w:t xml:space="preserve"> in the Zone 2 samples were above the RP2 indicative water quality concentrations and substantially lower than the Process </w:t>
      </w:r>
      <w:r w:rsidR="00F33306">
        <w:t>w</w:t>
      </w:r>
      <w:r w:rsidRPr="000A37A4">
        <w:t xml:space="preserve">ater indicative water quality concentrations. The exception was U which was present in concentrations lower than the RP2 indicative concentration </w:t>
      </w:r>
      <w:proofErr w:type="gramStart"/>
      <w:r w:rsidRPr="000A37A4">
        <w:t>of 4,000 µg/L in all samples apart from Site 6 (J0382)</w:t>
      </w:r>
      <w:proofErr w:type="gramEnd"/>
      <w:r w:rsidRPr="000A37A4">
        <w:t xml:space="preserve">. </w:t>
      </w:r>
    </w:p>
    <w:p w:rsidR="000A37A4" w:rsidRPr="000A37A4" w:rsidRDefault="000A37A4" w:rsidP="000A37A4">
      <w:r w:rsidRPr="000A37A4">
        <w:t xml:space="preserve">It is likely that the Zone 2 concentrations are higher than the Zone 1 concentrations due to the fact that the standing rainwater pools would have had a longer contact time with the soil compared to the water truck method used in the Zone 1 sampling, where the contact time was relatively short. Furthermore, any solutes mobilised during the rainfall events preceding the sampling of Zone 2 would flushed into and concentrated over time in the sitting pools from which the samples were collected. </w:t>
      </w:r>
      <w:r w:rsidR="002649B7">
        <w:t>It should also be noted that the majority of the Zone 1 area was road surfaces, while Zone 2 was primarily earthen hardstand.</w:t>
      </w:r>
    </w:p>
    <w:p w:rsidR="000A37A4" w:rsidRDefault="003036FF" w:rsidP="003036FF">
      <w:pPr>
        <w:pStyle w:val="Heading5"/>
      </w:pPr>
      <w:r>
        <w:t>Zone 3 Clearance</w:t>
      </w:r>
    </w:p>
    <w:p w:rsidR="000A37A4" w:rsidRPr="003036FF" w:rsidRDefault="000A37A4" w:rsidP="000A37A4">
      <w:r w:rsidRPr="003036FF">
        <w:t>The chemistry analysis results for the sampling of Zone 3 are shown in T</w:t>
      </w:r>
      <w:r w:rsidR="003036FF">
        <w:t>able 4.5</w:t>
      </w:r>
      <w:r w:rsidRPr="003036FF">
        <w:t xml:space="preserve"> along with the results from ERA’s monitoring of Zone 3 and indicative water quality classes.</w:t>
      </w:r>
    </w:p>
    <w:p w:rsidR="00731396" w:rsidRDefault="00731396">
      <w:pPr>
        <w:spacing w:after="0" w:line="240" w:lineRule="auto"/>
        <w:jc w:val="left"/>
        <w:rPr>
          <w:rFonts w:ascii="Arial" w:hAnsi="Arial"/>
          <w:b/>
          <w:sz w:val="18"/>
        </w:rPr>
      </w:pPr>
      <w:r>
        <w:rPr>
          <w:b/>
        </w:rPr>
        <w:br w:type="page"/>
      </w:r>
    </w:p>
    <w:p w:rsidR="000A37A4" w:rsidRPr="003036FF" w:rsidRDefault="003036FF" w:rsidP="003036FF">
      <w:pPr>
        <w:pStyle w:val="tablecaption"/>
      </w:pPr>
      <w:bookmarkStart w:id="199" w:name="_Toc390766613"/>
      <w:r w:rsidRPr="003036FF">
        <w:rPr>
          <w:b/>
        </w:rPr>
        <w:t>Table 4.5</w:t>
      </w:r>
      <w:r w:rsidR="000A37A4" w:rsidRPr="003036FF">
        <w:t xml:space="preserve"> Key dissolved </w:t>
      </w:r>
      <w:proofErr w:type="spellStart"/>
      <w:r w:rsidR="000A37A4" w:rsidRPr="003036FF">
        <w:t>analyte</w:t>
      </w:r>
      <w:proofErr w:type="spellEnd"/>
      <w:r w:rsidR="000A37A4" w:rsidRPr="003036FF">
        <w:t xml:space="preserve"> concentrations measured in pooled rainfall from Zone 3</w:t>
      </w:r>
      <w:bookmarkEnd w:id="199"/>
      <w:r w:rsidR="00EE509B">
        <w:t>.</w:t>
      </w:r>
    </w:p>
    <w:tbl>
      <w:tblPr>
        <w:tblStyle w:val="TableGrid"/>
        <w:tblW w:w="5000" w:type="pct"/>
        <w:tblLook w:val="04A0"/>
      </w:tblPr>
      <w:tblGrid>
        <w:gridCol w:w="2150"/>
        <w:gridCol w:w="818"/>
        <w:gridCol w:w="646"/>
        <w:gridCol w:w="719"/>
        <w:gridCol w:w="954"/>
        <w:gridCol w:w="818"/>
        <w:gridCol w:w="818"/>
        <w:gridCol w:w="818"/>
        <w:gridCol w:w="781"/>
      </w:tblGrid>
      <w:tr w:rsidR="000A37A4" w:rsidTr="000A37A4">
        <w:tc>
          <w:tcPr>
            <w:tcW w:w="1261" w:type="pct"/>
            <w:tcBorders>
              <w:top w:val="single" w:sz="4" w:space="0" w:color="auto"/>
              <w:left w:val="single" w:sz="4" w:space="0" w:color="auto"/>
              <w:bottom w:val="single" w:sz="4" w:space="0" w:color="auto"/>
              <w:right w:val="nil"/>
            </w:tcBorders>
          </w:tcPr>
          <w:p w:rsidR="000A37A4" w:rsidRPr="00252D36" w:rsidRDefault="000A37A4" w:rsidP="000A37A4">
            <w:pPr>
              <w:rPr>
                <w:rFonts w:ascii="Arial" w:hAnsi="Arial" w:cs="Arial"/>
                <w:b/>
                <w:sz w:val="16"/>
                <w:szCs w:val="16"/>
              </w:rPr>
            </w:pPr>
            <w:r w:rsidRPr="00252D36">
              <w:rPr>
                <w:rFonts w:ascii="Arial" w:hAnsi="Arial" w:cs="Arial"/>
                <w:b/>
                <w:sz w:val="16"/>
                <w:szCs w:val="16"/>
              </w:rPr>
              <w:t>Location</w:t>
            </w:r>
          </w:p>
        </w:tc>
        <w:tc>
          <w:tcPr>
            <w:tcW w:w="480" w:type="pct"/>
            <w:tcBorders>
              <w:top w:val="single" w:sz="4" w:space="0" w:color="auto"/>
              <w:left w:val="nil"/>
              <w:bottom w:val="single" w:sz="4" w:space="0" w:color="auto"/>
              <w:right w:val="nil"/>
            </w:tcBorders>
          </w:tcPr>
          <w:p w:rsidR="000A37A4" w:rsidRPr="00252D36" w:rsidRDefault="000A37A4" w:rsidP="000A37A4">
            <w:pPr>
              <w:jc w:val="right"/>
              <w:rPr>
                <w:rFonts w:ascii="Arial" w:hAnsi="Arial" w:cs="Arial"/>
                <w:b/>
                <w:sz w:val="16"/>
                <w:szCs w:val="16"/>
              </w:rPr>
            </w:pPr>
            <w:r w:rsidRPr="00252D36">
              <w:rPr>
                <w:rFonts w:ascii="Arial" w:hAnsi="Arial" w:cs="Arial"/>
                <w:b/>
                <w:sz w:val="16"/>
                <w:szCs w:val="16"/>
              </w:rPr>
              <w:t>EC</w:t>
            </w:r>
          </w:p>
          <w:p w:rsidR="000A37A4" w:rsidRPr="00252D36" w:rsidRDefault="000A37A4" w:rsidP="000A37A4">
            <w:pPr>
              <w:jc w:val="right"/>
              <w:rPr>
                <w:rFonts w:ascii="Arial" w:hAnsi="Arial" w:cs="Arial"/>
                <w:b/>
                <w:sz w:val="16"/>
                <w:szCs w:val="16"/>
              </w:rPr>
            </w:pPr>
            <w:r w:rsidRPr="00252D36">
              <w:rPr>
                <w:rFonts w:ascii="Arial" w:hAnsi="Arial" w:cs="Arial"/>
                <w:b/>
                <w:sz w:val="16"/>
                <w:szCs w:val="16"/>
              </w:rPr>
              <w:t>µS/cm</w:t>
            </w:r>
          </w:p>
        </w:tc>
        <w:tc>
          <w:tcPr>
            <w:tcW w:w="379" w:type="pct"/>
            <w:tcBorders>
              <w:top w:val="single" w:sz="4" w:space="0" w:color="auto"/>
              <w:left w:val="nil"/>
              <w:bottom w:val="single" w:sz="4" w:space="0" w:color="auto"/>
              <w:right w:val="nil"/>
            </w:tcBorders>
          </w:tcPr>
          <w:p w:rsidR="000A37A4" w:rsidRPr="00252D36" w:rsidRDefault="000A37A4" w:rsidP="000A37A4">
            <w:pPr>
              <w:jc w:val="right"/>
              <w:rPr>
                <w:rFonts w:ascii="Arial" w:hAnsi="Arial" w:cs="Arial"/>
                <w:b/>
                <w:sz w:val="16"/>
                <w:szCs w:val="16"/>
              </w:rPr>
            </w:pPr>
            <w:r w:rsidRPr="00252D36">
              <w:rPr>
                <w:rFonts w:ascii="Arial" w:hAnsi="Arial" w:cs="Arial"/>
                <w:b/>
                <w:sz w:val="16"/>
                <w:szCs w:val="16"/>
              </w:rPr>
              <w:t>pH</w:t>
            </w:r>
          </w:p>
        </w:tc>
        <w:tc>
          <w:tcPr>
            <w:tcW w:w="422" w:type="pct"/>
            <w:tcBorders>
              <w:top w:val="single" w:sz="4" w:space="0" w:color="auto"/>
              <w:left w:val="nil"/>
              <w:bottom w:val="single" w:sz="4" w:space="0" w:color="auto"/>
              <w:right w:val="nil"/>
            </w:tcBorders>
          </w:tcPr>
          <w:p w:rsidR="000A37A4" w:rsidRPr="00252D36" w:rsidRDefault="000A37A4" w:rsidP="000A37A4">
            <w:pPr>
              <w:jc w:val="right"/>
              <w:rPr>
                <w:rFonts w:ascii="Arial" w:hAnsi="Arial" w:cs="Arial"/>
                <w:b/>
                <w:sz w:val="16"/>
                <w:szCs w:val="16"/>
              </w:rPr>
            </w:pPr>
            <w:proofErr w:type="spellStart"/>
            <w:r w:rsidRPr="00252D36">
              <w:rPr>
                <w:rFonts w:ascii="Arial" w:hAnsi="Arial" w:cs="Arial"/>
                <w:b/>
                <w:sz w:val="16"/>
                <w:szCs w:val="16"/>
              </w:rPr>
              <w:t>Mg_F</w:t>
            </w:r>
            <w:proofErr w:type="spellEnd"/>
          </w:p>
          <w:p w:rsidR="000A37A4" w:rsidRPr="00252D36" w:rsidRDefault="000A37A4" w:rsidP="000A37A4">
            <w:pPr>
              <w:jc w:val="right"/>
              <w:rPr>
                <w:rFonts w:ascii="Arial" w:hAnsi="Arial" w:cs="Arial"/>
                <w:b/>
                <w:sz w:val="16"/>
                <w:szCs w:val="16"/>
              </w:rPr>
            </w:pPr>
            <w:r w:rsidRPr="00252D36">
              <w:rPr>
                <w:rFonts w:ascii="Arial" w:hAnsi="Arial" w:cs="Arial"/>
                <w:b/>
                <w:sz w:val="16"/>
                <w:szCs w:val="16"/>
              </w:rPr>
              <w:t>mg/L</w:t>
            </w:r>
          </w:p>
        </w:tc>
        <w:tc>
          <w:tcPr>
            <w:tcW w:w="560" w:type="pct"/>
            <w:tcBorders>
              <w:top w:val="single" w:sz="4" w:space="0" w:color="auto"/>
              <w:left w:val="nil"/>
              <w:bottom w:val="single" w:sz="4" w:space="0" w:color="auto"/>
              <w:right w:val="nil"/>
            </w:tcBorders>
          </w:tcPr>
          <w:p w:rsidR="000A37A4" w:rsidRPr="00252D36" w:rsidRDefault="000A37A4" w:rsidP="000A37A4">
            <w:pPr>
              <w:jc w:val="right"/>
              <w:rPr>
                <w:rFonts w:ascii="Arial" w:hAnsi="Arial" w:cs="Arial"/>
                <w:b/>
                <w:sz w:val="16"/>
                <w:szCs w:val="16"/>
              </w:rPr>
            </w:pPr>
            <w:proofErr w:type="spellStart"/>
            <w:r w:rsidRPr="00252D36">
              <w:rPr>
                <w:rFonts w:ascii="Arial" w:hAnsi="Arial" w:cs="Arial"/>
                <w:b/>
                <w:sz w:val="16"/>
                <w:szCs w:val="16"/>
              </w:rPr>
              <w:t>Mn_F</w:t>
            </w:r>
            <w:proofErr w:type="spellEnd"/>
          </w:p>
          <w:p w:rsidR="000A37A4" w:rsidRPr="00252D36" w:rsidRDefault="000A37A4" w:rsidP="000A37A4">
            <w:pPr>
              <w:jc w:val="right"/>
              <w:rPr>
                <w:rFonts w:ascii="Arial" w:hAnsi="Arial" w:cs="Arial"/>
                <w:b/>
                <w:sz w:val="16"/>
                <w:szCs w:val="16"/>
              </w:rPr>
            </w:pPr>
            <w:r w:rsidRPr="00252D36">
              <w:rPr>
                <w:rFonts w:ascii="Arial" w:hAnsi="Arial" w:cs="Arial"/>
                <w:b/>
                <w:sz w:val="16"/>
                <w:szCs w:val="16"/>
              </w:rPr>
              <w:t>µg/L</w:t>
            </w:r>
          </w:p>
        </w:tc>
        <w:tc>
          <w:tcPr>
            <w:tcW w:w="480" w:type="pct"/>
            <w:tcBorders>
              <w:top w:val="single" w:sz="4" w:space="0" w:color="auto"/>
              <w:left w:val="nil"/>
              <w:bottom w:val="single" w:sz="4" w:space="0" w:color="auto"/>
              <w:right w:val="nil"/>
            </w:tcBorders>
          </w:tcPr>
          <w:p w:rsidR="000A37A4" w:rsidRPr="00252D36" w:rsidRDefault="000A37A4" w:rsidP="000A37A4">
            <w:pPr>
              <w:jc w:val="right"/>
              <w:rPr>
                <w:rFonts w:ascii="Arial" w:hAnsi="Arial" w:cs="Arial"/>
                <w:b/>
                <w:sz w:val="16"/>
                <w:szCs w:val="16"/>
              </w:rPr>
            </w:pPr>
            <w:r w:rsidRPr="00252D36">
              <w:rPr>
                <w:rFonts w:ascii="Arial" w:hAnsi="Arial" w:cs="Arial"/>
                <w:b/>
                <w:sz w:val="16"/>
                <w:szCs w:val="16"/>
              </w:rPr>
              <w:t>SO4_F</w:t>
            </w:r>
          </w:p>
          <w:p w:rsidR="000A37A4" w:rsidRPr="00252D36" w:rsidRDefault="000A37A4" w:rsidP="000A37A4">
            <w:pPr>
              <w:jc w:val="right"/>
              <w:rPr>
                <w:rFonts w:ascii="Arial" w:hAnsi="Arial" w:cs="Arial"/>
                <w:b/>
                <w:sz w:val="16"/>
                <w:szCs w:val="16"/>
              </w:rPr>
            </w:pPr>
            <w:r w:rsidRPr="00252D36">
              <w:rPr>
                <w:rFonts w:ascii="Arial" w:hAnsi="Arial" w:cs="Arial"/>
                <w:b/>
                <w:sz w:val="16"/>
                <w:szCs w:val="16"/>
              </w:rPr>
              <w:t>mg/L</w:t>
            </w:r>
          </w:p>
        </w:tc>
        <w:tc>
          <w:tcPr>
            <w:tcW w:w="480" w:type="pct"/>
            <w:tcBorders>
              <w:top w:val="single" w:sz="4" w:space="0" w:color="auto"/>
              <w:left w:val="nil"/>
              <w:bottom w:val="single" w:sz="4" w:space="0" w:color="auto"/>
              <w:right w:val="nil"/>
            </w:tcBorders>
          </w:tcPr>
          <w:p w:rsidR="000A37A4" w:rsidRPr="00252D36" w:rsidRDefault="000A37A4" w:rsidP="000A37A4">
            <w:pPr>
              <w:jc w:val="right"/>
              <w:rPr>
                <w:rFonts w:ascii="Arial" w:hAnsi="Arial" w:cs="Arial"/>
                <w:b/>
                <w:sz w:val="16"/>
                <w:szCs w:val="16"/>
              </w:rPr>
            </w:pPr>
            <w:r w:rsidRPr="00252D36">
              <w:rPr>
                <w:rFonts w:ascii="Arial" w:hAnsi="Arial" w:cs="Arial"/>
                <w:b/>
                <w:sz w:val="16"/>
                <w:szCs w:val="16"/>
              </w:rPr>
              <w:t>U_F</w:t>
            </w:r>
          </w:p>
          <w:p w:rsidR="000A37A4" w:rsidRPr="00252D36" w:rsidRDefault="000A37A4" w:rsidP="000A37A4">
            <w:pPr>
              <w:jc w:val="right"/>
              <w:rPr>
                <w:rFonts w:ascii="Arial" w:hAnsi="Arial" w:cs="Arial"/>
                <w:b/>
                <w:sz w:val="16"/>
                <w:szCs w:val="16"/>
              </w:rPr>
            </w:pPr>
            <w:r w:rsidRPr="00252D36">
              <w:rPr>
                <w:rFonts w:ascii="Arial" w:hAnsi="Arial" w:cs="Arial"/>
                <w:b/>
                <w:sz w:val="16"/>
                <w:szCs w:val="16"/>
              </w:rPr>
              <w:t>µg/L</w:t>
            </w:r>
          </w:p>
        </w:tc>
        <w:tc>
          <w:tcPr>
            <w:tcW w:w="480" w:type="pct"/>
            <w:tcBorders>
              <w:top w:val="single" w:sz="4" w:space="0" w:color="auto"/>
              <w:left w:val="nil"/>
              <w:bottom w:val="single" w:sz="4" w:space="0" w:color="auto"/>
              <w:right w:val="nil"/>
            </w:tcBorders>
          </w:tcPr>
          <w:p w:rsidR="000A37A4" w:rsidRPr="00252D36" w:rsidRDefault="000A37A4" w:rsidP="000A37A4">
            <w:pPr>
              <w:jc w:val="right"/>
              <w:rPr>
                <w:rFonts w:ascii="Arial" w:hAnsi="Arial" w:cs="Arial"/>
                <w:b/>
                <w:sz w:val="16"/>
                <w:szCs w:val="16"/>
              </w:rPr>
            </w:pPr>
            <w:proofErr w:type="spellStart"/>
            <w:r w:rsidRPr="00252D36">
              <w:rPr>
                <w:rFonts w:ascii="Arial" w:hAnsi="Arial" w:cs="Arial"/>
                <w:b/>
                <w:sz w:val="16"/>
                <w:szCs w:val="16"/>
              </w:rPr>
              <w:t>Ra_F</w:t>
            </w:r>
            <w:proofErr w:type="spellEnd"/>
          </w:p>
          <w:p w:rsidR="000A37A4" w:rsidRPr="00252D36" w:rsidRDefault="000A37A4" w:rsidP="000A37A4">
            <w:pPr>
              <w:jc w:val="right"/>
              <w:rPr>
                <w:rFonts w:ascii="Arial" w:hAnsi="Arial" w:cs="Arial"/>
                <w:b/>
                <w:sz w:val="16"/>
                <w:szCs w:val="16"/>
              </w:rPr>
            </w:pPr>
            <w:proofErr w:type="spellStart"/>
            <w:r w:rsidRPr="00252D36">
              <w:rPr>
                <w:rFonts w:ascii="Arial" w:hAnsi="Arial" w:cs="Arial"/>
                <w:b/>
                <w:sz w:val="16"/>
                <w:szCs w:val="16"/>
              </w:rPr>
              <w:t>mBq</w:t>
            </w:r>
            <w:proofErr w:type="spellEnd"/>
            <w:r w:rsidRPr="00252D36">
              <w:rPr>
                <w:rFonts w:ascii="Arial" w:hAnsi="Arial" w:cs="Arial"/>
                <w:b/>
                <w:sz w:val="16"/>
                <w:szCs w:val="16"/>
              </w:rPr>
              <w:t>/L</w:t>
            </w:r>
          </w:p>
        </w:tc>
        <w:tc>
          <w:tcPr>
            <w:tcW w:w="459" w:type="pct"/>
            <w:tcBorders>
              <w:top w:val="single" w:sz="4" w:space="0" w:color="auto"/>
              <w:left w:val="nil"/>
              <w:bottom w:val="single" w:sz="4" w:space="0" w:color="auto"/>
              <w:right w:val="single" w:sz="4" w:space="0" w:color="auto"/>
            </w:tcBorders>
          </w:tcPr>
          <w:p w:rsidR="000A37A4" w:rsidRPr="00252D36" w:rsidRDefault="000A37A4" w:rsidP="000A37A4">
            <w:pPr>
              <w:jc w:val="right"/>
              <w:rPr>
                <w:rFonts w:ascii="Arial" w:hAnsi="Arial" w:cs="Arial"/>
                <w:b/>
                <w:sz w:val="16"/>
                <w:szCs w:val="16"/>
              </w:rPr>
            </w:pPr>
            <w:proofErr w:type="spellStart"/>
            <w:r w:rsidRPr="00252D36">
              <w:rPr>
                <w:rFonts w:ascii="Arial" w:hAnsi="Arial" w:cs="Arial"/>
                <w:b/>
                <w:sz w:val="16"/>
                <w:szCs w:val="16"/>
              </w:rPr>
              <w:t>Ra_T</w:t>
            </w:r>
            <w:proofErr w:type="spellEnd"/>
          </w:p>
          <w:p w:rsidR="000A37A4" w:rsidRPr="00252D36" w:rsidRDefault="000A37A4" w:rsidP="000A37A4">
            <w:pPr>
              <w:jc w:val="right"/>
              <w:rPr>
                <w:rFonts w:ascii="Arial" w:hAnsi="Arial" w:cs="Arial"/>
                <w:b/>
                <w:sz w:val="16"/>
                <w:szCs w:val="16"/>
              </w:rPr>
            </w:pPr>
            <w:proofErr w:type="spellStart"/>
            <w:r w:rsidRPr="00252D36">
              <w:rPr>
                <w:rFonts w:ascii="Arial" w:hAnsi="Arial" w:cs="Arial"/>
                <w:b/>
                <w:sz w:val="16"/>
                <w:szCs w:val="16"/>
              </w:rPr>
              <w:t>mBq</w:t>
            </w:r>
            <w:proofErr w:type="spellEnd"/>
            <w:r w:rsidRPr="00252D36">
              <w:rPr>
                <w:rFonts w:ascii="Arial" w:hAnsi="Arial" w:cs="Arial"/>
                <w:b/>
                <w:sz w:val="16"/>
                <w:szCs w:val="16"/>
              </w:rPr>
              <w:t>/L</w:t>
            </w:r>
          </w:p>
        </w:tc>
      </w:tr>
      <w:tr w:rsidR="000A37A4" w:rsidTr="000A37A4">
        <w:tc>
          <w:tcPr>
            <w:tcW w:w="1261" w:type="pct"/>
            <w:tcBorders>
              <w:top w:val="single" w:sz="4" w:space="0" w:color="auto"/>
              <w:left w:val="single" w:sz="4" w:space="0" w:color="auto"/>
              <w:bottom w:val="nil"/>
              <w:right w:val="nil"/>
            </w:tcBorders>
          </w:tcPr>
          <w:p w:rsidR="000A37A4" w:rsidRPr="00252D36" w:rsidRDefault="000A37A4" w:rsidP="000A37A4">
            <w:pPr>
              <w:spacing w:after="0"/>
              <w:rPr>
                <w:rFonts w:ascii="Arial" w:hAnsi="Arial" w:cs="Arial"/>
                <w:sz w:val="16"/>
                <w:szCs w:val="16"/>
              </w:rPr>
            </w:pPr>
            <w:r w:rsidRPr="00252D36">
              <w:rPr>
                <w:rFonts w:ascii="Arial" w:hAnsi="Arial" w:cs="Arial"/>
                <w:sz w:val="16"/>
                <w:szCs w:val="16"/>
              </w:rPr>
              <w:t>ERA –Zone 3</w:t>
            </w:r>
          </w:p>
        </w:tc>
        <w:tc>
          <w:tcPr>
            <w:tcW w:w="480" w:type="pct"/>
            <w:tcBorders>
              <w:top w:val="single" w:sz="4" w:space="0" w:color="auto"/>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1330</w:t>
            </w:r>
          </w:p>
        </w:tc>
        <w:tc>
          <w:tcPr>
            <w:tcW w:w="379" w:type="pct"/>
            <w:tcBorders>
              <w:top w:val="single" w:sz="4" w:space="0" w:color="auto"/>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8.32</w:t>
            </w:r>
          </w:p>
        </w:tc>
        <w:tc>
          <w:tcPr>
            <w:tcW w:w="422" w:type="pct"/>
            <w:tcBorders>
              <w:top w:val="single" w:sz="4" w:space="0" w:color="auto"/>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114</w:t>
            </w:r>
          </w:p>
        </w:tc>
        <w:tc>
          <w:tcPr>
            <w:tcW w:w="560" w:type="pct"/>
            <w:tcBorders>
              <w:top w:val="single" w:sz="4" w:space="0" w:color="auto"/>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28</w:t>
            </w:r>
          </w:p>
        </w:tc>
        <w:tc>
          <w:tcPr>
            <w:tcW w:w="480" w:type="pct"/>
            <w:tcBorders>
              <w:top w:val="single" w:sz="4" w:space="0" w:color="auto"/>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608</w:t>
            </w:r>
          </w:p>
        </w:tc>
        <w:tc>
          <w:tcPr>
            <w:tcW w:w="480" w:type="pct"/>
            <w:tcBorders>
              <w:top w:val="single" w:sz="4" w:space="0" w:color="auto"/>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5750</w:t>
            </w:r>
          </w:p>
        </w:tc>
        <w:tc>
          <w:tcPr>
            <w:tcW w:w="480" w:type="pct"/>
            <w:tcBorders>
              <w:top w:val="single" w:sz="4" w:space="0" w:color="auto"/>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NR</w:t>
            </w:r>
          </w:p>
        </w:tc>
        <w:tc>
          <w:tcPr>
            <w:tcW w:w="459" w:type="pct"/>
            <w:tcBorders>
              <w:top w:val="single" w:sz="4" w:space="0" w:color="auto"/>
              <w:left w:val="nil"/>
              <w:bottom w:val="nil"/>
              <w:right w:val="single" w:sz="4" w:space="0" w:color="auto"/>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830</w:t>
            </w:r>
          </w:p>
        </w:tc>
      </w:tr>
      <w:tr w:rsidR="000A37A4" w:rsidTr="003036FF">
        <w:trPr>
          <w:trHeight w:val="557"/>
        </w:trPr>
        <w:tc>
          <w:tcPr>
            <w:tcW w:w="1261" w:type="pct"/>
            <w:tcBorders>
              <w:top w:val="nil"/>
              <w:left w:val="single" w:sz="4" w:space="0" w:color="auto"/>
              <w:bottom w:val="single" w:sz="4" w:space="0" w:color="auto"/>
              <w:right w:val="nil"/>
            </w:tcBorders>
          </w:tcPr>
          <w:p w:rsidR="000A37A4" w:rsidRPr="00252D36" w:rsidRDefault="000A37A4" w:rsidP="000A37A4">
            <w:pPr>
              <w:spacing w:after="0"/>
              <w:rPr>
                <w:rFonts w:ascii="Arial" w:hAnsi="Arial" w:cs="Arial"/>
                <w:sz w:val="16"/>
                <w:szCs w:val="16"/>
              </w:rPr>
            </w:pPr>
            <w:r w:rsidRPr="00252D36">
              <w:rPr>
                <w:rFonts w:ascii="Arial" w:hAnsi="Arial" w:cs="Arial"/>
                <w:sz w:val="16"/>
                <w:szCs w:val="16"/>
              </w:rPr>
              <w:t>SSD – Zone 3</w:t>
            </w:r>
          </w:p>
        </w:tc>
        <w:tc>
          <w:tcPr>
            <w:tcW w:w="480"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NR</w:t>
            </w:r>
          </w:p>
        </w:tc>
        <w:tc>
          <w:tcPr>
            <w:tcW w:w="379"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NR</w:t>
            </w:r>
          </w:p>
        </w:tc>
        <w:tc>
          <w:tcPr>
            <w:tcW w:w="422"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114</w:t>
            </w:r>
          </w:p>
        </w:tc>
        <w:tc>
          <w:tcPr>
            <w:tcW w:w="560"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27.3</w:t>
            </w:r>
          </w:p>
        </w:tc>
        <w:tc>
          <w:tcPr>
            <w:tcW w:w="480"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606</w:t>
            </w:r>
          </w:p>
        </w:tc>
        <w:tc>
          <w:tcPr>
            <w:tcW w:w="480"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6200</w:t>
            </w:r>
          </w:p>
        </w:tc>
        <w:tc>
          <w:tcPr>
            <w:tcW w:w="480"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694</w:t>
            </w:r>
          </w:p>
        </w:tc>
        <w:tc>
          <w:tcPr>
            <w:tcW w:w="459" w:type="pct"/>
            <w:tcBorders>
              <w:top w:val="nil"/>
              <w:left w:val="nil"/>
              <w:bottom w:val="single" w:sz="4" w:space="0" w:color="auto"/>
              <w:right w:val="single" w:sz="4" w:space="0" w:color="auto"/>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891</w:t>
            </w:r>
          </w:p>
        </w:tc>
      </w:tr>
      <w:tr w:rsidR="000A37A4" w:rsidTr="000A37A4">
        <w:tc>
          <w:tcPr>
            <w:tcW w:w="1261" w:type="pct"/>
            <w:tcBorders>
              <w:top w:val="single" w:sz="4" w:space="0" w:color="auto"/>
              <w:left w:val="single" w:sz="4" w:space="0" w:color="auto"/>
              <w:bottom w:val="nil"/>
              <w:right w:val="nil"/>
            </w:tcBorders>
          </w:tcPr>
          <w:p w:rsidR="000A37A4" w:rsidRPr="00252D36" w:rsidRDefault="000A37A4" w:rsidP="000A37A4">
            <w:pPr>
              <w:spacing w:after="0"/>
              <w:rPr>
                <w:rFonts w:ascii="Arial" w:hAnsi="Arial" w:cs="Arial"/>
                <w:sz w:val="16"/>
                <w:szCs w:val="16"/>
              </w:rPr>
            </w:pPr>
          </w:p>
        </w:tc>
        <w:tc>
          <w:tcPr>
            <w:tcW w:w="480" w:type="pct"/>
            <w:tcBorders>
              <w:top w:val="single" w:sz="4" w:space="0" w:color="auto"/>
              <w:left w:val="nil"/>
              <w:bottom w:val="nil"/>
              <w:right w:val="nil"/>
            </w:tcBorders>
          </w:tcPr>
          <w:p w:rsidR="000A37A4" w:rsidRPr="00252D36" w:rsidRDefault="000A37A4" w:rsidP="000A37A4">
            <w:pPr>
              <w:spacing w:after="0"/>
              <w:jc w:val="right"/>
              <w:rPr>
                <w:rFonts w:ascii="Arial" w:hAnsi="Arial" w:cs="Arial"/>
                <w:sz w:val="16"/>
                <w:szCs w:val="16"/>
              </w:rPr>
            </w:pPr>
          </w:p>
        </w:tc>
        <w:tc>
          <w:tcPr>
            <w:tcW w:w="379" w:type="pct"/>
            <w:tcBorders>
              <w:top w:val="single" w:sz="4" w:space="0" w:color="auto"/>
              <w:left w:val="nil"/>
              <w:bottom w:val="nil"/>
              <w:right w:val="nil"/>
            </w:tcBorders>
          </w:tcPr>
          <w:p w:rsidR="000A37A4" w:rsidRPr="00252D36" w:rsidRDefault="000A37A4" w:rsidP="000A37A4">
            <w:pPr>
              <w:spacing w:after="0"/>
              <w:jc w:val="right"/>
              <w:rPr>
                <w:rFonts w:ascii="Arial" w:hAnsi="Arial" w:cs="Arial"/>
                <w:sz w:val="16"/>
                <w:szCs w:val="16"/>
              </w:rPr>
            </w:pPr>
          </w:p>
        </w:tc>
        <w:tc>
          <w:tcPr>
            <w:tcW w:w="422" w:type="pct"/>
            <w:tcBorders>
              <w:top w:val="single" w:sz="4" w:space="0" w:color="auto"/>
              <w:left w:val="nil"/>
              <w:bottom w:val="nil"/>
              <w:right w:val="nil"/>
            </w:tcBorders>
          </w:tcPr>
          <w:p w:rsidR="000A37A4" w:rsidRPr="00252D36" w:rsidRDefault="000A37A4" w:rsidP="000A37A4">
            <w:pPr>
              <w:spacing w:after="0"/>
              <w:jc w:val="right"/>
              <w:rPr>
                <w:rFonts w:ascii="Arial" w:hAnsi="Arial" w:cs="Arial"/>
                <w:sz w:val="16"/>
                <w:szCs w:val="16"/>
              </w:rPr>
            </w:pPr>
          </w:p>
        </w:tc>
        <w:tc>
          <w:tcPr>
            <w:tcW w:w="560" w:type="pct"/>
            <w:tcBorders>
              <w:top w:val="single" w:sz="4" w:space="0" w:color="auto"/>
              <w:left w:val="nil"/>
              <w:bottom w:val="nil"/>
              <w:right w:val="nil"/>
            </w:tcBorders>
          </w:tcPr>
          <w:p w:rsidR="000A37A4" w:rsidRPr="00252D36" w:rsidRDefault="000A37A4" w:rsidP="000A37A4">
            <w:pPr>
              <w:spacing w:after="0"/>
              <w:jc w:val="right"/>
              <w:rPr>
                <w:rFonts w:ascii="Arial" w:hAnsi="Arial" w:cs="Arial"/>
                <w:sz w:val="16"/>
                <w:szCs w:val="16"/>
              </w:rPr>
            </w:pPr>
          </w:p>
        </w:tc>
        <w:tc>
          <w:tcPr>
            <w:tcW w:w="480" w:type="pct"/>
            <w:tcBorders>
              <w:top w:val="single" w:sz="4" w:space="0" w:color="auto"/>
              <w:left w:val="nil"/>
              <w:bottom w:val="nil"/>
              <w:right w:val="nil"/>
            </w:tcBorders>
          </w:tcPr>
          <w:p w:rsidR="000A37A4" w:rsidRPr="00252D36" w:rsidRDefault="000A37A4" w:rsidP="000A37A4">
            <w:pPr>
              <w:spacing w:after="0"/>
              <w:jc w:val="right"/>
              <w:rPr>
                <w:rFonts w:ascii="Arial" w:hAnsi="Arial" w:cs="Arial"/>
                <w:sz w:val="16"/>
                <w:szCs w:val="16"/>
              </w:rPr>
            </w:pPr>
          </w:p>
        </w:tc>
        <w:tc>
          <w:tcPr>
            <w:tcW w:w="480" w:type="pct"/>
            <w:tcBorders>
              <w:top w:val="single" w:sz="4" w:space="0" w:color="auto"/>
              <w:left w:val="nil"/>
              <w:bottom w:val="nil"/>
              <w:right w:val="nil"/>
            </w:tcBorders>
          </w:tcPr>
          <w:p w:rsidR="000A37A4" w:rsidRPr="00252D36" w:rsidRDefault="000A37A4" w:rsidP="000A37A4">
            <w:pPr>
              <w:spacing w:after="0"/>
              <w:jc w:val="right"/>
              <w:rPr>
                <w:rFonts w:ascii="Arial" w:hAnsi="Arial" w:cs="Arial"/>
                <w:sz w:val="16"/>
                <w:szCs w:val="16"/>
              </w:rPr>
            </w:pPr>
          </w:p>
        </w:tc>
        <w:tc>
          <w:tcPr>
            <w:tcW w:w="480" w:type="pct"/>
            <w:tcBorders>
              <w:top w:val="single" w:sz="4" w:space="0" w:color="auto"/>
              <w:left w:val="nil"/>
              <w:bottom w:val="nil"/>
              <w:right w:val="nil"/>
            </w:tcBorders>
          </w:tcPr>
          <w:p w:rsidR="000A37A4" w:rsidRPr="00252D36" w:rsidRDefault="000A37A4" w:rsidP="000A37A4">
            <w:pPr>
              <w:spacing w:after="0"/>
              <w:jc w:val="right"/>
              <w:rPr>
                <w:rFonts w:ascii="Arial" w:hAnsi="Arial" w:cs="Arial"/>
                <w:sz w:val="16"/>
                <w:szCs w:val="16"/>
              </w:rPr>
            </w:pPr>
          </w:p>
        </w:tc>
        <w:tc>
          <w:tcPr>
            <w:tcW w:w="459" w:type="pct"/>
            <w:tcBorders>
              <w:top w:val="single" w:sz="4" w:space="0" w:color="auto"/>
              <w:left w:val="nil"/>
              <w:bottom w:val="nil"/>
              <w:right w:val="single" w:sz="4" w:space="0" w:color="auto"/>
            </w:tcBorders>
          </w:tcPr>
          <w:p w:rsidR="000A37A4" w:rsidRPr="00252D36" w:rsidRDefault="000A37A4" w:rsidP="000A37A4">
            <w:pPr>
              <w:spacing w:after="0"/>
              <w:jc w:val="right"/>
              <w:rPr>
                <w:rFonts w:ascii="Arial" w:hAnsi="Arial" w:cs="Arial"/>
                <w:sz w:val="16"/>
                <w:szCs w:val="16"/>
              </w:rPr>
            </w:pPr>
          </w:p>
        </w:tc>
      </w:tr>
      <w:tr w:rsidR="000A37A4" w:rsidTr="000A37A4">
        <w:tc>
          <w:tcPr>
            <w:tcW w:w="1261" w:type="pct"/>
            <w:tcBorders>
              <w:top w:val="nil"/>
              <w:left w:val="single" w:sz="4" w:space="0" w:color="auto"/>
              <w:bottom w:val="nil"/>
              <w:right w:val="nil"/>
            </w:tcBorders>
          </w:tcPr>
          <w:p w:rsidR="000A37A4" w:rsidRPr="00252D36" w:rsidRDefault="00731396" w:rsidP="000A37A4">
            <w:pPr>
              <w:spacing w:after="0" w:line="240" w:lineRule="atLeast"/>
              <w:jc w:val="left"/>
              <w:rPr>
                <w:rFonts w:ascii="Arial" w:hAnsi="Arial" w:cs="Arial"/>
                <w:sz w:val="16"/>
                <w:szCs w:val="16"/>
              </w:rPr>
            </w:pPr>
            <w:r w:rsidRPr="00252D36">
              <w:rPr>
                <w:rFonts w:ascii="Arial" w:hAnsi="Arial" w:cs="Arial"/>
                <w:sz w:val="16"/>
                <w:szCs w:val="16"/>
              </w:rPr>
              <w:t>RP2 i</w:t>
            </w:r>
            <w:r w:rsidR="000A37A4" w:rsidRPr="00252D36">
              <w:rPr>
                <w:rFonts w:ascii="Arial" w:hAnsi="Arial" w:cs="Arial"/>
                <w:sz w:val="16"/>
                <w:szCs w:val="16"/>
              </w:rPr>
              <w:t>ndicative water quality</w:t>
            </w:r>
          </w:p>
        </w:tc>
        <w:tc>
          <w:tcPr>
            <w:tcW w:w="48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1870</w:t>
            </w:r>
          </w:p>
        </w:tc>
        <w:tc>
          <w:tcPr>
            <w:tcW w:w="379"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8.36</w:t>
            </w:r>
          </w:p>
        </w:tc>
        <w:tc>
          <w:tcPr>
            <w:tcW w:w="422"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230</w:t>
            </w:r>
          </w:p>
        </w:tc>
        <w:tc>
          <w:tcPr>
            <w:tcW w:w="56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200</w:t>
            </w:r>
          </w:p>
        </w:tc>
        <w:tc>
          <w:tcPr>
            <w:tcW w:w="48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1010</w:t>
            </w:r>
          </w:p>
        </w:tc>
        <w:tc>
          <w:tcPr>
            <w:tcW w:w="48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4000</w:t>
            </w:r>
          </w:p>
        </w:tc>
        <w:tc>
          <w:tcPr>
            <w:tcW w:w="480" w:type="pct"/>
            <w:tcBorders>
              <w:top w:val="nil"/>
              <w:left w:val="nil"/>
              <w:bottom w:val="nil"/>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2940</w:t>
            </w:r>
          </w:p>
        </w:tc>
        <w:tc>
          <w:tcPr>
            <w:tcW w:w="459" w:type="pct"/>
            <w:tcBorders>
              <w:top w:val="nil"/>
              <w:left w:val="nil"/>
              <w:bottom w:val="nil"/>
              <w:right w:val="single" w:sz="4" w:space="0" w:color="auto"/>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3273</w:t>
            </w:r>
            <w:r w:rsidRPr="00252D36">
              <w:rPr>
                <w:rFonts w:ascii="Arial" w:hAnsi="Arial" w:cs="Arial"/>
                <w:snapToGrid w:val="0"/>
                <w:color w:val="000000"/>
                <w:position w:val="5"/>
                <w:sz w:val="12"/>
                <w:szCs w:val="12"/>
                <w:u w:color="000000"/>
              </w:rPr>
              <w:t>1</w:t>
            </w:r>
          </w:p>
        </w:tc>
      </w:tr>
      <w:tr w:rsidR="000A37A4" w:rsidTr="000A37A4">
        <w:trPr>
          <w:trHeight w:val="439"/>
        </w:trPr>
        <w:tc>
          <w:tcPr>
            <w:tcW w:w="1261" w:type="pct"/>
            <w:tcBorders>
              <w:top w:val="nil"/>
              <w:left w:val="single" w:sz="4" w:space="0" w:color="auto"/>
              <w:bottom w:val="single" w:sz="4" w:space="0" w:color="auto"/>
              <w:right w:val="nil"/>
            </w:tcBorders>
          </w:tcPr>
          <w:p w:rsidR="000A37A4" w:rsidRPr="00252D36" w:rsidRDefault="000A37A4" w:rsidP="000A37A4">
            <w:pPr>
              <w:spacing w:after="0" w:line="240" w:lineRule="atLeast"/>
              <w:jc w:val="left"/>
              <w:rPr>
                <w:rFonts w:ascii="Arial" w:hAnsi="Arial" w:cs="Arial"/>
                <w:sz w:val="16"/>
                <w:szCs w:val="16"/>
              </w:rPr>
            </w:pPr>
            <w:r w:rsidRPr="00252D36">
              <w:rPr>
                <w:rFonts w:ascii="Arial" w:hAnsi="Arial" w:cs="Arial"/>
                <w:sz w:val="16"/>
                <w:szCs w:val="16"/>
              </w:rPr>
              <w:t xml:space="preserve">Process Water </w:t>
            </w:r>
            <w:r w:rsidR="00731396" w:rsidRPr="00252D36">
              <w:rPr>
                <w:rFonts w:ascii="Arial" w:hAnsi="Arial" w:cs="Arial"/>
                <w:sz w:val="16"/>
                <w:szCs w:val="16"/>
              </w:rPr>
              <w:t>indicative</w:t>
            </w:r>
            <w:r w:rsidRPr="00252D36">
              <w:rPr>
                <w:rFonts w:ascii="Arial" w:hAnsi="Arial" w:cs="Arial"/>
                <w:sz w:val="16"/>
                <w:szCs w:val="16"/>
              </w:rPr>
              <w:t xml:space="preserve"> water quality</w:t>
            </w:r>
          </w:p>
        </w:tc>
        <w:tc>
          <w:tcPr>
            <w:tcW w:w="480"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26171</w:t>
            </w:r>
          </w:p>
        </w:tc>
        <w:tc>
          <w:tcPr>
            <w:tcW w:w="379"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3.98</w:t>
            </w:r>
          </w:p>
        </w:tc>
        <w:tc>
          <w:tcPr>
            <w:tcW w:w="422"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6219</w:t>
            </w:r>
          </w:p>
        </w:tc>
        <w:tc>
          <w:tcPr>
            <w:tcW w:w="560"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2107000</w:t>
            </w:r>
          </w:p>
        </w:tc>
        <w:tc>
          <w:tcPr>
            <w:tcW w:w="480"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34528</w:t>
            </w:r>
          </w:p>
        </w:tc>
        <w:tc>
          <w:tcPr>
            <w:tcW w:w="480"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24000</w:t>
            </w:r>
          </w:p>
        </w:tc>
        <w:tc>
          <w:tcPr>
            <w:tcW w:w="480" w:type="pct"/>
            <w:tcBorders>
              <w:top w:val="nil"/>
              <w:left w:val="nil"/>
              <w:bottom w:val="single" w:sz="4" w:space="0" w:color="auto"/>
              <w:right w:val="nil"/>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NR</w:t>
            </w:r>
          </w:p>
        </w:tc>
        <w:tc>
          <w:tcPr>
            <w:tcW w:w="459" w:type="pct"/>
            <w:tcBorders>
              <w:top w:val="nil"/>
              <w:left w:val="nil"/>
              <w:bottom w:val="single" w:sz="4" w:space="0" w:color="auto"/>
              <w:right w:val="single" w:sz="4" w:space="0" w:color="auto"/>
            </w:tcBorders>
          </w:tcPr>
          <w:p w:rsidR="000A37A4" w:rsidRPr="00252D36" w:rsidRDefault="000A37A4" w:rsidP="000A37A4">
            <w:pPr>
              <w:spacing w:after="0"/>
              <w:jc w:val="right"/>
              <w:rPr>
                <w:rFonts w:ascii="Arial" w:hAnsi="Arial" w:cs="Arial"/>
                <w:sz w:val="16"/>
                <w:szCs w:val="16"/>
              </w:rPr>
            </w:pPr>
            <w:r w:rsidRPr="00252D36">
              <w:rPr>
                <w:rFonts w:ascii="Arial" w:hAnsi="Arial" w:cs="Arial"/>
                <w:sz w:val="16"/>
                <w:szCs w:val="16"/>
              </w:rPr>
              <w:t>14356</w:t>
            </w:r>
            <w:r w:rsidRPr="00252D36">
              <w:rPr>
                <w:rFonts w:ascii="Arial" w:hAnsi="Arial" w:cs="Arial"/>
                <w:snapToGrid w:val="0"/>
                <w:color w:val="000000"/>
                <w:position w:val="5"/>
                <w:sz w:val="12"/>
                <w:szCs w:val="12"/>
                <w:u w:color="000000"/>
              </w:rPr>
              <w:t>2</w:t>
            </w:r>
          </w:p>
        </w:tc>
      </w:tr>
    </w:tbl>
    <w:p w:rsidR="000A37A4" w:rsidRDefault="000A37A4" w:rsidP="000A37A4">
      <w:pPr>
        <w:spacing w:before="60" w:line="180" w:lineRule="atLeast"/>
        <w:ind w:left="238" w:hanging="238"/>
        <w:rPr>
          <w:rFonts w:ascii="Arial" w:hAnsi="Arial" w:cs="Arial"/>
          <w:sz w:val="14"/>
          <w:szCs w:val="14"/>
        </w:rPr>
      </w:pPr>
      <w:r>
        <w:rPr>
          <w:rFonts w:ascii="Arial" w:hAnsi="Arial" w:cs="Arial"/>
          <w:sz w:val="14"/>
          <w:szCs w:val="14"/>
          <w:vertAlign w:val="superscript"/>
        </w:rPr>
        <w:t>1.</w:t>
      </w:r>
      <w:r>
        <w:rPr>
          <w:rFonts w:ascii="Arial" w:hAnsi="Arial" w:cs="Arial"/>
          <w:sz w:val="14"/>
          <w:szCs w:val="14"/>
        </w:rPr>
        <w:t xml:space="preserve"> Mean percentage of filterable </w:t>
      </w:r>
      <w:r w:rsidR="007F1420" w:rsidRPr="007F1420">
        <w:rPr>
          <w:rFonts w:ascii="Arial" w:hAnsi="Arial"/>
          <w:snapToGrid w:val="0"/>
          <w:color w:val="000000"/>
          <w:position w:val="3"/>
          <w:sz w:val="9"/>
          <w:szCs w:val="0"/>
          <w:u w:color="000000"/>
        </w:rPr>
        <w:t>226</w:t>
      </w:r>
      <w:r w:rsidR="007F1420">
        <w:rPr>
          <w:rFonts w:ascii="Arial" w:hAnsi="Arial" w:cs="Arial"/>
          <w:sz w:val="14"/>
          <w:szCs w:val="14"/>
        </w:rPr>
        <w:t xml:space="preserve">Ra </w:t>
      </w:r>
      <w:r>
        <w:rPr>
          <w:rFonts w:ascii="Arial" w:hAnsi="Arial" w:cs="Arial"/>
          <w:sz w:val="14"/>
          <w:szCs w:val="14"/>
        </w:rPr>
        <w:t>in RP2 waters (</w:t>
      </w:r>
      <w:proofErr w:type="spellStart"/>
      <w:r>
        <w:rPr>
          <w:rFonts w:ascii="Arial" w:hAnsi="Arial" w:cs="Arial"/>
          <w:sz w:val="14"/>
          <w:szCs w:val="14"/>
        </w:rPr>
        <w:t>Akber</w:t>
      </w:r>
      <w:proofErr w:type="spellEnd"/>
      <w:r>
        <w:rPr>
          <w:rFonts w:ascii="Arial" w:hAnsi="Arial" w:cs="Arial"/>
          <w:sz w:val="14"/>
          <w:szCs w:val="14"/>
        </w:rPr>
        <w:t xml:space="preserve"> et al. 2011). </w:t>
      </w:r>
    </w:p>
    <w:p w:rsidR="000A37A4" w:rsidRDefault="000A37A4" w:rsidP="000A37A4">
      <w:pPr>
        <w:spacing w:before="60" w:line="180" w:lineRule="atLeast"/>
        <w:ind w:left="238" w:hanging="238"/>
        <w:rPr>
          <w:rFonts w:ascii="Arial" w:hAnsi="Arial" w:cs="Arial"/>
          <w:sz w:val="14"/>
          <w:szCs w:val="14"/>
        </w:rPr>
      </w:pPr>
      <w:r>
        <w:rPr>
          <w:rFonts w:ascii="Arial" w:hAnsi="Arial" w:cs="Arial"/>
          <w:sz w:val="14"/>
          <w:szCs w:val="14"/>
          <w:vertAlign w:val="superscript"/>
        </w:rPr>
        <w:t>2.</w:t>
      </w:r>
      <w:r>
        <w:rPr>
          <w:rFonts w:ascii="Arial" w:hAnsi="Arial" w:cs="Arial"/>
          <w:sz w:val="14"/>
          <w:szCs w:val="14"/>
        </w:rPr>
        <w:t xml:space="preserve"> Mean percentage of filterable </w:t>
      </w:r>
      <w:r w:rsidR="007F1420" w:rsidRPr="007F1420">
        <w:rPr>
          <w:rFonts w:ascii="Arial" w:hAnsi="Arial"/>
          <w:snapToGrid w:val="0"/>
          <w:color w:val="000000"/>
          <w:position w:val="3"/>
          <w:sz w:val="9"/>
          <w:szCs w:val="0"/>
          <w:u w:color="000000"/>
        </w:rPr>
        <w:t>226</w:t>
      </w:r>
      <w:r w:rsidR="007F1420">
        <w:rPr>
          <w:rFonts w:ascii="Arial" w:hAnsi="Arial" w:cs="Arial"/>
          <w:sz w:val="14"/>
          <w:szCs w:val="14"/>
        </w:rPr>
        <w:t xml:space="preserve">Ra </w:t>
      </w:r>
      <w:r>
        <w:rPr>
          <w:rFonts w:ascii="Arial" w:hAnsi="Arial" w:cs="Arial"/>
          <w:sz w:val="14"/>
          <w:szCs w:val="14"/>
        </w:rPr>
        <w:t>in process water (</w:t>
      </w:r>
      <w:proofErr w:type="spellStart"/>
      <w:r>
        <w:rPr>
          <w:rFonts w:ascii="Arial" w:hAnsi="Arial" w:cs="Arial"/>
          <w:sz w:val="14"/>
          <w:szCs w:val="14"/>
        </w:rPr>
        <w:t>EnRad</w:t>
      </w:r>
      <w:proofErr w:type="spellEnd"/>
      <w:r>
        <w:rPr>
          <w:rFonts w:ascii="Arial" w:hAnsi="Arial" w:cs="Arial"/>
          <w:sz w:val="14"/>
          <w:szCs w:val="14"/>
        </w:rPr>
        <w:t xml:space="preserve"> unpublished data).</w:t>
      </w:r>
      <w:r>
        <w:rPr>
          <w:rFonts w:ascii="Arial" w:hAnsi="Arial" w:cs="Arial"/>
          <w:sz w:val="16"/>
          <w:szCs w:val="16"/>
        </w:rPr>
        <w:t> </w:t>
      </w:r>
    </w:p>
    <w:p w:rsidR="000A37A4" w:rsidRPr="003036FF" w:rsidRDefault="000A37A4" w:rsidP="000A37A4">
      <w:r w:rsidRPr="003036FF">
        <w:t xml:space="preserve">The total and filterable </w:t>
      </w:r>
      <w:r w:rsidR="007F1420" w:rsidRPr="007F1420">
        <w:rPr>
          <w:snapToGrid w:val="0"/>
          <w:color w:val="000000"/>
          <w:position w:val="5"/>
          <w:sz w:val="15"/>
          <w:szCs w:val="0"/>
          <w:u w:color="000000"/>
        </w:rPr>
        <w:t>226</w:t>
      </w:r>
      <w:r w:rsidR="007F1420" w:rsidRPr="007F1420">
        <w:t xml:space="preserve">Ra </w:t>
      </w:r>
      <w:r w:rsidRPr="003036FF">
        <w:t xml:space="preserve">activity concentrations are substantially less than the RP2 indicative water quality values. The dissolved U concentration was above the RP2 indicative water quality value </w:t>
      </w:r>
      <w:proofErr w:type="gramStart"/>
      <w:r w:rsidRPr="003036FF">
        <w:t>of 4,000 µg/L</w:t>
      </w:r>
      <w:proofErr w:type="gramEnd"/>
      <w:r w:rsidRPr="003036FF">
        <w:t xml:space="preserve"> but was only approximately 3% of the Process Water indicative water quality value. </w:t>
      </w:r>
    </w:p>
    <w:p w:rsidR="000A37A4" w:rsidRPr="006D6E8F" w:rsidRDefault="000A37A4" w:rsidP="000A37A4">
      <w:r w:rsidRPr="003036FF">
        <w:t xml:space="preserve">The dissolved concentrations of all other </w:t>
      </w:r>
      <w:proofErr w:type="spellStart"/>
      <w:r w:rsidRPr="003036FF">
        <w:t>analytes</w:t>
      </w:r>
      <w:proofErr w:type="spellEnd"/>
      <w:r w:rsidRPr="003036FF">
        <w:t xml:space="preserve"> in Table </w:t>
      </w:r>
      <w:r w:rsidR="005546B2">
        <w:t>4.5</w:t>
      </w:r>
      <w:r w:rsidRPr="003036FF">
        <w:t xml:space="preserve"> were below the RP2 indicativ</w:t>
      </w:r>
      <w:r w:rsidR="00F622EB">
        <w:t>e water quality concentrations.</w:t>
      </w:r>
    </w:p>
    <w:p w:rsidR="000A37A4" w:rsidRDefault="000A37A4" w:rsidP="003036FF">
      <w:pPr>
        <w:pStyle w:val="Heading5"/>
      </w:pPr>
      <w:r>
        <w:t>Conclusions</w:t>
      </w:r>
    </w:p>
    <w:p w:rsidR="000A37A4" w:rsidRPr="003036FF" w:rsidRDefault="000A37A4" w:rsidP="000A37A4">
      <w:r w:rsidRPr="003036FF">
        <w:t>The results of the sampling carried out during the cleanup activities for each zone show that contaminant concentrations in surface runoff from the spill were well below process water quality and fell within the previously observe</w:t>
      </w:r>
      <w:r w:rsidR="00F622EB">
        <w:t>d range of</w:t>
      </w:r>
      <w:r w:rsidRPr="003036FF">
        <w:t xml:space="preserve"> pond water quality. While some samples had concentrations that were higher than RP2 quality they were all less than the comparatively poorer R</w:t>
      </w:r>
      <w:r w:rsidR="00F33306">
        <w:t xml:space="preserve">etention </w:t>
      </w:r>
      <w:r w:rsidRPr="003036FF">
        <w:t>P</w:t>
      </w:r>
      <w:r w:rsidR="00F33306">
        <w:t>ond 3 levels, which is also a Pond water impoundment.</w:t>
      </w:r>
    </w:p>
    <w:p w:rsidR="000A37A4" w:rsidRPr="003036FF" w:rsidRDefault="000A37A4" w:rsidP="000A37A4">
      <w:r w:rsidRPr="003036FF">
        <w:t xml:space="preserve">Regardless, when the dilution and the </w:t>
      </w:r>
      <w:r w:rsidR="00F622EB" w:rsidRPr="003036FF">
        <w:t>neutralisation</w:t>
      </w:r>
      <w:r w:rsidRPr="003036FF">
        <w:t xml:space="preserve"> capacity of RP2 </w:t>
      </w:r>
      <w:proofErr w:type="gramStart"/>
      <w:r w:rsidRPr="003036FF">
        <w:t>is</w:t>
      </w:r>
      <w:proofErr w:type="gramEnd"/>
      <w:r w:rsidRPr="003036FF">
        <w:t xml:space="preserve"> taken into account, the concentration of dissolved contaminants in the surface runoff from the spill area will reduce rapidly as the runoff enters RP2. The high pH of RP2 waters will encourage the formation of insoluble inorganic (oxides and hydroxides) and </w:t>
      </w:r>
      <w:proofErr w:type="spellStart"/>
      <w:r w:rsidRPr="003036FF">
        <w:t>organo</w:t>
      </w:r>
      <w:proofErr w:type="spellEnd"/>
      <w:r w:rsidRPr="003036FF">
        <w:t xml:space="preserve">-metallic compounds that will bind the U, Ra and </w:t>
      </w:r>
      <w:proofErr w:type="spellStart"/>
      <w:r w:rsidRPr="003036FF">
        <w:t>Mn</w:t>
      </w:r>
      <w:proofErr w:type="spellEnd"/>
      <w:r w:rsidRPr="003036FF">
        <w:t>. The alkalinity of RP2 water will also neutralise the acid</w:t>
      </w:r>
      <w:r w:rsidR="00F622EB">
        <w:t>ity associated with the slurry.</w:t>
      </w:r>
    </w:p>
    <w:p w:rsidR="000A37A4" w:rsidRPr="006D6E8F" w:rsidRDefault="000A37A4" w:rsidP="000A37A4">
      <w:r w:rsidRPr="003036FF">
        <w:t>Based on the results shown above for each of the cleanup activities, the Supervising Scientist was satisfied that each of the zones had been sufficiently cleaned to return this area to the pond water circu</w:t>
      </w:r>
      <w:r w:rsidR="00F622EB">
        <w:t xml:space="preserve">it and advised </w:t>
      </w:r>
      <w:r w:rsidR="00467CE2">
        <w:t xml:space="preserve">the NT </w:t>
      </w:r>
      <w:r w:rsidR="00F622EB">
        <w:t>DME accordingly. This is supported by ongoing monitoring of RP2 which has shown no observable impact attributable to the leach tank spill.</w:t>
      </w:r>
    </w:p>
    <w:p w:rsidR="00F72BD9" w:rsidRPr="007E657E" w:rsidRDefault="003922A8" w:rsidP="00F72BD9">
      <w:pPr>
        <w:pStyle w:val="Heading3"/>
      </w:pPr>
      <w:bookmarkStart w:id="200" w:name="_Toc390766593"/>
      <w:proofErr w:type="gramStart"/>
      <w:r>
        <w:t>4.1.2  Offs</w:t>
      </w:r>
      <w:r w:rsidR="00F72BD9" w:rsidRPr="007E657E">
        <w:t>ite</w:t>
      </w:r>
      <w:proofErr w:type="gramEnd"/>
      <w:r w:rsidR="00F72BD9" w:rsidRPr="007E657E">
        <w:t xml:space="preserve"> </w:t>
      </w:r>
      <w:r>
        <w:t>s</w:t>
      </w:r>
      <w:r w:rsidR="00F72BD9" w:rsidRPr="007E657E">
        <w:t xml:space="preserve">urface </w:t>
      </w:r>
      <w:r>
        <w:t>w</w:t>
      </w:r>
      <w:r w:rsidR="00F72BD9" w:rsidRPr="007E657E">
        <w:t>ater</w:t>
      </w:r>
      <w:bookmarkEnd w:id="200"/>
    </w:p>
    <w:p w:rsidR="00F72BD9" w:rsidRPr="00F72BD9" w:rsidRDefault="00F72BD9" w:rsidP="00F72BD9">
      <w:pPr>
        <w:pStyle w:val="Heading4"/>
      </w:pPr>
      <w:proofErr w:type="gramStart"/>
      <w:r w:rsidRPr="007E657E">
        <w:t>4.1.2.1  Magela</w:t>
      </w:r>
      <w:proofErr w:type="gramEnd"/>
      <w:r w:rsidRPr="007E657E">
        <w:t xml:space="preserve"> Cr</w:t>
      </w:r>
      <w:r w:rsidR="00F622EB">
        <w:t>eek</w:t>
      </w:r>
      <w:r w:rsidR="00A54A29">
        <w:t xml:space="preserve"> </w:t>
      </w:r>
      <w:r w:rsidR="00C9034D">
        <w:t>c</w:t>
      </w:r>
      <w:r w:rsidR="00A54A29">
        <w:t>hemistry</w:t>
      </w:r>
    </w:p>
    <w:p w:rsidR="00F72BD9" w:rsidRPr="00F72BD9" w:rsidRDefault="00F72BD9" w:rsidP="00F72BD9">
      <w:pPr>
        <w:spacing w:before="120"/>
      </w:pPr>
      <w:r w:rsidRPr="00F72BD9">
        <w:t xml:space="preserve">Flow was first recorded at the Magela Creek upstream and downstream monitoring stations on 28 November 2013 and SSD </w:t>
      </w:r>
      <w:r w:rsidR="00F622EB">
        <w:t xml:space="preserve">then </w:t>
      </w:r>
      <w:r w:rsidRPr="00F72BD9">
        <w:t xml:space="preserve">commenced its 2013-14 wet season monitoring program, which is comprised of continuous in-situ measurement of EC, pH and turbidity and automated sample collection based on EC and turbidity levels. The samples are typically analysed for total concentrations of a standard suite of elements including Al, Cu, Fe, </w:t>
      </w:r>
      <w:proofErr w:type="spellStart"/>
      <w:r w:rsidRPr="00F72BD9">
        <w:t>Mn</w:t>
      </w:r>
      <w:proofErr w:type="spellEnd"/>
      <w:r w:rsidRPr="00F72BD9">
        <w:t xml:space="preserve">, </w:t>
      </w:r>
      <w:proofErr w:type="spellStart"/>
      <w:proofErr w:type="gramStart"/>
      <w:r w:rsidRPr="00F72BD9">
        <w:t>Pb</w:t>
      </w:r>
      <w:proofErr w:type="spellEnd"/>
      <w:proofErr w:type="gramEnd"/>
      <w:r w:rsidRPr="00F72BD9">
        <w:t xml:space="preserve">, U and Zn and major ions. </w:t>
      </w:r>
    </w:p>
    <w:p w:rsidR="00F72BD9" w:rsidRPr="00F72BD9" w:rsidRDefault="00F72BD9" w:rsidP="00F72BD9">
      <w:r w:rsidRPr="00F72BD9">
        <w:t xml:space="preserve">In response to the leach tank failure the SSD initiated a comprehensive investigation to confirm that the environment surrounding the </w:t>
      </w:r>
      <w:proofErr w:type="spellStart"/>
      <w:r w:rsidRPr="00F72BD9">
        <w:t>min</w:t>
      </w:r>
      <w:r w:rsidR="00E463A5">
        <w:t>e</w:t>
      </w:r>
      <w:r w:rsidRPr="00F72BD9">
        <w:t>site</w:t>
      </w:r>
      <w:proofErr w:type="spellEnd"/>
      <w:r w:rsidRPr="00F72BD9">
        <w:t xml:space="preserve">, including Kakadu National Park, and </w:t>
      </w:r>
      <w:r w:rsidR="00E463A5">
        <w:t>the</w:t>
      </w:r>
      <w:r w:rsidRPr="00F72BD9">
        <w:t xml:space="preserve"> health of </w:t>
      </w:r>
      <w:r w:rsidR="00E463A5">
        <w:t>local</w:t>
      </w:r>
      <w:r w:rsidRPr="00F72BD9">
        <w:t xml:space="preserve"> residents remained protected. This investigation included an increased monitoring effort in Magela Creek. </w:t>
      </w:r>
    </w:p>
    <w:p w:rsidR="00F72BD9" w:rsidRPr="00F72BD9" w:rsidRDefault="00F72BD9" w:rsidP="00F72BD9">
      <w:r w:rsidRPr="00F72BD9">
        <w:t>The leach tank failure occurred on the recessional tail of a peak in Magela Creek water level related to a 69 mm rainfall</w:t>
      </w:r>
      <w:r w:rsidR="00E463A5">
        <w:t xml:space="preserve"> event</w:t>
      </w:r>
      <w:r w:rsidRPr="00F72BD9">
        <w:t xml:space="preserve"> recorded on 6 December 2013. During the 15 day period following the incident there were no significant flow events in Magela Creek and the EC at the upstream (MCUGT) and downstream (MCDW) sites </w:t>
      </w:r>
      <w:r w:rsidR="00E463A5">
        <w:t>stabilised</w:t>
      </w:r>
      <w:r w:rsidRPr="00F72BD9">
        <w:t xml:space="preserve"> at </w:t>
      </w:r>
      <w:proofErr w:type="gramStart"/>
      <w:r w:rsidRPr="00F72BD9">
        <w:t>approximately</w:t>
      </w:r>
      <w:r w:rsidR="003F6923">
        <w:t xml:space="preserve"> </w:t>
      </w:r>
      <w:r w:rsidRPr="00F72BD9">
        <w:t xml:space="preserve">18 </w:t>
      </w:r>
      <w:r w:rsidRPr="00F72BD9">
        <w:rPr>
          <w:rFonts w:ascii="Calibri" w:hAnsi="Calibri"/>
        </w:rPr>
        <w:t>µ</w:t>
      </w:r>
      <w:r w:rsidRPr="00F72BD9">
        <w:t>S/cm</w:t>
      </w:r>
      <w:proofErr w:type="gramEnd"/>
      <w:r w:rsidRPr="00F72BD9">
        <w:t xml:space="preserve"> and 20 </w:t>
      </w:r>
      <w:r w:rsidRPr="00F72BD9">
        <w:rPr>
          <w:rFonts w:ascii="Calibri" w:hAnsi="Calibri"/>
        </w:rPr>
        <w:t>µ</w:t>
      </w:r>
      <w:r w:rsidRPr="00F72BD9">
        <w:t xml:space="preserve">S/cm, </w:t>
      </w:r>
      <w:r w:rsidRPr="003F6923">
        <w:t>respectively (Figure 4.</w:t>
      </w:r>
      <w:r w:rsidR="00D14825" w:rsidRPr="003F6923">
        <w:t>9</w:t>
      </w:r>
      <w:r w:rsidRPr="003F6923">
        <w:t>).</w:t>
      </w:r>
      <w:r w:rsidRPr="00F72BD9">
        <w:t xml:space="preserve"> </w:t>
      </w:r>
    </w:p>
    <w:p w:rsidR="00F72BD9" w:rsidRPr="00F72BD9" w:rsidRDefault="00F72BD9" w:rsidP="00F72BD9"/>
    <w:p w:rsidR="00F72BD9" w:rsidRPr="00F72BD9" w:rsidRDefault="00F72BD9" w:rsidP="00F72BD9">
      <w:r w:rsidRPr="00F72BD9">
        <w:rPr>
          <w:noProof/>
          <w:lang w:eastAsia="en-AU"/>
        </w:rPr>
        <w:drawing>
          <wp:inline distT="0" distB="0" distL="0" distR="0">
            <wp:extent cx="5274310" cy="3189986"/>
            <wp:effectExtent l="19050" t="0" r="2540" b="0"/>
            <wp:docPr id="2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screen"/>
                    <a:srcRect/>
                    <a:stretch>
                      <a:fillRect/>
                    </a:stretch>
                  </pic:blipFill>
                  <pic:spPr bwMode="auto">
                    <a:xfrm>
                      <a:off x="0" y="0"/>
                      <a:ext cx="5274310" cy="3189986"/>
                    </a:xfrm>
                    <a:prstGeom prst="rect">
                      <a:avLst/>
                    </a:prstGeom>
                    <a:noFill/>
                    <a:ln w="9525">
                      <a:noFill/>
                      <a:miter lim="800000"/>
                      <a:headEnd/>
                      <a:tailEnd/>
                    </a:ln>
                  </pic:spPr>
                </pic:pic>
              </a:graphicData>
            </a:graphic>
          </wp:inline>
        </w:drawing>
      </w:r>
    </w:p>
    <w:p w:rsidR="00F72BD9" w:rsidRPr="00F72BD9" w:rsidRDefault="00F72BD9" w:rsidP="00F72BD9">
      <w:pPr>
        <w:pStyle w:val="figurecaption"/>
      </w:pPr>
      <w:bookmarkStart w:id="201" w:name="_Toc390160248"/>
      <w:bookmarkStart w:id="202" w:name="_Toc390766654"/>
      <w:r w:rsidRPr="00D14825">
        <w:rPr>
          <w:b/>
        </w:rPr>
        <w:t>Figure 4.</w:t>
      </w:r>
      <w:r w:rsidR="00D14825" w:rsidRPr="00D14825">
        <w:rPr>
          <w:b/>
        </w:rPr>
        <w:t>9</w:t>
      </w:r>
      <w:r w:rsidRPr="00F72BD9">
        <w:t xml:space="preserve"> SSD continuous </w:t>
      </w:r>
      <w:r w:rsidR="00252D36" w:rsidRPr="00F72BD9">
        <w:t xml:space="preserve">EC </w:t>
      </w:r>
      <w:r w:rsidRPr="00F72BD9">
        <w:t xml:space="preserve">data </w:t>
      </w:r>
      <w:r w:rsidR="00252D36">
        <w:t>for Magela Creek</w:t>
      </w:r>
      <w:r w:rsidRPr="00F72BD9">
        <w:t xml:space="preserve"> </w:t>
      </w:r>
      <w:r w:rsidR="00252D36">
        <w:t>from</w:t>
      </w:r>
      <w:r w:rsidRPr="00F72BD9">
        <w:t xml:space="preserve"> 28 November 2013–27 December 2013.</w:t>
      </w:r>
      <w:bookmarkEnd w:id="201"/>
      <w:bookmarkEnd w:id="202"/>
    </w:p>
    <w:p w:rsidR="00F72BD9" w:rsidRPr="00F72BD9" w:rsidRDefault="00F72BD9" w:rsidP="00F72BD9">
      <w:r w:rsidRPr="00F72BD9">
        <w:t xml:space="preserve">The upstream and downstream pH also </w:t>
      </w:r>
      <w:r w:rsidR="00E463A5">
        <w:t>stabilised</w:t>
      </w:r>
      <w:r w:rsidRPr="00F72BD9">
        <w:t xml:space="preserve"> at </w:t>
      </w:r>
      <w:r w:rsidR="00E463A5">
        <w:t>approximately</w:t>
      </w:r>
      <w:r w:rsidRPr="00F72BD9">
        <w:t xml:space="preserve"> 5.</w:t>
      </w:r>
      <w:r w:rsidRPr="003F6923">
        <w:t>75 (Figure 4.</w:t>
      </w:r>
      <w:r w:rsidR="00D14825" w:rsidRPr="003F6923">
        <w:t>10</w:t>
      </w:r>
      <w:r w:rsidRPr="003F6923">
        <w:t>).</w:t>
      </w:r>
      <w:r w:rsidRPr="00F72BD9">
        <w:t xml:space="preserve"> The coincident behaviour and the similar values measured at the upstream and the downstream sites for both pH and EC indicates that there was no effect from the leach tank failure on </w:t>
      </w:r>
      <w:proofErr w:type="spellStart"/>
      <w:r w:rsidRPr="00F72BD9">
        <w:t>Magela</w:t>
      </w:r>
      <w:proofErr w:type="spellEnd"/>
      <w:r w:rsidRPr="00F72BD9">
        <w:t xml:space="preserve"> Creek </w:t>
      </w:r>
      <w:proofErr w:type="spellStart"/>
      <w:r w:rsidRPr="00F72BD9">
        <w:t>physico</w:t>
      </w:r>
      <w:proofErr w:type="spellEnd"/>
      <w:r w:rsidRPr="00F72BD9">
        <w:t>-chemistry during this period. This is unsurprising as there was no rainfall during this period and</w:t>
      </w:r>
      <w:r w:rsidR="00252D36">
        <w:t>,</w:t>
      </w:r>
      <w:r w:rsidRPr="00F72BD9">
        <w:t xml:space="preserve"> hence</w:t>
      </w:r>
      <w:r w:rsidR="00252D36">
        <w:t>,</w:t>
      </w:r>
      <w:r w:rsidRPr="00F72BD9">
        <w:t xml:space="preserve"> no transport mechanism enabling export of contaminants from the mine site to Magela Creek.</w:t>
      </w:r>
    </w:p>
    <w:p w:rsidR="00F72BD9" w:rsidRPr="00F72BD9" w:rsidRDefault="00F72BD9" w:rsidP="00F72BD9"/>
    <w:p w:rsidR="00F72BD9" w:rsidRPr="00F72BD9" w:rsidRDefault="00F72BD9" w:rsidP="00F72BD9">
      <w:bookmarkStart w:id="203" w:name="_GoBack"/>
      <w:r w:rsidRPr="00F72BD9">
        <w:rPr>
          <w:noProof/>
          <w:lang w:eastAsia="en-AU"/>
        </w:rPr>
        <w:drawing>
          <wp:inline distT="0" distB="0" distL="0" distR="0">
            <wp:extent cx="5274310" cy="3189986"/>
            <wp:effectExtent l="19050" t="0" r="2540" b="0"/>
            <wp:docPr id="20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screen"/>
                    <a:srcRect/>
                    <a:stretch>
                      <a:fillRect/>
                    </a:stretch>
                  </pic:blipFill>
                  <pic:spPr bwMode="auto">
                    <a:xfrm>
                      <a:off x="0" y="0"/>
                      <a:ext cx="5274310" cy="3189986"/>
                    </a:xfrm>
                    <a:prstGeom prst="rect">
                      <a:avLst/>
                    </a:prstGeom>
                    <a:noFill/>
                    <a:ln w="9525">
                      <a:noFill/>
                      <a:miter lim="800000"/>
                      <a:headEnd/>
                      <a:tailEnd/>
                    </a:ln>
                  </pic:spPr>
                </pic:pic>
              </a:graphicData>
            </a:graphic>
          </wp:inline>
        </w:drawing>
      </w:r>
      <w:bookmarkEnd w:id="203"/>
    </w:p>
    <w:p w:rsidR="00F72BD9" w:rsidRPr="00F72BD9" w:rsidRDefault="00F72BD9" w:rsidP="00F72BD9">
      <w:pPr>
        <w:pStyle w:val="figurecaption"/>
      </w:pPr>
      <w:bookmarkStart w:id="204" w:name="_Toc390160249"/>
      <w:bookmarkStart w:id="205" w:name="_Toc390766655"/>
      <w:r w:rsidRPr="00D14825">
        <w:rPr>
          <w:b/>
        </w:rPr>
        <w:t>Figure 4.</w:t>
      </w:r>
      <w:r w:rsidR="00D14825" w:rsidRPr="00D14825">
        <w:rPr>
          <w:b/>
        </w:rPr>
        <w:t>10</w:t>
      </w:r>
      <w:r w:rsidRPr="00F72BD9">
        <w:t xml:space="preserve"> SSD continuous </w:t>
      </w:r>
      <w:r w:rsidR="00252D36" w:rsidRPr="00F72BD9">
        <w:t xml:space="preserve">pH </w:t>
      </w:r>
      <w:r w:rsidRPr="00F72BD9">
        <w:t xml:space="preserve">data </w:t>
      </w:r>
      <w:r w:rsidR="00252D36">
        <w:t>for Magela Creek from</w:t>
      </w:r>
      <w:r w:rsidRPr="00F72BD9">
        <w:t xml:space="preserve"> 28 November 2013–30 December 2013. The pH trigger values are provided for information only as these trigger values were determined statistically from historical weekly grab sampling data, and only apply to water quality measured in grab samples.</w:t>
      </w:r>
      <w:bookmarkEnd w:id="204"/>
      <w:bookmarkEnd w:id="205"/>
      <w:r w:rsidRPr="00F72BD9">
        <w:t xml:space="preserve"> </w:t>
      </w:r>
    </w:p>
    <w:p w:rsidR="00F72BD9" w:rsidRPr="003F6923" w:rsidRDefault="00F72BD9" w:rsidP="00F72BD9">
      <w:r w:rsidRPr="00F72BD9">
        <w:t xml:space="preserve">From 23 December 2013 flow within Magela Creek increased due to a number of rainfall events. During this period the EC was inversely related to water level, which is typical of the Magela Creek system. The rainfall dilution and hydrodynamic damming of backflow billabongs results in decreased EC during high flows and increased EC during low flows, when the billabong waters (particularly </w:t>
      </w:r>
      <w:proofErr w:type="spellStart"/>
      <w:r w:rsidRPr="00F72BD9">
        <w:t>Coonjimba</w:t>
      </w:r>
      <w:proofErr w:type="spellEnd"/>
      <w:r w:rsidRPr="00F72BD9">
        <w:t xml:space="preserve"> and Georgetown Billabongs) re-enter the main creek </w:t>
      </w:r>
      <w:r w:rsidRPr="003F6923">
        <w:t>channel (Figure 4.</w:t>
      </w:r>
      <w:r w:rsidR="00D14825" w:rsidRPr="003F6923">
        <w:t>9</w:t>
      </w:r>
      <w:r w:rsidRPr="003F6923">
        <w:t>). A similar trend is observed in pH (Figure 4.</w:t>
      </w:r>
      <w:r w:rsidR="00D14825" w:rsidRPr="003F6923">
        <w:t>10</w:t>
      </w:r>
      <w:r w:rsidRPr="003F6923">
        <w:t xml:space="preserve">). Two EC peaks exceeded the Action trigger value </w:t>
      </w:r>
      <w:proofErr w:type="gramStart"/>
      <w:r w:rsidRPr="003F6923">
        <w:t xml:space="preserve">of 30 </w:t>
      </w:r>
      <w:r w:rsidRPr="003F6923">
        <w:rPr>
          <w:rFonts w:ascii="Calibri" w:hAnsi="Calibri"/>
        </w:rPr>
        <w:t>µ</w:t>
      </w:r>
      <w:r w:rsidRPr="003F6923">
        <w:t>S/cm</w:t>
      </w:r>
      <w:proofErr w:type="gramEnd"/>
      <w:r w:rsidRPr="003F6923">
        <w:t xml:space="preserve">. </w:t>
      </w:r>
    </w:p>
    <w:p w:rsidR="00F72BD9" w:rsidRPr="00F72BD9" w:rsidRDefault="00F72BD9" w:rsidP="00F72BD9">
      <w:r w:rsidRPr="003F6923">
        <w:t>Following the peak of flow on 6 December 2013 the turbidity de</w:t>
      </w:r>
      <w:r w:rsidRPr="00F72BD9">
        <w:t xml:space="preserve">creased to below 5 NTU. Turbidity and creek flow remained low until 23 December 2013 after which there were a number of coincident </w:t>
      </w:r>
      <w:r w:rsidRPr="003F6923">
        <w:t>turbidity peaks at both the upstream and downstream sites in relation to the water level variation (Figure 4.</w:t>
      </w:r>
      <w:r w:rsidR="00D14825" w:rsidRPr="003F6923">
        <w:t>11</w:t>
      </w:r>
      <w:r w:rsidRPr="003F6923">
        <w:t>). This is typical turbidity behaviour in Magela Creek and indicates that the source of the turbidity</w:t>
      </w:r>
      <w:r w:rsidRPr="00F72BD9">
        <w:t xml:space="preserve"> measured at the downstream site is from upstream of the mine. </w:t>
      </w:r>
    </w:p>
    <w:p w:rsidR="00F72BD9" w:rsidRPr="00F72BD9" w:rsidRDefault="00F72BD9" w:rsidP="00F72BD9"/>
    <w:p w:rsidR="00F72BD9" w:rsidRPr="00F72BD9" w:rsidRDefault="00F72BD9" w:rsidP="00F72BD9">
      <w:r w:rsidRPr="00F72BD9">
        <w:rPr>
          <w:noProof/>
          <w:lang w:eastAsia="en-AU"/>
        </w:rPr>
        <w:drawing>
          <wp:inline distT="0" distB="0" distL="0" distR="0">
            <wp:extent cx="5274310" cy="3189986"/>
            <wp:effectExtent l="19050" t="0" r="2540" b="0"/>
            <wp:docPr id="2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screen"/>
                    <a:srcRect/>
                    <a:stretch>
                      <a:fillRect/>
                    </a:stretch>
                  </pic:blipFill>
                  <pic:spPr bwMode="auto">
                    <a:xfrm>
                      <a:off x="0" y="0"/>
                      <a:ext cx="5274310" cy="3189986"/>
                    </a:xfrm>
                    <a:prstGeom prst="rect">
                      <a:avLst/>
                    </a:prstGeom>
                    <a:noFill/>
                    <a:ln w="9525">
                      <a:noFill/>
                      <a:miter lim="800000"/>
                      <a:headEnd/>
                      <a:tailEnd/>
                    </a:ln>
                  </pic:spPr>
                </pic:pic>
              </a:graphicData>
            </a:graphic>
          </wp:inline>
        </w:drawing>
      </w:r>
    </w:p>
    <w:p w:rsidR="00F72BD9" w:rsidRPr="00F72BD9" w:rsidRDefault="00F72BD9" w:rsidP="00F72BD9">
      <w:pPr>
        <w:pStyle w:val="figurecaption"/>
      </w:pPr>
      <w:bookmarkStart w:id="206" w:name="_Toc390160250"/>
      <w:bookmarkStart w:id="207" w:name="_Toc390766656"/>
      <w:r w:rsidRPr="00D14825">
        <w:rPr>
          <w:b/>
        </w:rPr>
        <w:t xml:space="preserve">Figure </w:t>
      </w:r>
      <w:proofErr w:type="gramStart"/>
      <w:r w:rsidRPr="00D14825">
        <w:rPr>
          <w:b/>
        </w:rPr>
        <w:t>4.</w:t>
      </w:r>
      <w:r w:rsidR="00D14825" w:rsidRPr="00D14825">
        <w:rPr>
          <w:b/>
        </w:rPr>
        <w:t>11</w:t>
      </w:r>
      <w:r w:rsidRPr="00F72BD9">
        <w:t xml:space="preserve">  SSD</w:t>
      </w:r>
      <w:proofErr w:type="gramEnd"/>
      <w:r w:rsidRPr="00F72BD9">
        <w:t xml:space="preserve"> continuous </w:t>
      </w:r>
      <w:r w:rsidR="00995372" w:rsidRPr="00F72BD9">
        <w:t xml:space="preserve">turbidity </w:t>
      </w:r>
      <w:r w:rsidRPr="00F72BD9">
        <w:t xml:space="preserve">data </w:t>
      </w:r>
      <w:r w:rsidR="00995372">
        <w:t>for Magela Creek from</w:t>
      </w:r>
      <w:r w:rsidRPr="00F72BD9">
        <w:t xml:space="preserve"> 28 November 2013–30 December 2013. The turbidity trigger values are provided for information only as these trigger values were determined statistically from historical weekly grab sampling data, and only apply to water quality measured in grab samples.</w:t>
      </w:r>
      <w:bookmarkEnd w:id="206"/>
      <w:bookmarkEnd w:id="207"/>
    </w:p>
    <w:p w:rsidR="00F72BD9" w:rsidRPr="00F72BD9" w:rsidRDefault="00F72BD9" w:rsidP="00F72BD9">
      <w:r w:rsidRPr="00F72BD9">
        <w:t xml:space="preserve">The total U concentrations measured in grab samples and automated samples collected from Magela Creek are </w:t>
      </w:r>
      <w:r w:rsidRPr="003F6923">
        <w:t>shown in Figure 4.</w:t>
      </w:r>
      <w:r w:rsidR="00BB0829" w:rsidRPr="003F6923">
        <w:t>12</w:t>
      </w:r>
      <w:r w:rsidRPr="003F6923">
        <w:t xml:space="preserve">, the total </w:t>
      </w:r>
      <w:proofErr w:type="spellStart"/>
      <w:r w:rsidRPr="003F6923">
        <w:t>Mn</w:t>
      </w:r>
      <w:proofErr w:type="spellEnd"/>
      <w:r w:rsidRPr="003F6923">
        <w:t xml:space="preserve"> concentrations in Figure 4.</w:t>
      </w:r>
      <w:r w:rsidR="00BB0829" w:rsidRPr="003F6923">
        <w:t>13</w:t>
      </w:r>
      <w:r w:rsidRPr="003F6923">
        <w:t xml:space="preserve"> and the total Mg concentrations in Figure 4.</w:t>
      </w:r>
      <w:r w:rsidR="00BB0829" w:rsidRPr="003F6923">
        <w:t xml:space="preserve"> 14</w:t>
      </w:r>
      <w:r w:rsidRPr="003F6923">
        <w:t>. Each figure also shows the continuous EC measured at the upstream and downstream sites.</w:t>
      </w:r>
      <w:r w:rsidRPr="00F72BD9">
        <w:t xml:space="preserve"> Prior to the incident and in the weeks following, the total U concentrations remained below the </w:t>
      </w:r>
      <w:r w:rsidR="003C0E80">
        <w:t>toxicity</w:t>
      </w:r>
      <w:r w:rsidR="00995372">
        <w:t>-</w:t>
      </w:r>
      <w:r w:rsidRPr="00F72BD9">
        <w:t xml:space="preserve">derived Focus trigger value of 0.3 </w:t>
      </w:r>
      <w:r w:rsidRPr="00F72BD9">
        <w:rPr>
          <w:rFonts w:ascii="Calibri" w:hAnsi="Calibri"/>
        </w:rPr>
        <w:t>µ</w:t>
      </w:r>
      <w:r w:rsidRPr="00F72BD9">
        <w:t xml:space="preserve">g/L and well within the range of what is typically measured in Magela Creek. This is also true for total </w:t>
      </w:r>
      <w:proofErr w:type="spellStart"/>
      <w:r w:rsidRPr="00F72BD9">
        <w:t>Mn</w:t>
      </w:r>
      <w:proofErr w:type="spellEnd"/>
      <w:r w:rsidRPr="00F72BD9">
        <w:t xml:space="preserve"> concentrations with the exception of a sample taken during the first flush period that had a total </w:t>
      </w:r>
      <w:proofErr w:type="spellStart"/>
      <w:r w:rsidRPr="00F72BD9">
        <w:t>Mn</w:t>
      </w:r>
      <w:proofErr w:type="spellEnd"/>
      <w:r w:rsidRPr="00F72BD9">
        <w:t xml:space="preserve"> concentration </w:t>
      </w:r>
      <w:proofErr w:type="gramStart"/>
      <w:r w:rsidRPr="00F72BD9">
        <w:t xml:space="preserve">of 44 </w:t>
      </w:r>
      <w:r w:rsidRPr="00F72BD9">
        <w:rPr>
          <w:rFonts w:ascii="Calibri" w:hAnsi="Calibri"/>
        </w:rPr>
        <w:t>µ</w:t>
      </w:r>
      <w:r w:rsidRPr="00F72BD9">
        <w:t>g/L (Figure 4.</w:t>
      </w:r>
      <w:r w:rsidR="00BB0829">
        <w:t>13</w:t>
      </w:r>
      <w:r w:rsidRPr="00F72BD9">
        <w:t>)</w:t>
      </w:r>
      <w:proofErr w:type="gramEnd"/>
      <w:r w:rsidRPr="00F72BD9">
        <w:t xml:space="preserve">. The </w:t>
      </w:r>
      <w:r w:rsidR="003C0E80">
        <w:t>toxicity</w:t>
      </w:r>
      <w:r w:rsidR="00995372">
        <w:t>-</w:t>
      </w:r>
      <w:r w:rsidRPr="00F72BD9">
        <w:t xml:space="preserve">derived manganese guideline </w:t>
      </w:r>
      <w:proofErr w:type="gramStart"/>
      <w:r w:rsidRPr="00F72BD9">
        <w:t>of 75 µg/L only</w:t>
      </w:r>
      <w:proofErr w:type="gramEnd"/>
      <w:r w:rsidRPr="00F72BD9">
        <w:t xml:space="preserve"> applies when the creek discharge is greater than 5 </w:t>
      </w:r>
      <w:proofErr w:type="spellStart"/>
      <w:r w:rsidRPr="00F72BD9">
        <w:t>cumecs</w:t>
      </w:r>
      <w:proofErr w:type="spellEnd"/>
      <w:r w:rsidRPr="00F72BD9">
        <w:t xml:space="preserve"> because when it is less than 5 </w:t>
      </w:r>
      <w:proofErr w:type="spellStart"/>
      <w:r w:rsidRPr="00F72BD9">
        <w:t>cumecs</w:t>
      </w:r>
      <w:proofErr w:type="spellEnd"/>
      <w:r w:rsidRPr="00F72BD9">
        <w:t xml:space="preserve"> naturally occurring </w:t>
      </w:r>
      <w:proofErr w:type="spellStart"/>
      <w:r w:rsidRPr="00F72BD9">
        <w:t>Mn</w:t>
      </w:r>
      <w:proofErr w:type="spellEnd"/>
      <w:r w:rsidRPr="00F72BD9">
        <w:t xml:space="preserve"> from manganese-rich groundwater is detectable at the downstream site. </w:t>
      </w:r>
    </w:p>
    <w:p w:rsidR="00F72BD9" w:rsidRPr="00F72BD9" w:rsidRDefault="00F72BD9" w:rsidP="00F72BD9">
      <w:r w:rsidRPr="00F72BD9">
        <w:t xml:space="preserve">The total Mg concentrations measured at the downstream site remained below the Focus trigger value of 1 mg/L with the exception of a sample triggered during the EC peak on 23 December 2013, which had a total Mg concentration of 1.7 </w:t>
      </w:r>
      <w:r w:rsidRPr="003F6923">
        <w:t>mg/L (Figure 4.</w:t>
      </w:r>
      <w:r w:rsidR="00BB0829" w:rsidRPr="003F6923">
        <w:t>14</w:t>
      </w:r>
      <w:r w:rsidRPr="003F6923">
        <w:t>).</w:t>
      </w:r>
      <w:r w:rsidRPr="00F72BD9">
        <w:t xml:space="preserve"> The source of the elevated Mg and EC is likely to be from the backflow billabongs, Georgetown and </w:t>
      </w:r>
      <w:proofErr w:type="spellStart"/>
      <w:r w:rsidRPr="00F72BD9">
        <w:t>Coonjimba</w:t>
      </w:r>
      <w:proofErr w:type="spellEnd"/>
      <w:r w:rsidRPr="00F72BD9">
        <w:t xml:space="preserve">, which flush into Magela Creek as the water level recedes. </w:t>
      </w:r>
      <w:r w:rsidR="00995372">
        <w:t>The magnitude and timing of these events is in accordance with that observed over previous seasons.</w:t>
      </w:r>
    </w:p>
    <w:p w:rsidR="00F72BD9" w:rsidRPr="00F72BD9" w:rsidRDefault="00F72BD9" w:rsidP="00F72BD9">
      <w:r w:rsidRPr="00F72BD9">
        <w:rPr>
          <w:noProof/>
          <w:lang w:eastAsia="en-AU"/>
        </w:rPr>
        <w:drawing>
          <wp:inline distT="0" distB="0" distL="0" distR="0">
            <wp:extent cx="5274310" cy="3189986"/>
            <wp:effectExtent l="19050" t="0" r="2540" b="0"/>
            <wp:docPr id="2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screen"/>
                    <a:srcRect/>
                    <a:stretch>
                      <a:fillRect/>
                    </a:stretch>
                  </pic:blipFill>
                  <pic:spPr bwMode="auto">
                    <a:xfrm>
                      <a:off x="0" y="0"/>
                      <a:ext cx="5274310" cy="3189986"/>
                    </a:xfrm>
                    <a:prstGeom prst="rect">
                      <a:avLst/>
                    </a:prstGeom>
                    <a:noFill/>
                    <a:ln w="9525">
                      <a:noFill/>
                      <a:miter lim="800000"/>
                      <a:headEnd/>
                      <a:tailEnd/>
                    </a:ln>
                  </pic:spPr>
                </pic:pic>
              </a:graphicData>
            </a:graphic>
          </wp:inline>
        </w:drawing>
      </w:r>
    </w:p>
    <w:p w:rsidR="00F72BD9" w:rsidRPr="00F72BD9" w:rsidRDefault="00F72BD9" w:rsidP="00F72BD9">
      <w:pPr>
        <w:pStyle w:val="figurecaption"/>
      </w:pPr>
      <w:bookmarkStart w:id="208" w:name="_Toc390160251"/>
      <w:bookmarkStart w:id="209" w:name="_Toc390766657"/>
      <w:r w:rsidRPr="00D14825">
        <w:rPr>
          <w:b/>
        </w:rPr>
        <w:t>Figure 4.</w:t>
      </w:r>
      <w:r w:rsidR="00D14825" w:rsidRPr="00D14825">
        <w:rPr>
          <w:b/>
        </w:rPr>
        <w:t>12</w:t>
      </w:r>
      <w:r w:rsidRPr="00F72BD9">
        <w:t xml:space="preserve"> SSD uranium concentration data </w:t>
      </w:r>
      <w:r w:rsidR="00995372">
        <w:t>for Magela Creek from</w:t>
      </w:r>
      <w:r w:rsidRPr="00F72BD9">
        <w:t xml:space="preserve"> 28 November 2013–30 December 2013</w:t>
      </w:r>
      <w:bookmarkEnd w:id="208"/>
      <w:bookmarkEnd w:id="209"/>
      <w:r w:rsidR="00EE509B">
        <w:t>.</w:t>
      </w:r>
    </w:p>
    <w:p w:rsidR="00F72BD9" w:rsidRPr="00F72BD9" w:rsidRDefault="00F72BD9" w:rsidP="00F72BD9"/>
    <w:p w:rsidR="00F72BD9" w:rsidRPr="00F72BD9" w:rsidRDefault="00F72BD9" w:rsidP="00F72BD9">
      <w:r w:rsidRPr="00F72BD9">
        <w:rPr>
          <w:noProof/>
          <w:lang w:eastAsia="en-AU"/>
        </w:rPr>
        <w:drawing>
          <wp:inline distT="0" distB="0" distL="0" distR="0">
            <wp:extent cx="5274310" cy="3189986"/>
            <wp:effectExtent l="19050" t="0" r="2540" b="0"/>
            <wp:docPr id="2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screen"/>
                    <a:srcRect/>
                    <a:stretch>
                      <a:fillRect/>
                    </a:stretch>
                  </pic:blipFill>
                  <pic:spPr bwMode="auto">
                    <a:xfrm>
                      <a:off x="0" y="0"/>
                      <a:ext cx="5274310" cy="3189986"/>
                    </a:xfrm>
                    <a:prstGeom prst="rect">
                      <a:avLst/>
                    </a:prstGeom>
                    <a:noFill/>
                    <a:ln w="9525">
                      <a:noFill/>
                      <a:miter lim="800000"/>
                      <a:headEnd/>
                      <a:tailEnd/>
                    </a:ln>
                  </pic:spPr>
                </pic:pic>
              </a:graphicData>
            </a:graphic>
          </wp:inline>
        </w:drawing>
      </w:r>
    </w:p>
    <w:p w:rsidR="00F72BD9" w:rsidRPr="00F72BD9" w:rsidRDefault="00F72BD9" w:rsidP="00F72BD9">
      <w:pPr>
        <w:pStyle w:val="figurecaption"/>
      </w:pPr>
      <w:bookmarkStart w:id="210" w:name="_Toc390160252"/>
      <w:bookmarkStart w:id="211" w:name="_Toc390766658"/>
      <w:r w:rsidRPr="00BB0829">
        <w:rPr>
          <w:b/>
        </w:rPr>
        <w:t>Figure 4.</w:t>
      </w:r>
      <w:r w:rsidR="00BB0829" w:rsidRPr="00BB0829">
        <w:rPr>
          <w:b/>
        </w:rPr>
        <w:t>13</w:t>
      </w:r>
      <w:r w:rsidRPr="00F72BD9">
        <w:t xml:space="preserve"> SSD manganese concentration data </w:t>
      </w:r>
      <w:r w:rsidR="00995372">
        <w:t>for Magela Creek from</w:t>
      </w:r>
      <w:r w:rsidRPr="00F72BD9">
        <w:t xml:space="preserve"> 28 November 2013–30 December 2013</w:t>
      </w:r>
      <w:bookmarkEnd w:id="210"/>
      <w:bookmarkEnd w:id="211"/>
      <w:r w:rsidR="00EE509B">
        <w:t>.</w:t>
      </w:r>
    </w:p>
    <w:p w:rsidR="00F72BD9" w:rsidRPr="00F72BD9" w:rsidRDefault="00F72BD9" w:rsidP="00F72BD9"/>
    <w:p w:rsidR="00F72BD9" w:rsidRPr="00F72BD9" w:rsidRDefault="00F72BD9" w:rsidP="00F72BD9">
      <w:r w:rsidRPr="00F72BD9">
        <w:rPr>
          <w:noProof/>
          <w:lang w:eastAsia="en-AU"/>
        </w:rPr>
        <w:drawing>
          <wp:inline distT="0" distB="0" distL="0" distR="0">
            <wp:extent cx="5274310" cy="3189986"/>
            <wp:effectExtent l="19050" t="0" r="2540" b="0"/>
            <wp:docPr id="2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cstate="screen"/>
                    <a:srcRect/>
                    <a:stretch>
                      <a:fillRect/>
                    </a:stretch>
                  </pic:blipFill>
                  <pic:spPr bwMode="auto">
                    <a:xfrm>
                      <a:off x="0" y="0"/>
                      <a:ext cx="5274310" cy="3189986"/>
                    </a:xfrm>
                    <a:prstGeom prst="rect">
                      <a:avLst/>
                    </a:prstGeom>
                    <a:noFill/>
                    <a:ln w="9525">
                      <a:noFill/>
                      <a:miter lim="800000"/>
                      <a:headEnd/>
                      <a:tailEnd/>
                    </a:ln>
                  </pic:spPr>
                </pic:pic>
              </a:graphicData>
            </a:graphic>
          </wp:inline>
        </w:drawing>
      </w:r>
    </w:p>
    <w:p w:rsidR="00F72BD9" w:rsidRPr="00F72BD9" w:rsidRDefault="00F72BD9" w:rsidP="00F72BD9">
      <w:pPr>
        <w:pStyle w:val="figurecaption"/>
      </w:pPr>
      <w:bookmarkStart w:id="212" w:name="_Toc390160253"/>
      <w:bookmarkStart w:id="213" w:name="_Toc390766659"/>
      <w:r w:rsidRPr="00BB0829">
        <w:rPr>
          <w:b/>
        </w:rPr>
        <w:t>Figure 4.</w:t>
      </w:r>
      <w:r w:rsidR="00BB0829" w:rsidRPr="00BB0829">
        <w:rPr>
          <w:b/>
        </w:rPr>
        <w:t>14</w:t>
      </w:r>
      <w:r w:rsidR="00BB0829">
        <w:t xml:space="preserve"> </w:t>
      </w:r>
      <w:r w:rsidRPr="00F72BD9">
        <w:t xml:space="preserve">SSD magnesium concentration data </w:t>
      </w:r>
      <w:r w:rsidR="00995372">
        <w:t>for Magela Creek for</w:t>
      </w:r>
      <w:r w:rsidRPr="00F72BD9">
        <w:t xml:space="preserve"> 28 November 2013–30 December 2013</w:t>
      </w:r>
      <w:bookmarkEnd w:id="212"/>
      <w:bookmarkEnd w:id="213"/>
      <w:r w:rsidR="00EE509B">
        <w:t>.</w:t>
      </w:r>
    </w:p>
    <w:p w:rsidR="00F72BD9" w:rsidRPr="003F6923" w:rsidRDefault="007F1420" w:rsidP="00F72BD9">
      <w:r w:rsidRPr="007F1420">
        <w:rPr>
          <w:snapToGrid w:val="0"/>
          <w:color w:val="000000"/>
          <w:position w:val="5"/>
          <w:sz w:val="15"/>
          <w:szCs w:val="0"/>
          <w:u w:color="000000"/>
        </w:rPr>
        <w:t>226</w:t>
      </w:r>
      <w:r w:rsidRPr="007F1420">
        <w:t xml:space="preserve">Ra </w:t>
      </w:r>
      <w:r w:rsidR="00F72BD9" w:rsidRPr="00F72BD9">
        <w:t xml:space="preserve">activity results are shown for samples collected from Magela Creek between 7 December 2013 and 26 February 2014 </w:t>
      </w:r>
      <w:r w:rsidR="00F72BD9" w:rsidRPr="003F6923">
        <w:t>(Figure 4.</w:t>
      </w:r>
      <w:r w:rsidR="00BB0829" w:rsidRPr="003F6923">
        <w:t>15</w:t>
      </w:r>
      <w:r w:rsidR="00F72BD9" w:rsidRPr="003F6923">
        <w:t xml:space="preserve">). The results were within the historic range observed in Magela Creek since 2002. </w:t>
      </w:r>
    </w:p>
    <w:p w:rsidR="00F72BD9" w:rsidRPr="003F6923" w:rsidRDefault="007F1420" w:rsidP="00F72BD9">
      <w:r w:rsidRPr="007F1420">
        <w:rPr>
          <w:snapToGrid w:val="0"/>
          <w:color w:val="000000"/>
          <w:position w:val="5"/>
          <w:sz w:val="15"/>
          <w:szCs w:val="0"/>
          <w:u w:color="000000"/>
        </w:rPr>
        <w:t>226</w:t>
      </w:r>
      <w:r w:rsidRPr="007F1420">
        <w:t xml:space="preserve">Ra </w:t>
      </w:r>
      <w:r w:rsidR="00F72BD9" w:rsidRPr="003F6923">
        <w:t>result</w:t>
      </w:r>
      <w:r w:rsidR="00092638">
        <w:t>s received to date for the 2013–</w:t>
      </w:r>
      <w:r w:rsidR="00F72BD9" w:rsidRPr="003F6923">
        <w:t xml:space="preserve">14 wet </w:t>
      </w:r>
      <w:proofErr w:type="gramStart"/>
      <w:r w:rsidR="00F72BD9" w:rsidRPr="003F6923">
        <w:t>season</w:t>
      </w:r>
      <w:proofErr w:type="gramEnd"/>
      <w:r w:rsidR="00F72BD9" w:rsidRPr="003F6923">
        <w:t xml:space="preserve"> include monthly composite samples collected from MCUGT and MCDW during January and February 2014</w:t>
      </w:r>
      <w:r w:rsidR="00995372">
        <w:t>,</w:t>
      </w:r>
      <w:r w:rsidR="00F72BD9" w:rsidRPr="003F6923">
        <w:t xml:space="preserve"> together with investigative samples collected from the upstream and downstream Magela Creek monitoring sites in the peri</w:t>
      </w:r>
      <w:r w:rsidR="00735E31">
        <w:t>od following the leach</w:t>
      </w:r>
      <w:r w:rsidR="00092638">
        <w:t xml:space="preserve"> tank failure (7–</w:t>
      </w:r>
      <w:r w:rsidR="00F72BD9" w:rsidRPr="003F6923">
        <w:t xml:space="preserve">13 December 2013). </w:t>
      </w:r>
    </w:p>
    <w:p w:rsidR="00F72BD9" w:rsidRPr="003F6923" w:rsidRDefault="00F72BD9" w:rsidP="00F72BD9">
      <w:r w:rsidRPr="003F6923">
        <w:t xml:space="preserve">The limit value for total </w:t>
      </w:r>
      <w:r w:rsidR="007F1420" w:rsidRPr="007F1420">
        <w:rPr>
          <w:snapToGrid w:val="0"/>
          <w:color w:val="000000"/>
          <w:position w:val="5"/>
          <w:sz w:val="15"/>
          <w:szCs w:val="0"/>
          <w:u w:color="000000"/>
        </w:rPr>
        <w:t>226</w:t>
      </w:r>
      <w:r w:rsidR="007F1420" w:rsidRPr="007F1420">
        <w:t xml:space="preserve">Ra </w:t>
      </w:r>
      <w:r w:rsidRPr="003F6923">
        <w:t xml:space="preserve">activity concentrations has been defined for human radiological protection purposes, and is based on the difference between upstream and downstream </w:t>
      </w:r>
      <w:r w:rsidR="007F1420" w:rsidRPr="007F1420">
        <w:rPr>
          <w:snapToGrid w:val="0"/>
          <w:color w:val="000000"/>
          <w:position w:val="5"/>
          <w:sz w:val="15"/>
          <w:szCs w:val="0"/>
          <w:u w:color="000000"/>
        </w:rPr>
        <w:t>226</w:t>
      </w:r>
      <w:r w:rsidR="007F1420" w:rsidRPr="007F1420">
        <w:t xml:space="preserve">Ra </w:t>
      </w:r>
      <w:r w:rsidRPr="003F6923">
        <w:t xml:space="preserve">activity concentrations. The median of the upstream </w:t>
      </w:r>
      <w:r w:rsidR="007F1420" w:rsidRPr="007F1420">
        <w:rPr>
          <w:snapToGrid w:val="0"/>
          <w:color w:val="000000"/>
          <w:position w:val="5"/>
          <w:sz w:val="15"/>
          <w:szCs w:val="0"/>
          <w:u w:color="000000"/>
        </w:rPr>
        <w:t>226</w:t>
      </w:r>
      <w:r w:rsidR="007F1420" w:rsidRPr="007F1420">
        <w:t xml:space="preserve">Ra </w:t>
      </w:r>
      <w:r w:rsidRPr="003F6923">
        <w:t xml:space="preserve">data collected over the current wet season is subtracted from the median of the downstream data. This difference value, called the ‘wet season median difference’, quantifies any increase at the downstream site, and should not exceed </w:t>
      </w:r>
      <w:proofErr w:type="gramStart"/>
      <w:r w:rsidRPr="003F6923">
        <w:t xml:space="preserve">10 </w:t>
      </w:r>
      <w:proofErr w:type="spellStart"/>
      <w:r w:rsidRPr="003F6923">
        <w:t>mBq</w:t>
      </w:r>
      <w:proofErr w:type="spellEnd"/>
      <w:r w:rsidRPr="003F6923">
        <w:t>/L.</w:t>
      </w:r>
      <w:proofErr w:type="gramEnd"/>
      <w:r w:rsidRPr="003F6923">
        <w:t xml:space="preserve"> </w:t>
      </w:r>
    </w:p>
    <w:p w:rsidR="00F72BD9" w:rsidRDefault="00995372" w:rsidP="00F72BD9">
      <w:r>
        <w:t>A</w:t>
      </w:r>
      <w:r w:rsidR="00F72BD9" w:rsidRPr="003F6923">
        <w:t xml:space="preserve"> wet season median difference </w:t>
      </w:r>
      <w:proofErr w:type="gramStart"/>
      <w:r w:rsidR="00F72BD9" w:rsidRPr="003F6923">
        <w:t xml:space="preserve">of 10 </w:t>
      </w:r>
      <w:proofErr w:type="spellStart"/>
      <w:r w:rsidR="00F72BD9" w:rsidRPr="003F6923">
        <w:t>mBq</w:t>
      </w:r>
      <w:proofErr w:type="spellEnd"/>
      <w:r w:rsidR="00F72BD9" w:rsidRPr="003F6923">
        <w:t>/L</w:t>
      </w:r>
      <w:proofErr w:type="gramEnd"/>
      <w:r w:rsidR="00F72BD9" w:rsidRPr="003F6923">
        <w:t xml:space="preserve"> would result in a mine origin ingestion dose from </w:t>
      </w:r>
      <w:r w:rsidR="007F1420" w:rsidRPr="007F1420">
        <w:rPr>
          <w:snapToGrid w:val="0"/>
          <w:color w:val="000000"/>
          <w:position w:val="5"/>
          <w:sz w:val="15"/>
          <w:szCs w:val="0"/>
          <w:u w:color="000000"/>
        </w:rPr>
        <w:t>226</w:t>
      </w:r>
      <w:r w:rsidR="007F1420" w:rsidRPr="007F1420">
        <w:t xml:space="preserve">Ra </w:t>
      </w:r>
      <w:proofErr w:type="spellStart"/>
      <w:r w:rsidR="00F72BD9" w:rsidRPr="003F6923">
        <w:t>bioaccumulated</w:t>
      </w:r>
      <w:proofErr w:type="spellEnd"/>
      <w:r w:rsidR="00F72BD9" w:rsidRPr="003F6923">
        <w:t xml:space="preserve"> in mussels of about 0.3 </w:t>
      </w:r>
      <w:proofErr w:type="spellStart"/>
      <w:r w:rsidR="00F72BD9" w:rsidRPr="003F6923">
        <w:t>mSv</w:t>
      </w:r>
      <w:proofErr w:type="spellEnd"/>
      <w:r w:rsidR="00F72BD9" w:rsidRPr="003F6923">
        <w:t>, if 2 kg of mussels were ingested by a 10 year old child. Wet season median differences (shown by the horizontal lines in Figure 4.</w:t>
      </w:r>
      <w:r w:rsidR="00BB0829" w:rsidRPr="003F6923">
        <w:t>15</w:t>
      </w:r>
      <w:r w:rsidR="00F72BD9" w:rsidRPr="003F6923">
        <w:t>) from 2001 to 2014 are close to</w:t>
      </w:r>
      <w:r w:rsidR="00F72BD9">
        <w:t xml:space="preserve"> zero, indicating that the great majority of </w:t>
      </w:r>
      <w:r w:rsidR="007F1420" w:rsidRPr="007F1420">
        <w:rPr>
          <w:snapToGrid w:val="0"/>
          <w:color w:val="000000"/>
          <w:position w:val="5"/>
          <w:sz w:val="15"/>
          <w:szCs w:val="0"/>
          <w:u w:color="000000"/>
        </w:rPr>
        <w:t>226</w:t>
      </w:r>
      <w:r w:rsidR="007F1420" w:rsidRPr="007F1420">
        <w:t xml:space="preserve">Ra </w:t>
      </w:r>
      <w:r w:rsidR="00F72BD9">
        <w:t xml:space="preserve">is coming from natural sources of </w:t>
      </w:r>
      <w:r w:rsidR="007F1420" w:rsidRPr="007F1420">
        <w:rPr>
          <w:snapToGrid w:val="0"/>
          <w:color w:val="000000"/>
          <w:position w:val="5"/>
          <w:sz w:val="15"/>
          <w:szCs w:val="0"/>
          <w:u w:color="000000"/>
        </w:rPr>
        <w:t>226</w:t>
      </w:r>
      <w:r w:rsidR="007F1420" w:rsidRPr="007F1420">
        <w:t xml:space="preserve">Ra </w:t>
      </w:r>
      <w:r w:rsidR="00F72BD9">
        <w:t xml:space="preserve">located in the catchment upstream of the mine. The wet season median difference for the entire historical monitoring period (2001–2013) is </w:t>
      </w:r>
      <w:proofErr w:type="gramStart"/>
      <w:r w:rsidR="00F72BD9">
        <w:t xml:space="preserve">0.16 </w:t>
      </w:r>
      <w:proofErr w:type="spellStart"/>
      <w:r w:rsidR="00F72BD9">
        <w:t>mBq</w:t>
      </w:r>
      <w:proofErr w:type="spellEnd"/>
      <w:r w:rsidR="00F72BD9">
        <w:t>/L.</w:t>
      </w:r>
      <w:proofErr w:type="gramEnd"/>
    </w:p>
    <w:p w:rsidR="00F72BD9" w:rsidRDefault="00F72BD9" w:rsidP="00F72BD9">
      <w:r>
        <w:t>The wet season m</w:t>
      </w:r>
      <w:r w:rsidR="003C0E80">
        <w:t>edian difference for the 2013-</w:t>
      </w:r>
      <w:r>
        <w:t xml:space="preserve">14 wet season for samples collected from 7 December to 26 February 2014 is </w:t>
      </w:r>
      <w:proofErr w:type="gramStart"/>
      <w:r>
        <w:t xml:space="preserve">0.33 </w:t>
      </w:r>
      <w:proofErr w:type="spellStart"/>
      <w:r>
        <w:t>mBq</w:t>
      </w:r>
      <w:proofErr w:type="spellEnd"/>
      <w:r>
        <w:t xml:space="preserve">/L, indicating a slightly higher median </w:t>
      </w:r>
      <w:r w:rsidR="007F1420" w:rsidRPr="007F1420">
        <w:rPr>
          <w:snapToGrid w:val="0"/>
          <w:color w:val="000000"/>
          <w:position w:val="5"/>
          <w:sz w:val="15"/>
          <w:szCs w:val="0"/>
          <w:u w:color="000000"/>
        </w:rPr>
        <w:t>226</w:t>
      </w:r>
      <w:r w:rsidR="007F1420" w:rsidRPr="007F1420">
        <w:t xml:space="preserve">Ra </w:t>
      </w:r>
      <w:r>
        <w:t>value for the downstream monitoring site than for the upstream monitoring site</w:t>
      </w:r>
      <w:proofErr w:type="gramEnd"/>
      <w:r>
        <w:t xml:space="preserve">. This result is approximately 3% of the 10 </w:t>
      </w:r>
      <w:proofErr w:type="spellStart"/>
      <w:r>
        <w:t>mBq</w:t>
      </w:r>
      <w:proofErr w:type="spellEnd"/>
      <w:r>
        <w:t>/L Limit</w:t>
      </w:r>
      <w:r w:rsidR="00735E31">
        <w:t xml:space="preserve"> and is within the range of variation observed in previous years</w:t>
      </w:r>
      <w:r>
        <w:t>.</w:t>
      </w:r>
    </w:p>
    <w:p w:rsidR="00F72BD9" w:rsidRDefault="00F72BD9" w:rsidP="00F72BD9">
      <w:r w:rsidRPr="0056255C">
        <w:rPr>
          <w:noProof/>
          <w:lang w:eastAsia="en-AU"/>
        </w:rPr>
        <w:drawing>
          <wp:inline distT="0" distB="0" distL="0" distR="0">
            <wp:extent cx="5274310" cy="4912225"/>
            <wp:effectExtent l="19050" t="19050" r="21590" b="21725"/>
            <wp:docPr id="2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screen"/>
                    <a:srcRect/>
                    <a:stretch>
                      <a:fillRect/>
                    </a:stretch>
                  </pic:blipFill>
                  <pic:spPr bwMode="auto">
                    <a:xfrm>
                      <a:off x="0" y="0"/>
                      <a:ext cx="5274310" cy="4912225"/>
                    </a:xfrm>
                    <a:prstGeom prst="rect">
                      <a:avLst/>
                    </a:prstGeom>
                    <a:noFill/>
                    <a:ln w="9525">
                      <a:solidFill>
                        <a:schemeClr val="tx1"/>
                      </a:solidFill>
                      <a:miter lim="800000"/>
                      <a:headEnd/>
                      <a:tailEnd/>
                    </a:ln>
                  </pic:spPr>
                </pic:pic>
              </a:graphicData>
            </a:graphic>
          </wp:inline>
        </w:drawing>
      </w:r>
    </w:p>
    <w:p w:rsidR="00F72BD9" w:rsidRDefault="00F72BD9" w:rsidP="00F72BD9">
      <w:pPr>
        <w:pStyle w:val="figurecaption"/>
      </w:pPr>
      <w:bookmarkStart w:id="214" w:name="_Toc390766660"/>
      <w:r w:rsidRPr="00BB0829">
        <w:rPr>
          <w:b/>
        </w:rPr>
        <w:t>Figure 4.</w:t>
      </w:r>
      <w:r w:rsidR="00BB0829" w:rsidRPr="00BB0829">
        <w:rPr>
          <w:b/>
        </w:rPr>
        <w:t>15</w:t>
      </w:r>
      <w:r>
        <w:t xml:space="preserve"> SSD </w:t>
      </w:r>
      <w:r w:rsidR="007F1420" w:rsidRPr="007F1420">
        <w:rPr>
          <w:snapToGrid w:val="0"/>
          <w:color w:val="000000"/>
          <w:position w:val="4"/>
          <w:sz w:val="12"/>
          <w:szCs w:val="0"/>
          <w:u w:color="000000"/>
        </w:rPr>
        <w:t>226</w:t>
      </w:r>
      <w:r w:rsidR="007F1420" w:rsidRPr="007F1420">
        <w:t xml:space="preserve">Ra </w:t>
      </w:r>
      <w:r>
        <w:t>activity concentration data during 7 December 2013–26 February 2014</w:t>
      </w:r>
      <w:bookmarkEnd w:id="214"/>
      <w:r w:rsidR="00EE509B">
        <w:t>.</w:t>
      </w:r>
    </w:p>
    <w:p w:rsidR="00F72BD9" w:rsidRDefault="00F72BD9" w:rsidP="00BB0829">
      <w:pPr>
        <w:pStyle w:val="Heading5"/>
      </w:pPr>
      <w:r>
        <w:t>Conclusions</w:t>
      </w:r>
    </w:p>
    <w:p w:rsidR="00F72BD9" w:rsidRDefault="00F72BD9" w:rsidP="00F72BD9">
      <w:r>
        <w:t>Results of surface water</w:t>
      </w:r>
      <w:r w:rsidR="00A54A29">
        <w:t xml:space="preserve"> chemistry</w:t>
      </w:r>
      <w:r>
        <w:t xml:space="preserve"> monitoring conducted by SSD in Magela Creek</w:t>
      </w:r>
      <w:r w:rsidR="00735E31">
        <w:t xml:space="preserve"> </w:t>
      </w:r>
      <w:r w:rsidR="00995372">
        <w:t>demonstrate</w:t>
      </w:r>
      <w:r>
        <w:t xml:space="preserve"> that there were no unusual increases in general parameters or chemical </w:t>
      </w:r>
      <w:proofErr w:type="spellStart"/>
      <w:r>
        <w:t>analytes</w:t>
      </w:r>
      <w:proofErr w:type="spellEnd"/>
      <w:r>
        <w:t xml:space="preserve"> following the incident. This implies that there was no environmental impact to the downstream aquatic environment associated with the leach tank incident.</w:t>
      </w:r>
    </w:p>
    <w:p w:rsidR="00D164FB" w:rsidRPr="00E12B14" w:rsidRDefault="00D164FB" w:rsidP="00D164FB">
      <w:pPr>
        <w:pStyle w:val="Heading4"/>
      </w:pPr>
      <w:proofErr w:type="gramStart"/>
      <w:r>
        <w:t xml:space="preserve">4.1.2.2  </w:t>
      </w:r>
      <w:r w:rsidR="00A54A29">
        <w:t>Magela</w:t>
      </w:r>
      <w:proofErr w:type="gramEnd"/>
      <w:r w:rsidR="00A54A29">
        <w:t xml:space="preserve"> Creek </w:t>
      </w:r>
      <w:r w:rsidR="00C9034D">
        <w:rPr>
          <w:i/>
        </w:rPr>
        <w:t>i</w:t>
      </w:r>
      <w:r w:rsidRPr="00827D18">
        <w:rPr>
          <w:i/>
        </w:rPr>
        <w:t>n situ</w:t>
      </w:r>
      <w:r>
        <w:t xml:space="preserve"> </w:t>
      </w:r>
      <w:r w:rsidR="00C9034D">
        <w:t>t</w:t>
      </w:r>
      <w:r w:rsidRPr="00E12B14">
        <w:t>oxicology testing</w:t>
      </w:r>
    </w:p>
    <w:p w:rsidR="00D164FB" w:rsidRDefault="00D164FB" w:rsidP="00D164FB">
      <w:r w:rsidRPr="00855026">
        <w:t xml:space="preserve">In this form of monitoring, effects on receiving waters of water dispersed from the Ranger </w:t>
      </w:r>
      <w:proofErr w:type="spellStart"/>
      <w:r w:rsidRPr="00855026">
        <w:t>minesite</w:t>
      </w:r>
      <w:proofErr w:type="spellEnd"/>
      <w:r w:rsidRPr="00855026">
        <w:t xml:space="preserve"> are evaluated using responses of aquatic animals exposed </w:t>
      </w:r>
      <w:r w:rsidRPr="00DF5E76">
        <w:rPr>
          <w:i/>
        </w:rPr>
        <w:t>in situ</w:t>
      </w:r>
      <w:r w:rsidRPr="00855026">
        <w:t xml:space="preserve"> to creek water. The response measured is reproduction (egg production) by the freshwater snail, </w:t>
      </w:r>
      <w:r w:rsidR="00995372">
        <w:rPr>
          <w:i/>
          <w:iCs/>
        </w:rPr>
        <w:t>A.</w:t>
      </w:r>
      <w:r w:rsidRPr="00855026">
        <w:rPr>
          <w:i/>
          <w:iCs/>
        </w:rPr>
        <w:t xml:space="preserve"> </w:t>
      </w:r>
      <w:proofErr w:type="spellStart"/>
      <w:r w:rsidRPr="00855026">
        <w:rPr>
          <w:i/>
          <w:iCs/>
        </w:rPr>
        <w:t>cumingi</w:t>
      </w:r>
      <w:proofErr w:type="spellEnd"/>
      <w:r w:rsidRPr="00855026">
        <w:t xml:space="preserve">. Each test runs over a four-day (96-hr) exposure period. In such chronic exposure situations, this species has been shown to be among the most sensitive, to both uranium and magnesium, of SSD’s suite of six local species as determined using standardised laboratory toxicity test protocols. </w:t>
      </w:r>
    </w:p>
    <w:p w:rsidR="00D164FB" w:rsidRPr="00A42F89" w:rsidRDefault="00D164FB" w:rsidP="00D164FB">
      <w:pPr>
        <w:rPr>
          <w:szCs w:val="22"/>
        </w:rPr>
      </w:pPr>
      <w:r>
        <w:t xml:space="preserve">The </w:t>
      </w:r>
      <w:r w:rsidRPr="00435DC8">
        <w:rPr>
          <w:i/>
        </w:rPr>
        <w:t>in situ</w:t>
      </w:r>
      <w:r w:rsidRPr="00B63F3C">
        <w:t xml:space="preserve"> testing method, in which test animals are placed in floating (flow-through) containers located in the </w:t>
      </w:r>
      <w:proofErr w:type="gramStart"/>
      <w:r w:rsidRPr="00B63F3C">
        <w:t>creek</w:t>
      </w:r>
      <w:proofErr w:type="gramEnd"/>
      <w:r w:rsidRPr="00B63F3C">
        <w:t xml:space="preserve"> </w:t>
      </w:r>
      <w:r>
        <w:t>is described in</w:t>
      </w:r>
      <w:r w:rsidRPr="00B63F3C">
        <w:t xml:space="preserve"> </w:t>
      </w:r>
      <w:r w:rsidRPr="003F6923">
        <w:t>section 3.</w:t>
      </w:r>
      <w:r w:rsidR="003F6923" w:rsidRPr="003F6923">
        <w:t>2.2</w:t>
      </w:r>
      <w:r w:rsidRPr="00B63F3C">
        <w:t xml:space="preserve"> of the 2007–08 Supervising Scie</w:t>
      </w:r>
      <w:r>
        <w:t>ntist Annual Report</w:t>
      </w:r>
      <w:r w:rsidRPr="00B63F3C">
        <w:t xml:space="preserve">. </w:t>
      </w:r>
      <w:r>
        <w:t>The</w:t>
      </w:r>
      <w:r w:rsidRPr="00B63F3C">
        <w:t xml:space="preserve"> </w:t>
      </w:r>
      <w:r>
        <w:t>programme</w:t>
      </w:r>
      <w:r w:rsidRPr="00B63F3C">
        <w:t xml:space="preserve"> </w:t>
      </w:r>
      <w:r>
        <w:t>was</w:t>
      </w:r>
      <w:r w:rsidRPr="00B63F3C">
        <w:t xml:space="preserve"> </w:t>
      </w:r>
      <w:r>
        <w:t>extended</w:t>
      </w:r>
      <w:r w:rsidRPr="00B63F3C">
        <w:t xml:space="preserve"> to</w:t>
      </w:r>
      <w:r>
        <w:t xml:space="preserve"> include</w:t>
      </w:r>
      <w:r w:rsidRPr="00B63F3C">
        <w:t xml:space="preserve"> </w:t>
      </w:r>
      <w:proofErr w:type="spellStart"/>
      <w:r w:rsidRPr="00B63F3C">
        <w:rPr>
          <w:szCs w:val="22"/>
        </w:rPr>
        <w:t>Gulungul</w:t>
      </w:r>
      <w:proofErr w:type="spellEnd"/>
      <w:r w:rsidRPr="00B63F3C">
        <w:rPr>
          <w:szCs w:val="22"/>
        </w:rPr>
        <w:t xml:space="preserve"> Creek</w:t>
      </w:r>
      <w:r>
        <w:rPr>
          <w:szCs w:val="22"/>
        </w:rPr>
        <w:t xml:space="preserve"> in </w:t>
      </w:r>
      <w:r w:rsidRPr="00A42F89">
        <w:rPr>
          <w:szCs w:val="22"/>
        </w:rPr>
        <w:t xml:space="preserve">2009–10 wet </w:t>
      </w:r>
      <w:proofErr w:type="gramStart"/>
      <w:r w:rsidRPr="00A42F89">
        <w:rPr>
          <w:szCs w:val="22"/>
        </w:rPr>
        <w:t>season</w:t>
      </w:r>
      <w:proofErr w:type="gramEnd"/>
      <w:r>
        <w:rPr>
          <w:szCs w:val="22"/>
        </w:rPr>
        <w:t>.</w:t>
      </w:r>
    </w:p>
    <w:p w:rsidR="00D164FB" w:rsidRPr="004A377F" w:rsidRDefault="00D164FB" w:rsidP="00D164FB">
      <w:r w:rsidRPr="004A377F">
        <w:t xml:space="preserve">After each wet season, toxicity monitoring results for the tests are analysed, with differences in egg numbers (the ‘response’ variable) between the upstream (control) and downstream (exposed) sites tested for statistical change between the wet season just completed and previous wet seasons. This Before-After Control-Impact Paired (BACIP) design, with </w:t>
      </w:r>
      <w:proofErr w:type="spellStart"/>
      <w:r w:rsidRPr="004A377F">
        <w:t>ANalysis</w:t>
      </w:r>
      <w:proofErr w:type="spellEnd"/>
      <w:r w:rsidRPr="004A377F">
        <w:t xml:space="preserve"> of </w:t>
      </w:r>
      <w:proofErr w:type="spellStart"/>
      <w:r w:rsidRPr="004A377F">
        <w:t>VAriance</w:t>
      </w:r>
      <w:proofErr w:type="spellEnd"/>
      <w:r w:rsidRPr="004A377F">
        <w:t xml:space="preserve"> (ANOVA) testing, is described further in the Supervising Scien</w:t>
      </w:r>
      <w:r>
        <w:t>tist Annual Report for 2007–08 (S</w:t>
      </w:r>
      <w:r w:rsidRPr="004A377F">
        <w:t>ection 2.2.3).</w:t>
      </w:r>
    </w:p>
    <w:p w:rsidR="00D164FB" w:rsidRDefault="00D164FB" w:rsidP="00D164FB">
      <w:r w:rsidRPr="006F308F">
        <w:t>Flow was first recorded at the Magela Creek upstream and downstream monitoring stations on 28 November 2013. Results for eight toxicity monitoring tests are available for reporting</w:t>
      </w:r>
      <w:r>
        <w:t xml:space="preserve"> with the first test in progress at the time of the incident on 7 December 2013</w:t>
      </w:r>
      <w:r w:rsidRPr="006F308F">
        <w:t xml:space="preserve">. Upstream and </w:t>
      </w:r>
      <w:r w:rsidRPr="003F6923">
        <w:t>downstream egg production and difference values for Magela Creek are displayed in Figure 4.16.</w:t>
      </w:r>
    </w:p>
    <w:p w:rsidR="009A6D5D" w:rsidRDefault="009A6D5D" w:rsidP="009A6D5D">
      <w:r w:rsidRPr="00EF6730">
        <w:rPr>
          <w:noProof/>
          <w:lang w:eastAsia="en-AU"/>
        </w:rPr>
        <w:drawing>
          <wp:inline distT="0" distB="0" distL="0" distR="0">
            <wp:extent cx="5274310" cy="2956027"/>
            <wp:effectExtent l="19050" t="0" r="254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screen"/>
                    <a:srcRect/>
                    <a:stretch>
                      <a:fillRect/>
                    </a:stretch>
                  </pic:blipFill>
                  <pic:spPr bwMode="auto">
                    <a:xfrm>
                      <a:off x="0" y="0"/>
                      <a:ext cx="5274310" cy="2956027"/>
                    </a:xfrm>
                    <a:prstGeom prst="rect">
                      <a:avLst/>
                    </a:prstGeom>
                    <a:noFill/>
                    <a:ln w="9525">
                      <a:noFill/>
                      <a:miter lim="800000"/>
                      <a:headEnd/>
                      <a:tailEnd/>
                    </a:ln>
                  </pic:spPr>
                </pic:pic>
              </a:graphicData>
            </a:graphic>
          </wp:inline>
        </w:drawing>
      </w:r>
    </w:p>
    <w:p w:rsidR="009A6D5D" w:rsidRDefault="009A6D5D" w:rsidP="009A6D5D">
      <w:pPr>
        <w:pStyle w:val="figurecaption"/>
      </w:pPr>
      <w:bookmarkStart w:id="215" w:name="_Toc365294936"/>
      <w:bookmarkStart w:id="216" w:name="_Toc383605612"/>
      <w:bookmarkStart w:id="217" w:name="_Toc390766661"/>
      <w:r w:rsidRPr="00B50BDA">
        <w:rPr>
          <w:b/>
        </w:rPr>
        <w:t>Figure 4.</w:t>
      </w:r>
      <w:r>
        <w:rPr>
          <w:b/>
        </w:rPr>
        <w:t>16</w:t>
      </w:r>
      <w:r w:rsidRPr="00362E0C">
        <w:t xml:space="preserve"> Time-series of snail egg production data from toxicity monitoring tests conducted in Magela Creek</w:t>
      </w:r>
      <w:bookmarkEnd w:id="215"/>
      <w:bookmarkEnd w:id="216"/>
      <w:bookmarkEnd w:id="217"/>
      <w:r w:rsidR="00EE509B">
        <w:t>.</w:t>
      </w:r>
      <w:r w:rsidRPr="00362E0C">
        <w:t xml:space="preserve"> </w:t>
      </w:r>
    </w:p>
    <w:p w:rsidR="00D164FB" w:rsidRDefault="00D164FB" w:rsidP="00D164FB">
      <w:r w:rsidRPr="002929B2">
        <w:t xml:space="preserve">The negative mean difference value for the eight 2013–14 wet season tests so far completed, indicating higher downstream egg production than upstream, is consistent with the historical trend of greater downstream egg production. ANOVA results for tests so far completed for </w:t>
      </w:r>
      <w:r w:rsidRPr="003F6923">
        <w:t xml:space="preserve">the 2013–14 wet </w:t>
      </w:r>
      <w:proofErr w:type="gramStart"/>
      <w:r w:rsidRPr="003F6923">
        <w:t>season</w:t>
      </w:r>
      <w:proofErr w:type="gramEnd"/>
      <w:r w:rsidRPr="003F6923">
        <w:t xml:space="preserve">, together with results from previous wet seasons, are displayed in Table 4.6. The significant difference observed in the 2009–10 wet season, associated with particularly high egg production at the downstream site relative to the upstream site, is discussed </w:t>
      </w:r>
      <w:proofErr w:type="gramStart"/>
      <w:r w:rsidRPr="003F6923">
        <w:t>in the 2009–10 Supervising Scientist Annual Report</w:t>
      </w:r>
      <w:proofErr w:type="gramEnd"/>
      <w:r w:rsidRPr="003F6923">
        <w:t>. No significant difference has been observed between the 2013–14 wet season tests and those from previous wet seasons (Table 4.6).</w:t>
      </w:r>
      <w:bookmarkStart w:id="218" w:name="_Toc383522704"/>
    </w:p>
    <w:p w:rsidR="009A6D5D" w:rsidRPr="003F6923" w:rsidRDefault="009A6D5D" w:rsidP="00D164FB">
      <w:r>
        <w:t xml:space="preserve">These results show no unusual response from the snail tests conducted post-spill and support the conclusions of the </w:t>
      </w:r>
      <w:proofErr w:type="spellStart"/>
      <w:r>
        <w:t>physico</w:t>
      </w:r>
      <w:proofErr w:type="spellEnd"/>
      <w:r>
        <w:t>-chemical monitoring that there have been no offsite environmental impacts from the spill.</w:t>
      </w:r>
    </w:p>
    <w:p w:rsidR="00A54A29" w:rsidRPr="003F6923" w:rsidRDefault="00A54A29">
      <w:pPr>
        <w:spacing w:after="0" w:line="240" w:lineRule="auto"/>
        <w:jc w:val="left"/>
        <w:rPr>
          <w:rFonts w:ascii="Arial" w:hAnsi="Arial"/>
          <w:b/>
          <w:sz w:val="18"/>
        </w:rPr>
      </w:pPr>
      <w:r w:rsidRPr="003F6923">
        <w:rPr>
          <w:b/>
        </w:rPr>
        <w:br w:type="page"/>
      </w:r>
    </w:p>
    <w:p w:rsidR="00D164FB" w:rsidRPr="00AD226B" w:rsidRDefault="00D164FB" w:rsidP="00D164FB">
      <w:pPr>
        <w:pStyle w:val="tablecaption"/>
      </w:pPr>
      <w:r w:rsidRPr="00193645">
        <w:rPr>
          <w:b/>
        </w:rPr>
        <w:t xml:space="preserve"> </w:t>
      </w:r>
      <w:bookmarkStart w:id="219" w:name="_Toc390766614"/>
      <w:r w:rsidRPr="00193645">
        <w:rPr>
          <w:b/>
        </w:rPr>
        <w:t xml:space="preserve">Table </w:t>
      </w:r>
      <w:r>
        <w:rPr>
          <w:b/>
        </w:rPr>
        <w:t>4.6</w:t>
      </w:r>
      <w:r w:rsidRPr="002F74A3">
        <w:t xml:space="preserve"> </w:t>
      </w:r>
      <w:r>
        <w:t>Results of ANOVA testing comparing Magela upstream-downstream difference values for mean snail egg number for different ‘before versus after’ wet season scenarios</w:t>
      </w:r>
      <w:bookmarkEnd w:id="218"/>
      <w:bookmarkEnd w:id="219"/>
      <w:r w:rsidR="00EE509B">
        <w:t>.</w:t>
      </w:r>
    </w:p>
    <w:tbl>
      <w:tblPr>
        <w:tblStyle w:val="TableGrid"/>
        <w:tblW w:w="7479" w:type="dxa"/>
        <w:jc w:val="center"/>
        <w:tblLook w:val="04A0"/>
      </w:tblPr>
      <w:tblGrid>
        <w:gridCol w:w="2802"/>
        <w:gridCol w:w="1701"/>
        <w:gridCol w:w="1134"/>
        <w:gridCol w:w="1842"/>
      </w:tblGrid>
      <w:tr w:rsidR="00D164FB" w:rsidRPr="00AD226B" w:rsidTr="00D164FB">
        <w:trPr>
          <w:jc w:val="center"/>
        </w:trPr>
        <w:tc>
          <w:tcPr>
            <w:tcW w:w="2802" w:type="dxa"/>
            <w:tcBorders>
              <w:top w:val="single" w:sz="4" w:space="0" w:color="auto"/>
              <w:left w:val="nil"/>
              <w:bottom w:val="single" w:sz="4" w:space="0" w:color="auto"/>
              <w:right w:val="nil"/>
            </w:tcBorders>
          </w:tcPr>
          <w:p w:rsidR="00D164FB" w:rsidRPr="00AD226B" w:rsidRDefault="00D164FB" w:rsidP="00D164FB">
            <w:pPr>
              <w:pStyle w:val="table1"/>
              <w:rPr>
                <w:b/>
              </w:rPr>
            </w:pPr>
            <w:r w:rsidRPr="00AD226B">
              <w:rPr>
                <w:b/>
              </w:rPr>
              <w:t>Before</w:t>
            </w:r>
          </w:p>
        </w:tc>
        <w:tc>
          <w:tcPr>
            <w:tcW w:w="1701" w:type="dxa"/>
            <w:tcBorders>
              <w:top w:val="single" w:sz="4" w:space="0" w:color="auto"/>
              <w:left w:val="nil"/>
              <w:bottom w:val="single" w:sz="4" w:space="0" w:color="auto"/>
              <w:right w:val="nil"/>
            </w:tcBorders>
          </w:tcPr>
          <w:p w:rsidR="00D164FB" w:rsidRPr="00AD226B" w:rsidRDefault="00D164FB" w:rsidP="00D164FB">
            <w:pPr>
              <w:pStyle w:val="table1"/>
              <w:rPr>
                <w:b/>
              </w:rPr>
            </w:pPr>
            <w:r w:rsidRPr="00AD226B">
              <w:rPr>
                <w:b/>
              </w:rPr>
              <w:t>After</w:t>
            </w:r>
          </w:p>
        </w:tc>
        <w:tc>
          <w:tcPr>
            <w:tcW w:w="1134" w:type="dxa"/>
            <w:tcBorders>
              <w:top w:val="single" w:sz="4" w:space="0" w:color="auto"/>
              <w:left w:val="nil"/>
              <w:bottom w:val="single" w:sz="4" w:space="0" w:color="auto"/>
              <w:right w:val="nil"/>
            </w:tcBorders>
          </w:tcPr>
          <w:p w:rsidR="00D164FB" w:rsidRPr="00AD226B" w:rsidRDefault="00D164FB" w:rsidP="00D164FB">
            <w:pPr>
              <w:pStyle w:val="table1"/>
              <w:jc w:val="center"/>
              <w:rPr>
                <w:b/>
              </w:rPr>
            </w:pPr>
            <w:r w:rsidRPr="00AD226B">
              <w:rPr>
                <w:b/>
              </w:rPr>
              <w:t>Probability value (</w:t>
            </w:r>
            <w:r w:rsidRPr="00AD226B">
              <w:rPr>
                <w:b/>
                <w:i/>
              </w:rPr>
              <w:t>P</w:t>
            </w:r>
            <w:r w:rsidRPr="00AD226B">
              <w:rPr>
                <w:b/>
              </w:rPr>
              <w:t>)</w:t>
            </w:r>
          </w:p>
        </w:tc>
        <w:tc>
          <w:tcPr>
            <w:tcW w:w="1842" w:type="dxa"/>
            <w:tcBorders>
              <w:top w:val="single" w:sz="4" w:space="0" w:color="auto"/>
              <w:left w:val="nil"/>
              <w:bottom w:val="single" w:sz="4" w:space="0" w:color="auto"/>
              <w:right w:val="nil"/>
            </w:tcBorders>
          </w:tcPr>
          <w:p w:rsidR="00D164FB" w:rsidRPr="00AD226B" w:rsidRDefault="00B73B05" w:rsidP="00D164FB">
            <w:pPr>
              <w:pStyle w:val="table1"/>
              <w:jc w:val="center"/>
              <w:rPr>
                <w:b/>
              </w:rPr>
            </w:pPr>
            <w:r>
              <w:rPr>
                <w:b/>
              </w:rPr>
              <w:t xml:space="preserve">Statistical </w:t>
            </w:r>
            <w:r w:rsidR="00D164FB" w:rsidRPr="00AD226B">
              <w:rPr>
                <w:b/>
              </w:rPr>
              <w:t>Significance</w:t>
            </w:r>
          </w:p>
        </w:tc>
      </w:tr>
      <w:tr w:rsidR="00D164FB" w:rsidRPr="00AD226B" w:rsidTr="00D164FB">
        <w:trPr>
          <w:jc w:val="center"/>
        </w:trPr>
        <w:tc>
          <w:tcPr>
            <w:tcW w:w="2802" w:type="dxa"/>
            <w:tcBorders>
              <w:top w:val="single" w:sz="4" w:space="0" w:color="auto"/>
              <w:left w:val="nil"/>
              <w:bottom w:val="nil"/>
              <w:right w:val="nil"/>
            </w:tcBorders>
          </w:tcPr>
          <w:p w:rsidR="00D164FB" w:rsidRPr="00AD226B" w:rsidRDefault="00D164FB" w:rsidP="00D164FB">
            <w:pPr>
              <w:pStyle w:val="table1"/>
            </w:pPr>
            <w:r>
              <w:t>All p</w:t>
            </w:r>
            <w:r w:rsidRPr="00AD226B">
              <w:t xml:space="preserve">revious </w:t>
            </w:r>
            <w:r>
              <w:t>s</w:t>
            </w:r>
            <w:r w:rsidRPr="00AD226B">
              <w:t>easons</w:t>
            </w:r>
          </w:p>
        </w:tc>
        <w:tc>
          <w:tcPr>
            <w:tcW w:w="1701" w:type="dxa"/>
            <w:tcBorders>
              <w:top w:val="single" w:sz="4" w:space="0" w:color="auto"/>
              <w:left w:val="nil"/>
              <w:bottom w:val="nil"/>
              <w:right w:val="nil"/>
            </w:tcBorders>
          </w:tcPr>
          <w:p w:rsidR="00D164FB" w:rsidRPr="00AD226B" w:rsidRDefault="00D164FB" w:rsidP="00D164FB">
            <w:pPr>
              <w:pStyle w:val="table1"/>
            </w:pPr>
            <w:r w:rsidRPr="00AD226B">
              <w:t>2009-10</w:t>
            </w:r>
          </w:p>
        </w:tc>
        <w:tc>
          <w:tcPr>
            <w:tcW w:w="1134" w:type="dxa"/>
            <w:tcBorders>
              <w:top w:val="single" w:sz="4" w:space="0" w:color="auto"/>
              <w:left w:val="nil"/>
              <w:bottom w:val="nil"/>
              <w:right w:val="nil"/>
            </w:tcBorders>
          </w:tcPr>
          <w:p w:rsidR="00D164FB" w:rsidRPr="00AD226B" w:rsidRDefault="00D164FB" w:rsidP="00D164FB">
            <w:pPr>
              <w:pStyle w:val="table1"/>
              <w:jc w:val="center"/>
            </w:pPr>
            <w:r w:rsidRPr="00AD226B">
              <w:rPr>
                <w:lang w:eastAsia="en-AU"/>
              </w:rPr>
              <w:t>0.043</w:t>
            </w:r>
          </w:p>
        </w:tc>
        <w:tc>
          <w:tcPr>
            <w:tcW w:w="1842" w:type="dxa"/>
            <w:tcBorders>
              <w:top w:val="single" w:sz="4" w:space="0" w:color="auto"/>
              <w:left w:val="nil"/>
              <w:bottom w:val="nil"/>
              <w:right w:val="nil"/>
            </w:tcBorders>
          </w:tcPr>
          <w:p w:rsidR="00D164FB" w:rsidRPr="00AD226B" w:rsidRDefault="00D164FB" w:rsidP="00D164FB">
            <w:pPr>
              <w:pStyle w:val="table1"/>
              <w:jc w:val="center"/>
            </w:pPr>
            <w:r w:rsidRPr="00AD226B">
              <w:t>at 5% level</w:t>
            </w:r>
          </w:p>
        </w:tc>
      </w:tr>
      <w:tr w:rsidR="00D164FB" w:rsidRPr="00AD226B" w:rsidTr="00D164FB">
        <w:trPr>
          <w:jc w:val="center"/>
        </w:trPr>
        <w:tc>
          <w:tcPr>
            <w:tcW w:w="2802" w:type="dxa"/>
            <w:tcBorders>
              <w:top w:val="nil"/>
              <w:left w:val="nil"/>
              <w:bottom w:val="nil"/>
              <w:right w:val="nil"/>
            </w:tcBorders>
          </w:tcPr>
          <w:p w:rsidR="00D164FB" w:rsidRPr="00AD226B" w:rsidRDefault="00D164FB" w:rsidP="00D164FB">
            <w:pPr>
              <w:pStyle w:val="table1"/>
            </w:pPr>
            <w:r>
              <w:t>All p</w:t>
            </w:r>
            <w:r w:rsidRPr="00AD226B">
              <w:t xml:space="preserve">revious </w:t>
            </w:r>
            <w:r>
              <w:t>s</w:t>
            </w:r>
            <w:r w:rsidRPr="00AD226B">
              <w:t>easons</w:t>
            </w:r>
          </w:p>
        </w:tc>
        <w:tc>
          <w:tcPr>
            <w:tcW w:w="1701" w:type="dxa"/>
            <w:tcBorders>
              <w:top w:val="nil"/>
              <w:left w:val="nil"/>
              <w:bottom w:val="nil"/>
              <w:right w:val="nil"/>
            </w:tcBorders>
          </w:tcPr>
          <w:p w:rsidR="00D164FB" w:rsidRPr="00AD226B" w:rsidRDefault="00D164FB" w:rsidP="00D164FB">
            <w:pPr>
              <w:pStyle w:val="table1"/>
            </w:pPr>
            <w:r w:rsidRPr="00AD226B">
              <w:t>2010-11</w:t>
            </w:r>
          </w:p>
        </w:tc>
        <w:tc>
          <w:tcPr>
            <w:tcW w:w="1134" w:type="dxa"/>
            <w:tcBorders>
              <w:top w:val="nil"/>
              <w:left w:val="nil"/>
              <w:bottom w:val="nil"/>
              <w:right w:val="nil"/>
            </w:tcBorders>
          </w:tcPr>
          <w:p w:rsidR="00D164FB" w:rsidRPr="00AD226B" w:rsidRDefault="00D164FB" w:rsidP="00D164FB">
            <w:pPr>
              <w:pStyle w:val="table1"/>
              <w:jc w:val="center"/>
            </w:pPr>
            <w:r w:rsidRPr="00AD226B">
              <w:rPr>
                <w:lang w:eastAsia="en-AU"/>
              </w:rPr>
              <w:t>0.436</w:t>
            </w:r>
          </w:p>
        </w:tc>
        <w:tc>
          <w:tcPr>
            <w:tcW w:w="1842" w:type="dxa"/>
            <w:tcBorders>
              <w:top w:val="nil"/>
              <w:left w:val="nil"/>
              <w:bottom w:val="nil"/>
              <w:right w:val="nil"/>
            </w:tcBorders>
          </w:tcPr>
          <w:p w:rsidR="00D164FB" w:rsidRPr="00AD226B" w:rsidRDefault="00D164FB" w:rsidP="00D164FB">
            <w:pPr>
              <w:pStyle w:val="table1"/>
              <w:jc w:val="center"/>
            </w:pPr>
            <w:r w:rsidRPr="00AD226B">
              <w:t>NS</w:t>
            </w:r>
            <w:r w:rsidR="00B73B05" w:rsidRPr="00CB1A51">
              <w:rPr>
                <w:snapToGrid w:val="0"/>
                <w:color w:val="000000"/>
                <w:position w:val="4"/>
                <w:sz w:val="13"/>
                <w:szCs w:val="0"/>
                <w:u w:color="000000"/>
              </w:rPr>
              <w:t>1</w:t>
            </w:r>
          </w:p>
        </w:tc>
      </w:tr>
      <w:tr w:rsidR="00D164FB" w:rsidRPr="00AD226B" w:rsidTr="00D164FB">
        <w:trPr>
          <w:jc w:val="center"/>
        </w:trPr>
        <w:tc>
          <w:tcPr>
            <w:tcW w:w="2802" w:type="dxa"/>
            <w:tcBorders>
              <w:top w:val="nil"/>
              <w:left w:val="nil"/>
              <w:bottom w:val="nil"/>
              <w:right w:val="nil"/>
            </w:tcBorders>
          </w:tcPr>
          <w:p w:rsidR="00D164FB" w:rsidRPr="00AD226B" w:rsidRDefault="00D164FB" w:rsidP="00D164FB">
            <w:pPr>
              <w:pStyle w:val="table1"/>
            </w:pPr>
            <w:r>
              <w:t>All p</w:t>
            </w:r>
            <w:r w:rsidRPr="00AD226B">
              <w:t xml:space="preserve">revious </w:t>
            </w:r>
            <w:r>
              <w:t>s</w:t>
            </w:r>
            <w:r w:rsidRPr="00AD226B">
              <w:t>easons</w:t>
            </w:r>
          </w:p>
        </w:tc>
        <w:tc>
          <w:tcPr>
            <w:tcW w:w="1701" w:type="dxa"/>
            <w:tcBorders>
              <w:top w:val="nil"/>
              <w:left w:val="nil"/>
              <w:bottom w:val="nil"/>
              <w:right w:val="nil"/>
            </w:tcBorders>
          </w:tcPr>
          <w:p w:rsidR="00D164FB" w:rsidRPr="00AD226B" w:rsidRDefault="00D164FB" w:rsidP="00D164FB">
            <w:pPr>
              <w:pStyle w:val="table1"/>
            </w:pPr>
            <w:r w:rsidRPr="00AD226B">
              <w:t>2011-12</w:t>
            </w:r>
          </w:p>
        </w:tc>
        <w:tc>
          <w:tcPr>
            <w:tcW w:w="1134" w:type="dxa"/>
            <w:tcBorders>
              <w:top w:val="nil"/>
              <w:left w:val="nil"/>
              <w:bottom w:val="nil"/>
              <w:right w:val="nil"/>
            </w:tcBorders>
          </w:tcPr>
          <w:p w:rsidR="00D164FB" w:rsidRPr="00AD226B" w:rsidRDefault="00D164FB" w:rsidP="00D164FB">
            <w:pPr>
              <w:pStyle w:val="table1"/>
              <w:jc w:val="center"/>
              <w:rPr>
                <w:lang w:eastAsia="en-AU"/>
              </w:rPr>
            </w:pPr>
            <w:r w:rsidRPr="00AD226B">
              <w:rPr>
                <w:lang w:eastAsia="en-AU"/>
              </w:rPr>
              <w:t>0.916</w:t>
            </w:r>
          </w:p>
        </w:tc>
        <w:tc>
          <w:tcPr>
            <w:tcW w:w="1842" w:type="dxa"/>
            <w:tcBorders>
              <w:top w:val="nil"/>
              <w:left w:val="nil"/>
              <w:bottom w:val="nil"/>
              <w:right w:val="nil"/>
            </w:tcBorders>
          </w:tcPr>
          <w:p w:rsidR="00D164FB" w:rsidRPr="00AD226B" w:rsidRDefault="00D164FB" w:rsidP="00D164FB">
            <w:pPr>
              <w:pStyle w:val="table1"/>
              <w:jc w:val="center"/>
            </w:pPr>
            <w:r w:rsidRPr="00AD226B">
              <w:t>NS</w:t>
            </w:r>
          </w:p>
        </w:tc>
      </w:tr>
      <w:tr w:rsidR="00D164FB" w:rsidRPr="00AD226B" w:rsidTr="00D164FB">
        <w:trPr>
          <w:jc w:val="center"/>
        </w:trPr>
        <w:tc>
          <w:tcPr>
            <w:tcW w:w="2802" w:type="dxa"/>
            <w:tcBorders>
              <w:top w:val="nil"/>
              <w:left w:val="nil"/>
              <w:bottom w:val="nil"/>
              <w:right w:val="nil"/>
            </w:tcBorders>
          </w:tcPr>
          <w:p w:rsidR="00D164FB" w:rsidRPr="00AD226B" w:rsidRDefault="00D164FB" w:rsidP="00D164FB">
            <w:pPr>
              <w:pStyle w:val="table1"/>
            </w:pPr>
            <w:r>
              <w:t>All p</w:t>
            </w:r>
            <w:r w:rsidRPr="00AD226B">
              <w:t xml:space="preserve">revious </w:t>
            </w:r>
            <w:r>
              <w:t>s</w:t>
            </w:r>
            <w:r w:rsidRPr="00AD226B">
              <w:t>easons</w:t>
            </w:r>
          </w:p>
        </w:tc>
        <w:tc>
          <w:tcPr>
            <w:tcW w:w="1701" w:type="dxa"/>
            <w:tcBorders>
              <w:top w:val="nil"/>
              <w:left w:val="nil"/>
              <w:bottom w:val="nil"/>
              <w:right w:val="nil"/>
            </w:tcBorders>
          </w:tcPr>
          <w:p w:rsidR="00D164FB" w:rsidRPr="00AD226B" w:rsidRDefault="00D164FB" w:rsidP="00D164FB">
            <w:pPr>
              <w:pStyle w:val="table1"/>
            </w:pPr>
            <w:r w:rsidRPr="00AD226B">
              <w:t>2012-13</w:t>
            </w:r>
          </w:p>
        </w:tc>
        <w:tc>
          <w:tcPr>
            <w:tcW w:w="1134" w:type="dxa"/>
            <w:tcBorders>
              <w:top w:val="nil"/>
              <w:left w:val="nil"/>
              <w:bottom w:val="nil"/>
              <w:right w:val="nil"/>
            </w:tcBorders>
          </w:tcPr>
          <w:p w:rsidR="00D164FB" w:rsidRPr="00AD226B" w:rsidRDefault="00D164FB" w:rsidP="00D164FB">
            <w:pPr>
              <w:pStyle w:val="table1"/>
              <w:jc w:val="center"/>
              <w:rPr>
                <w:lang w:eastAsia="en-AU"/>
              </w:rPr>
            </w:pPr>
            <w:r w:rsidRPr="00AD226B">
              <w:rPr>
                <w:lang w:eastAsia="en-AU"/>
              </w:rPr>
              <w:t>0.083</w:t>
            </w:r>
          </w:p>
        </w:tc>
        <w:tc>
          <w:tcPr>
            <w:tcW w:w="1842" w:type="dxa"/>
            <w:tcBorders>
              <w:top w:val="nil"/>
              <w:left w:val="nil"/>
              <w:bottom w:val="nil"/>
              <w:right w:val="nil"/>
            </w:tcBorders>
          </w:tcPr>
          <w:p w:rsidR="00D164FB" w:rsidRPr="00AD226B" w:rsidRDefault="00D164FB" w:rsidP="00D164FB">
            <w:pPr>
              <w:pStyle w:val="table1"/>
              <w:jc w:val="center"/>
            </w:pPr>
            <w:r w:rsidRPr="00AD226B">
              <w:t>NS</w:t>
            </w:r>
          </w:p>
        </w:tc>
      </w:tr>
      <w:tr w:rsidR="00D164FB" w:rsidRPr="00AD226B" w:rsidTr="00D164FB">
        <w:trPr>
          <w:jc w:val="center"/>
        </w:trPr>
        <w:tc>
          <w:tcPr>
            <w:tcW w:w="2802" w:type="dxa"/>
            <w:tcBorders>
              <w:top w:val="nil"/>
              <w:left w:val="nil"/>
              <w:bottom w:val="single" w:sz="4" w:space="0" w:color="auto"/>
              <w:right w:val="nil"/>
            </w:tcBorders>
          </w:tcPr>
          <w:p w:rsidR="00D164FB" w:rsidRPr="00AD226B" w:rsidRDefault="00D164FB" w:rsidP="00D164FB">
            <w:pPr>
              <w:pStyle w:val="table1"/>
            </w:pPr>
            <w:r>
              <w:t>All p</w:t>
            </w:r>
            <w:r w:rsidRPr="00AD226B">
              <w:t xml:space="preserve">revious </w:t>
            </w:r>
            <w:r>
              <w:t>s</w:t>
            </w:r>
            <w:r w:rsidRPr="00AD226B">
              <w:t>easons</w:t>
            </w:r>
          </w:p>
        </w:tc>
        <w:tc>
          <w:tcPr>
            <w:tcW w:w="1701" w:type="dxa"/>
            <w:tcBorders>
              <w:top w:val="nil"/>
              <w:left w:val="nil"/>
              <w:bottom w:val="single" w:sz="4" w:space="0" w:color="auto"/>
              <w:right w:val="nil"/>
            </w:tcBorders>
          </w:tcPr>
          <w:p w:rsidR="00D164FB" w:rsidRPr="00AD226B" w:rsidRDefault="00D164FB" w:rsidP="00B73B05">
            <w:pPr>
              <w:pStyle w:val="table1"/>
            </w:pPr>
            <w:r w:rsidRPr="00AD226B">
              <w:t>201</w:t>
            </w:r>
            <w:r>
              <w:t>3</w:t>
            </w:r>
            <w:r w:rsidRPr="00AD226B">
              <w:t>-1</w:t>
            </w:r>
            <w:r>
              <w:t>4</w:t>
            </w:r>
            <w:r w:rsidR="00B73B05">
              <w:rPr>
                <w:snapToGrid w:val="0"/>
                <w:color w:val="000000"/>
                <w:position w:val="4"/>
                <w:sz w:val="13"/>
                <w:szCs w:val="0"/>
                <w:u w:color="000000"/>
              </w:rPr>
              <w:t>2</w:t>
            </w:r>
          </w:p>
        </w:tc>
        <w:tc>
          <w:tcPr>
            <w:tcW w:w="1134" w:type="dxa"/>
            <w:tcBorders>
              <w:top w:val="nil"/>
              <w:left w:val="nil"/>
              <w:bottom w:val="single" w:sz="4" w:space="0" w:color="auto"/>
              <w:right w:val="nil"/>
            </w:tcBorders>
          </w:tcPr>
          <w:p w:rsidR="00D164FB" w:rsidRPr="00AD226B" w:rsidRDefault="00D164FB" w:rsidP="00D164FB">
            <w:pPr>
              <w:pStyle w:val="table1"/>
              <w:jc w:val="center"/>
              <w:rPr>
                <w:lang w:eastAsia="en-AU"/>
              </w:rPr>
            </w:pPr>
            <w:r w:rsidRPr="00AD226B">
              <w:rPr>
                <w:lang w:eastAsia="en-AU"/>
              </w:rPr>
              <w:t>0.</w:t>
            </w:r>
            <w:r>
              <w:rPr>
                <w:lang w:eastAsia="en-AU"/>
              </w:rPr>
              <w:t>188</w:t>
            </w:r>
          </w:p>
        </w:tc>
        <w:tc>
          <w:tcPr>
            <w:tcW w:w="1842" w:type="dxa"/>
            <w:tcBorders>
              <w:top w:val="nil"/>
              <w:left w:val="nil"/>
              <w:bottom w:val="single" w:sz="4" w:space="0" w:color="auto"/>
              <w:right w:val="nil"/>
            </w:tcBorders>
          </w:tcPr>
          <w:p w:rsidR="00D164FB" w:rsidRPr="00AD226B" w:rsidRDefault="00D164FB" w:rsidP="00D164FB">
            <w:pPr>
              <w:pStyle w:val="table1"/>
              <w:jc w:val="center"/>
            </w:pPr>
            <w:r w:rsidRPr="00AD226B">
              <w:t>NS</w:t>
            </w:r>
          </w:p>
        </w:tc>
      </w:tr>
    </w:tbl>
    <w:p w:rsidR="00D164FB" w:rsidRDefault="00D164FB" w:rsidP="00D164FB">
      <w:pPr>
        <w:rPr>
          <w:rFonts w:ascii="Arial" w:hAnsi="Arial" w:cs="Arial"/>
          <w:sz w:val="16"/>
          <w:szCs w:val="16"/>
        </w:rPr>
      </w:pPr>
      <w:r w:rsidRPr="00CB1A51">
        <w:rPr>
          <w:snapToGrid w:val="0"/>
          <w:color w:val="000000"/>
          <w:position w:val="3"/>
          <w:sz w:val="13"/>
          <w:szCs w:val="0"/>
          <w:u w:color="000000"/>
        </w:rPr>
        <w:t>1</w:t>
      </w:r>
      <w:r>
        <w:t xml:space="preserve"> </w:t>
      </w:r>
      <w:r w:rsidR="00B73B05">
        <w:rPr>
          <w:rFonts w:ascii="Arial" w:hAnsi="Arial" w:cs="Arial"/>
          <w:sz w:val="16"/>
          <w:szCs w:val="16"/>
        </w:rPr>
        <w:t>NS: Not significant</w:t>
      </w:r>
    </w:p>
    <w:p w:rsidR="00B73B05" w:rsidRPr="0097648B" w:rsidRDefault="00B73B05" w:rsidP="00B73B05">
      <w:pPr>
        <w:rPr>
          <w:rFonts w:ascii="Arial" w:hAnsi="Arial" w:cs="Arial"/>
          <w:sz w:val="16"/>
          <w:szCs w:val="16"/>
        </w:rPr>
      </w:pPr>
      <w:r>
        <w:rPr>
          <w:snapToGrid w:val="0"/>
          <w:color w:val="000000"/>
          <w:position w:val="3"/>
          <w:sz w:val="13"/>
          <w:szCs w:val="0"/>
          <w:u w:color="000000"/>
        </w:rPr>
        <w:t>2</w:t>
      </w:r>
      <w:r>
        <w:t xml:space="preserve"> </w:t>
      </w:r>
      <w:r w:rsidRPr="0097648B">
        <w:rPr>
          <w:rFonts w:ascii="Arial" w:hAnsi="Arial" w:cs="Arial"/>
          <w:sz w:val="16"/>
          <w:szCs w:val="16"/>
        </w:rPr>
        <w:t>Results to early March</w:t>
      </w:r>
    </w:p>
    <w:p w:rsidR="00AB0C49" w:rsidRPr="00A54A29" w:rsidRDefault="00555AFC" w:rsidP="0092297C">
      <w:pPr>
        <w:pStyle w:val="Heading2"/>
      </w:pPr>
      <w:bookmarkStart w:id="220" w:name="_Toc390766594"/>
      <w:proofErr w:type="gramStart"/>
      <w:r w:rsidRPr="00A54A29">
        <w:t>4.</w:t>
      </w:r>
      <w:r w:rsidR="00BB0829" w:rsidRPr="00A54A29">
        <w:t>2</w:t>
      </w:r>
      <w:r w:rsidRPr="00A54A29">
        <w:t xml:space="preserve">  </w:t>
      </w:r>
      <w:r w:rsidR="00AB0C49" w:rsidRPr="00A54A29">
        <w:t>Ground</w:t>
      </w:r>
      <w:proofErr w:type="gramEnd"/>
      <w:r w:rsidR="00AB0C49" w:rsidRPr="00A54A29">
        <w:t xml:space="preserve"> Water</w:t>
      </w:r>
      <w:bookmarkEnd w:id="220"/>
      <w:r w:rsidR="00AB0C49" w:rsidRPr="00A54A29">
        <w:t xml:space="preserve"> </w:t>
      </w:r>
    </w:p>
    <w:p w:rsidR="00BB0829" w:rsidRPr="00BB0829" w:rsidRDefault="00BB0829" w:rsidP="0092297C">
      <w:pPr>
        <w:pStyle w:val="Heading3"/>
      </w:pPr>
      <w:bookmarkStart w:id="221" w:name="_Toc390766595"/>
      <w:r w:rsidRPr="00A54A29">
        <w:t xml:space="preserve">4.2.1 </w:t>
      </w:r>
      <w:r w:rsidR="00D55017">
        <w:t>Onsite s</w:t>
      </w:r>
      <w:r w:rsidRPr="00A54A29">
        <w:t xml:space="preserve">oil </w:t>
      </w:r>
      <w:r w:rsidR="00C9034D">
        <w:t>p</w:t>
      </w:r>
      <w:r w:rsidRPr="00A54A29">
        <w:t>rofiling</w:t>
      </w:r>
      <w:bookmarkEnd w:id="221"/>
    </w:p>
    <w:p w:rsidR="00BB0829" w:rsidRDefault="00BB0829" w:rsidP="00BB0829">
      <w:r>
        <w:t>Overall, the five soil profiles</w:t>
      </w:r>
      <w:r w:rsidR="000F4B67">
        <w:t xml:space="preserve"> obtained (Section 3.3.1)</w:t>
      </w:r>
      <w:r>
        <w:t xml:space="preserve"> contained very poorly sorted soil and other material, which ranged in size from very fine grained (0.2 mm diameter) to very coarse and pebble-sized (63 mm diameter). Grain composition was heterogeneous and included an abundance of fine-grained silt and clay, as well as coarser bitumen, quartz, quartzite, and metamorphic </w:t>
      </w:r>
      <w:proofErr w:type="spellStart"/>
      <w:r>
        <w:t>clasts</w:t>
      </w:r>
      <w:proofErr w:type="spellEnd"/>
      <w:r>
        <w:t xml:space="preserve">. Ferruginous (iron-rich) nodules were common. Porosity was rarely identified, with the exception of Hole 3 where, from 0.25 – 0.35 m depth, occasional 0.5 mm diameter pores were found present. All holes showed similarities in their grain sizes, and therefore are likely to have similar </w:t>
      </w:r>
      <w:r w:rsidR="00D34E06">
        <w:t>permeability</w:t>
      </w:r>
      <w:r>
        <w:t>, except Hole 5 may have a greater permeability in the uppermost horizon, which contains dense grass roots as well as gravels.</w:t>
      </w:r>
    </w:p>
    <w:p w:rsidR="00BB0829" w:rsidRDefault="00BB0829" w:rsidP="00BB0829">
      <w:r>
        <w:t xml:space="preserve">The soil was highly </w:t>
      </w:r>
      <w:proofErr w:type="gramStart"/>
      <w:r>
        <w:t>compacted,</w:t>
      </w:r>
      <w:proofErr w:type="gramEnd"/>
      <w:r>
        <w:t xml:space="preserve"> and consolidated in parts. </w:t>
      </w:r>
      <w:proofErr w:type="spellStart"/>
      <w:r>
        <w:t>Peds</w:t>
      </w:r>
      <w:proofErr w:type="spellEnd"/>
      <w:r>
        <w:t xml:space="preserve"> were often aggregated, however often broke down when a weak force was applied suggesting they were not always tightly bound.  </w:t>
      </w:r>
    </w:p>
    <w:p w:rsidR="00BB0829" w:rsidRDefault="00BB0829" w:rsidP="00BB0829">
      <w:r>
        <w:t xml:space="preserve">Some cementation had occurred of the finer-grained clays between the coarser </w:t>
      </w:r>
      <w:proofErr w:type="spellStart"/>
      <w:r>
        <w:t>clasts</w:t>
      </w:r>
      <w:proofErr w:type="spellEnd"/>
      <w:r>
        <w:t>. In addition to this</w:t>
      </w:r>
      <w:r w:rsidR="000F4B67">
        <w:t>, some profiles contained a layer of</w:t>
      </w:r>
      <w:r>
        <w:t xml:space="preserve"> bitumen</w:t>
      </w:r>
      <w:r w:rsidR="000F4B67">
        <w:t xml:space="preserve"> (possibly former road-base)</w:t>
      </w:r>
      <w:r>
        <w:t>, which further increases the density and compaction. The most unconsolidated soils were found at Hole 5, due mostly to some organic matter in the soil at the surface. In all holes, at a depth of approximately 1 m, weathered bedrock was thought to be encountered, as the material was extremely dense and difficult to extract beyond this depth.</w:t>
      </w:r>
    </w:p>
    <w:p w:rsidR="00BB0829" w:rsidRDefault="00BB0829" w:rsidP="00BB0829">
      <w:r>
        <w:t>Soil colour can be used to infer information about the soil composition and chemistry. Soil colour notation follows the “</w:t>
      </w:r>
      <w:proofErr w:type="spellStart"/>
      <w:r>
        <w:t>Munsell</w:t>
      </w:r>
      <w:proofErr w:type="spellEnd"/>
      <w:r>
        <w:t xml:space="preserve">® Soil </w:t>
      </w:r>
      <w:r w:rsidR="00D34E06">
        <w:t>Colour</w:t>
      </w:r>
      <w:r>
        <w:t xml:space="preserve"> Charts” (Anon 1975) and uses the Hue, Value, </w:t>
      </w:r>
      <w:proofErr w:type="spellStart"/>
      <w:r>
        <w:t>Chroma</w:t>
      </w:r>
      <w:proofErr w:type="spellEnd"/>
      <w:r>
        <w:t xml:space="preserve"> system. Hue notation indicates the sample’s relation to Red, Yellow, Green, Blue and Purple; Value indicates its lightness; and </w:t>
      </w:r>
      <w:proofErr w:type="spellStart"/>
      <w:r>
        <w:t>Chroma</w:t>
      </w:r>
      <w:proofErr w:type="spellEnd"/>
      <w:r>
        <w:t xml:space="preserve"> indicates its strength (Anon 1975). Overall the </w:t>
      </w:r>
      <w:r w:rsidR="00D34E06">
        <w:t>soils</w:t>
      </w:r>
      <w:r>
        <w:t xml:space="preserve"> showed a large variation in colours and included mostly blacks, greys, reds, yellows and browns. However, overall a general pattern in all </w:t>
      </w:r>
      <w:r w:rsidR="00D34E06">
        <w:t>profiles</w:t>
      </w:r>
      <w:r>
        <w:t xml:space="preserve"> of lighter grey brown at the surface, underlain by a grey/black coarse grained horizon at approximately 0.1 – 0.5 m in the middle of the profiles, underlain by yellows, browns and deeper reds in the lowermost horizons. In Hole 1, the grey/black coarse grained horizon intersects the surface and does not have an uppermost brown horizon as the other holes do. Compositions and chemical processes, especially </w:t>
      </w:r>
      <w:proofErr w:type="spellStart"/>
      <w:r>
        <w:t>redox</w:t>
      </w:r>
      <w:proofErr w:type="spellEnd"/>
      <w:r>
        <w:t xml:space="preserve"> conditions, that have resulted in this colour profiling should be investigated further. The abundance of red soils and the presence of </w:t>
      </w:r>
      <w:proofErr w:type="spellStart"/>
      <w:r>
        <w:t>ferruginised</w:t>
      </w:r>
      <w:proofErr w:type="spellEnd"/>
      <w:r>
        <w:t xml:space="preserve"> nodules indicate a high concentration of iron.</w:t>
      </w:r>
    </w:p>
    <w:p w:rsidR="00BB0829" w:rsidRDefault="00BB0829" w:rsidP="00BB0829">
      <w:r>
        <w:t xml:space="preserve">Radiation measurements were taken for each of the soil horizons at each site. The results are shown in </w:t>
      </w:r>
      <w:r w:rsidR="00D164FB" w:rsidRPr="003F6923">
        <w:t>Figure 4.17</w:t>
      </w:r>
      <w:r w:rsidR="000F4B67">
        <w:t xml:space="preserve"> as </w:t>
      </w:r>
      <w:r w:rsidR="00D34E06">
        <w:t xml:space="preserve">Counts </w:t>
      </w:r>
      <w:proofErr w:type="gramStart"/>
      <w:r w:rsidR="00D34E06">
        <w:t>Per</w:t>
      </w:r>
      <w:proofErr w:type="gramEnd"/>
      <w:r w:rsidR="00D34E06">
        <w:t xml:space="preserve"> Second (</w:t>
      </w:r>
      <w:r>
        <w:t>cps</w:t>
      </w:r>
      <w:r w:rsidR="00D34E06">
        <w:t>)</w:t>
      </w:r>
      <w:r w:rsidR="000F4B67">
        <w:t>, a</w:t>
      </w:r>
      <w:r>
        <w:t xml:space="preserve"> </w:t>
      </w:r>
      <w:r w:rsidR="00D34E06">
        <w:t>semi-quantitative</w:t>
      </w:r>
      <w:r>
        <w:t xml:space="preserve"> measure of radioactivity. This figure shows that while radiation values are low for most horizons at each site (&lt; 5 cps), the second horizon of Hole 5 is greater, being approximately 20 cps. Because this site was not affected by the spill, it is unlikely that it is a response feature and </w:t>
      </w:r>
      <w:r w:rsidR="00D34E06">
        <w:t xml:space="preserve">most likely a function of </w:t>
      </w:r>
      <w:proofErr w:type="spellStart"/>
      <w:r w:rsidR="00D34E06">
        <w:t>mine</w:t>
      </w:r>
      <w:r>
        <w:t>site</w:t>
      </w:r>
      <w:proofErr w:type="spellEnd"/>
      <w:r>
        <w:t xml:space="preserve"> dust</w:t>
      </w:r>
      <w:r w:rsidR="00D34E06">
        <w:t xml:space="preserve"> accumulation from the overhead conveyor</w:t>
      </w:r>
      <w:r>
        <w:t xml:space="preserve">. </w:t>
      </w:r>
    </w:p>
    <w:p w:rsidR="00BB0829" w:rsidRDefault="00BB0829" w:rsidP="00BB0829">
      <w:pPr>
        <w:jc w:val="center"/>
      </w:pPr>
      <w:r>
        <w:rPr>
          <w:noProof/>
          <w:lang w:eastAsia="en-AU"/>
        </w:rPr>
        <w:drawing>
          <wp:inline distT="0" distB="0" distL="0" distR="0">
            <wp:extent cx="5348817" cy="4165062"/>
            <wp:effectExtent l="19050" t="0" r="4233" b="0"/>
            <wp:docPr id="21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2" cstate="screen"/>
                    <a:srcRect/>
                    <a:stretch>
                      <a:fillRect/>
                    </a:stretch>
                  </pic:blipFill>
                  <pic:spPr bwMode="auto">
                    <a:xfrm>
                      <a:off x="0" y="0"/>
                      <a:ext cx="5348817" cy="4165062"/>
                    </a:xfrm>
                    <a:prstGeom prst="rect">
                      <a:avLst/>
                    </a:prstGeom>
                    <a:noFill/>
                  </pic:spPr>
                </pic:pic>
              </a:graphicData>
            </a:graphic>
          </wp:inline>
        </w:drawing>
      </w:r>
    </w:p>
    <w:p w:rsidR="00BB0829" w:rsidRDefault="00BB0829" w:rsidP="0092297C">
      <w:pPr>
        <w:pStyle w:val="figurecaption"/>
      </w:pPr>
      <w:bookmarkStart w:id="222" w:name="_Toc390766662"/>
      <w:r w:rsidRPr="008C7DB8">
        <w:rPr>
          <w:b/>
        </w:rPr>
        <w:t xml:space="preserve">Figure </w:t>
      </w:r>
      <w:proofErr w:type="gramStart"/>
      <w:r>
        <w:rPr>
          <w:b/>
        </w:rPr>
        <w:t>4.1</w:t>
      </w:r>
      <w:r w:rsidR="00D164FB">
        <w:rPr>
          <w:b/>
        </w:rPr>
        <w:t>7</w:t>
      </w:r>
      <w:r>
        <w:t xml:space="preserve">  Depth</w:t>
      </w:r>
      <w:proofErr w:type="gramEnd"/>
      <w:r>
        <w:t xml:space="preserve"> profiles of radiation levels for Holes 1, 3, 4 and 5. Because Hole 2 was sampled with an auger, no profile</w:t>
      </w:r>
      <w:r w:rsidR="00D34E06">
        <w:t xml:space="preserve"> image</w:t>
      </w:r>
      <w:r>
        <w:t xml:space="preserve"> is available</w:t>
      </w:r>
      <w:bookmarkEnd w:id="222"/>
      <w:r w:rsidR="00EE509B">
        <w:t>.</w:t>
      </w:r>
    </w:p>
    <w:p w:rsidR="00BB0829" w:rsidRDefault="00BB0829" w:rsidP="00BB0829">
      <w:r>
        <w:t xml:space="preserve">In conclusion, the five holes dug in the Ranger plant area for this investigation consisted of a variable </w:t>
      </w:r>
      <w:proofErr w:type="spellStart"/>
      <w:r>
        <w:t>surficial</w:t>
      </w:r>
      <w:proofErr w:type="spellEnd"/>
      <w:r>
        <w:t xml:space="preserve"> layer of fill overlying </w:t>
      </w:r>
      <w:r w:rsidRPr="00D34E06">
        <w:rPr>
          <w:i/>
        </w:rPr>
        <w:t>in situ</w:t>
      </w:r>
      <w:r>
        <w:t xml:space="preserve"> lateritic soil material. The buried lateritic soils correspond to the red and yellow earths described in previous studies (Chartres et al. 1991). However, some stripping of </w:t>
      </w:r>
      <w:proofErr w:type="gramStart"/>
      <w:r>
        <w:t>A</w:t>
      </w:r>
      <w:proofErr w:type="gramEnd"/>
      <w:r>
        <w:t xml:space="preserve"> horizon material may have occurred before burial with fill and there is an additional abundance of anthropogenic </w:t>
      </w:r>
      <w:proofErr w:type="spellStart"/>
      <w:r>
        <w:t>minesite</w:t>
      </w:r>
      <w:proofErr w:type="spellEnd"/>
      <w:r>
        <w:t xml:space="preserve"> material. The fill comprised bitumen, road base, blue metal and what is interpreted to be dust from the conveyor belt supplying the process plant (in Hole 5). The fill was often compacted and had low permeability. </w:t>
      </w:r>
    </w:p>
    <w:p w:rsidR="0073672B" w:rsidRDefault="00BB0829" w:rsidP="00BB0829">
      <w:r>
        <w:t xml:space="preserve">Due to the low permeability of the </w:t>
      </w:r>
      <w:proofErr w:type="spellStart"/>
      <w:r>
        <w:t>surficial</w:t>
      </w:r>
      <w:proofErr w:type="spellEnd"/>
      <w:r>
        <w:t xml:space="preserve"> materials in the area of the spill, it is unlikely a large amount of infiltration of </w:t>
      </w:r>
      <w:proofErr w:type="spellStart"/>
      <w:r>
        <w:t>leachate</w:t>
      </w:r>
      <w:proofErr w:type="spellEnd"/>
      <w:r>
        <w:t xml:space="preserve"> occurred, particularly because of the short residence time at the surface as the </w:t>
      </w:r>
      <w:r w:rsidR="0073672B">
        <w:t>majority of the slurry</w:t>
      </w:r>
      <w:r>
        <w:t xml:space="preserve"> was cleaned up with</w:t>
      </w:r>
      <w:r w:rsidR="0073672B">
        <w:t>in</w:t>
      </w:r>
      <w:r>
        <w:t xml:space="preserve"> a few days of the spill. Chemical and mineralogical tests</w:t>
      </w:r>
      <w:r w:rsidR="0073672B">
        <w:t xml:space="preserve"> underway</w:t>
      </w:r>
      <w:r>
        <w:t xml:space="preserve"> will assist in determining the capacity for the area’s soils to bind and store contaminants. The most permeable material is in the area of Hole 5 where the surface contains grass and, although the site of Hole 5 was unaffected, similar grassy sites that were inundated may have experienced some infiltration.</w:t>
      </w:r>
    </w:p>
    <w:p w:rsidR="007344E3" w:rsidRDefault="007344E3" w:rsidP="00BB0829">
      <w:r>
        <w:t>Figures 4.18 – 4.22 show the soil profiles for ea</w:t>
      </w:r>
      <w:r w:rsidR="003C559D">
        <w:t>ch hole, with the exception of H</w:t>
      </w:r>
      <w:r>
        <w:t>ole 2 which was excavated by auger.</w:t>
      </w:r>
    </w:p>
    <w:p w:rsidR="00BB0829" w:rsidRDefault="00BB0829" w:rsidP="00BB0829">
      <w:r w:rsidRPr="00E07240">
        <w:rPr>
          <w:b/>
        </w:rPr>
        <w:t>Note:</w:t>
      </w:r>
      <w:r>
        <w:t xml:space="preserve"> </w:t>
      </w:r>
      <w:r w:rsidR="0073672B">
        <w:t>C</w:t>
      </w:r>
      <w:r>
        <w:t>hemical and mineralogical analyses for these soil profiles are pending.</w:t>
      </w:r>
    </w:p>
    <w:p w:rsidR="007344E3" w:rsidRDefault="007344E3" w:rsidP="00BB082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BB0829" w:rsidTr="0096418C">
        <w:tc>
          <w:tcPr>
            <w:tcW w:w="4261" w:type="dxa"/>
          </w:tcPr>
          <w:p w:rsidR="00BB0829" w:rsidRDefault="00BB0829" w:rsidP="00BB0829">
            <w:pPr>
              <w:jc w:val="center"/>
            </w:pPr>
            <w:r>
              <w:rPr>
                <w:noProof/>
                <w:lang w:eastAsia="en-AU"/>
              </w:rPr>
              <w:drawing>
                <wp:inline distT="0" distB="0" distL="0" distR="0">
                  <wp:extent cx="2360083" cy="1573389"/>
                  <wp:effectExtent l="19050" t="0" r="2117" b="0"/>
                  <wp:docPr id="215" name="Picture 1" descr="F:\Wayne\Ranger Incident Soils\Hole1 Ranger Soils-05 8-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Wayne\Ranger Incident Soils\Hole1 Ranger Soils-05 8-4-12.JPG"/>
                          <pic:cNvPicPr>
                            <a:picLocks noChangeAspect="1" noChangeArrowheads="1"/>
                          </pic:cNvPicPr>
                        </pic:nvPicPr>
                        <pic:blipFill>
                          <a:blip r:embed="rId83" cstate="screen"/>
                          <a:srcRect/>
                          <a:stretch>
                            <a:fillRect/>
                          </a:stretch>
                        </pic:blipFill>
                        <pic:spPr bwMode="auto">
                          <a:xfrm>
                            <a:off x="0" y="0"/>
                            <a:ext cx="2361170" cy="1574113"/>
                          </a:xfrm>
                          <a:prstGeom prst="rect">
                            <a:avLst/>
                          </a:prstGeom>
                          <a:noFill/>
                          <a:ln w="9525">
                            <a:noFill/>
                            <a:miter lim="800000"/>
                            <a:headEnd/>
                            <a:tailEnd/>
                          </a:ln>
                        </pic:spPr>
                      </pic:pic>
                    </a:graphicData>
                  </a:graphic>
                </wp:inline>
              </w:drawing>
            </w:r>
          </w:p>
        </w:tc>
        <w:tc>
          <w:tcPr>
            <w:tcW w:w="4261" w:type="dxa"/>
          </w:tcPr>
          <w:p w:rsidR="00BB0829" w:rsidRDefault="00BB0829" w:rsidP="00BB0829">
            <w:pPr>
              <w:jc w:val="center"/>
            </w:pPr>
            <w:r>
              <w:rPr>
                <w:noProof/>
                <w:lang w:eastAsia="en-AU"/>
              </w:rPr>
              <w:drawing>
                <wp:inline distT="0" distB="0" distL="0" distR="0">
                  <wp:extent cx="2381250" cy="1587500"/>
                  <wp:effectExtent l="19050" t="0" r="0" b="0"/>
                  <wp:docPr id="216" name="Picture 2" descr="F:\Wayne\Ranger Incident Soils\Hole1 Ranger Soils-36 8-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Wayne\Ranger Incident Soils\Hole1 Ranger Soils-36 8-4-12.JPG"/>
                          <pic:cNvPicPr>
                            <a:picLocks noChangeAspect="1" noChangeArrowheads="1"/>
                          </pic:cNvPicPr>
                        </pic:nvPicPr>
                        <pic:blipFill>
                          <a:blip r:embed="rId84" cstate="screen"/>
                          <a:srcRect/>
                          <a:stretch>
                            <a:fillRect/>
                          </a:stretch>
                        </pic:blipFill>
                        <pic:spPr bwMode="auto">
                          <a:xfrm>
                            <a:off x="0" y="0"/>
                            <a:ext cx="2384729" cy="1589819"/>
                          </a:xfrm>
                          <a:prstGeom prst="rect">
                            <a:avLst/>
                          </a:prstGeom>
                          <a:noFill/>
                          <a:ln w="9525">
                            <a:noFill/>
                            <a:miter lim="800000"/>
                            <a:headEnd/>
                            <a:tailEnd/>
                          </a:ln>
                        </pic:spPr>
                      </pic:pic>
                    </a:graphicData>
                  </a:graphic>
                </wp:inline>
              </w:drawing>
            </w:r>
          </w:p>
        </w:tc>
      </w:tr>
      <w:tr w:rsidR="00BB0829" w:rsidTr="0096418C">
        <w:tc>
          <w:tcPr>
            <w:tcW w:w="4261" w:type="dxa"/>
          </w:tcPr>
          <w:p w:rsidR="00BB0829" w:rsidRDefault="00BB0829" w:rsidP="00BB0829">
            <w:pPr>
              <w:jc w:val="center"/>
            </w:pPr>
            <w:r>
              <w:rPr>
                <w:noProof/>
                <w:lang w:eastAsia="en-AU"/>
              </w:rPr>
              <w:drawing>
                <wp:inline distT="0" distB="0" distL="0" distR="0">
                  <wp:extent cx="2311399" cy="1540933"/>
                  <wp:effectExtent l="19050" t="0" r="0" b="0"/>
                  <wp:docPr id="217" name="Picture 4" descr="F:\Wayne\Ranger Incident Soils\Hole1 Ranger Soils-39 8-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Wayne\Ranger Incident Soils\Hole1 Ranger Soils-39 8-4-12.JPG"/>
                          <pic:cNvPicPr>
                            <a:picLocks noChangeAspect="1" noChangeArrowheads="1"/>
                          </pic:cNvPicPr>
                        </pic:nvPicPr>
                        <pic:blipFill>
                          <a:blip r:embed="rId85" cstate="screen"/>
                          <a:srcRect/>
                          <a:stretch>
                            <a:fillRect/>
                          </a:stretch>
                        </pic:blipFill>
                        <pic:spPr bwMode="auto">
                          <a:xfrm>
                            <a:off x="0" y="0"/>
                            <a:ext cx="2314799" cy="1543200"/>
                          </a:xfrm>
                          <a:prstGeom prst="rect">
                            <a:avLst/>
                          </a:prstGeom>
                          <a:noFill/>
                          <a:ln w="9525">
                            <a:noFill/>
                            <a:miter lim="800000"/>
                            <a:headEnd/>
                            <a:tailEnd/>
                          </a:ln>
                        </pic:spPr>
                      </pic:pic>
                    </a:graphicData>
                  </a:graphic>
                </wp:inline>
              </w:drawing>
            </w:r>
          </w:p>
        </w:tc>
        <w:tc>
          <w:tcPr>
            <w:tcW w:w="4261" w:type="dxa"/>
          </w:tcPr>
          <w:p w:rsidR="00BB0829" w:rsidRDefault="00BB0829" w:rsidP="00BB0829">
            <w:pPr>
              <w:jc w:val="center"/>
            </w:pPr>
            <w:r>
              <w:rPr>
                <w:noProof/>
                <w:lang w:eastAsia="en-AU"/>
              </w:rPr>
              <w:drawing>
                <wp:inline distT="0" distB="0" distL="0" distR="0">
                  <wp:extent cx="2370667" cy="1580445"/>
                  <wp:effectExtent l="19050" t="0" r="0" b="0"/>
                  <wp:docPr id="218" name="Picture 3" descr="F:\Wayne\Ranger Incident Soils\Hole1 Ranger Soils-43 8-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Wayne\Ranger Incident Soils\Hole1 Ranger Soils-43 8-4-12.JPG"/>
                          <pic:cNvPicPr>
                            <a:picLocks noChangeAspect="1" noChangeArrowheads="1"/>
                          </pic:cNvPicPr>
                        </pic:nvPicPr>
                        <pic:blipFill>
                          <a:blip r:embed="rId86" cstate="screen"/>
                          <a:srcRect/>
                          <a:stretch>
                            <a:fillRect/>
                          </a:stretch>
                        </pic:blipFill>
                        <pic:spPr bwMode="auto">
                          <a:xfrm>
                            <a:off x="0" y="0"/>
                            <a:ext cx="2373115" cy="1582077"/>
                          </a:xfrm>
                          <a:prstGeom prst="rect">
                            <a:avLst/>
                          </a:prstGeom>
                          <a:noFill/>
                          <a:ln w="9525">
                            <a:noFill/>
                            <a:miter lim="800000"/>
                            <a:headEnd/>
                            <a:tailEnd/>
                          </a:ln>
                        </pic:spPr>
                      </pic:pic>
                    </a:graphicData>
                  </a:graphic>
                </wp:inline>
              </w:drawing>
            </w:r>
          </w:p>
        </w:tc>
      </w:tr>
    </w:tbl>
    <w:p w:rsidR="00BB0829" w:rsidRDefault="00BB0829" w:rsidP="0092297C">
      <w:pPr>
        <w:pStyle w:val="figurecaption"/>
      </w:pPr>
      <w:bookmarkStart w:id="223" w:name="_Toc390766663"/>
      <w:r w:rsidRPr="008C7DB8">
        <w:rPr>
          <w:b/>
        </w:rPr>
        <w:t xml:space="preserve">Figure </w:t>
      </w:r>
      <w:proofErr w:type="gramStart"/>
      <w:r w:rsidR="007230DA">
        <w:rPr>
          <w:b/>
        </w:rPr>
        <w:t>4.1</w:t>
      </w:r>
      <w:r w:rsidR="00D164FB">
        <w:rPr>
          <w:b/>
        </w:rPr>
        <w:t>8</w:t>
      </w:r>
      <w:r>
        <w:t xml:space="preserve">  Hole</w:t>
      </w:r>
      <w:proofErr w:type="gramEnd"/>
      <w:r>
        <w:t xml:space="preserve"> 1</w:t>
      </w:r>
      <w:bookmarkEnd w:id="223"/>
      <w:r w:rsidR="00EE509B">
        <w:t>.</w:t>
      </w:r>
    </w:p>
    <w:p w:rsidR="007230DA" w:rsidRDefault="007230DA" w:rsidP="00BB0829">
      <w:pPr>
        <w:rPr>
          <w:rFonts w:ascii="Arial" w:hAnsi="Arial" w:cs="Arial"/>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BB0829" w:rsidTr="0096418C">
        <w:tc>
          <w:tcPr>
            <w:tcW w:w="4261" w:type="dxa"/>
          </w:tcPr>
          <w:p w:rsidR="00BB0829" w:rsidRDefault="00BB0829" w:rsidP="00BB0829">
            <w:pPr>
              <w:jc w:val="center"/>
            </w:pPr>
            <w:r>
              <w:rPr>
                <w:noProof/>
                <w:lang w:eastAsia="en-AU"/>
              </w:rPr>
              <w:drawing>
                <wp:inline distT="0" distB="0" distL="0" distR="0">
                  <wp:extent cx="2427817" cy="1618545"/>
                  <wp:effectExtent l="19050" t="0" r="0" b="0"/>
                  <wp:docPr id="219" name="Picture 7" descr="F:\Wayne\Ranger Mine\IMG_1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Wayne\Ranger Mine\IMG_1454.JPG"/>
                          <pic:cNvPicPr>
                            <a:picLocks noChangeAspect="1" noChangeArrowheads="1"/>
                          </pic:cNvPicPr>
                        </pic:nvPicPr>
                        <pic:blipFill>
                          <a:blip r:embed="rId87" cstate="screen"/>
                          <a:srcRect/>
                          <a:stretch>
                            <a:fillRect/>
                          </a:stretch>
                        </pic:blipFill>
                        <pic:spPr bwMode="auto">
                          <a:xfrm>
                            <a:off x="0" y="0"/>
                            <a:ext cx="2426279" cy="1617519"/>
                          </a:xfrm>
                          <a:prstGeom prst="rect">
                            <a:avLst/>
                          </a:prstGeom>
                          <a:noFill/>
                          <a:ln w="9525">
                            <a:noFill/>
                            <a:miter lim="800000"/>
                            <a:headEnd/>
                            <a:tailEnd/>
                          </a:ln>
                        </pic:spPr>
                      </pic:pic>
                    </a:graphicData>
                  </a:graphic>
                </wp:inline>
              </w:drawing>
            </w:r>
          </w:p>
        </w:tc>
        <w:tc>
          <w:tcPr>
            <w:tcW w:w="4261" w:type="dxa"/>
          </w:tcPr>
          <w:p w:rsidR="00BB0829" w:rsidRDefault="00BB0829" w:rsidP="00BB0829">
            <w:pPr>
              <w:jc w:val="center"/>
            </w:pPr>
            <w:r>
              <w:rPr>
                <w:noProof/>
                <w:lang w:eastAsia="en-AU"/>
              </w:rPr>
              <w:drawing>
                <wp:inline distT="0" distB="0" distL="0" distR="0">
                  <wp:extent cx="2400301" cy="1600200"/>
                  <wp:effectExtent l="19050" t="0" r="0" b="0"/>
                  <wp:docPr id="220" name="Picture 6" descr="F:\Wayne\Ranger Mine\IMG_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Wayne\Ranger Mine\IMG_1456.JPG"/>
                          <pic:cNvPicPr>
                            <a:picLocks noChangeAspect="1" noChangeArrowheads="1"/>
                          </pic:cNvPicPr>
                        </pic:nvPicPr>
                        <pic:blipFill>
                          <a:blip r:embed="rId88" cstate="screen"/>
                          <a:srcRect/>
                          <a:stretch>
                            <a:fillRect/>
                          </a:stretch>
                        </pic:blipFill>
                        <pic:spPr bwMode="auto">
                          <a:xfrm>
                            <a:off x="0" y="0"/>
                            <a:ext cx="2406665" cy="1604443"/>
                          </a:xfrm>
                          <a:prstGeom prst="rect">
                            <a:avLst/>
                          </a:prstGeom>
                          <a:noFill/>
                          <a:ln w="9525">
                            <a:noFill/>
                            <a:miter lim="800000"/>
                            <a:headEnd/>
                            <a:tailEnd/>
                          </a:ln>
                        </pic:spPr>
                      </pic:pic>
                    </a:graphicData>
                  </a:graphic>
                </wp:inline>
              </w:drawing>
            </w:r>
          </w:p>
        </w:tc>
      </w:tr>
    </w:tbl>
    <w:p w:rsidR="00BB0829" w:rsidRDefault="00BB0829" w:rsidP="0092297C">
      <w:pPr>
        <w:pStyle w:val="figurecaption"/>
      </w:pPr>
      <w:bookmarkStart w:id="224" w:name="_Toc390766664"/>
      <w:r w:rsidRPr="008C7DB8">
        <w:rPr>
          <w:b/>
        </w:rPr>
        <w:t xml:space="preserve">Figure </w:t>
      </w:r>
      <w:proofErr w:type="gramStart"/>
      <w:r>
        <w:rPr>
          <w:b/>
        </w:rPr>
        <w:t>4</w:t>
      </w:r>
      <w:r w:rsidR="007230DA">
        <w:rPr>
          <w:b/>
        </w:rPr>
        <w:t>.1</w:t>
      </w:r>
      <w:r w:rsidR="00D164FB">
        <w:rPr>
          <w:b/>
        </w:rPr>
        <w:t>9</w:t>
      </w:r>
      <w:r>
        <w:t xml:space="preserve">  Auger</w:t>
      </w:r>
      <w:proofErr w:type="gramEnd"/>
      <w:r>
        <w:t xml:space="preserve"> mounted on a bobcat used to drill Hole 2</w:t>
      </w:r>
      <w:bookmarkEnd w:id="224"/>
      <w:r w:rsidR="00EE509B">
        <w:t>.</w:t>
      </w:r>
    </w:p>
    <w:p w:rsidR="0073672B" w:rsidRPr="0073672B" w:rsidRDefault="0073672B" w:rsidP="0073672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22"/>
        <w:gridCol w:w="3100"/>
      </w:tblGrid>
      <w:tr w:rsidR="00BB0829" w:rsidTr="0096418C">
        <w:tc>
          <w:tcPr>
            <w:tcW w:w="5422" w:type="dxa"/>
          </w:tcPr>
          <w:p w:rsidR="00BB0829" w:rsidRDefault="00BB0829" w:rsidP="00BB0829">
            <w:pPr>
              <w:jc w:val="center"/>
            </w:pPr>
            <w:r>
              <w:rPr>
                <w:noProof/>
                <w:lang w:eastAsia="en-AU"/>
              </w:rPr>
              <w:drawing>
                <wp:inline distT="0" distB="0" distL="0" distR="0">
                  <wp:extent cx="3325283" cy="2216858"/>
                  <wp:effectExtent l="19050" t="0" r="8467" b="0"/>
                  <wp:docPr id="221" name="Picture 8" descr="F:\Wayne\Ranger Incident Soils\Hole3 Ranger soils 09 8-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Wayne\Ranger Incident Soils\Hole3 Ranger soils 09 8-7-14.JPG"/>
                          <pic:cNvPicPr>
                            <a:picLocks noChangeAspect="1" noChangeArrowheads="1"/>
                          </pic:cNvPicPr>
                        </pic:nvPicPr>
                        <pic:blipFill>
                          <a:blip r:embed="rId89" cstate="screen"/>
                          <a:srcRect/>
                          <a:stretch>
                            <a:fillRect/>
                          </a:stretch>
                        </pic:blipFill>
                        <pic:spPr bwMode="auto">
                          <a:xfrm>
                            <a:off x="0" y="0"/>
                            <a:ext cx="3334119" cy="2222749"/>
                          </a:xfrm>
                          <a:prstGeom prst="rect">
                            <a:avLst/>
                          </a:prstGeom>
                          <a:noFill/>
                          <a:ln w="9525">
                            <a:noFill/>
                            <a:miter lim="800000"/>
                            <a:headEnd/>
                            <a:tailEnd/>
                          </a:ln>
                        </pic:spPr>
                      </pic:pic>
                    </a:graphicData>
                  </a:graphic>
                </wp:inline>
              </w:drawing>
            </w:r>
          </w:p>
        </w:tc>
        <w:tc>
          <w:tcPr>
            <w:tcW w:w="3100" w:type="dxa"/>
          </w:tcPr>
          <w:p w:rsidR="00BB0829" w:rsidRDefault="00BB0829" w:rsidP="00BB0829">
            <w:pPr>
              <w:jc w:val="center"/>
            </w:pPr>
            <w:r>
              <w:rPr>
                <w:noProof/>
                <w:lang w:eastAsia="en-AU"/>
              </w:rPr>
              <w:drawing>
                <wp:inline distT="0" distB="0" distL="0" distR="0">
                  <wp:extent cx="1837973" cy="2756959"/>
                  <wp:effectExtent l="19050" t="0" r="0" b="0"/>
                  <wp:docPr id="222" name="Picture 9" descr="F:\Wayne\Ranger Incident Soils\Hole3 Ranger soils 10 8-7-1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Wayne\Ranger Incident Soils\Hole3 Ranger soils 10 8-7-14R.jpg"/>
                          <pic:cNvPicPr>
                            <a:picLocks noChangeAspect="1" noChangeArrowheads="1"/>
                          </pic:cNvPicPr>
                        </pic:nvPicPr>
                        <pic:blipFill>
                          <a:blip r:embed="rId90" cstate="screen"/>
                          <a:srcRect/>
                          <a:stretch>
                            <a:fillRect/>
                          </a:stretch>
                        </pic:blipFill>
                        <pic:spPr bwMode="auto">
                          <a:xfrm>
                            <a:off x="0" y="0"/>
                            <a:ext cx="1838503" cy="2757755"/>
                          </a:xfrm>
                          <a:prstGeom prst="rect">
                            <a:avLst/>
                          </a:prstGeom>
                          <a:noFill/>
                          <a:ln w="9525">
                            <a:noFill/>
                            <a:miter lim="800000"/>
                            <a:headEnd/>
                            <a:tailEnd/>
                          </a:ln>
                        </pic:spPr>
                      </pic:pic>
                    </a:graphicData>
                  </a:graphic>
                </wp:inline>
              </w:drawing>
            </w:r>
          </w:p>
        </w:tc>
      </w:tr>
    </w:tbl>
    <w:p w:rsidR="00BB0829" w:rsidRDefault="00BB0829" w:rsidP="0092297C">
      <w:pPr>
        <w:pStyle w:val="figurecaption"/>
      </w:pPr>
      <w:bookmarkStart w:id="225" w:name="_Toc390766665"/>
      <w:r w:rsidRPr="008C7DB8">
        <w:rPr>
          <w:b/>
        </w:rPr>
        <w:t xml:space="preserve">Figure </w:t>
      </w:r>
      <w:proofErr w:type="gramStart"/>
      <w:r w:rsidR="007230DA">
        <w:rPr>
          <w:b/>
        </w:rPr>
        <w:t>4.</w:t>
      </w:r>
      <w:r w:rsidR="00D164FB">
        <w:rPr>
          <w:b/>
        </w:rPr>
        <w:t>20</w:t>
      </w:r>
      <w:r>
        <w:t xml:space="preserve">  Hole</w:t>
      </w:r>
      <w:proofErr w:type="gramEnd"/>
      <w:r>
        <w:t xml:space="preserve"> 3</w:t>
      </w:r>
      <w:bookmarkEnd w:id="225"/>
      <w:r w:rsidR="00EE509B">
        <w:t>.</w:t>
      </w:r>
    </w:p>
    <w:p w:rsidR="00BB0829" w:rsidRDefault="00BB0829" w:rsidP="00BB082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36"/>
        <w:gridCol w:w="5086"/>
      </w:tblGrid>
      <w:tr w:rsidR="00BB0829" w:rsidTr="0096418C">
        <w:tc>
          <w:tcPr>
            <w:tcW w:w="4261" w:type="dxa"/>
          </w:tcPr>
          <w:p w:rsidR="00BB0829" w:rsidRDefault="00BB0829" w:rsidP="00BB0829">
            <w:pPr>
              <w:jc w:val="center"/>
            </w:pPr>
            <w:r>
              <w:rPr>
                <w:noProof/>
                <w:lang w:eastAsia="en-AU"/>
              </w:rPr>
              <w:drawing>
                <wp:inline distT="0" distB="0" distL="0" distR="0">
                  <wp:extent cx="1742017" cy="2613025"/>
                  <wp:effectExtent l="19050" t="0" r="0" b="0"/>
                  <wp:docPr id="223" name="Picture 10" descr="F:\Wayne\Ranger Incident Soils\Hole4 Ranger Soils 12 8-4-1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Wayne\Ranger Incident Soils\Hole4 Ranger Soils 12 8-4-14R.jpg"/>
                          <pic:cNvPicPr>
                            <a:picLocks noChangeAspect="1" noChangeArrowheads="1"/>
                          </pic:cNvPicPr>
                        </pic:nvPicPr>
                        <pic:blipFill>
                          <a:blip r:embed="rId91" cstate="screen"/>
                          <a:srcRect/>
                          <a:stretch>
                            <a:fillRect/>
                          </a:stretch>
                        </pic:blipFill>
                        <pic:spPr bwMode="auto">
                          <a:xfrm>
                            <a:off x="0" y="0"/>
                            <a:ext cx="1743309" cy="2614964"/>
                          </a:xfrm>
                          <a:prstGeom prst="rect">
                            <a:avLst/>
                          </a:prstGeom>
                          <a:noFill/>
                          <a:ln w="9525">
                            <a:noFill/>
                            <a:miter lim="800000"/>
                            <a:headEnd/>
                            <a:tailEnd/>
                          </a:ln>
                        </pic:spPr>
                      </pic:pic>
                    </a:graphicData>
                  </a:graphic>
                </wp:inline>
              </w:drawing>
            </w:r>
          </w:p>
        </w:tc>
        <w:tc>
          <w:tcPr>
            <w:tcW w:w="4261" w:type="dxa"/>
          </w:tcPr>
          <w:p w:rsidR="00BB0829" w:rsidRDefault="00BB0829" w:rsidP="00BB0829">
            <w:pPr>
              <w:jc w:val="center"/>
            </w:pPr>
            <w:r>
              <w:rPr>
                <w:noProof/>
                <w:lang w:eastAsia="en-AU"/>
              </w:rPr>
              <w:drawing>
                <wp:inline distT="0" distB="0" distL="0" distR="0">
                  <wp:extent cx="3073400" cy="2048933"/>
                  <wp:effectExtent l="19050" t="0" r="0" b="0"/>
                  <wp:docPr id="224" name="Picture 11" descr="F:\Wayne\Ranger Incident Soils\Hole4 Ranger Soils 23 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Wayne\Ranger Incident Soils\Hole4 Ranger Soils 23 8-4-14.JPG"/>
                          <pic:cNvPicPr>
                            <a:picLocks noChangeAspect="1" noChangeArrowheads="1"/>
                          </pic:cNvPicPr>
                        </pic:nvPicPr>
                        <pic:blipFill>
                          <a:blip r:embed="rId92" cstate="screen"/>
                          <a:srcRect/>
                          <a:stretch>
                            <a:fillRect/>
                          </a:stretch>
                        </pic:blipFill>
                        <pic:spPr bwMode="auto">
                          <a:xfrm>
                            <a:off x="0" y="0"/>
                            <a:ext cx="3080617" cy="2053744"/>
                          </a:xfrm>
                          <a:prstGeom prst="rect">
                            <a:avLst/>
                          </a:prstGeom>
                          <a:noFill/>
                          <a:ln w="9525">
                            <a:noFill/>
                            <a:miter lim="800000"/>
                            <a:headEnd/>
                            <a:tailEnd/>
                          </a:ln>
                        </pic:spPr>
                      </pic:pic>
                    </a:graphicData>
                  </a:graphic>
                </wp:inline>
              </w:drawing>
            </w:r>
          </w:p>
        </w:tc>
      </w:tr>
    </w:tbl>
    <w:p w:rsidR="00BB0829" w:rsidRDefault="00BB0829" w:rsidP="0092297C">
      <w:pPr>
        <w:pStyle w:val="figurecaption"/>
      </w:pPr>
      <w:bookmarkStart w:id="226" w:name="_Toc390766666"/>
      <w:r w:rsidRPr="008C7DB8">
        <w:rPr>
          <w:b/>
        </w:rPr>
        <w:t xml:space="preserve">Figure </w:t>
      </w:r>
      <w:proofErr w:type="gramStart"/>
      <w:r w:rsidR="007230DA">
        <w:rPr>
          <w:b/>
        </w:rPr>
        <w:t>4.2</w:t>
      </w:r>
      <w:r w:rsidR="00D164FB">
        <w:rPr>
          <w:b/>
        </w:rPr>
        <w:t>1</w:t>
      </w:r>
      <w:r>
        <w:t xml:space="preserve">  Hole</w:t>
      </w:r>
      <w:proofErr w:type="gramEnd"/>
      <w:r>
        <w:t xml:space="preserve"> 4</w:t>
      </w:r>
      <w:bookmarkEnd w:id="226"/>
      <w:r w:rsidR="00EE509B">
        <w:t>.</w:t>
      </w:r>
    </w:p>
    <w:p w:rsidR="0073672B" w:rsidRDefault="0073672B">
      <w:pPr>
        <w:spacing w:after="0" w:line="240" w:lineRule="auto"/>
        <w:jc w:val="left"/>
        <w:rPr>
          <w:rFonts w:ascii="Arial" w:hAnsi="Arial" w:cs="Arial"/>
          <w:sz w:val="16"/>
          <w:szCs w:val="16"/>
        </w:rPr>
      </w:pPr>
      <w:r>
        <w:rPr>
          <w:rFonts w:ascii="Arial" w:hAnsi="Arial" w:cs="Arial"/>
          <w:sz w:val="16"/>
          <w:szCs w:val="16"/>
        </w:rPr>
        <w:br w:type="page"/>
      </w:r>
    </w:p>
    <w:p w:rsidR="007230DA" w:rsidRDefault="007230DA" w:rsidP="00BB0829">
      <w:pPr>
        <w:rPr>
          <w:rFonts w:ascii="Arial" w:hAnsi="Arial" w:cs="Arial"/>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BB0829" w:rsidTr="0096418C">
        <w:tc>
          <w:tcPr>
            <w:tcW w:w="4261" w:type="dxa"/>
          </w:tcPr>
          <w:p w:rsidR="00BB0829" w:rsidRDefault="00BB0829" w:rsidP="00BB0829">
            <w:pPr>
              <w:jc w:val="center"/>
            </w:pPr>
            <w:r>
              <w:rPr>
                <w:noProof/>
                <w:lang w:eastAsia="en-AU"/>
              </w:rPr>
              <w:drawing>
                <wp:inline distT="0" distB="0" distL="0" distR="0">
                  <wp:extent cx="2351616" cy="1567744"/>
                  <wp:effectExtent l="19050" t="0" r="0" b="0"/>
                  <wp:docPr id="225" name="Picture 12" descr="F:\Wayne\Ranger Mine\IMG_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Wayne\Ranger Mine\IMG_1452.JPG"/>
                          <pic:cNvPicPr>
                            <a:picLocks noChangeAspect="1" noChangeArrowheads="1"/>
                          </pic:cNvPicPr>
                        </pic:nvPicPr>
                        <pic:blipFill>
                          <a:blip r:embed="rId93" cstate="screen"/>
                          <a:srcRect/>
                          <a:stretch>
                            <a:fillRect/>
                          </a:stretch>
                        </pic:blipFill>
                        <pic:spPr bwMode="auto">
                          <a:xfrm>
                            <a:off x="0" y="0"/>
                            <a:ext cx="2355844" cy="1570563"/>
                          </a:xfrm>
                          <a:prstGeom prst="rect">
                            <a:avLst/>
                          </a:prstGeom>
                          <a:noFill/>
                          <a:ln w="9525">
                            <a:noFill/>
                            <a:miter lim="800000"/>
                            <a:headEnd/>
                            <a:tailEnd/>
                          </a:ln>
                        </pic:spPr>
                      </pic:pic>
                    </a:graphicData>
                  </a:graphic>
                </wp:inline>
              </w:drawing>
            </w:r>
          </w:p>
        </w:tc>
        <w:tc>
          <w:tcPr>
            <w:tcW w:w="4261" w:type="dxa"/>
          </w:tcPr>
          <w:p w:rsidR="00BB0829" w:rsidRDefault="00BB0829" w:rsidP="00BB0829">
            <w:pPr>
              <w:jc w:val="center"/>
            </w:pPr>
            <w:r>
              <w:rPr>
                <w:noProof/>
                <w:lang w:eastAsia="en-AU"/>
              </w:rPr>
              <w:drawing>
                <wp:inline distT="0" distB="0" distL="0" distR="0">
                  <wp:extent cx="2349500" cy="1566333"/>
                  <wp:effectExtent l="19050" t="0" r="0" b="0"/>
                  <wp:docPr id="226" name="Picture 13" descr="F:\Wayne\Ranger Incident Soils\Hole5 Ranger Soils 11 17-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Wayne\Ranger Incident Soils\Hole5 Ranger Soils 11 17-4-14.JPG"/>
                          <pic:cNvPicPr>
                            <a:picLocks noChangeAspect="1" noChangeArrowheads="1"/>
                          </pic:cNvPicPr>
                        </pic:nvPicPr>
                        <pic:blipFill>
                          <a:blip r:embed="rId94" cstate="screen"/>
                          <a:srcRect/>
                          <a:stretch>
                            <a:fillRect/>
                          </a:stretch>
                        </pic:blipFill>
                        <pic:spPr bwMode="auto">
                          <a:xfrm>
                            <a:off x="0" y="0"/>
                            <a:ext cx="2353214" cy="1568809"/>
                          </a:xfrm>
                          <a:prstGeom prst="rect">
                            <a:avLst/>
                          </a:prstGeom>
                          <a:noFill/>
                          <a:ln w="9525">
                            <a:noFill/>
                            <a:miter lim="800000"/>
                            <a:headEnd/>
                            <a:tailEnd/>
                          </a:ln>
                        </pic:spPr>
                      </pic:pic>
                    </a:graphicData>
                  </a:graphic>
                </wp:inline>
              </w:drawing>
            </w:r>
          </w:p>
        </w:tc>
      </w:tr>
      <w:tr w:rsidR="00BB0829" w:rsidTr="0096418C">
        <w:tc>
          <w:tcPr>
            <w:tcW w:w="4261" w:type="dxa"/>
          </w:tcPr>
          <w:p w:rsidR="00BB0829" w:rsidRDefault="00BB0829" w:rsidP="00BB0829">
            <w:pPr>
              <w:jc w:val="center"/>
            </w:pPr>
            <w:r>
              <w:rPr>
                <w:noProof/>
                <w:lang w:eastAsia="en-AU"/>
              </w:rPr>
              <w:drawing>
                <wp:inline distT="0" distB="0" distL="0" distR="0">
                  <wp:extent cx="2385484" cy="3578227"/>
                  <wp:effectExtent l="19050" t="0" r="0" b="0"/>
                  <wp:docPr id="227" name="Picture 14" descr="F:\Wayne\Ranger Incident Soils\Hole5 Ranger Soils 14 17-4-1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Wayne\Ranger Incident Soils\Hole5 Ranger Soils 14 17-4-14R.jpg"/>
                          <pic:cNvPicPr>
                            <a:picLocks noChangeAspect="1" noChangeArrowheads="1"/>
                          </pic:cNvPicPr>
                        </pic:nvPicPr>
                        <pic:blipFill>
                          <a:blip r:embed="rId95" cstate="screen"/>
                          <a:srcRect/>
                          <a:stretch>
                            <a:fillRect/>
                          </a:stretch>
                        </pic:blipFill>
                        <pic:spPr bwMode="auto">
                          <a:xfrm>
                            <a:off x="0" y="0"/>
                            <a:ext cx="2392750" cy="3589126"/>
                          </a:xfrm>
                          <a:prstGeom prst="rect">
                            <a:avLst/>
                          </a:prstGeom>
                          <a:noFill/>
                          <a:ln w="9525">
                            <a:noFill/>
                            <a:miter lim="800000"/>
                            <a:headEnd/>
                            <a:tailEnd/>
                          </a:ln>
                        </pic:spPr>
                      </pic:pic>
                    </a:graphicData>
                  </a:graphic>
                </wp:inline>
              </w:drawing>
            </w:r>
          </w:p>
        </w:tc>
        <w:tc>
          <w:tcPr>
            <w:tcW w:w="4261" w:type="dxa"/>
          </w:tcPr>
          <w:p w:rsidR="00BB0829" w:rsidRDefault="00BB0829" w:rsidP="00BB0829">
            <w:pPr>
              <w:jc w:val="center"/>
            </w:pPr>
            <w:r>
              <w:rPr>
                <w:noProof/>
                <w:lang w:eastAsia="en-AU"/>
              </w:rPr>
              <w:drawing>
                <wp:inline distT="0" distB="0" distL="0" distR="0">
                  <wp:extent cx="2387600" cy="3581400"/>
                  <wp:effectExtent l="19050" t="0" r="0" b="0"/>
                  <wp:docPr id="228" name="Picture 15" descr="F:\Wayne\Ranger Incident Soils\Hole5 Ranger Soils 22 17-4-1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Wayne\Ranger Incident Soils\Hole5 Ranger Soils 22 17-4-14R.jpg"/>
                          <pic:cNvPicPr>
                            <a:picLocks noChangeAspect="1" noChangeArrowheads="1"/>
                          </pic:cNvPicPr>
                        </pic:nvPicPr>
                        <pic:blipFill>
                          <a:blip r:embed="rId96" cstate="screen"/>
                          <a:srcRect/>
                          <a:stretch>
                            <a:fillRect/>
                          </a:stretch>
                        </pic:blipFill>
                        <pic:spPr bwMode="auto">
                          <a:xfrm>
                            <a:off x="0" y="0"/>
                            <a:ext cx="2392302" cy="3588453"/>
                          </a:xfrm>
                          <a:prstGeom prst="rect">
                            <a:avLst/>
                          </a:prstGeom>
                          <a:noFill/>
                          <a:ln w="9525">
                            <a:noFill/>
                            <a:miter lim="800000"/>
                            <a:headEnd/>
                            <a:tailEnd/>
                          </a:ln>
                        </pic:spPr>
                      </pic:pic>
                    </a:graphicData>
                  </a:graphic>
                </wp:inline>
              </w:drawing>
            </w:r>
          </w:p>
        </w:tc>
      </w:tr>
    </w:tbl>
    <w:p w:rsidR="00BB0829" w:rsidRDefault="00BB0829" w:rsidP="0092297C">
      <w:pPr>
        <w:pStyle w:val="figurecaption"/>
      </w:pPr>
      <w:bookmarkStart w:id="227" w:name="_Toc390766667"/>
      <w:r w:rsidRPr="008C7DB8">
        <w:rPr>
          <w:b/>
        </w:rPr>
        <w:t xml:space="preserve">Figure </w:t>
      </w:r>
      <w:proofErr w:type="gramStart"/>
      <w:r w:rsidR="007230DA">
        <w:rPr>
          <w:b/>
        </w:rPr>
        <w:t>4.2</w:t>
      </w:r>
      <w:r w:rsidR="00D164FB">
        <w:rPr>
          <w:b/>
        </w:rPr>
        <w:t>2</w:t>
      </w:r>
      <w:r>
        <w:t xml:space="preserve">  Hole</w:t>
      </w:r>
      <w:proofErr w:type="gramEnd"/>
      <w:r>
        <w:t xml:space="preserve"> 5</w:t>
      </w:r>
      <w:bookmarkEnd w:id="227"/>
      <w:r w:rsidR="00EE509B">
        <w:t>.</w:t>
      </w:r>
    </w:p>
    <w:p w:rsidR="007230DA" w:rsidRPr="00384F32" w:rsidRDefault="007230DA" w:rsidP="00384F32">
      <w:pPr>
        <w:pStyle w:val="Heading3"/>
      </w:pPr>
      <w:bookmarkStart w:id="228" w:name="_Toc390766596"/>
      <w:r w:rsidRPr="0073672B">
        <w:t xml:space="preserve">4.2.2 Groundwater </w:t>
      </w:r>
      <w:r w:rsidR="0073672B">
        <w:t xml:space="preserve">impact </w:t>
      </w:r>
      <w:r w:rsidRPr="0073672B">
        <w:t xml:space="preserve">assessment by </w:t>
      </w:r>
      <w:proofErr w:type="spellStart"/>
      <w:r w:rsidRPr="0073672B">
        <w:t>Geoscience</w:t>
      </w:r>
      <w:proofErr w:type="spellEnd"/>
      <w:r w:rsidRPr="0073672B">
        <w:t xml:space="preserve"> Australia</w:t>
      </w:r>
      <w:bookmarkEnd w:id="228"/>
    </w:p>
    <w:p w:rsidR="0049218A" w:rsidRDefault="0049218A" w:rsidP="0049218A">
      <w:r>
        <w:t xml:space="preserve">This </w:t>
      </w:r>
      <w:r w:rsidRPr="0049218A">
        <w:t>Section</w:t>
      </w:r>
      <w:r>
        <w:t xml:space="preserve"> provides a </w:t>
      </w:r>
      <w:r w:rsidR="00F41B85">
        <w:t>brief</w:t>
      </w:r>
      <w:r>
        <w:t xml:space="preserve"> overview of the </w:t>
      </w:r>
      <w:proofErr w:type="spellStart"/>
      <w:r w:rsidR="0091446D">
        <w:t>Geoscience</w:t>
      </w:r>
      <w:proofErr w:type="spellEnd"/>
      <w:r w:rsidR="0091446D">
        <w:t xml:space="preserve"> Australia </w:t>
      </w:r>
      <w:r>
        <w:t xml:space="preserve">report and contains information </w:t>
      </w:r>
      <w:r w:rsidR="0091446D">
        <w:t>on</w:t>
      </w:r>
      <w:r>
        <w:t xml:space="preserve">: (1) Plant area surface materials; (2) Plant area hydrogeology; (3) </w:t>
      </w:r>
      <w:proofErr w:type="spellStart"/>
      <w:r>
        <w:t>Hydrogeochemical</w:t>
      </w:r>
      <w:proofErr w:type="spellEnd"/>
      <w:r>
        <w:t xml:space="preserve"> impact analysis; and (4) Conclusions. The full report </w:t>
      </w:r>
      <w:r w:rsidR="00F41B85">
        <w:t>is attached</w:t>
      </w:r>
      <w:r>
        <w:t xml:space="preserve"> </w:t>
      </w:r>
      <w:r w:rsidR="00F41B85">
        <w:t>at</w:t>
      </w:r>
      <w:r>
        <w:t xml:space="preserve"> </w:t>
      </w:r>
      <w:r w:rsidRPr="0049218A">
        <w:t>Appendix A.</w:t>
      </w:r>
    </w:p>
    <w:p w:rsidR="0049218A" w:rsidRPr="00384F32" w:rsidRDefault="0049218A" w:rsidP="00384F32">
      <w:pPr>
        <w:pStyle w:val="Heading4"/>
        <w:rPr>
          <w:u w:color="000000"/>
        </w:rPr>
      </w:pPr>
      <w:r w:rsidRPr="00384F32">
        <w:rPr>
          <w:u w:color="000000"/>
        </w:rPr>
        <w:t>Plant area surface materials</w:t>
      </w:r>
    </w:p>
    <w:p w:rsidR="0049218A" w:rsidRPr="0049218A" w:rsidRDefault="0049218A" w:rsidP="0049218A">
      <w:r>
        <w:t xml:space="preserve">The area of the plant which was exposed to the leach tank spill is characterised by a mixture of natural and artificial sealed and unsealed surfaces. </w:t>
      </w:r>
      <w:r w:rsidRPr="0049218A">
        <w:t xml:space="preserve">These were investigated in detail by Supervising Scientist and have been described in Section </w:t>
      </w:r>
      <w:r w:rsidR="007344E3">
        <w:t>4.2.1</w:t>
      </w:r>
      <w:r w:rsidRPr="0049218A">
        <w:t xml:space="preserve">. Infiltration will depend largely on the hydraulic conductivity of the materials at the surface, which relates to the permeability of </w:t>
      </w:r>
      <w:r w:rsidR="00091282">
        <w:t xml:space="preserve">the </w:t>
      </w:r>
      <w:r w:rsidRPr="0049218A">
        <w:t xml:space="preserve">sediment and is a measure of how well fluid is able to move through any pore spaces. The chemistry of the </w:t>
      </w:r>
      <w:proofErr w:type="spellStart"/>
      <w:r w:rsidRPr="0049218A">
        <w:t>surficial</w:t>
      </w:r>
      <w:proofErr w:type="spellEnd"/>
      <w:r w:rsidRPr="0049218A">
        <w:t xml:space="preserve"> material must also be understood as some water-rock interactions are able to immobilise the flow of contaminants in a plume.</w:t>
      </w:r>
    </w:p>
    <w:p w:rsidR="0049218A" w:rsidRDefault="0049218A" w:rsidP="0049218A">
      <w:r>
        <w:t xml:space="preserve">Due to the compacted nature of the sealed surfaces, they are likely to have facilitated runoff, with low possibility of infiltration, as </w:t>
      </w:r>
      <w:r w:rsidRPr="007344E3">
        <w:t xml:space="preserve">shown in </w:t>
      </w:r>
      <w:r w:rsidR="007230DA" w:rsidRPr="007344E3">
        <w:t>Section 4.2.1.</w:t>
      </w:r>
      <w:r>
        <w:t xml:space="preserve"> Unsealed and </w:t>
      </w:r>
      <w:r w:rsidR="00F41B85">
        <w:t>vegetated</w:t>
      </w:r>
      <w:r>
        <w:t xml:space="preserve"> </w:t>
      </w:r>
      <w:r w:rsidR="00F41B85">
        <w:t>surfaces</w:t>
      </w:r>
      <w:r>
        <w:t xml:space="preserve"> are most likely to be areas of potential contaminant infiltration, because </w:t>
      </w:r>
      <w:r w:rsidR="00F41B85">
        <w:t xml:space="preserve">of potentially </w:t>
      </w:r>
      <w:r>
        <w:t>greater hydraulic conductivities. However, most of the unsealed areas within the spill extent are heavily trafficked, subject to</w:t>
      </w:r>
      <w:r w:rsidR="00F41B85">
        <w:t xml:space="preserve"> significant compaction and</w:t>
      </w:r>
      <w:r w:rsidR="008106DF">
        <w:t xml:space="preserve"> likely</w:t>
      </w:r>
      <w:r w:rsidR="00F41B85">
        <w:t xml:space="preserve"> of generally </w:t>
      </w:r>
      <w:r>
        <w:t>similar infiltration properties to the sealed areas.</w:t>
      </w:r>
    </w:p>
    <w:p w:rsidR="0049218A" w:rsidRPr="0049218A" w:rsidRDefault="0049218A" w:rsidP="0049218A">
      <w:r>
        <w:t xml:space="preserve">Soil contamination mapping in the vicinity of the plant area was undertaken by </w:t>
      </w:r>
      <w:r w:rsidR="00117C79">
        <w:fldChar w:fldCharType="begin"/>
      </w:r>
      <w:r>
        <w:instrText xml:space="preserve"> ADDIN EN.CITE &lt;EndNote&gt;&lt;Cite AuthorYear="1"&gt;&lt;Author&gt;Hollingsworth&lt;/Author&gt;&lt;Year&gt;2006&lt;/Year&gt;&lt;RecNum&gt;24&lt;/RecNum&gt;&lt;DisplayText&gt;Hollingsworth (2006)&lt;/DisplayText&gt;&lt;record&gt;&lt;rec-number&gt;24&lt;/rec-number&gt;&lt;foreign-keys&gt;&lt;key app="EN" db-id="xf5rrfrfiewaexevwaa5teet0d0xvpa0dtrd"&gt;24&lt;/key&gt;&lt;/foreign-keys&gt;&lt;ref-type name="Report"&gt;27&lt;/ref-type&gt;&lt;contributors&gt;&lt;authors&gt;&lt;author&gt;Hollingsworth, Ian&lt;/author&gt;&lt;/authors&gt;&lt;/contributors&gt;&lt;titles&gt;&lt;title&gt;Contaiminated Soil Investigation Ranger Mine for ERA Ranger Mine&lt;/title&gt;&lt;/titles&gt;&lt;pages&gt;81 plus appendices&lt;/pages&gt;&lt;dates&gt;&lt;year&gt;2006&lt;/year&gt;&lt;pub-dates&gt;&lt;date&gt;April 2006&lt;/date&gt;&lt;/pub-dates&gt;&lt;/dates&gt;&lt;publisher&gt;EWL Sciences&lt;/publisher&gt;&lt;urls&gt;&lt;/urls&gt;&lt;/record&gt;&lt;/Cite&gt;&lt;/EndNote&gt;</w:instrText>
      </w:r>
      <w:r w:rsidR="00117C79">
        <w:fldChar w:fldCharType="separate"/>
      </w:r>
      <w:hyperlink w:anchor="_ENREF_14" w:tooltip="Hollingsworth, 2006 #24" w:history="1">
        <w:r>
          <w:t>Hollingsworth (2006</w:t>
        </w:r>
      </w:hyperlink>
      <w:r>
        <w:t>)</w:t>
      </w:r>
      <w:r w:rsidR="00117C79">
        <w:fldChar w:fldCharType="end"/>
      </w:r>
      <w:r>
        <w:t xml:space="preserve">. This study examined profiles up to 1 m depth, taking samples at various intervals. Two sites are located adjacent to the </w:t>
      </w:r>
      <w:r w:rsidR="008106DF">
        <w:t>l</w:t>
      </w:r>
      <w:r>
        <w:t xml:space="preserve">each </w:t>
      </w:r>
      <w:r w:rsidR="008106DF">
        <w:t>t</w:t>
      </w:r>
      <w:r>
        <w:t>anks, and provide data on pre-spill impacts. These had slightly acidic to neutral pH, a wide range of EC in the upper ranges of the site-wide baseline, and high trace metals with reference to the Ran</w:t>
      </w:r>
      <w:r w:rsidR="00F41B85">
        <w:t>ger site-wide average baseline.</w:t>
      </w:r>
    </w:p>
    <w:p w:rsidR="0049218A" w:rsidRDefault="0049218A" w:rsidP="00266E77">
      <w:pPr>
        <w:pStyle w:val="Heading4"/>
        <w:rPr>
          <w:snapToGrid w:val="0"/>
          <w:u w:color="000000"/>
        </w:rPr>
      </w:pPr>
      <w:r>
        <w:rPr>
          <w:snapToGrid w:val="0"/>
          <w:u w:color="000000"/>
        </w:rPr>
        <w:t>Plant area hydrogeology</w:t>
      </w:r>
    </w:p>
    <w:p w:rsidR="0049218A" w:rsidRDefault="0049218A" w:rsidP="0049218A">
      <w:r w:rsidRPr="0049218A">
        <w:t xml:space="preserve">Background information provided by GA shows that the Ranger </w:t>
      </w:r>
      <w:r w:rsidR="00091282">
        <w:t>m</w:t>
      </w:r>
      <w:r w:rsidRPr="0049218A">
        <w:t xml:space="preserve">ine </w:t>
      </w:r>
      <w:r w:rsidRPr="00FE66BA">
        <w:t xml:space="preserve">encompasses three local groundwater catchments: the </w:t>
      </w:r>
      <w:proofErr w:type="spellStart"/>
      <w:r w:rsidRPr="00FE66BA">
        <w:t>Coonjimba</w:t>
      </w:r>
      <w:proofErr w:type="spellEnd"/>
      <w:r w:rsidRPr="00FE66BA">
        <w:t xml:space="preserve">, </w:t>
      </w:r>
      <w:proofErr w:type="spellStart"/>
      <w:r w:rsidRPr="00FE66BA">
        <w:t>Djalkmarra</w:t>
      </w:r>
      <w:proofErr w:type="spellEnd"/>
      <w:r w:rsidRPr="00FE66BA">
        <w:t xml:space="preserve"> and Corridor Creek catchments</w:t>
      </w:r>
      <w:r>
        <w:t xml:space="preserve">. </w:t>
      </w:r>
      <w:r w:rsidR="008106DF">
        <w:t>Four</w:t>
      </w:r>
      <w:r w:rsidRPr="00FE66BA">
        <w:t xml:space="preserve"> aquifers </w:t>
      </w:r>
      <w:r w:rsidR="008106DF">
        <w:t xml:space="preserve">are </w:t>
      </w:r>
      <w:r w:rsidRPr="00FE66BA">
        <w:t xml:space="preserve">identified on site </w:t>
      </w:r>
      <w:r w:rsidR="00117C79" w:rsidRPr="00FE66BA">
        <w:fldChar w:fldCharType="begin"/>
      </w:r>
      <w:r w:rsidRPr="00FE66BA">
        <w:instrText xml:space="preserve"> ADDIN EN.CITE &lt;EndNote&gt;&lt;Cite&gt;&lt;Author&gt;URS&lt;/Author&gt;&lt;Year&gt;2010&lt;/Year&gt;&lt;RecNum&gt;35&lt;/RecNum&gt;&lt;DisplayText&gt;(URS, 2010)&lt;/DisplayText&gt;&lt;record&gt;&lt;rec-number&gt;35&lt;/rec-number&gt;&lt;foreign-keys&gt;&lt;key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2010&lt;/date&gt;&lt;/pub-dates&gt;&lt;/dates&gt;&lt;urls&gt;&lt;/urls&gt;&lt;/record&gt;&lt;/Cite&gt;&lt;/EndNote&gt;</w:instrText>
      </w:r>
      <w:r w:rsidR="00117C79" w:rsidRPr="00FE66BA">
        <w:fldChar w:fldCharType="separate"/>
      </w:r>
      <w:r w:rsidRPr="00FE66BA">
        <w:t>(</w:t>
      </w:r>
      <w:hyperlink w:anchor="_ENREF_19" w:tooltip="URS, 2010 #35" w:history="1">
        <w:r w:rsidRPr="00FE66BA">
          <w:t>URS, 2010</w:t>
        </w:r>
      </w:hyperlink>
      <w:r w:rsidRPr="00FE66BA">
        <w:t>)</w:t>
      </w:r>
      <w:r w:rsidR="00117C79" w:rsidRPr="00FE66BA">
        <w:fldChar w:fldCharType="end"/>
      </w:r>
      <w:r>
        <w:t xml:space="preserve">: Aquifer 1a (shallow alluvial sediments); Aquifer 1b (weathered rock); Aquifer 2 (weathered rock); and Aquifer 3 (fractured rock). </w:t>
      </w:r>
      <w:r w:rsidRPr="00FE66BA">
        <w:t xml:space="preserve">The current conceptual understanding of hydrogeology at Ranger </w:t>
      </w:r>
      <w:r w:rsidR="00117C79" w:rsidRPr="00FE66BA">
        <w:fldChar w:fldCharType="begin"/>
      </w:r>
      <w:r w:rsidRPr="00FE66BA">
        <w:instrText xml:space="preserve"> ADDIN EN.CITE &lt;EndNote&gt;&lt;Cite&gt;&lt;Author&gt;Puhalovich&lt;/Author&gt;&lt;Year&gt;2010&lt;/Year&gt;&lt;RecNum&gt;4&lt;/RecNum&gt;&lt;DisplayText&gt;(Golder Associates Pty Ltd., 2011; Puhalovich, 2010; URS, 2010)&lt;/DisplayText&gt;&lt;record&gt;&lt;rec-number&gt;4&lt;/rec-number&gt;&lt;foreign-keys&gt;&lt;key app="EN" db-id="xf5rrfrfiewaexevwaa5teet0d0xvpa0dtrd"&gt;4&lt;/key&gt;&lt;/foreign-keys&gt;&lt;ref-type name="Generic"&gt;13&lt;/ref-type&gt;&lt;contributors&gt;&lt;authors&gt;&lt;author&gt;Puhalovich, Allan&lt;/author&gt;&lt;/authors&gt;&lt;/contributors&gt;&lt;titles&gt;&lt;title&gt;Evolution of conceptual hydrogeological models, Ranger Uranium Mine, Northern Territory&lt;/title&gt;&lt;secondary-title&gt;Groundwater2010&lt;/secondary-title&gt;&lt;/titles&gt;&lt;dates&gt;&lt;year&gt;2010&lt;/year&gt;&lt;/dates&gt;&lt;urls&gt;&lt;/urls&gt;&lt;/record&gt;&lt;/Cite&gt;&lt;Cite&gt;&lt;Author&gt;Golder Associates Pty Ltd.&lt;/Author&gt;&lt;Year&gt;2011&lt;/Year&gt;&lt;RecNum&gt;27&lt;/RecNum&gt;&lt;record&gt;&lt;rec-number&gt;27&lt;/rec-number&gt;&lt;foreign-keys&gt;&lt;key app="EN" db-id="xf5rrfrfiewaexevwaa5teet0d0xvpa0dtrd"&gt;27&lt;/key&gt;&lt;/foreign-keys&gt;&lt;ref-type name="Report"&gt;27&lt;/ref-type&gt;&lt;contributors&gt;&lt;authors&gt;&lt;author&gt;Golder Associates Pty Ltd.,&lt;/author&gt;&lt;/authors&gt;&lt;/contributors&gt;&lt;titles&gt;&lt;title&gt;Initial three-dimensional solute transport moelling of the Ranger Uranium Mine tailings dam&lt;/title&gt;&lt;/titles&gt;&lt;pages&gt;113&lt;/pages&gt;&lt;dates&gt;&lt;year&gt;2011&lt;/year&gt;&lt;/dates&gt;&lt;publisher&gt;Golder Associates Pty Ltd&lt;/publisher&gt;&lt;urls&gt;&lt;/urls&gt;&lt;/record&gt;&lt;/Cite&gt;&lt;Cite&gt;&lt;Author&gt;URS&lt;/Author&gt;&lt;Year&gt;2010&lt;/Year&gt;&lt;RecNum&gt;35&lt;/RecNum&gt;&lt;record&gt;&lt;rec-number&gt;35&lt;/rec-number&gt;&lt;foreign-keys&gt;&lt;key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2010&lt;/date&gt;&lt;/pub-dates&gt;&lt;/dates&gt;&lt;urls&gt;&lt;/urls&gt;&lt;/record&gt;&lt;/Cite&gt;&lt;/EndNote&gt;</w:instrText>
      </w:r>
      <w:r w:rsidR="00117C79" w:rsidRPr="00FE66BA">
        <w:fldChar w:fldCharType="separate"/>
      </w:r>
      <w:r w:rsidRPr="00FE66BA">
        <w:t>(</w:t>
      </w:r>
      <w:hyperlink w:anchor="_ENREF_13" w:tooltip="Golder Associates Pty Ltd., 2011 #27" w:history="1">
        <w:r w:rsidRPr="00FE66BA">
          <w:t>Golder Associates Pty Ltd., 2011</w:t>
        </w:r>
      </w:hyperlink>
      <w:r w:rsidRPr="00FE66BA">
        <w:t xml:space="preserve">; </w:t>
      </w:r>
      <w:hyperlink w:anchor="_ENREF_17" w:tooltip="Puhalovich, 2010 #4" w:history="1">
        <w:r w:rsidRPr="00FE66BA">
          <w:t>Puhalovich, 2010</w:t>
        </w:r>
      </w:hyperlink>
      <w:r w:rsidRPr="00FE66BA">
        <w:t xml:space="preserve">; </w:t>
      </w:r>
      <w:hyperlink w:anchor="_ENREF_19" w:tooltip="URS, 2010 #35" w:history="1">
        <w:r w:rsidRPr="00FE66BA">
          <w:t>URS, 2010</w:t>
        </w:r>
      </w:hyperlink>
      <w:r w:rsidRPr="00FE66BA">
        <w:t>)</w:t>
      </w:r>
      <w:r w:rsidR="00117C79" w:rsidRPr="00FE66BA">
        <w:fldChar w:fldCharType="end"/>
      </w:r>
      <w:r w:rsidRPr="00FE66BA">
        <w:t xml:space="preserve"> is refined from that of </w:t>
      </w:r>
      <w:proofErr w:type="spellStart"/>
      <w:r w:rsidRPr="00FE66BA">
        <w:t>Salama</w:t>
      </w:r>
      <w:proofErr w:type="spellEnd"/>
      <w:r w:rsidRPr="00FE66BA">
        <w:t xml:space="preserve"> </w:t>
      </w:r>
      <w:r w:rsidR="0096418C">
        <w:t>&amp;</w:t>
      </w:r>
      <w:r w:rsidRPr="00FE66BA">
        <w:t xml:space="preserve"> Foley </w:t>
      </w:r>
      <w:r w:rsidR="00117C79" w:rsidRPr="00FE66BA">
        <w:fldChar w:fldCharType="begin"/>
      </w:r>
      <w:r w:rsidRPr="00FE66BA">
        <w:instrText xml:space="preserve"> ADDIN EN.CITE &lt;EndNote&gt;&lt;Cite ExcludeAuth="1"&gt;&lt;Author&gt;Salama&lt;/Author&gt;&lt;Year&gt;1997&lt;/Year&gt;&lt;RecNum&gt;28&lt;/RecNum&gt;&lt;DisplayText&gt;(1997)&lt;/DisplayText&gt;&lt;record&gt;&lt;rec-number&gt;28&lt;/rec-number&gt;&lt;foreign-keys&gt;&lt;key app="EN" db-id="xf5rrfrfiewaexevwaa5teet0d0xvpa0dtrd"&gt;28&lt;/key&gt;&lt;/foreign-keys&gt;&lt;ref-type name="Report"&gt;27&lt;/ref-type&gt;&lt;contributors&gt;&lt;authors&gt;&lt;author&gt;Salama, Ramsis&lt;/author&gt;&lt;author&gt;Foley, Genevieve&lt;/author&gt;&lt;/authors&gt;&lt;/contributors&gt;&lt;titles&gt;&lt;title&gt;Ranger Regional Hydrogeology Conceptual Model. Report Prepared for ERA Ranger Mine&lt;/title&gt;&lt;/titles&gt;&lt;pages&gt;125&lt;/pages&gt;&lt;number&gt;97/65&lt;/number&gt;&lt;dates&gt;&lt;year&gt;1997&lt;/year&gt;&lt;pub-dates&gt;&lt;date&gt;October 1997&lt;/date&gt;&lt;/pub-dates&gt;&lt;/dates&gt;&lt;publisher&gt;CSIRO Land and Water&lt;/publisher&gt;&lt;isbn&gt;97/65&lt;/isbn&gt;&lt;urls&gt;&lt;/urls&gt;&lt;/record&gt;&lt;/Cite&gt;&lt;/EndNote&gt;</w:instrText>
      </w:r>
      <w:r w:rsidR="00117C79" w:rsidRPr="00FE66BA">
        <w:fldChar w:fldCharType="separate"/>
      </w:r>
      <w:r w:rsidRPr="00FE66BA">
        <w:t>(</w:t>
      </w:r>
      <w:hyperlink w:anchor="_ENREF_18" w:tooltip="Salama, 1997 #28" w:history="1">
        <w:r w:rsidRPr="00FE66BA">
          <w:t>1997</w:t>
        </w:r>
      </w:hyperlink>
      <w:r w:rsidRPr="00FE66BA">
        <w:t>)</w:t>
      </w:r>
      <w:r w:rsidR="00117C79" w:rsidRPr="00FE66BA">
        <w:fldChar w:fldCharType="end"/>
      </w:r>
      <w:r w:rsidRPr="00FE66BA">
        <w:t>, in that it recognises the importance of rock weathering variability as a critical determinant of the</w:t>
      </w:r>
      <w:r>
        <w:t xml:space="preserve"> aquifer properties, including hydraulic conductivity. Groundwater flow through the Ranger mine site more broadly can be split into a shallow flow system and a deep flow system.</w:t>
      </w:r>
    </w:p>
    <w:p w:rsidR="0049218A" w:rsidRDefault="0049218A" w:rsidP="0049218A">
      <w:r>
        <w:t>In the plant area, the spill extent is interpreted to overlie aquifers 1b and 2, characterised by the upper part of the weathered profile grading down in parts to weathered bedrock, with clay and iron-</w:t>
      </w:r>
      <w:r w:rsidRPr="00065478">
        <w:t>rich sediments present. These sediments host the water table during the wet season. Groundwater flow occurs</w:t>
      </w:r>
      <w:r w:rsidRPr="00107BED">
        <w:t xml:space="preserve"> eith</w:t>
      </w:r>
      <w:r w:rsidR="008106DF">
        <w:t>er within a porous or fractured-</w:t>
      </w:r>
      <w:r w:rsidRPr="00107BED">
        <w:t>porous medium.</w:t>
      </w:r>
      <w:r>
        <w:t xml:space="preserve"> </w:t>
      </w:r>
    </w:p>
    <w:p w:rsidR="0049218A" w:rsidRDefault="0049218A" w:rsidP="00266E77">
      <w:pPr>
        <w:pStyle w:val="Heading4"/>
      </w:pPr>
      <w:r>
        <w:t>Groundwater</w:t>
      </w:r>
      <w:r w:rsidR="008106DF">
        <w:t xml:space="preserve"> </w:t>
      </w:r>
      <w:r>
        <w:t>levels and groundwater flow</w:t>
      </w:r>
    </w:p>
    <w:p w:rsidR="0049218A" w:rsidRDefault="0049218A" w:rsidP="0049218A">
      <w:r>
        <w:t>Assessing the spatial and temporal variation of groundwater</w:t>
      </w:r>
      <w:r w:rsidR="008106DF">
        <w:t xml:space="preserve"> </w:t>
      </w:r>
      <w:r>
        <w:t xml:space="preserve">levels aids the understanding of movement of groundwater in the area. A previous study by </w:t>
      </w:r>
      <w:r w:rsidR="00117C79">
        <w:fldChar w:fldCharType="begin"/>
      </w:r>
      <w:r>
        <w:instrText xml:space="preserve"> ADDIN EN.CITE &lt;EndNote&gt;&lt;Cite AuthorYear="1"&gt;&lt;Author&gt;Alarcon Leon&lt;/Author&gt;&lt;Year&gt;2007&lt;/Year&gt;&lt;RecNum&gt;23&lt;/RecNum&gt;&lt;DisplayText&gt;Alarcon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117C79">
        <w:fldChar w:fldCharType="separate"/>
      </w:r>
      <w:hyperlink w:anchor="_ENREF_1" w:tooltip="Alarcon Leon, 2007 #23" w:history="1">
        <w:r>
          <w:t>Alarcon Leon et al. (2007a</w:t>
        </w:r>
      </w:hyperlink>
      <w:r>
        <w:t>)</w:t>
      </w:r>
      <w:r w:rsidR="00117C79">
        <w:fldChar w:fldCharType="end"/>
      </w:r>
      <w:r>
        <w:t xml:space="preserve"> of groundwater flow in the plant area show</w:t>
      </w:r>
      <w:r w:rsidR="008106DF">
        <w:t>ed</w:t>
      </w:r>
      <w:r>
        <w:t xml:space="preserve"> that the water table fluctuates significantly between the wet and dry season, rising by up to 5 m in the wet; and that there is a local groundwater flow divide almost directly underlying the plant area which directs groundwater to the south, towards Corridor Creek and Pit 1, or to the north, towards RP2 and </w:t>
      </w:r>
      <w:r w:rsidR="00F01C02">
        <w:t>Pit #3</w:t>
      </w:r>
      <w:r>
        <w:t xml:space="preserve">. In addition to this, GA undertook a </w:t>
      </w:r>
      <w:r w:rsidR="00091282">
        <w:t>contemporary</w:t>
      </w:r>
      <w:r>
        <w:t>, and larger, study of groundwater flow using water-level data. Their m</w:t>
      </w:r>
      <w:r w:rsidR="008106DF">
        <w:t xml:space="preserve">ethodology assessed groundwater </w:t>
      </w:r>
      <w:r>
        <w:t>level data as a temporal average for different periods over the plant site, which was undertaken due to the limited number of concurrent data points in a suite of bores for any specific month, particularly during recent years. Long-ter</w:t>
      </w:r>
      <w:r w:rsidRPr="007344E3">
        <w:t>m wet (</w:t>
      </w:r>
      <w:r w:rsidR="000D53BA" w:rsidRPr="007344E3">
        <w:t>Figure 4.23</w:t>
      </w:r>
      <w:r w:rsidRPr="007344E3">
        <w:t>) and dry (</w:t>
      </w:r>
      <w:r w:rsidR="000D53BA" w:rsidRPr="007344E3">
        <w:t>Figure 4.24</w:t>
      </w:r>
      <w:r w:rsidRPr="007344E3">
        <w:t>)</w:t>
      </w:r>
      <w:r>
        <w:t xml:space="preserve"> season average groundwater maps are included below.</w:t>
      </w:r>
    </w:p>
    <w:p w:rsidR="0049218A" w:rsidRDefault="0049218A" w:rsidP="0049218A">
      <w:r>
        <w:t>The results from both long-term average water-level analysis and recent average seasonal water-level assessment show that there is a persistent groundwater divide located beneath the plant site causing groundwater to flow from the plant area in a north-northwest direction towards RP2 and in a south-southeast dir</w:t>
      </w:r>
      <w:r w:rsidR="0096418C">
        <w:t xml:space="preserve">ection towards Corridor Creek. </w:t>
      </w:r>
      <w:r>
        <w:t>There may be subtle variations in flow directions over time</w:t>
      </w:r>
      <w:r w:rsidR="00DF7EC1">
        <w:t xml:space="preserve">, </w:t>
      </w:r>
      <w:r>
        <w:t>but the general trend in a northerly and southerly direction remains consistent over time. The breadth of the groundwater flow divide changes with each season and the subsequent gradients in flow change also.</w:t>
      </w:r>
    </w:p>
    <w:p w:rsidR="0049218A" w:rsidRDefault="00117C79" w:rsidP="0049218A">
      <w:pPr>
        <w:pStyle w:val="BodyText"/>
        <w:keepNext/>
      </w:pPr>
      <w:r>
        <w:rPr>
          <w:noProof/>
        </w:rPr>
        <w:pict>
          <v:group id="Group 46" o:spid="_x0000_s1181" style="position:absolute;left:0;text-align:left;margin-left:165.05pt;margin-top:166.75pt;width:184.65pt;height:113pt;z-index:251744256" coordsize="23450,14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">
            <v:group id="Group 48" o:spid="_x0000_s1182" style="position:absolute;left:19824;width:3626;height:6229;rotation:1066598fd" coordsize="3629,6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VMnH78AAADbAAAADwAAAGRycy9kb3ducmV2LnhtbERPzYrCMBC+L/gOYQQv&#10;i6aKK1KNooKgwlKsPsDQjG2xmZQm1vr25iB4/Pj+l+vOVKKlxpWWFYxHEQjizOqScwXXy344B+E8&#10;ssbKMil4kYP1qvezxFjbJ5+pTX0uQgi7GBUU3texlC4ryKAb2Zo4cDfbGPQBNrnUDT5DuKnkJIpm&#10;0mDJoaHAmnYFZff0YRRsov/2eKq3yXhr9nj6491vMkuVGvS7zQKEp85/xR/3QSuYhrHhS/gBcvUG&#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HFTJx+/AAAA2wAAAA8AAAAA&#10;AAAAAAAAAAAAqgIAAGRycy9kb3ducmV2LnhtbFBLBQYAAAAABAAEAPoAAACWAwAAAAA=&#10;">
              <v:shapetype id="_x0000_t32" coordsize="21600,21600" o:spt="32" o:oned="t" path="m,l21600,21600e" filled="f">
                <v:path arrowok="t" fillok="f" o:connecttype="none"/>
                <o:lock v:ext="edit" shapetype="t"/>
              </v:shapetype>
              <v:shape id="Straight Arrow Connector 49" o:spid="_x0000_s1183" type="#_x0000_t32" style="position:absolute;left:1781;top:3087;width:1848;height:314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SYLMIAAADbAAAADwAAAGRycy9kb3ducmV2LnhtbESPQWvCQBSE70L/w/IKvemmRrSm2Uhp&#10;FYo3U/H8yL4mIdm3YXcb4793C4Ueh5n5hsl3k+nFSM63lhU8LxIQxJXVLdcKzl+H+QsIH5A19pZJ&#10;wY087IqHWY6Ztlc+0ViGWkQI+wwVNCEMmZS+asigX9iBOHrf1hkMUbpaaofXCDe9XCbJWhpsOS40&#10;ONB7Q1VX/hgFLaeBlx/pgY77zm3qSzfa9KzU0+P09goi0BT+w3/tT61gtYXfL/EHy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dSYLMIAAADbAAAADwAAAAAAAAAAAAAA&#10;AAChAgAAZHJzL2Rvd25yZXYueG1sUEsFBgAAAAAEAAQA+QAAAJADAAAAAA==&#10;" strokecolor="black [3213]">
                <v:stroke endarrow="open"/>
              </v:shape>
              <v:shape id="Straight Arrow Connector 50" o:spid="_x0000_s1184" type="#_x0000_t32" style="position:absolute;width:1720;height:2967;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SRZcEAAADbAAAADwAAAGRycy9kb3ducmV2LnhtbERPTWvCQBC9F/oflhF6azYKFUldpbUU&#10;6qVolIq3ITtNQrOzMbvG+O87B8Hj433Pl4NrVE9dqD0bGCcpKOLC25pLA/vd5/MMVIjIFhvPZOBK&#10;AZaLx4c5ZtZfeEt9HkslIRwyNFDF2GZah6IihyHxLbFwv75zGAV2pbYdXiTcNXqSplPtsGZpqLCl&#10;VUXFX352UnK6bqar/uejzw9Wv7vzcf2Na2OeRsPbK6hIQ7yLb+4va+BF1ssX+QF6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5JFlwQAAANsAAAAPAAAAAAAAAAAAAAAA&#10;AKECAABkcnMvZG93bnJldi54bWxQSwUGAAAAAAQABAD5AAAAjwMAAAAA&#10;" strokecolor="black [3213]">
                <v:stroke endarrow="open"/>
              </v:shape>
            </v:group>
            <v:group id="Group 51" o:spid="_x0000_s1185" style="position:absolute;top:8119;width:3625;height:6230;rotation:613905fd" coordsize="3629,6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go1BrFAAAA2wAA&#10;AA8AAAAAAAAAAAAAAAAAqgIAAGRycy9kb3ducmV2LnhtbFBLBQYAAAAABAAEAPoAAACcAwAAAAA=&#10;">
              <v:shape id="Straight Arrow Connector 52" o:spid="_x0000_s1186" type="#_x0000_t32" style="position:absolute;left:1781;top:3087;width:1848;height:314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mcgMEAAADbAAAADwAAAGRycy9kb3ducmV2LnhtbESPQWvCQBSE70L/w/IKvemmCdqSukqp&#10;FcSbUXp+ZF+TkOzbsLvG+O9dQfA4zMw3zHI9mk4M5HxjWcH7LAFBXFrdcKXgdNxOP0H4gKyxs0wK&#10;ruRhvXqZLDHX9sIHGopQiQhhn6OCOoQ+l9KXNRn0M9sTR+/fOoMhSldJ7fAS4aaTaZIspMGG40KN&#10;Pf3UVLbF2ShoOAucbrIt7X9b91H9tYPNTkq9vY7fXyACjeEZfrR3WsE8hfuX+APk6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qZyAwQAAANsAAAAPAAAAAAAAAAAAAAAA&#10;AKECAABkcnMvZG93bnJldi54bWxQSwUGAAAAAAQABAD5AAAAjwMAAAAA&#10;" strokecolor="black [3213]">
                <v:stroke endarrow="open"/>
              </v:shape>
              <v:shape id="Straight Arrow Connector 53" o:spid="_x0000_s1187" type="#_x0000_t32" style="position:absolute;width:1720;height:2967;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YPEsQAAADbAAAADwAAAGRycy9kb3ducmV2LnhtbESPzWrCQBSF94W+w3AL3TUTKxWJjmIt&#10;Qt0UjaK4u2SuSTBzJ82MMb69IwguD+fn44ynnalES40rLSvoRTEI4szqknMF283iYwjCeWSNlWVS&#10;cCUH08nryxgTbS+8pjb1uQgj7BJUUHhfJ1K6rCCDLrI1cfCOtjHog2xyqRu8hHFTyc84HkiDJQdC&#10;gTXNC8pO6dkEyP91NZi3u5823Wv5bc6H5R8ulXp/62YjEJ46/ww/2r9awVcf7l/CD5CT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Ng8SxAAAANsAAAAPAAAAAAAAAAAA&#10;AAAAAKECAABkcnMvZG93bnJldi54bWxQSwUGAAAAAAQABAD5AAAAkgMAAAAA&#10;" strokecolor="black [3213]">
                <v:stroke endarrow="open"/>
              </v:shape>
            </v:group>
          </v:group>
        </w:pict>
      </w:r>
      <w:r w:rsidR="0049218A">
        <w:rPr>
          <w:noProof/>
          <w:lang w:eastAsia="en-AU"/>
        </w:rPr>
        <w:drawing>
          <wp:inline distT="0" distB="0" distL="0" distR="0">
            <wp:extent cx="5753100" cy="6029325"/>
            <wp:effectExtent l="19050" t="0" r="0" b="0"/>
            <wp:docPr id="140" name="Picture 20" descr="N:\water\Advice\Projects\Uranium\Ranger Mine\SSD Work 2014\Maps\Ranger_Spill_FIG15_15k_WL_W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water\Advice\Projects\Uranium\Ranger Mine\SSD Work 2014\Maps\Ranger_Spill_FIG15_15k_WL_WET.png"/>
                    <pic:cNvPicPr>
                      <a:picLocks noChangeAspect="1" noChangeArrowheads="1"/>
                    </pic:cNvPicPr>
                  </pic:nvPicPr>
                  <pic:blipFill>
                    <a:blip r:embed="rId9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029325"/>
                    </a:xfrm>
                    <a:prstGeom prst="rect">
                      <a:avLst/>
                    </a:prstGeom>
                    <a:noFill/>
                    <a:ln>
                      <a:noFill/>
                    </a:ln>
                  </pic:spPr>
                </pic:pic>
              </a:graphicData>
            </a:graphic>
          </wp:inline>
        </w:drawing>
      </w:r>
    </w:p>
    <w:p w:rsidR="0049218A" w:rsidRPr="0092297C" w:rsidRDefault="0049218A" w:rsidP="0092297C">
      <w:pPr>
        <w:pStyle w:val="figurecaption"/>
      </w:pPr>
      <w:bookmarkStart w:id="229" w:name="_Ref383513610"/>
      <w:bookmarkStart w:id="230" w:name="_Toc384219515"/>
      <w:bookmarkStart w:id="231" w:name="_Toc390766668"/>
      <w:r w:rsidRPr="00B50BDA">
        <w:rPr>
          <w:b/>
        </w:rPr>
        <w:t xml:space="preserve">Figure </w:t>
      </w:r>
      <w:bookmarkEnd w:id="229"/>
      <w:r w:rsidR="007230DA" w:rsidRPr="0092297C">
        <w:rPr>
          <w:b/>
        </w:rPr>
        <w:t>4.2</w:t>
      </w:r>
      <w:r w:rsidR="000D53BA" w:rsidRPr="0092297C">
        <w:rPr>
          <w:b/>
        </w:rPr>
        <w:t>3</w:t>
      </w:r>
      <w:r w:rsidRPr="0092297C">
        <w:t xml:space="preserve"> Long-term average of wet season water-level records. Bores with fewer than 100 records have been labelled with the number of records available. Arrows indicate the direction of groundwater flow.</w:t>
      </w:r>
      <w:bookmarkEnd w:id="230"/>
      <w:r w:rsidRPr="0092297C">
        <w:t xml:space="preserve"> </w:t>
      </w:r>
      <w:proofErr w:type="gramStart"/>
      <w:r w:rsidRPr="0092297C">
        <w:t xml:space="preserve">(Image courtesy of </w:t>
      </w:r>
      <w:proofErr w:type="spellStart"/>
      <w:r w:rsidRPr="0092297C">
        <w:t>Geoscience</w:t>
      </w:r>
      <w:proofErr w:type="spellEnd"/>
      <w:r w:rsidRPr="0092297C">
        <w:t xml:space="preserve"> Australia)</w:t>
      </w:r>
      <w:bookmarkEnd w:id="231"/>
      <w:r w:rsidR="00EE509B">
        <w:t>.</w:t>
      </w:r>
      <w:proofErr w:type="gramEnd"/>
    </w:p>
    <w:p w:rsidR="0049218A" w:rsidRDefault="00117C79" w:rsidP="0049218A">
      <w:pPr>
        <w:pStyle w:val="BodyText"/>
        <w:keepNext/>
      </w:pPr>
      <w:r>
        <w:rPr>
          <w:noProof/>
        </w:rPr>
        <w:pict>
          <v:group id="Group 42" o:spid="_x0000_s1191" style="position:absolute;left:0;text-align:left;margin-left:165.2pt;margin-top:229.95pt;width:28.55pt;height:49.05pt;rotation:537372fd;z-index:251746304"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">
            <v:shape id="Straight Arrow Connector 44" o:spid="_x0000_s1192" type="#_x0000_t32" style="position:absolute;left:1781;top:3087;width:1848;height:314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U3ssAAAADbAAAADwAAAGRycy9kb3ducmV2LnhtbESPQYvCMBSE7wv+h/AEb2uqlV2pRpFV&#10;QbytK54fzbMtbV5Kkq313xtB8DjMzDfMct2bRnTkfGVZwWScgCDOra64UHD+23/OQfiArLGxTAru&#10;5GG9GnwsMdP2xr/UnUIhIoR9hgrKENpMSp+XZNCPbUscvat1BkOUrpDa4S3CTSOnSfIlDVYcF0ps&#10;6aekvD79GwUVp4Gn23RPx13tvotL3dn0rNRo2G8WIAL14R1+tQ9awWwGzy/xB8jV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PVN7LAAAAA2wAAAA8AAAAAAAAAAAAAAAAA&#10;oQIAAGRycy9kb3ducmV2LnhtbFBLBQYAAAAABAAEAPkAAACOAwAAAAA=&#10;" strokecolor="black [3213]">
              <v:stroke endarrow="open"/>
            </v:shape>
            <v:shape id="Straight Arrow Connector 45" o:spid="_x0000_s1193" type="#_x0000_t32" style="position:absolute;width:1720;height:2967;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qkIMQAAADbAAAADwAAAGRycy9kb3ducmV2LnhtbESPzWrCQBSF94W+w3AL3TUTixWJjmIt&#10;Qt0UjaK4u2SuSTBzJ82MMb69IwguD+fn44ynnalES40rLSvoRTEI4szqknMF283iYwjCeWSNlWVS&#10;cCUH08nryxgTbS+8pjb1uQgj7BJUUHhfJ1K6rCCDLrI1cfCOtjHog2xyqRu8hHFTyc84HkiDJQdC&#10;gTXNC8pO6dkEyP91NZi3u5823Wv5bc6H5R8ulXp/62YjEJ46/ww/2r9aQf8L7l/CD5CT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SqQgxAAAANsAAAAPAAAAAAAAAAAA&#10;AAAAAKECAABkcnMvZG93bnJldi54bWxQSwUGAAAAAAQABAD5AAAAkgMAAAAA&#10;" strokecolor="black [3213]">
              <v:stroke endarrow="open"/>
            </v:shape>
          </v:group>
        </w:pict>
      </w:r>
      <w:r>
        <w:rPr>
          <w:noProof/>
        </w:rPr>
        <w:pict>
          <v:group id="Group 39" o:spid="_x0000_s1188" style="position:absolute;left:0;text-align:left;margin-left:307.85pt;margin-top:176.3pt;width:28.6pt;height:49.05pt;rotation:1495337fd;z-index:251745280"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">
            <v:shape id="Straight Arrow Connector 40" o:spid="_x0000_s1189" type="#_x0000_t32" style="position:absolute;left:1781;top:3087;width:1848;height:314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4xsb8AAADbAAAADwAAAGRycy9kb3ducmV2LnhtbERPyWrDMBC9F/oPYgq5NXLt0BQ3iilN&#10;DCG3LPQ8WFPb2BoZSbWdv48OgR4fb98Us+nFSM63lhW8LRMQxJXVLdcKrpfy9QOED8gae8uk4EYe&#10;iu3z0wZzbSc+0XgOtYgh7HNU0IQw5FL6qiGDfmkH4sj9WmcwROhqqR1OMdz0Mk2Sd2mw5djQ4EDf&#10;DVXd+c8oaDkLnO6yko77zq3rn2602VWpxcv89Qki0Bz+xQ/3QStYxfXxS/wBcns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O4xsb8AAADbAAAADwAAAAAAAAAAAAAAAACh&#10;AgAAZHJzL2Rvd25yZXYueG1sUEsFBgAAAAAEAAQA+QAAAI0DAAAAAA==&#10;" strokecolor="black [3213]">
              <v:stroke endarrow="open"/>
            </v:shape>
            <v:shape id="Straight Arrow Connector 41" o:spid="_x0000_s1190" type="#_x0000_t32" style="position:absolute;width:1720;height:2967;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GiI8QAAADbAAAADwAAAGRycy9kb3ducmV2LnhtbESPS2vCQBSF9wX/w3AFd3USKaGkjmIV&#10;oW6kTUvF3SVzTUIzd2Jm8vDfdwoFl4fz+DjL9Whq0VPrKssK4nkEgji3uuJCwdfn/vEZhPPIGmvL&#10;pOBGDtarycMSU20H/qA+84UII+xSVFB636RSurwkg25uG+LgXWxr0AfZFlK3OIRxU8tFFCXSYMWB&#10;UGJD25Lyn6wzAXK9vSfb/nvXZyctX013PhzxoNRsOm5eQHga/T38337TCp5i+PsSf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caIjxAAAANsAAAAPAAAAAAAAAAAA&#10;AAAAAKECAABkcnMvZG93bnJldi54bWxQSwUGAAAAAAQABAD5AAAAkgMAAAAA&#10;" strokecolor="black [3213]">
              <v:stroke endarrow="open"/>
            </v:shape>
          </v:group>
        </w:pict>
      </w:r>
      <w:r w:rsidR="0049218A">
        <w:rPr>
          <w:noProof/>
          <w:lang w:eastAsia="en-AU"/>
        </w:rPr>
        <w:drawing>
          <wp:inline distT="0" distB="0" distL="0" distR="0">
            <wp:extent cx="5753100" cy="6076950"/>
            <wp:effectExtent l="19050" t="0" r="0" b="0"/>
            <wp:docPr id="141" name="Picture 11" descr="N:\water\Advice\Projects\Uranium\Ranger Mine\SSD Work 2014\Maps\Ranger_Spill_FIG14_15k_WL_D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water\Advice\Projects\Uranium\Ranger Mine\SSD Work 2014\Maps\Ranger_Spill_FIG14_15k_WL_DRY.png"/>
                    <pic:cNvPicPr>
                      <a:picLocks noChangeAspect="1" noChangeArrowheads="1"/>
                    </pic:cNvPicPr>
                  </pic:nvPicPr>
                  <pic:blipFill>
                    <a:blip r:embed="rId9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076950"/>
                    </a:xfrm>
                    <a:prstGeom prst="rect">
                      <a:avLst/>
                    </a:prstGeom>
                    <a:noFill/>
                    <a:ln>
                      <a:noFill/>
                    </a:ln>
                  </pic:spPr>
                </pic:pic>
              </a:graphicData>
            </a:graphic>
          </wp:inline>
        </w:drawing>
      </w:r>
    </w:p>
    <w:p w:rsidR="0049218A" w:rsidRPr="007230DA" w:rsidRDefault="0049218A" w:rsidP="007230DA">
      <w:pPr>
        <w:pStyle w:val="figurecaption"/>
      </w:pPr>
      <w:bookmarkStart w:id="232" w:name="_Ref380763507"/>
      <w:bookmarkStart w:id="233" w:name="_Toc381012619"/>
      <w:bookmarkStart w:id="234" w:name="_Toc381051468"/>
      <w:bookmarkStart w:id="235" w:name="_Toc381783958"/>
      <w:bookmarkStart w:id="236" w:name="_Toc384219514"/>
      <w:bookmarkStart w:id="237" w:name="_Toc390766669"/>
      <w:r w:rsidRPr="00B50BDA">
        <w:rPr>
          <w:b/>
        </w:rPr>
        <w:t xml:space="preserve">Figure </w:t>
      </w:r>
      <w:bookmarkEnd w:id="232"/>
      <w:r w:rsidR="007230DA" w:rsidRPr="007230DA">
        <w:rPr>
          <w:b/>
        </w:rPr>
        <w:t>4.2</w:t>
      </w:r>
      <w:r w:rsidR="000D53BA">
        <w:rPr>
          <w:b/>
        </w:rPr>
        <w:t>4</w:t>
      </w:r>
      <w:r w:rsidRPr="007230DA">
        <w:t xml:space="preserve"> Long-term average of dry season water-level records. Bores with fewer than 100 records have been labelled</w:t>
      </w:r>
      <w:bookmarkEnd w:id="233"/>
      <w:bookmarkEnd w:id="234"/>
      <w:r w:rsidRPr="007230DA">
        <w:t xml:space="preserve"> with the number of records available.</w:t>
      </w:r>
      <w:bookmarkEnd w:id="235"/>
      <w:r w:rsidRPr="007230DA">
        <w:t xml:space="preserve"> Arrows indicate general direction of groundwater flow.</w:t>
      </w:r>
      <w:bookmarkEnd w:id="236"/>
      <w:r w:rsidRPr="007230DA">
        <w:t xml:space="preserve"> </w:t>
      </w:r>
      <w:proofErr w:type="gramStart"/>
      <w:r w:rsidRPr="007230DA">
        <w:t xml:space="preserve">(Image courtesy of </w:t>
      </w:r>
      <w:proofErr w:type="spellStart"/>
      <w:r w:rsidRPr="007230DA">
        <w:t>Geoscience</w:t>
      </w:r>
      <w:proofErr w:type="spellEnd"/>
      <w:r w:rsidRPr="007230DA">
        <w:t xml:space="preserve"> Australia)</w:t>
      </w:r>
      <w:bookmarkEnd w:id="237"/>
      <w:r w:rsidR="00EE509B">
        <w:t>.</w:t>
      </w:r>
      <w:proofErr w:type="gramEnd"/>
    </w:p>
    <w:p w:rsidR="0049218A" w:rsidRDefault="0049218A" w:rsidP="0049218A">
      <w:proofErr w:type="spellStart"/>
      <w:r>
        <w:t>H</w:t>
      </w:r>
      <w:r w:rsidRPr="00F7717C">
        <w:t>ydrogeological</w:t>
      </w:r>
      <w:proofErr w:type="spellEnd"/>
      <w:r w:rsidRPr="00F7717C">
        <w:t xml:space="preserve"> work undertaken across the </w:t>
      </w:r>
      <w:r>
        <w:t xml:space="preserve">Ranger </w:t>
      </w:r>
      <w:r w:rsidRPr="00F7717C">
        <w:t xml:space="preserve">site has identified that faulting and shearing play </w:t>
      </w:r>
      <w:r>
        <w:t xml:space="preserve">an </w:t>
      </w:r>
      <w:r w:rsidRPr="00F7717C">
        <w:t xml:space="preserve">important role in </w:t>
      </w:r>
      <w:r>
        <w:t>site</w:t>
      </w:r>
      <w:r w:rsidRPr="00F7717C">
        <w:t xml:space="preserve"> groundwater flow regimes. In some cases, faults may act to compartmentalis</w:t>
      </w:r>
      <w:r>
        <w:t>e groundwater systems, isolating</w:t>
      </w:r>
      <w:r w:rsidRPr="00F7717C">
        <w:t xml:space="preserve"> some parts from others. In other cases, faults will provide conduits for flow.</w:t>
      </w:r>
      <w:r>
        <w:t xml:space="preserve"> Detailed structural mapping data and fault classifications are not available in the plant area or in the Corridor Creek catchment but a major north-trending fault </w:t>
      </w:r>
      <w:proofErr w:type="gramStart"/>
      <w:r>
        <w:t>offsets</w:t>
      </w:r>
      <w:proofErr w:type="gramEnd"/>
      <w:r>
        <w:t xml:space="preserve"> geological units approximately 400 m to the west of Leach Tank 1. With </w:t>
      </w:r>
      <w:r w:rsidR="00091282">
        <w:t xml:space="preserve">creek </w:t>
      </w:r>
      <w:proofErr w:type="spellStart"/>
      <w:r>
        <w:t>baseflow</w:t>
      </w:r>
      <w:proofErr w:type="spellEnd"/>
      <w:r>
        <w:t xml:space="preserve"> being a potential component of the groundwater balance, it is important to understand the role that faults play in driving groundwater flow, inter-aquifer connectivity and surface water – groundwater connectivity. </w:t>
      </w:r>
    </w:p>
    <w:p w:rsidR="0049218A" w:rsidRDefault="0049218A" w:rsidP="0049218A">
      <w:r>
        <w:t xml:space="preserve">The nearest </w:t>
      </w:r>
      <w:r w:rsidR="00091282">
        <w:t xml:space="preserve">surface water </w:t>
      </w:r>
      <w:r>
        <w:t xml:space="preserve">receptor to the site of the spill is Corridor Creek, which flows to the south of Pit 1 in an easterly direction, into Magela Creek approximately 750 m east of Leach Tank 1. GC2 is a surface water gauging structure installed downstream of Pit </w:t>
      </w:r>
      <w:r w:rsidR="008106DF">
        <w:t>#</w:t>
      </w:r>
      <w:r>
        <w:t xml:space="preserve">1 on Corridor </w:t>
      </w:r>
      <w:r w:rsidRPr="007344E3">
        <w:t>Creek.</w:t>
      </w:r>
      <w:r>
        <w:t xml:space="preserve"> Daily discharge data from GC2 for the period from July 2010 through to the end of February 2014 shows distinct peaks in flow during </w:t>
      </w:r>
      <w:r w:rsidRPr="002F7DC2">
        <w:t xml:space="preserve">the wet season, with possible low to moderate </w:t>
      </w:r>
      <w:proofErr w:type="spellStart"/>
      <w:r w:rsidRPr="002F7DC2">
        <w:t>baseflow</w:t>
      </w:r>
      <w:proofErr w:type="spellEnd"/>
      <w:r w:rsidRPr="002F7DC2">
        <w:t xml:space="preserve"> contributions identified during the dry season of 2011, mid-June to mid-August 2012, and mid-April to the end of June 2013</w:t>
      </w:r>
      <w:r w:rsidR="00850523">
        <w:t xml:space="preserve"> </w:t>
      </w:r>
      <w:r w:rsidR="00850523" w:rsidRPr="007344E3">
        <w:t>(Figure 4.25)</w:t>
      </w:r>
      <w:r w:rsidRPr="002F7DC2">
        <w:t>.  These events are shown by flow above zero without corresponding rainfall events. The</w:t>
      </w:r>
      <w:r>
        <w:t xml:space="preserve"> regular and defined </w:t>
      </w:r>
      <w:proofErr w:type="spellStart"/>
      <w:r>
        <w:t>baseflow</w:t>
      </w:r>
      <w:proofErr w:type="spellEnd"/>
      <w:r>
        <w:t xml:space="preserve"> events indicate that Corridor Creek is likely to be receiving some portion of flow fro</w:t>
      </w:r>
      <w:r w:rsidR="00091282">
        <w:t>m interaction with groundwater</w:t>
      </w:r>
      <w:r w:rsidR="0040292E">
        <w:t>,</w:t>
      </w:r>
      <w:r w:rsidR="00091282">
        <w:t xml:space="preserve"> although much of this is due to </w:t>
      </w:r>
      <w:r w:rsidR="0040292E">
        <w:t xml:space="preserve">the </w:t>
      </w:r>
      <w:r w:rsidR="00091282">
        <w:t>ongoing release of treated waters higher in the catchment.</w:t>
      </w:r>
    </w:p>
    <w:p w:rsidR="0049218A" w:rsidRDefault="0049218A" w:rsidP="0049218A">
      <w:pPr>
        <w:pStyle w:val="Caption"/>
      </w:pPr>
      <w:r>
        <w:rPr>
          <w:noProof/>
          <w:lang w:eastAsia="en-AU"/>
        </w:rPr>
        <w:drawing>
          <wp:inline distT="0" distB="0" distL="0" distR="0">
            <wp:extent cx="5403600" cy="3721041"/>
            <wp:effectExtent l="0" t="0" r="0" b="0"/>
            <wp:docPr id="142" name="Chart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49218A" w:rsidRDefault="0049218A" w:rsidP="0049218A">
      <w:pPr>
        <w:pStyle w:val="figurecaption"/>
      </w:pPr>
      <w:bookmarkStart w:id="238" w:name="_Ref382822247"/>
      <w:bookmarkStart w:id="239" w:name="_Toc384219506"/>
      <w:bookmarkStart w:id="240" w:name="_Toc390766670"/>
      <w:r w:rsidRPr="00B50BDA">
        <w:rPr>
          <w:b/>
        </w:rPr>
        <w:t xml:space="preserve">Figure </w:t>
      </w:r>
      <w:bookmarkEnd w:id="238"/>
      <w:r w:rsidR="007230DA" w:rsidRPr="007230DA">
        <w:rPr>
          <w:b/>
        </w:rPr>
        <w:t>4.2</w:t>
      </w:r>
      <w:r w:rsidR="000D53BA">
        <w:rPr>
          <w:b/>
        </w:rPr>
        <w:t>5</w:t>
      </w:r>
      <w:r w:rsidR="007230DA">
        <w:t xml:space="preserve"> </w:t>
      </w:r>
      <w:r>
        <w:t xml:space="preserve"> Rainfall compared to GC2 discharge from July 2010 to February 2014 </w:t>
      </w:r>
      <w:r w:rsidR="00117C79">
        <w:fldChar w:fldCharType="begin"/>
      </w:r>
      <w:r>
        <w:instrText xml:space="preserve"> ADDIN EN.CITE &lt;EndNote&gt;&lt;Cite&gt;&lt;Author&gt;BoM&lt;/Author&gt;&lt;Year&gt;2014&lt;/Year&gt;&lt;RecNum&gt;34&lt;/RecNum&gt;&lt;Prefix&gt;rainfall data from &lt;/Prefix&gt;&lt;Suffix&gt;`; GC2 discharge volumes supplied by ERA&lt;/Suffix&gt;&lt;DisplayText&gt;(rainfall data from BoM, 2014; GC2 discharge volumes supplied by ERA)&lt;/DisplayText&gt;&lt;record&gt;&lt;rec-number&gt;34&lt;/rec-number&gt;&lt;foreign-keys&gt;&lt;key app="EN" db-id="xf5rrfrfiewaexevwaa5teet0d0xvpa0dtrd"&gt;34&lt;/key&gt;&lt;/foreign-keys&gt;&lt;ref-type name="Web Page"&gt;12&lt;/ref-type&gt;&lt;contributors&gt;&lt;authors&gt;&lt;author&gt;BoM,&lt;/author&gt;&lt;/authors&gt;&lt;/contributors&gt;&lt;titles&gt;&lt;title&gt;Climate Data Online&lt;/title&gt;&lt;/titles&gt;&lt;dates&gt;&lt;year&gt;2014&lt;/year&gt;&lt;/dates&gt;&lt;urls&gt;&lt;related-urls&gt;&lt;url&gt;http://www.bom.gov.au/climate/data/index.shtml?bookmark=136&lt;/url&gt;&lt;/related-urls&gt;&lt;/urls&gt;&lt;/record&gt;&lt;/Cite&gt;&lt;/EndNote&gt;</w:instrText>
      </w:r>
      <w:r w:rsidR="00117C79">
        <w:fldChar w:fldCharType="separate"/>
      </w:r>
      <w:r>
        <w:rPr>
          <w:noProof/>
        </w:rPr>
        <w:t>(</w:t>
      </w:r>
      <w:hyperlink w:anchor="_ENREF_5" w:tooltip="BoM, 2014 #34" w:history="1">
        <w:r>
          <w:rPr>
            <w:noProof/>
          </w:rPr>
          <w:t>rainfall data from BoM, 2014; GC2 discharge volumes supplied by ERA</w:t>
        </w:r>
      </w:hyperlink>
      <w:r>
        <w:rPr>
          <w:noProof/>
        </w:rPr>
        <w:t>)</w:t>
      </w:r>
      <w:bookmarkEnd w:id="239"/>
      <w:r w:rsidR="00117C79">
        <w:fldChar w:fldCharType="end"/>
      </w:r>
      <w:r>
        <w:t xml:space="preserve">. </w:t>
      </w:r>
      <w:proofErr w:type="gramStart"/>
      <w:r>
        <w:t xml:space="preserve">(Image courtesy of </w:t>
      </w:r>
      <w:proofErr w:type="spellStart"/>
      <w:r>
        <w:t>Geoscience</w:t>
      </w:r>
      <w:proofErr w:type="spellEnd"/>
      <w:r>
        <w:t xml:space="preserve"> Australia)</w:t>
      </w:r>
      <w:bookmarkEnd w:id="240"/>
      <w:r w:rsidR="00B37A86">
        <w:t>.</w:t>
      </w:r>
      <w:proofErr w:type="gramEnd"/>
    </w:p>
    <w:p w:rsidR="0049218A" w:rsidRDefault="0049218A" w:rsidP="00266E77">
      <w:pPr>
        <w:pStyle w:val="Heading4"/>
      </w:pPr>
      <w:r>
        <w:t xml:space="preserve">Plant area </w:t>
      </w:r>
      <w:proofErr w:type="spellStart"/>
      <w:r>
        <w:t>hydrogeochemistry</w:t>
      </w:r>
      <w:proofErr w:type="spellEnd"/>
    </w:p>
    <w:p w:rsidR="0049218A" w:rsidRDefault="0049218A" w:rsidP="0049218A">
      <w:r>
        <w:t xml:space="preserve">An earlier study of potentially contaminated groundwater was undertaken between 2006 and 2009 in the </w:t>
      </w:r>
      <w:r w:rsidR="00850523">
        <w:t>processing p</w:t>
      </w:r>
      <w:r>
        <w:t xml:space="preserve">lant </w:t>
      </w:r>
      <w:r w:rsidR="00850523">
        <w:t>a</w:t>
      </w:r>
      <w:r>
        <w:t>rea</w:t>
      </w:r>
      <w:r w:rsidR="008A0FF1">
        <w:t xml:space="preserve"> (Alarcon Leon et al., 2007a; Alarcon Leon et al., 2007b; </w:t>
      </w:r>
      <w:proofErr w:type="spellStart"/>
      <w:r w:rsidR="008A0FF1">
        <w:t>Gellert</w:t>
      </w:r>
      <w:proofErr w:type="spellEnd"/>
      <w:r w:rsidR="008A0FF1">
        <w:t xml:space="preserve"> 2009; </w:t>
      </w:r>
      <w:proofErr w:type="spellStart"/>
      <w:r w:rsidR="008A0FF1">
        <w:t>Gellert</w:t>
      </w:r>
      <w:proofErr w:type="spellEnd"/>
      <w:r w:rsidR="008A0FF1">
        <w:t xml:space="preserve"> </w:t>
      </w:r>
      <w:r w:rsidR="0096418C">
        <w:t>&amp;</w:t>
      </w:r>
      <w:r w:rsidR="008A0FF1">
        <w:t xml:space="preserve"> Jones, 2008).</w:t>
      </w:r>
      <w:r>
        <w:t xml:space="preserve"> </w:t>
      </w:r>
      <w:r w:rsidR="00117C79">
        <w:fldChar w:fldCharType="begin"/>
      </w:r>
      <w:r>
        <w:instrText xml:space="preserve"> ADDIN EN.CITE &lt;EndNote&gt;&lt;Cite AuthorYear="1"&gt;&lt;Author&gt;Alarcon Leon&lt;/Author&gt;&lt;Year&gt;2007&lt;/Year&gt;&lt;RecNum&gt;23&lt;/RecNum&gt;&lt;DisplayText&gt;Alarcon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117C79">
        <w:fldChar w:fldCharType="separate"/>
      </w:r>
      <w:hyperlink w:anchor="_ENREF_1" w:tooltip="Alarcon Leon, 2007 #23" w:history="1">
        <w:r>
          <w:t>Alarcon Leon et al. (2007a</w:t>
        </w:r>
      </w:hyperlink>
      <w:r>
        <w:t>)</w:t>
      </w:r>
      <w:r w:rsidR="00117C79">
        <w:fldChar w:fldCharType="end"/>
      </w:r>
      <w:r>
        <w:t xml:space="preserve"> concluded that groundwater underlying the plant area is contaminated with trace metals and </w:t>
      </w:r>
      <w:proofErr w:type="spellStart"/>
      <w:r>
        <w:t>sulfate</w:t>
      </w:r>
      <w:proofErr w:type="spellEnd"/>
      <w:r>
        <w:t xml:space="preserve">. This was correlated with low groundwater pH and the plant area was identified as a source for groundwater contamination. Three contamination plumes were identified: </w:t>
      </w:r>
    </w:p>
    <w:p w:rsidR="0049218A" w:rsidRPr="0049218A" w:rsidRDefault="0049218A" w:rsidP="00A80523">
      <w:pPr>
        <w:pStyle w:val="Normallist1"/>
      </w:pPr>
      <w:r w:rsidRPr="0049218A">
        <w:t>Low pH, high Fe, U and SO</w:t>
      </w:r>
      <w:r w:rsidRPr="0049218A">
        <w:rPr>
          <w:rStyle w:val="Subscript"/>
          <w:szCs w:val="22"/>
        </w:rPr>
        <w:t>4</w:t>
      </w:r>
      <w:r w:rsidR="00850523">
        <w:rPr>
          <w:rStyle w:val="Subscript"/>
          <w:szCs w:val="22"/>
        </w:rPr>
        <w:t xml:space="preserve"> </w:t>
      </w:r>
      <w:r w:rsidR="00850523">
        <w:t>s</w:t>
      </w:r>
      <w:r w:rsidRPr="0049218A">
        <w:t xml:space="preserve">ourced from the CCD Circuit and moving along the southerly flow path. </w:t>
      </w:r>
    </w:p>
    <w:p w:rsidR="0049218A" w:rsidRPr="0049218A" w:rsidRDefault="0049218A" w:rsidP="00A80523">
      <w:pPr>
        <w:pStyle w:val="Normallist1"/>
      </w:pPr>
      <w:r w:rsidRPr="0049218A">
        <w:t>Enriched in SO</w:t>
      </w:r>
      <w:r w:rsidRPr="0049218A">
        <w:rPr>
          <w:rStyle w:val="Subscript"/>
          <w:szCs w:val="22"/>
        </w:rPr>
        <w:t>4</w:t>
      </w:r>
      <w:r w:rsidRPr="0049218A">
        <w:t xml:space="preserve">, Fe, </w:t>
      </w:r>
      <w:proofErr w:type="spellStart"/>
      <w:r w:rsidRPr="0049218A">
        <w:t>Mn</w:t>
      </w:r>
      <w:proofErr w:type="spellEnd"/>
      <w:r w:rsidRPr="0049218A">
        <w:t xml:space="preserve"> and U and moving along the northerly flow path from the Acid Plant and Sulphur Stockpile zone. </w:t>
      </w:r>
    </w:p>
    <w:p w:rsidR="0049218A" w:rsidRPr="0049218A" w:rsidRDefault="0049218A" w:rsidP="00A80523">
      <w:pPr>
        <w:pStyle w:val="Normallist1"/>
      </w:pPr>
      <w:r w:rsidRPr="0049218A">
        <w:t>A plume associated with weak enrichment in total petroleum hydrocarbon fractions, moving easterly from the Diesel Tanks during the dry season.</w:t>
      </w:r>
    </w:p>
    <w:p w:rsidR="0049218A" w:rsidRPr="0049218A" w:rsidRDefault="0049218A" w:rsidP="0049218A">
      <w:r w:rsidRPr="0049218A">
        <w:t>Work by</w:t>
      </w:r>
      <w:r w:rsidR="008A0FF1">
        <w:t xml:space="preserve"> </w:t>
      </w:r>
      <w:proofErr w:type="spellStart"/>
      <w:r w:rsidR="008A0FF1">
        <w:t>Gellert</w:t>
      </w:r>
      <w:proofErr w:type="spellEnd"/>
      <w:r w:rsidR="008A0FF1">
        <w:t xml:space="preserve"> (2009)</w:t>
      </w:r>
      <w:r w:rsidRPr="0049218A">
        <w:t xml:space="preserve"> showed that contaminant plumes were moving extremely slowly. They had not progressed measurably between 2006 and 2009. No samples have been collected after 2009 with which to </w:t>
      </w:r>
      <w:r w:rsidR="0040292E">
        <w:t xml:space="preserve">further </w:t>
      </w:r>
      <w:r w:rsidRPr="0049218A">
        <w:t>verify transport rates. It is likely that any contamination from the spill would move at a similar rate.</w:t>
      </w:r>
    </w:p>
    <w:p w:rsidR="0049218A" w:rsidRDefault="0049218A" w:rsidP="0049218A">
      <w:r>
        <w:t>ERA</w:t>
      </w:r>
      <w:r w:rsidR="00115418">
        <w:t xml:space="preserve"> (</w:t>
      </w:r>
      <w:r w:rsidR="0040292E">
        <w:t>ERA</w:t>
      </w:r>
      <w:r w:rsidR="00115418">
        <w:t>, 2013)</w:t>
      </w:r>
      <w:r>
        <w:t xml:space="preserve"> state that the groundwater monitoring program for Ranger within the Corridor Creek Catchment is set up to identify potential impacts from process water seepage from Pit 1, as well as from the Corridor Creek Land Application Area (which lies to the south of Pit 1, in the headwaters of Corridor Creek) and that contamination from the plant area, and its potential impacts, are not part of the routine groundwate</w:t>
      </w:r>
      <w:r w:rsidR="0040292E">
        <w:t>r monitoring program at Ranger.</w:t>
      </w:r>
    </w:p>
    <w:p w:rsidR="0049218A" w:rsidRDefault="0049218A" w:rsidP="0049218A">
      <w:r>
        <w:t xml:space="preserve">It order to add more information to </w:t>
      </w:r>
      <w:r w:rsidR="00850523">
        <w:t>the</w:t>
      </w:r>
      <w:r>
        <w:t xml:space="preserve"> previous work, and to assess recent </w:t>
      </w:r>
      <w:proofErr w:type="spellStart"/>
      <w:r>
        <w:t>hydrogeochemistry</w:t>
      </w:r>
      <w:proofErr w:type="spellEnd"/>
      <w:r>
        <w:t xml:space="preserve"> data, including post-spill data </w:t>
      </w:r>
      <w:r w:rsidR="00850523">
        <w:t>were</w:t>
      </w:r>
      <w:r>
        <w:t xml:space="preserve"> available, </w:t>
      </w:r>
      <w:proofErr w:type="gramStart"/>
      <w:r>
        <w:t>GA</w:t>
      </w:r>
      <w:proofErr w:type="gramEnd"/>
      <w:r>
        <w:t xml:space="preserve"> undertook an analysis of </w:t>
      </w:r>
      <w:proofErr w:type="spellStart"/>
      <w:r>
        <w:t>hydrogeochemistry</w:t>
      </w:r>
      <w:proofErr w:type="spellEnd"/>
      <w:r>
        <w:t xml:space="preserve"> in the plant area. An average groundwater </w:t>
      </w:r>
      <w:proofErr w:type="spellStart"/>
      <w:r>
        <w:t>sulfate</w:t>
      </w:r>
      <w:proofErr w:type="spellEnd"/>
      <w:r>
        <w:t xml:space="preserve"> map </w:t>
      </w:r>
      <w:r w:rsidRPr="00262ED9">
        <w:t>(</w:t>
      </w:r>
      <w:r w:rsidR="000D53BA" w:rsidRPr="00262ED9">
        <w:t>Figure 4.26</w:t>
      </w:r>
      <w:r w:rsidRPr="00262ED9">
        <w:t>)</w:t>
      </w:r>
      <w:r>
        <w:t xml:space="preserve"> highlights the extent of contamination at the site prior to the date of the spill. A</w:t>
      </w:r>
      <w:r w:rsidR="00850523">
        <w:t>dditionally a</w:t>
      </w:r>
      <w:r>
        <w:t xml:space="preserve"> pH map was produced to gain a better understanding of the current extent of groundwater contamination while a HCO</w:t>
      </w:r>
      <w:r w:rsidR="00611AA1">
        <w:rPr>
          <w:snapToGrid w:val="0"/>
          <w:color w:val="000000"/>
          <w:position w:val="-5"/>
          <w:sz w:val="15"/>
          <w:szCs w:val="0"/>
          <w:u w:color="000000"/>
        </w:rPr>
        <w:t>3</w:t>
      </w:r>
      <w:r>
        <w:t xml:space="preserve"> map was produced to gain an understanding of potential buffering capacity for the uncontaminated groundwater which may be exposed to contaminant fluid. These maps and all results can be found in </w:t>
      </w:r>
      <w:r w:rsidRPr="0049218A">
        <w:t>Appendix A</w:t>
      </w:r>
      <w:r w:rsidR="00850523">
        <w:t>.</w:t>
      </w:r>
    </w:p>
    <w:p w:rsidR="0049218A" w:rsidRDefault="0049218A" w:rsidP="0049218A">
      <w:pPr>
        <w:pStyle w:val="BodyText"/>
      </w:pPr>
      <w:r>
        <w:rPr>
          <w:noProof/>
          <w:lang w:eastAsia="en-AU"/>
        </w:rPr>
        <w:drawing>
          <wp:inline distT="0" distB="0" distL="0" distR="0">
            <wp:extent cx="5753100" cy="6486525"/>
            <wp:effectExtent l="19050" t="0" r="0" b="0"/>
            <wp:docPr id="143" name="Picture 36" descr="N:\water\Advice\Projects\Uranium\Ranger Mine\SSD Work 2014\Maps\Ranger_Spill_FIG22_10K_GA_S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water\Advice\Projects\Uranium\Ranger Mine\SSD Work 2014\Maps\Ranger_Spill_FIG22_10K_GA_SO4.png"/>
                    <pic:cNvPicPr>
                      <a:picLocks noChangeAspect="1" noChangeArrowheads="1"/>
                    </pic:cNvPicPr>
                  </pic:nvPicPr>
                  <pic:blipFill>
                    <a:blip r:embed="rId10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486525"/>
                    </a:xfrm>
                    <a:prstGeom prst="rect">
                      <a:avLst/>
                    </a:prstGeom>
                    <a:noFill/>
                    <a:ln>
                      <a:noFill/>
                    </a:ln>
                  </pic:spPr>
                </pic:pic>
              </a:graphicData>
            </a:graphic>
          </wp:inline>
        </w:drawing>
      </w:r>
    </w:p>
    <w:p w:rsidR="0049218A" w:rsidRPr="009C71FE" w:rsidRDefault="0049218A" w:rsidP="00611AA1">
      <w:pPr>
        <w:pStyle w:val="figurecaption"/>
      </w:pPr>
      <w:bookmarkStart w:id="241" w:name="_Ref381187787"/>
      <w:bookmarkStart w:id="242" w:name="_Toc384219520"/>
      <w:bookmarkStart w:id="243" w:name="_Toc390766671"/>
      <w:r w:rsidRPr="00B50BDA">
        <w:rPr>
          <w:b/>
        </w:rPr>
        <w:t xml:space="preserve">Figure </w:t>
      </w:r>
      <w:bookmarkEnd w:id="241"/>
      <w:r w:rsidR="000D53BA" w:rsidRPr="00B50BDA">
        <w:rPr>
          <w:b/>
        </w:rPr>
        <w:t>4.26</w:t>
      </w:r>
      <w:r w:rsidR="007230DA">
        <w:t xml:space="preserve"> </w:t>
      </w:r>
      <w:r>
        <w:t xml:space="preserve">Natural neighbour </w:t>
      </w:r>
      <w:r w:rsidRPr="00B1345D">
        <w:t>interpolated surface of average SO</w:t>
      </w:r>
      <w:r w:rsidRPr="00142FE8">
        <w:rPr>
          <w:rStyle w:val="Subscript"/>
        </w:rPr>
        <w:t>4</w:t>
      </w:r>
      <w:r w:rsidRPr="00B1345D">
        <w:t xml:space="preserve"> concentrations</w:t>
      </w:r>
      <w:r>
        <w:t xml:space="preserve"> in groundwater between 2006 and </w:t>
      </w:r>
      <w:r w:rsidRPr="00B1345D">
        <w:t>2013</w:t>
      </w:r>
      <w:r>
        <w:t>. Labelled bores are used for more detailed analysis.</w:t>
      </w:r>
      <w:bookmarkEnd w:id="242"/>
      <w:r w:rsidRPr="004315CA">
        <w:t xml:space="preserve"> </w:t>
      </w:r>
      <w:proofErr w:type="gramStart"/>
      <w:r>
        <w:t xml:space="preserve">(Image courtesy of </w:t>
      </w:r>
      <w:proofErr w:type="spellStart"/>
      <w:r w:rsidRPr="009C71FE">
        <w:t>Geoscience</w:t>
      </w:r>
      <w:proofErr w:type="spellEnd"/>
      <w:r w:rsidRPr="009C71FE">
        <w:t xml:space="preserve"> Australia)</w:t>
      </w:r>
      <w:bookmarkEnd w:id="243"/>
      <w:r w:rsidR="00B37A86">
        <w:t>.</w:t>
      </w:r>
      <w:proofErr w:type="gramEnd"/>
    </w:p>
    <w:p w:rsidR="008A0FF1" w:rsidRDefault="0049218A" w:rsidP="00611AA1">
      <w:r w:rsidRPr="009C71FE">
        <w:t xml:space="preserve">It is </w:t>
      </w:r>
      <w:r w:rsidR="00AD672C" w:rsidRPr="009C71FE">
        <w:t>known that</w:t>
      </w:r>
      <w:r w:rsidRPr="009C71FE">
        <w:t xml:space="preserve"> pre-existing contaminati</w:t>
      </w:r>
      <w:r w:rsidR="00AD672C" w:rsidRPr="009C71FE">
        <w:t xml:space="preserve">on occurs under the plant area, however due to the slow moving nature of this plume it is considered an issue to be addressed during site remediation. </w:t>
      </w:r>
      <w:r w:rsidRPr="009C71FE">
        <w:t>The</w:t>
      </w:r>
      <w:r>
        <w:t xml:space="preserve"> </w:t>
      </w:r>
      <w:proofErr w:type="spellStart"/>
      <w:r>
        <w:t>sulfate</w:t>
      </w:r>
      <w:proofErr w:type="spellEnd"/>
      <w:r>
        <w:t xml:space="preserve"> concentrations range from below detection limit in the south-southeast and northeast of the plant area to approximately 12,000 mg/L under the lime towers. It is still unclear what the source of the contamination may be, but this mapping is consistent with other work, which showed that </w:t>
      </w:r>
      <w:proofErr w:type="spellStart"/>
      <w:r>
        <w:t>sulfate</w:t>
      </w:r>
      <w:proofErr w:type="spellEnd"/>
      <w:r>
        <w:t xml:space="preserve"> plumes extend towards the northwest and south-southeast of the plant area</w:t>
      </w:r>
      <w:r w:rsidR="002B38F8">
        <w:t xml:space="preserve"> and remain slow moving </w:t>
      </w:r>
      <w:r w:rsidR="008A0FF1">
        <w:t>(Alarcon Le</w:t>
      </w:r>
      <w:r w:rsidR="00A80523">
        <w:t xml:space="preserve">on et al., 2007a; </w:t>
      </w:r>
      <w:proofErr w:type="spellStart"/>
      <w:r w:rsidR="00A80523">
        <w:t>Gellert</w:t>
      </w:r>
      <w:proofErr w:type="spellEnd"/>
      <w:r w:rsidR="00A80523">
        <w:t xml:space="preserve">, 2009, </w:t>
      </w:r>
      <w:proofErr w:type="spellStart"/>
      <w:r w:rsidR="00A80523">
        <w:t>Gellert</w:t>
      </w:r>
      <w:proofErr w:type="spellEnd"/>
      <w:r w:rsidR="00A80523">
        <w:t xml:space="preserve"> &amp;</w:t>
      </w:r>
      <w:r w:rsidR="008A0FF1">
        <w:t xml:space="preserve"> Jones, 2008). </w:t>
      </w:r>
    </w:p>
    <w:p w:rsidR="0049218A" w:rsidRDefault="0049218A" w:rsidP="00611AA1">
      <w:r>
        <w:t xml:space="preserve">Individual bores were assessed to characterise the </w:t>
      </w:r>
      <w:proofErr w:type="spellStart"/>
      <w:r>
        <w:t>hydrogeochemistry</w:t>
      </w:r>
      <w:proofErr w:type="spellEnd"/>
      <w:r>
        <w:t xml:space="preserve"> of groundwater in the vicinity of Leach Tank 1 prior to the spill. </w:t>
      </w:r>
      <w:r w:rsidRPr="00262ED9">
        <w:t xml:space="preserve">Figure </w:t>
      </w:r>
      <w:r w:rsidR="000D53BA" w:rsidRPr="00262ED9">
        <w:t>4.27</w:t>
      </w:r>
      <w:r w:rsidRPr="00262ED9">
        <w:t xml:space="preserve"> and Figure </w:t>
      </w:r>
      <w:r w:rsidR="007230DA" w:rsidRPr="00262ED9">
        <w:t>4.2</w:t>
      </w:r>
      <w:r w:rsidR="000D53BA" w:rsidRPr="00262ED9">
        <w:t>8</w:t>
      </w:r>
      <w:r w:rsidRPr="00262ED9">
        <w:t xml:space="preserve"> show Stiff</w:t>
      </w:r>
      <w:r>
        <w:t xml:space="preserve"> Diagrams giving the groundwater composition of </w:t>
      </w:r>
      <w:r w:rsidR="00FC0015">
        <w:t>Bores 35 and 36</w:t>
      </w:r>
      <w:r>
        <w:t xml:space="preserve"> pre- and post- spill, respectively. Although the concentrations are almost an order of magnitude higher in comparison to 2009, the water type is still magnesium-</w:t>
      </w:r>
      <w:proofErr w:type="spellStart"/>
      <w:r>
        <w:t>sulfate</w:t>
      </w:r>
      <w:proofErr w:type="spellEnd"/>
      <w:r>
        <w:t xml:space="preserve"> (Mg/SO</w:t>
      </w:r>
      <w:r w:rsidRPr="00611AA1">
        <w:t xml:space="preserve">4) </w:t>
      </w:r>
      <w:r>
        <w:t>dominant, with sodium and potassium (</w:t>
      </w:r>
      <w:proofErr w:type="spellStart"/>
      <w:r>
        <w:t>Na+K</w:t>
      </w:r>
      <w:proofErr w:type="spellEnd"/>
      <w:r>
        <w:t>) bein</w:t>
      </w:r>
      <w:r w:rsidR="00FC0015">
        <w:t xml:space="preserve">g a secondary </w:t>
      </w:r>
      <w:proofErr w:type="spellStart"/>
      <w:r w:rsidR="00FC0015">
        <w:t>cation</w:t>
      </w:r>
      <w:proofErr w:type="spellEnd"/>
      <w:r w:rsidR="00FC0015">
        <w:t xml:space="preserve"> component.</w:t>
      </w:r>
    </w:p>
    <w:p w:rsidR="0049218A" w:rsidRDefault="0049218A" w:rsidP="0049218A">
      <w:pPr>
        <w:pStyle w:val="BodyText"/>
      </w:pPr>
      <w:r>
        <w:rPr>
          <w:noProof/>
          <w:lang w:eastAsia="en-AU"/>
        </w:rPr>
        <w:drawing>
          <wp:inline distT="0" distB="0" distL="0" distR="0">
            <wp:extent cx="5760085" cy="1769136"/>
            <wp:effectExtent l="0" t="0" r="0" b="2540"/>
            <wp:docPr id="1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194"/>
                    <a:stretch/>
                  </pic:blipFill>
                  <pic:spPr bwMode="auto">
                    <a:xfrm>
                      <a:off x="0" y="0"/>
                      <a:ext cx="5760085" cy="176913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E6D4D">
        <w:t xml:space="preserve"> </w:t>
      </w:r>
    </w:p>
    <w:p w:rsidR="0049218A" w:rsidRDefault="0049218A" w:rsidP="007230DA">
      <w:pPr>
        <w:pStyle w:val="figurecaption"/>
      </w:pPr>
      <w:bookmarkStart w:id="244" w:name="_Toc384219524"/>
      <w:bookmarkStart w:id="245" w:name="_Toc390766672"/>
      <w:r w:rsidRPr="00B50BDA">
        <w:rPr>
          <w:b/>
        </w:rPr>
        <w:t xml:space="preserve">Figure </w:t>
      </w:r>
      <w:r w:rsidR="007230DA" w:rsidRPr="00B50BDA">
        <w:rPr>
          <w:b/>
        </w:rPr>
        <w:t>4.2</w:t>
      </w:r>
      <w:r w:rsidR="000D53BA" w:rsidRPr="00B50BDA">
        <w:rPr>
          <w:b/>
        </w:rPr>
        <w:t>7</w:t>
      </w:r>
      <w:r w:rsidRPr="00B50BDA">
        <w:t xml:space="preserve"> Stiff Diagram from bores 35 and 36 on 15/01/2009 showing Mg/SO</w:t>
      </w:r>
      <w:r w:rsidRPr="00B50BDA">
        <w:rPr>
          <w:rStyle w:val="Subscript"/>
        </w:rPr>
        <w:t>4</w:t>
      </w:r>
      <w:r w:rsidRPr="00B50BDA">
        <w:t xml:space="preserve"> and </w:t>
      </w:r>
      <w:proofErr w:type="spellStart"/>
      <w:r w:rsidRPr="00B50BDA">
        <w:t>Na+K</w:t>
      </w:r>
      <w:proofErr w:type="spellEnd"/>
      <w:r w:rsidRPr="00B50BDA">
        <w:t>/SO</w:t>
      </w:r>
      <w:r w:rsidRPr="00B50BDA">
        <w:rPr>
          <w:rStyle w:val="Subscript"/>
        </w:rPr>
        <w:t>4</w:t>
      </w:r>
      <w:r w:rsidRPr="00B50BDA">
        <w:t xml:space="preserve"> water</w:t>
      </w:r>
      <w:r>
        <w:t xml:space="preserve"> types.</w:t>
      </w:r>
      <w:bookmarkEnd w:id="244"/>
      <w:r w:rsidRPr="004315CA">
        <w:t xml:space="preserve"> </w:t>
      </w:r>
      <w:proofErr w:type="gramStart"/>
      <w:r>
        <w:t xml:space="preserve">(Image courtesy of </w:t>
      </w:r>
      <w:proofErr w:type="spellStart"/>
      <w:r>
        <w:t>Geoscience</w:t>
      </w:r>
      <w:proofErr w:type="spellEnd"/>
      <w:r>
        <w:t xml:space="preserve"> Australia).</w:t>
      </w:r>
      <w:bookmarkEnd w:id="245"/>
      <w:proofErr w:type="gramEnd"/>
    </w:p>
    <w:p w:rsidR="0049218A" w:rsidRDefault="0049218A" w:rsidP="0049218A">
      <w:pPr>
        <w:pStyle w:val="BodyText"/>
      </w:pPr>
    </w:p>
    <w:p w:rsidR="0049218A" w:rsidRPr="00B50BDA" w:rsidRDefault="0049218A" w:rsidP="0049218A">
      <w:pPr>
        <w:pStyle w:val="BodyText"/>
      </w:pPr>
      <w:r w:rsidRPr="00B50BDA">
        <w:rPr>
          <w:noProof/>
          <w:lang w:eastAsia="en-AU"/>
        </w:rPr>
        <w:drawing>
          <wp:inline distT="0" distB="0" distL="0" distR="0">
            <wp:extent cx="5760000" cy="2588400"/>
            <wp:effectExtent l="0" t="0" r="0" b="2540"/>
            <wp:docPr id="14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760000" cy="25884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9218A" w:rsidRPr="007230DA" w:rsidRDefault="0049218A" w:rsidP="007230DA">
      <w:pPr>
        <w:pStyle w:val="figurecaption"/>
      </w:pPr>
      <w:bookmarkStart w:id="246" w:name="_Toc384219525"/>
      <w:bookmarkStart w:id="247" w:name="_Toc390766673"/>
      <w:r w:rsidRPr="00B50BDA">
        <w:rPr>
          <w:b/>
        </w:rPr>
        <w:t>Figure</w:t>
      </w:r>
      <w:r w:rsidR="00B50BDA">
        <w:rPr>
          <w:b/>
        </w:rPr>
        <w:t xml:space="preserve"> </w:t>
      </w:r>
      <w:r w:rsidR="007230DA" w:rsidRPr="00B50BDA">
        <w:rPr>
          <w:b/>
        </w:rPr>
        <w:t>4.2</w:t>
      </w:r>
      <w:r w:rsidR="000D53BA" w:rsidRPr="00B50BDA">
        <w:rPr>
          <w:b/>
        </w:rPr>
        <w:t>8</w:t>
      </w:r>
      <w:r w:rsidRPr="00B50BDA">
        <w:t xml:space="preserve"> Stiff Diagrams from bores 35 and 36 post-spill compositio</w:t>
      </w:r>
      <w:bookmarkEnd w:id="246"/>
      <w:r w:rsidRPr="00B50BDA">
        <w:t xml:space="preserve">n. </w:t>
      </w:r>
      <w:proofErr w:type="gramStart"/>
      <w:r w:rsidRPr="00B50BDA">
        <w:t xml:space="preserve">(Image courtesy of </w:t>
      </w:r>
      <w:proofErr w:type="spellStart"/>
      <w:r w:rsidRPr="00B50BDA">
        <w:t>Geoscience</w:t>
      </w:r>
      <w:proofErr w:type="spellEnd"/>
      <w:r w:rsidRPr="007230DA">
        <w:t xml:space="preserve"> Australia)</w:t>
      </w:r>
      <w:bookmarkEnd w:id="247"/>
      <w:r w:rsidR="00B37A86">
        <w:t>.</w:t>
      </w:r>
      <w:proofErr w:type="gramEnd"/>
    </w:p>
    <w:p w:rsidR="0049218A" w:rsidRDefault="0049218A" w:rsidP="00266E77">
      <w:pPr>
        <w:pStyle w:val="Heading4"/>
      </w:pPr>
      <w:proofErr w:type="spellStart"/>
      <w:r>
        <w:t>Hydrogeochemical</w:t>
      </w:r>
      <w:proofErr w:type="spellEnd"/>
      <w:r>
        <w:t xml:space="preserve"> impact analysis</w:t>
      </w:r>
    </w:p>
    <w:p w:rsidR="0049218A" w:rsidRDefault="0049218A" w:rsidP="0017719D">
      <w:r>
        <w:t xml:space="preserve">Analysis of very limited post-spill data provides no evidence to either support or refute that the Leach Tank 1 spill on 7 December 2013 entered the groundwater underlying the plant. This is due to the low flow rates, the similarity of the </w:t>
      </w:r>
      <w:proofErr w:type="spellStart"/>
      <w:r>
        <w:t>leachate</w:t>
      </w:r>
      <w:proofErr w:type="spellEnd"/>
      <w:r>
        <w:t xml:space="preserve"> with the groundwater underlying the plant area, the lack of information on the potential for </w:t>
      </w:r>
      <w:proofErr w:type="spellStart"/>
      <w:r>
        <w:t>leachate</w:t>
      </w:r>
      <w:proofErr w:type="spellEnd"/>
      <w:r>
        <w:t xml:space="preserve"> to infiltrate through the unsaturated zone into the groundwater system and the lack of post-spill groundwater-level measurements or </w:t>
      </w:r>
      <w:r w:rsidR="0040292E">
        <w:t xml:space="preserve">water </w:t>
      </w:r>
      <w:r>
        <w:t>quality samples taken. In addition, it is likely to be difficult to assess the singular impact of the 7 December 2013 spill in the context of the pre-existing contamination underlying the plant area.</w:t>
      </w:r>
    </w:p>
    <w:p w:rsidR="0049218A" w:rsidRPr="00355F30" w:rsidRDefault="0049218A" w:rsidP="0017719D">
      <w:r>
        <w:t xml:space="preserve">Leach tank discharge chemical results provided by ERA shows that the material has very high </w:t>
      </w:r>
      <w:r w:rsidR="00FC0015">
        <w:t xml:space="preserve">concentrations of </w:t>
      </w:r>
      <w:r>
        <w:t>sulphur, magnesium, manganese, iron and aluminium</w:t>
      </w:r>
      <w:r w:rsidR="00DF7EC1">
        <w:t xml:space="preserve"> (Table 2.2)</w:t>
      </w:r>
      <w:r>
        <w:t>. This can be considered to be equivalent to a magnesium-</w:t>
      </w:r>
      <w:proofErr w:type="spellStart"/>
      <w:r>
        <w:t>sulfate</w:t>
      </w:r>
      <w:proofErr w:type="spellEnd"/>
      <w:r>
        <w:t xml:space="preserve"> dominant fluid. While the </w:t>
      </w:r>
      <w:proofErr w:type="spellStart"/>
      <w:r>
        <w:t>leachate</w:t>
      </w:r>
      <w:proofErr w:type="spellEnd"/>
      <w:r>
        <w:t xml:space="preserve"> is likely to have a similar chemical signature to groundwater under the plant area (magnesium-</w:t>
      </w:r>
      <w:proofErr w:type="spellStart"/>
      <w:r>
        <w:t>sulfate</w:t>
      </w:r>
      <w:proofErr w:type="spellEnd"/>
      <w:r>
        <w:t xml:space="preserve"> dominant), it potentially interacted with lime dust at the surface and may have acquired a high bicarbonate composition. This does not rule out the possibility that the 7 December 2013 spill has impacted the groundwater at bores 35 and 36 if, for instance, fracture flow allowed for faster travel times and minimal interaction with lime occurred then the observed compositions could be expected. The order of magnitude difference in concentrations between 2009 and 2013 may be due to the post-spill samples being collected in the transition from wet to dry season, such that wet season recharge had not yet diluted groundwater.</w:t>
      </w:r>
    </w:p>
    <w:p w:rsidR="0049218A" w:rsidRPr="00B21D1A" w:rsidRDefault="0049218A" w:rsidP="0017719D">
      <w:r w:rsidRPr="00B21D1A">
        <w:t xml:space="preserve">It is also important to consider the relatively low volume of </w:t>
      </w:r>
      <w:proofErr w:type="spellStart"/>
      <w:r w:rsidRPr="00B21D1A">
        <w:t>leachate</w:t>
      </w:r>
      <w:proofErr w:type="spellEnd"/>
      <w:r w:rsidRPr="00B21D1A">
        <w:t xml:space="preserve"> that potentially infiltrated into the groundwater system. Of the 1.4 million litres of Leach Tank 1 material released in the spill, most of this was removed from the surface or remained within the bund. Of the material that remained, </w:t>
      </w:r>
      <w:r w:rsidR="00247AAB">
        <w:t>a further amount</w:t>
      </w:r>
      <w:r w:rsidRPr="00B21D1A">
        <w:t xml:space="preserve"> flowed into RP2. A conservative estimate of 1900 L of fluid may have remained at the surface </w:t>
      </w:r>
      <w:r w:rsidR="00247AAB">
        <w:t xml:space="preserve">over the more permeable grassed areas </w:t>
      </w:r>
      <w:r w:rsidRPr="00B21D1A">
        <w:t xml:space="preserve">and had potential to infiltrate and interact with </w:t>
      </w:r>
      <w:proofErr w:type="gramStart"/>
      <w:r w:rsidRPr="00B21D1A">
        <w:t>groundwater</w:t>
      </w:r>
      <w:r w:rsidRPr="00262ED9">
        <w:rPr>
          <w:snapToGrid w:val="0"/>
          <w:color w:val="000000"/>
          <w:position w:val="5"/>
          <w:sz w:val="15"/>
          <w:szCs w:val="0"/>
          <w:u w:color="000000"/>
        </w:rPr>
        <w:footnoteReference w:customMarkFollows="1" w:id="1"/>
        <w:t>[</w:t>
      </w:r>
      <w:proofErr w:type="gramEnd"/>
      <w:r w:rsidRPr="00262ED9">
        <w:rPr>
          <w:snapToGrid w:val="0"/>
          <w:color w:val="000000"/>
          <w:position w:val="5"/>
          <w:sz w:val="15"/>
          <w:szCs w:val="0"/>
          <w:u w:color="000000"/>
        </w:rPr>
        <w:t>1]</w:t>
      </w:r>
      <w:r w:rsidRPr="00B21D1A">
        <w:t xml:space="preserve">. Based on the water table mapping described earlier, it is assumed that approximately half may have entered the northerly flow path, and half the southerly flow path. A </w:t>
      </w:r>
      <w:proofErr w:type="spellStart"/>
      <w:r w:rsidRPr="00B21D1A">
        <w:t>leachate</w:t>
      </w:r>
      <w:proofErr w:type="spellEnd"/>
      <w:r w:rsidRPr="00B21D1A">
        <w:t xml:space="preserve"> chemical composition similar to current (pre-existing, contaminated) groundwater might make it difficult to differentiate the extent of any impact from the spill.</w:t>
      </w:r>
    </w:p>
    <w:p w:rsidR="0049218A" w:rsidRDefault="0049218A" w:rsidP="0017719D">
      <w:r>
        <w:t xml:space="preserve">A simple calculation based on </w:t>
      </w:r>
      <w:r w:rsidRPr="0017719D">
        <w:rPr>
          <w:i/>
        </w:rPr>
        <w:t>K</w:t>
      </w:r>
      <w:r>
        <w:t xml:space="preserve"> values and flow directions, not taking into account unsaturated zone flow or reactive transport, shows that f</w:t>
      </w:r>
      <w:r w:rsidRPr="00834558">
        <w:t xml:space="preserve">or </w:t>
      </w:r>
      <w:r>
        <w:t>any</w:t>
      </w:r>
      <w:r w:rsidRPr="00834558">
        <w:t xml:space="preserve"> </w:t>
      </w:r>
      <w:proofErr w:type="spellStart"/>
      <w:r w:rsidRPr="00834558">
        <w:t>leach</w:t>
      </w:r>
      <w:r>
        <w:t>ate</w:t>
      </w:r>
      <w:proofErr w:type="spellEnd"/>
      <w:r w:rsidRPr="00834558">
        <w:t xml:space="preserve"> t</w:t>
      </w:r>
      <w:r>
        <w:t xml:space="preserve">hat may have </w:t>
      </w:r>
      <w:r w:rsidRPr="00834558">
        <w:t>infiltrate</w:t>
      </w:r>
      <w:r>
        <w:t>d</w:t>
      </w:r>
      <w:r w:rsidRPr="00834558">
        <w:t xml:space="preserve"> the </w:t>
      </w:r>
      <w:r>
        <w:t>groundwater system</w:t>
      </w:r>
      <w:r w:rsidRPr="00834558">
        <w:t xml:space="preserve"> and reach</w:t>
      </w:r>
      <w:r>
        <w:t>ed</w:t>
      </w:r>
      <w:r w:rsidRPr="00834558">
        <w:t xml:space="preserve"> </w:t>
      </w:r>
      <w:r>
        <w:t xml:space="preserve">bore </w:t>
      </w:r>
      <w:r w:rsidRPr="00834558">
        <w:t>OA11 (</w:t>
      </w:r>
      <w:r>
        <w:t xml:space="preserve">~180m to the south of the </w:t>
      </w:r>
      <w:r w:rsidRPr="00834558">
        <w:t>edge of the spill extent), it could take between 60 and 1800 days.</w:t>
      </w:r>
      <w:r>
        <w:t xml:space="preserve"> Similarly i</w:t>
      </w:r>
      <w:r w:rsidRPr="00834558">
        <w:t>t could take between 50 and 1500 days for the bores to the west, and 15 to 370 days to reach RP</w:t>
      </w:r>
      <w:r>
        <w:t xml:space="preserve">2 (to the northwest) via a groundwater pathway. As discussed above, given the relatively small volume of </w:t>
      </w:r>
      <w:proofErr w:type="spellStart"/>
      <w:r>
        <w:t>leachate</w:t>
      </w:r>
      <w:proofErr w:type="spellEnd"/>
      <w:r>
        <w:t xml:space="preserve"> with the potential to enter the groundwater system, and that only a proportion of that will enter the southerly groundwater flow path, a </w:t>
      </w:r>
      <w:proofErr w:type="spellStart"/>
      <w:r>
        <w:t>hydrogeochemical</w:t>
      </w:r>
      <w:proofErr w:type="spellEnd"/>
      <w:r>
        <w:t xml:space="preserve"> response is unlikely to be detected from this particular incident.</w:t>
      </w:r>
    </w:p>
    <w:p w:rsidR="0049218A" w:rsidRDefault="0049218A" w:rsidP="0017719D">
      <w:r>
        <w:t xml:space="preserve">It is however possible to infer the likely water-rock interactions which would take place as a result of the spill. ERA supplied leach tank material chemical data to GA in January 2014, which showed that the spill material had high concentrations of total iron, </w:t>
      </w:r>
      <w:proofErr w:type="spellStart"/>
      <w:r>
        <w:t>sulfate</w:t>
      </w:r>
      <w:proofErr w:type="spellEnd"/>
      <w:r>
        <w:t xml:space="preserve"> </w:t>
      </w:r>
      <w:r w:rsidRPr="00B71CEB">
        <w:t>(</w:t>
      </w:r>
      <w:r>
        <w:t>using</w:t>
      </w:r>
      <w:r w:rsidRPr="00B71CEB">
        <w:t xml:space="preserve"> </w:t>
      </w:r>
      <w:proofErr w:type="spellStart"/>
      <w:r>
        <w:t>sulfur</w:t>
      </w:r>
      <w:proofErr w:type="spellEnd"/>
      <w:r w:rsidRPr="00B71CEB">
        <w:t xml:space="preserve"> concentration</w:t>
      </w:r>
      <w:r>
        <w:t xml:space="preserve"> as a proxy) and a pH of 1.2; it is possible that hydrated ferrous </w:t>
      </w:r>
      <w:proofErr w:type="spellStart"/>
      <w:r>
        <w:t>sulfate</w:t>
      </w:r>
      <w:proofErr w:type="spellEnd"/>
      <w:r>
        <w:t xml:space="preserve"> efflorescence would form in the unsaturated zone upon oxidation of ferric-</w:t>
      </w:r>
      <w:proofErr w:type="spellStart"/>
      <w:r>
        <w:t>oxyhydroxides</w:t>
      </w:r>
      <w:proofErr w:type="spellEnd"/>
      <w:r>
        <w:t xml:space="preserve"> or basic ferric </w:t>
      </w:r>
      <w:proofErr w:type="spellStart"/>
      <w:r>
        <w:t>sulfates</w:t>
      </w:r>
      <w:proofErr w:type="spellEnd"/>
      <w:r>
        <w:t>. This process has the potential to immobilise some of the contaminants in the plume but, to confirm this, detailed mineralogical tests would need to be undertaken on unsaturated zone material from within the spill extent area.</w:t>
      </w:r>
    </w:p>
    <w:p w:rsidR="0049218A" w:rsidRDefault="0049218A" w:rsidP="00266E77">
      <w:pPr>
        <w:pStyle w:val="Heading4"/>
      </w:pPr>
      <w:r>
        <w:t>Conclusions</w:t>
      </w:r>
    </w:p>
    <w:p w:rsidR="0049218A" w:rsidRPr="001E566F" w:rsidRDefault="0049218A" w:rsidP="0017719D">
      <w:r>
        <w:t xml:space="preserve">There is insufficient post-spill data to either support or refute that the Leach Tank 1 spill in December 2013 entered the groundwater underlying the plant. This conclusion is based on data contained in the </w:t>
      </w:r>
      <w:proofErr w:type="spellStart"/>
      <w:r>
        <w:t>hydrogeochemical</w:t>
      </w:r>
      <w:proofErr w:type="spellEnd"/>
      <w:r>
        <w:t xml:space="preserve"> impact assessment.</w:t>
      </w:r>
      <w:r w:rsidR="00B37A86" w:rsidRPr="00166168">
        <w:t xml:space="preserve"> </w:t>
      </w:r>
      <w:r w:rsidRPr="00166168">
        <w:t>From both long-term average water-level analysis and recent average seasonal water-level assessment, there is a persistent groundwater divide located beneath the plant site causing groundwater to flow from the plant area in a north-northwest direction towards RP2 and in a south-southeast direction towards Corridor Creek.</w:t>
      </w:r>
    </w:p>
    <w:p w:rsidR="00C1499E" w:rsidRDefault="0049218A" w:rsidP="0017719D">
      <w:r>
        <w:t>Groundwater underlying the plant area has previously been shown to be contaminated.</w:t>
      </w:r>
      <w:r w:rsidR="00C1499E">
        <w:t xml:space="preserve"> Analysis by GA (Figure 4.26) supports previous conclusions that contamination from the plant area has remained slow moving with little advance noted since 2009.</w:t>
      </w:r>
    </w:p>
    <w:p w:rsidR="0049218A" w:rsidRDefault="0049218A" w:rsidP="0017719D">
      <w:r>
        <w:t xml:space="preserve">While the </w:t>
      </w:r>
      <w:proofErr w:type="gramStart"/>
      <w:r>
        <w:t>surface water</w:t>
      </w:r>
      <w:proofErr w:type="gramEnd"/>
      <w:r>
        <w:t xml:space="preserve"> in the spill-affected area all flows to RP2, groundwater from the plant site flows to the north as well as to the south and south east. Groundwater flowing along the southerly flow path may have the hydraulic potential to interact with Corridor Creek and via this into Magela Creek under suitable flow conditions. The data available for this assessment shows that not enough is known about the interaction of the groundwater system with the surface water system in the Corridor Creek area. A paucity of groundwater-level and chemistry data has inhibited a more detailed and specific assessment of the 7 December 2013 Leach Tank 1 spill.</w:t>
      </w:r>
    </w:p>
    <w:p w:rsidR="0049218A" w:rsidRDefault="0049218A" w:rsidP="0017719D">
      <w:r>
        <w:t xml:space="preserve">While </w:t>
      </w:r>
      <w:r w:rsidR="00C23D91">
        <w:t xml:space="preserve">it is concluded that </w:t>
      </w:r>
      <w:r>
        <w:t xml:space="preserve">this particular spill is unlikely to have impacted the </w:t>
      </w:r>
      <w:r w:rsidR="001013D4">
        <w:t>offsite</w:t>
      </w:r>
      <w:r>
        <w:t xml:space="preserve"> environment, the lack of groundwater understanding along the southerly flow path needs to be addressed. This includes a </w:t>
      </w:r>
      <w:r w:rsidRPr="00B21D1A">
        <w:t>lack of understanding of the interaction between the local, shallow groundwater systems with the deeper, regional system.</w:t>
      </w:r>
      <w:r>
        <w:t xml:space="preserve"> In particular, the role of geological structures, and their hydraulic properties, is not adequately quantified. Geological structures may also play a key role in connecting the groundwater and surface water systems in the region. The current limitations in data and knowledge will impact the predictive power of any numerical groundwater models created for the site.</w:t>
      </w:r>
    </w:p>
    <w:p w:rsidR="00384F32" w:rsidRPr="00247AAB" w:rsidRDefault="00384F32" w:rsidP="00384F32">
      <w:pPr>
        <w:pStyle w:val="Heading2"/>
      </w:pPr>
      <w:bookmarkStart w:id="248" w:name="_Toc390766597"/>
      <w:r w:rsidRPr="00247AAB">
        <w:t>4.3 Radiation Exposure</w:t>
      </w:r>
      <w:bookmarkEnd w:id="248"/>
    </w:p>
    <w:p w:rsidR="00C01C37" w:rsidRPr="00247AAB" w:rsidRDefault="00384F32" w:rsidP="00384F32">
      <w:pPr>
        <w:pStyle w:val="Heading3"/>
      </w:pPr>
      <w:bookmarkStart w:id="249" w:name="_Toc390766598"/>
      <w:r w:rsidRPr="00247AAB">
        <w:t>4.3.1</w:t>
      </w:r>
      <w:r w:rsidR="00C01C37" w:rsidRPr="00247AAB">
        <w:t xml:space="preserve"> Assessment of radiation dose to ERA staff and contractors</w:t>
      </w:r>
      <w:bookmarkEnd w:id="249"/>
      <w:r w:rsidR="00C01C37" w:rsidRPr="00247AAB">
        <w:t xml:space="preserve"> </w:t>
      </w:r>
    </w:p>
    <w:p w:rsidR="00C01C37" w:rsidRPr="00A03E05" w:rsidRDefault="00C01C37" w:rsidP="00266E77">
      <w:pPr>
        <w:pStyle w:val="Heading4"/>
      </w:pPr>
      <w:r w:rsidRPr="00247AAB">
        <w:t>4</w:t>
      </w:r>
      <w:r w:rsidR="00384F32" w:rsidRPr="00247AAB">
        <w:t>.3.1</w:t>
      </w:r>
      <w:r w:rsidRPr="00247AAB">
        <w:t>.1 Characterisation of the spilled material</w:t>
      </w:r>
    </w:p>
    <w:p w:rsidR="00C01C37" w:rsidRPr="007A2893" w:rsidRDefault="00C01C37" w:rsidP="00C01C37">
      <w:r w:rsidRPr="007A2893">
        <w:t>ERA reported that approximately 1.40 ML (1400 m</w:t>
      </w:r>
      <w:r w:rsidRPr="007A2893">
        <w:rPr>
          <w:snapToGrid w:val="0"/>
          <w:color w:val="000000"/>
          <w:position w:val="6"/>
          <w:sz w:val="16"/>
          <w:szCs w:val="0"/>
          <w:u w:color="000000"/>
        </w:rPr>
        <w:t>3</w:t>
      </w:r>
      <w:r w:rsidRPr="007A2893">
        <w:t>) of wet slurry was contained in Leach Tank 1. The lateritic material was reported to consist of uranium ore with an ore grade of approximately 0.16% mixed with dilute sulphuric acid at a volume ratio of approximately 1:1. The</w:t>
      </w:r>
      <w:r w:rsidR="00A85B11">
        <w:t xml:space="preserve"> bulk</w:t>
      </w:r>
      <w:r w:rsidRPr="007A2893">
        <w:t xml:space="preserve"> density of the slurry was </w:t>
      </w:r>
      <w:proofErr w:type="gramStart"/>
      <w:r w:rsidRPr="007A2893">
        <w:t xml:space="preserve">1.35 </w:t>
      </w:r>
      <w:proofErr w:type="spellStart"/>
      <w:r w:rsidRPr="007A2893">
        <w:t>t∙m</w:t>
      </w:r>
      <w:proofErr w:type="spellEnd"/>
      <w:r w:rsidRPr="007A2893">
        <w:rPr>
          <w:snapToGrid w:val="0"/>
          <w:color w:val="000000"/>
          <w:position w:val="6"/>
          <w:sz w:val="16"/>
          <w:szCs w:val="0"/>
          <w:u w:color="000000"/>
        </w:rPr>
        <w:t>-3</w:t>
      </w:r>
      <w:proofErr w:type="gramEnd"/>
      <w:r w:rsidRPr="007A2893">
        <w:t>.</w:t>
      </w:r>
    </w:p>
    <w:p w:rsidR="00C01C37" w:rsidRPr="007A2893" w:rsidRDefault="00C01C37" w:rsidP="00C01C37">
      <w:r w:rsidRPr="007A2893">
        <w:t xml:space="preserve">Samples of the slurry have been collected by ERA after the spill and were sent to </w:t>
      </w:r>
      <w:r w:rsidR="009748B4" w:rsidRPr="009748B4">
        <w:t>SSD</w:t>
      </w:r>
      <w:r w:rsidRPr="007A2893">
        <w:t xml:space="preserve"> for </w:t>
      </w:r>
      <w:proofErr w:type="spellStart"/>
      <w:r w:rsidRPr="007A2893">
        <w:t>radioanalysis</w:t>
      </w:r>
      <w:proofErr w:type="spellEnd"/>
      <w:r w:rsidRPr="00262ED9">
        <w:t xml:space="preserve">. Table </w:t>
      </w:r>
      <w:r w:rsidR="000D53BA" w:rsidRPr="00262ED9">
        <w:t>4.7</w:t>
      </w:r>
      <w:r w:rsidRPr="007A2893">
        <w:t xml:space="preserve"> shows the sample </w:t>
      </w:r>
      <w:r w:rsidRPr="00262ED9">
        <w:t>details</w:t>
      </w:r>
      <w:r w:rsidR="008A7C29" w:rsidRPr="00262ED9">
        <w:t>.</w:t>
      </w:r>
      <w:r w:rsidR="00384F32" w:rsidRPr="00262ED9">
        <w:t xml:space="preserve"> </w:t>
      </w:r>
      <w:r w:rsidR="000D53BA" w:rsidRPr="00262ED9">
        <w:t>Figure 4.29</w:t>
      </w:r>
      <w:r w:rsidRPr="00262ED9">
        <w:t xml:space="preserve"> shows</w:t>
      </w:r>
      <w:r w:rsidRPr="007A2893">
        <w:t xml:space="preserve"> the locations from wh</w:t>
      </w:r>
      <w:r w:rsidR="009748B4">
        <w:t>ich</w:t>
      </w:r>
      <w:r w:rsidRPr="007A2893">
        <w:t xml:space="preserve"> the slurry samples were collected.</w:t>
      </w:r>
    </w:p>
    <w:p w:rsidR="00C01C37" w:rsidRPr="00A03E05" w:rsidRDefault="00384F32" w:rsidP="00C01C37">
      <w:pPr>
        <w:pStyle w:val="tablecaption"/>
      </w:pPr>
      <w:bookmarkStart w:id="250" w:name="_Toc390766615"/>
      <w:r w:rsidRPr="00384F32">
        <w:rPr>
          <w:b/>
        </w:rPr>
        <w:t>Table 4.</w:t>
      </w:r>
      <w:r w:rsidR="000D53BA">
        <w:rPr>
          <w:b/>
        </w:rPr>
        <w:t>7</w:t>
      </w:r>
      <w:r w:rsidR="00C01C37" w:rsidRPr="00A03E05">
        <w:t xml:space="preserve"> Slurry samples received for analysis</w:t>
      </w:r>
      <w:bookmarkEnd w:id="250"/>
      <w:r w:rsidR="00B37A86">
        <w:t>.</w:t>
      </w:r>
    </w:p>
    <w:tbl>
      <w:tblPr>
        <w:tblStyle w:val="TableGrid"/>
        <w:tblW w:w="0" w:type="auto"/>
        <w:tblInd w:w="108" w:type="dxa"/>
        <w:tblLook w:val="04A0"/>
      </w:tblPr>
      <w:tblGrid>
        <w:gridCol w:w="1100"/>
        <w:gridCol w:w="1594"/>
        <w:gridCol w:w="1145"/>
        <w:gridCol w:w="1093"/>
        <w:gridCol w:w="1400"/>
        <w:gridCol w:w="756"/>
        <w:gridCol w:w="709"/>
      </w:tblGrid>
      <w:tr w:rsidR="00C01C37" w:rsidRPr="00DB7CD9" w:rsidTr="0058737C">
        <w:tc>
          <w:tcPr>
            <w:tcW w:w="1100" w:type="dxa"/>
          </w:tcPr>
          <w:p w:rsidR="00C01C37" w:rsidRPr="00DB7CD9" w:rsidRDefault="00C01C37" w:rsidP="0058737C">
            <w:pPr>
              <w:rPr>
                <w:rFonts w:ascii="Arial" w:hAnsi="Arial" w:cs="Arial"/>
                <w:b/>
                <w:sz w:val="18"/>
                <w:szCs w:val="18"/>
              </w:rPr>
            </w:pPr>
            <w:r w:rsidRPr="00DB7CD9">
              <w:rPr>
                <w:rFonts w:ascii="Arial" w:hAnsi="Arial" w:cs="Arial"/>
                <w:b/>
                <w:sz w:val="18"/>
                <w:szCs w:val="18"/>
              </w:rPr>
              <w:t>Sample ID</w:t>
            </w:r>
          </w:p>
        </w:tc>
        <w:tc>
          <w:tcPr>
            <w:tcW w:w="1594" w:type="dxa"/>
          </w:tcPr>
          <w:p w:rsidR="00C01C37" w:rsidRPr="00DB7CD9" w:rsidRDefault="00C01C37" w:rsidP="0058737C">
            <w:pPr>
              <w:rPr>
                <w:rFonts w:ascii="Arial" w:hAnsi="Arial" w:cs="Arial"/>
                <w:b/>
                <w:sz w:val="18"/>
                <w:szCs w:val="18"/>
              </w:rPr>
            </w:pPr>
            <w:r w:rsidRPr="00DB7CD9">
              <w:rPr>
                <w:rFonts w:ascii="Arial" w:hAnsi="Arial" w:cs="Arial"/>
                <w:b/>
                <w:sz w:val="18"/>
                <w:szCs w:val="18"/>
              </w:rPr>
              <w:t>ERA ID</w:t>
            </w:r>
          </w:p>
        </w:tc>
        <w:tc>
          <w:tcPr>
            <w:tcW w:w="1145" w:type="dxa"/>
          </w:tcPr>
          <w:p w:rsidR="00C01C37" w:rsidRPr="00DB7CD9" w:rsidRDefault="00C01C37" w:rsidP="0058737C">
            <w:pPr>
              <w:jc w:val="center"/>
              <w:rPr>
                <w:rFonts w:ascii="Arial" w:hAnsi="Arial" w:cs="Arial"/>
                <w:b/>
                <w:sz w:val="18"/>
                <w:szCs w:val="18"/>
              </w:rPr>
            </w:pPr>
            <w:r>
              <w:rPr>
                <w:rFonts w:ascii="Arial" w:hAnsi="Arial" w:cs="Arial"/>
                <w:b/>
                <w:sz w:val="18"/>
                <w:szCs w:val="18"/>
              </w:rPr>
              <w:t>Received/ collected</w:t>
            </w:r>
          </w:p>
        </w:tc>
        <w:tc>
          <w:tcPr>
            <w:tcW w:w="2493" w:type="dxa"/>
            <w:gridSpan w:val="2"/>
          </w:tcPr>
          <w:p w:rsidR="00C01C37" w:rsidRPr="00DB7CD9" w:rsidRDefault="00C01C37" w:rsidP="0058737C">
            <w:pPr>
              <w:jc w:val="center"/>
              <w:rPr>
                <w:rFonts w:ascii="Arial" w:hAnsi="Arial" w:cs="Arial"/>
                <w:b/>
                <w:sz w:val="18"/>
                <w:szCs w:val="18"/>
              </w:rPr>
            </w:pPr>
            <w:r w:rsidRPr="00DB7CD9">
              <w:rPr>
                <w:rFonts w:ascii="Arial" w:hAnsi="Arial" w:cs="Arial"/>
                <w:b/>
                <w:sz w:val="18"/>
                <w:szCs w:val="18"/>
              </w:rPr>
              <w:t>Sampling location</w:t>
            </w:r>
          </w:p>
        </w:tc>
        <w:tc>
          <w:tcPr>
            <w:tcW w:w="1465" w:type="dxa"/>
            <w:gridSpan w:val="2"/>
          </w:tcPr>
          <w:p w:rsidR="00C01C37" w:rsidRPr="00DB7CD9" w:rsidRDefault="00C01C37" w:rsidP="0058737C">
            <w:pPr>
              <w:jc w:val="center"/>
              <w:rPr>
                <w:rFonts w:ascii="Arial" w:hAnsi="Arial" w:cs="Arial"/>
                <w:b/>
                <w:sz w:val="18"/>
                <w:szCs w:val="18"/>
              </w:rPr>
            </w:pPr>
            <w:r>
              <w:rPr>
                <w:rFonts w:ascii="Arial" w:hAnsi="Arial" w:cs="Arial"/>
                <w:b/>
                <w:sz w:val="18"/>
                <w:szCs w:val="18"/>
              </w:rPr>
              <w:t>Mass (g)</w:t>
            </w:r>
          </w:p>
        </w:tc>
      </w:tr>
      <w:tr w:rsidR="00C01C37" w:rsidRPr="0053092D" w:rsidTr="0058737C">
        <w:tc>
          <w:tcPr>
            <w:tcW w:w="1100" w:type="dxa"/>
          </w:tcPr>
          <w:p w:rsidR="00C01C37" w:rsidRPr="0053092D" w:rsidRDefault="00C01C37" w:rsidP="0058737C">
            <w:pPr>
              <w:rPr>
                <w:rFonts w:ascii="Arial" w:hAnsi="Arial" w:cs="Arial"/>
                <w:b/>
                <w:sz w:val="16"/>
                <w:szCs w:val="16"/>
              </w:rPr>
            </w:pPr>
          </w:p>
        </w:tc>
        <w:tc>
          <w:tcPr>
            <w:tcW w:w="1594" w:type="dxa"/>
          </w:tcPr>
          <w:p w:rsidR="00C01C37" w:rsidRPr="0053092D" w:rsidRDefault="00C01C37" w:rsidP="0058737C">
            <w:pPr>
              <w:rPr>
                <w:rFonts w:ascii="Arial" w:hAnsi="Arial" w:cs="Arial"/>
                <w:sz w:val="16"/>
                <w:szCs w:val="16"/>
              </w:rPr>
            </w:pPr>
          </w:p>
        </w:tc>
        <w:tc>
          <w:tcPr>
            <w:tcW w:w="1145" w:type="dxa"/>
          </w:tcPr>
          <w:p w:rsidR="00C01C37" w:rsidRPr="0053092D" w:rsidRDefault="00C01C37" w:rsidP="0058737C">
            <w:pPr>
              <w:rPr>
                <w:rFonts w:ascii="Arial" w:hAnsi="Arial" w:cs="Arial"/>
                <w:sz w:val="16"/>
                <w:szCs w:val="16"/>
              </w:rPr>
            </w:pPr>
          </w:p>
        </w:tc>
        <w:tc>
          <w:tcPr>
            <w:tcW w:w="1093" w:type="dxa"/>
          </w:tcPr>
          <w:p w:rsidR="00C01C37" w:rsidRPr="0053092D" w:rsidRDefault="00C01C37" w:rsidP="0058737C">
            <w:pPr>
              <w:rPr>
                <w:rFonts w:ascii="Arial" w:hAnsi="Arial" w:cs="Arial"/>
                <w:sz w:val="16"/>
                <w:szCs w:val="16"/>
              </w:rPr>
            </w:pPr>
            <w:r>
              <w:rPr>
                <w:rFonts w:ascii="Arial" w:hAnsi="Arial" w:cs="Arial"/>
                <w:sz w:val="16"/>
                <w:szCs w:val="16"/>
              </w:rPr>
              <w:t>l</w:t>
            </w:r>
            <w:r w:rsidRPr="0053092D">
              <w:rPr>
                <w:rFonts w:ascii="Arial" w:hAnsi="Arial" w:cs="Arial"/>
                <w:sz w:val="16"/>
                <w:szCs w:val="16"/>
              </w:rPr>
              <w:t>at</w:t>
            </w:r>
            <w:r>
              <w:rPr>
                <w:rFonts w:ascii="Arial" w:hAnsi="Arial" w:cs="Arial"/>
                <w:sz w:val="16"/>
                <w:szCs w:val="16"/>
              </w:rPr>
              <w:t>,</w:t>
            </w:r>
            <w:r w:rsidRPr="0053092D">
              <w:rPr>
                <w:rFonts w:ascii="Arial" w:hAnsi="Arial" w:cs="Arial"/>
                <w:sz w:val="16"/>
                <w:szCs w:val="16"/>
              </w:rPr>
              <w:t xml:space="preserve"> </w:t>
            </w:r>
            <w:r>
              <w:rPr>
                <w:rFonts w:ascii="Arial" w:hAnsi="Arial" w:cs="Arial"/>
                <w:sz w:val="16"/>
                <w:szCs w:val="16"/>
              </w:rPr>
              <w:t>l</w:t>
            </w:r>
            <w:r w:rsidRPr="0053092D">
              <w:rPr>
                <w:rFonts w:ascii="Arial" w:hAnsi="Arial" w:cs="Arial"/>
                <w:sz w:val="16"/>
                <w:szCs w:val="16"/>
              </w:rPr>
              <w:t>ong</w:t>
            </w:r>
          </w:p>
        </w:tc>
        <w:tc>
          <w:tcPr>
            <w:tcW w:w="1400" w:type="dxa"/>
          </w:tcPr>
          <w:p w:rsidR="00C01C37" w:rsidRPr="0053092D" w:rsidRDefault="00C01C37" w:rsidP="0058737C">
            <w:pPr>
              <w:rPr>
                <w:rFonts w:ascii="Arial" w:hAnsi="Arial" w:cs="Arial"/>
                <w:sz w:val="16"/>
                <w:szCs w:val="16"/>
              </w:rPr>
            </w:pPr>
            <w:r>
              <w:rPr>
                <w:rFonts w:ascii="Arial" w:hAnsi="Arial" w:cs="Arial"/>
                <w:sz w:val="16"/>
                <w:szCs w:val="16"/>
              </w:rPr>
              <w:t>e</w:t>
            </w:r>
            <w:r w:rsidRPr="0053092D">
              <w:rPr>
                <w:rFonts w:ascii="Arial" w:hAnsi="Arial" w:cs="Arial"/>
                <w:sz w:val="16"/>
                <w:szCs w:val="16"/>
              </w:rPr>
              <w:t>ast</w:t>
            </w:r>
            <w:r>
              <w:rPr>
                <w:rFonts w:ascii="Arial" w:hAnsi="Arial" w:cs="Arial"/>
                <w:sz w:val="16"/>
                <w:szCs w:val="16"/>
              </w:rPr>
              <w:t>ing</w:t>
            </w:r>
            <w:r w:rsidRPr="0053092D">
              <w:rPr>
                <w:rFonts w:ascii="Arial" w:hAnsi="Arial" w:cs="Arial"/>
                <w:sz w:val="16"/>
                <w:szCs w:val="16"/>
              </w:rPr>
              <w:t>, northing</w:t>
            </w:r>
          </w:p>
        </w:tc>
        <w:tc>
          <w:tcPr>
            <w:tcW w:w="756" w:type="dxa"/>
          </w:tcPr>
          <w:p w:rsidR="00C01C37" w:rsidRPr="0053092D" w:rsidRDefault="00C01C37" w:rsidP="0058737C">
            <w:pPr>
              <w:tabs>
                <w:tab w:val="left" w:pos="660"/>
              </w:tabs>
              <w:jc w:val="center"/>
              <w:rPr>
                <w:rFonts w:ascii="Arial" w:hAnsi="Arial" w:cs="Arial"/>
                <w:sz w:val="16"/>
                <w:szCs w:val="16"/>
              </w:rPr>
            </w:pPr>
            <w:r>
              <w:rPr>
                <w:rFonts w:ascii="Arial" w:hAnsi="Arial" w:cs="Arial"/>
                <w:sz w:val="16"/>
                <w:szCs w:val="16"/>
              </w:rPr>
              <w:t>m</w:t>
            </w:r>
            <w:r w:rsidRPr="00F06902">
              <w:rPr>
                <w:rFonts w:ascii="Arial" w:hAnsi="Arial"/>
                <w:snapToGrid w:val="0"/>
                <w:color w:val="000000"/>
                <w:position w:val="-4"/>
                <w:sz w:val="11"/>
                <w:szCs w:val="0"/>
                <w:u w:color="000000"/>
              </w:rPr>
              <w:t>wet</w:t>
            </w:r>
          </w:p>
        </w:tc>
        <w:tc>
          <w:tcPr>
            <w:tcW w:w="709" w:type="dxa"/>
          </w:tcPr>
          <w:p w:rsidR="00C01C37" w:rsidRPr="0053092D" w:rsidRDefault="00C01C37" w:rsidP="0058737C">
            <w:pPr>
              <w:jc w:val="center"/>
              <w:rPr>
                <w:rFonts w:ascii="Arial" w:hAnsi="Arial" w:cs="Arial"/>
                <w:sz w:val="16"/>
                <w:szCs w:val="16"/>
              </w:rPr>
            </w:pPr>
            <w:r>
              <w:rPr>
                <w:rFonts w:ascii="Arial" w:hAnsi="Arial" w:cs="Arial"/>
                <w:sz w:val="16"/>
                <w:szCs w:val="16"/>
              </w:rPr>
              <w:t>m</w:t>
            </w:r>
            <w:r w:rsidRPr="00F06902">
              <w:rPr>
                <w:rFonts w:ascii="Arial" w:hAnsi="Arial"/>
                <w:snapToGrid w:val="0"/>
                <w:color w:val="000000"/>
                <w:position w:val="-4"/>
                <w:sz w:val="11"/>
                <w:szCs w:val="0"/>
                <w:u w:color="000000"/>
              </w:rPr>
              <w:t>dry</w:t>
            </w:r>
          </w:p>
        </w:tc>
      </w:tr>
      <w:tr w:rsidR="00C01C37" w:rsidRPr="00DB7CD9" w:rsidTr="0058737C">
        <w:tc>
          <w:tcPr>
            <w:tcW w:w="1100" w:type="dxa"/>
          </w:tcPr>
          <w:p w:rsidR="00C01C37" w:rsidRPr="00DB7CD9" w:rsidRDefault="00C01C37" w:rsidP="0058737C">
            <w:pPr>
              <w:rPr>
                <w:rFonts w:ascii="Arial" w:hAnsi="Arial" w:cs="Arial"/>
                <w:b/>
                <w:sz w:val="18"/>
                <w:szCs w:val="18"/>
              </w:rPr>
            </w:pPr>
            <w:r w:rsidRPr="00DB7CD9">
              <w:rPr>
                <w:rFonts w:ascii="Arial" w:hAnsi="Arial" w:cs="Arial"/>
                <w:b/>
                <w:sz w:val="18"/>
                <w:szCs w:val="18"/>
              </w:rPr>
              <w:t>RM13080</w:t>
            </w:r>
          </w:p>
        </w:tc>
        <w:tc>
          <w:tcPr>
            <w:tcW w:w="1594" w:type="dxa"/>
          </w:tcPr>
          <w:p w:rsidR="00C01C37" w:rsidRPr="00DB7CD9" w:rsidRDefault="00C01C37" w:rsidP="0058737C">
            <w:pPr>
              <w:rPr>
                <w:rFonts w:ascii="Arial" w:hAnsi="Arial" w:cs="Arial"/>
                <w:sz w:val="18"/>
                <w:szCs w:val="18"/>
              </w:rPr>
            </w:pPr>
            <w:r w:rsidRPr="00DB7CD9">
              <w:rPr>
                <w:rFonts w:ascii="Arial" w:hAnsi="Arial" w:cs="Arial"/>
                <w:sz w:val="18"/>
                <w:szCs w:val="18"/>
              </w:rPr>
              <w:t>Transfer tower outside bund</w:t>
            </w:r>
          </w:p>
        </w:tc>
        <w:tc>
          <w:tcPr>
            <w:tcW w:w="1145" w:type="dxa"/>
          </w:tcPr>
          <w:p w:rsidR="00C01C37" w:rsidRPr="00DB7CD9" w:rsidRDefault="00C01C37" w:rsidP="0058737C">
            <w:pPr>
              <w:rPr>
                <w:rFonts w:ascii="Arial" w:hAnsi="Arial" w:cs="Arial"/>
                <w:sz w:val="18"/>
                <w:szCs w:val="18"/>
              </w:rPr>
            </w:pPr>
            <w:r>
              <w:rPr>
                <w:rFonts w:ascii="Arial" w:hAnsi="Arial" w:cs="Arial"/>
                <w:sz w:val="18"/>
                <w:szCs w:val="18"/>
              </w:rPr>
              <w:t>13/12/2013 7/12/2013</w:t>
            </w:r>
          </w:p>
        </w:tc>
        <w:tc>
          <w:tcPr>
            <w:tcW w:w="1093" w:type="dxa"/>
          </w:tcPr>
          <w:p w:rsidR="00C01C37" w:rsidRPr="00DB7CD9" w:rsidRDefault="00C01C37" w:rsidP="0058737C">
            <w:pPr>
              <w:rPr>
                <w:rFonts w:ascii="Arial" w:hAnsi="Arial" w:cs="Arial"/>
                <w:sz w:val="18"/>
                <w:szCs w:val="18"/>
              </w:rPr>
            </w:pPr>
            <w:r w:rsidRPr="00DB7CD9">
              <w:rPr>
                <w:rFonts w:ascii="Arial" w:hAnsi="Arial" w:cs="Arial"/>
                <w:sz w:val="18"/>
                <w:szCs w:val="18"/>
              </w:rPr>
              <w:t>-12.6831, 132.9226</w:t>
            </w:r>
          </w:p>
        </w:tc>
        <w:tc>
          <w:tcPr>
            <w:tcW w:w="1400" w:type="dxa"/>
          </w:tcPr>
          <w:p w:rsidR="00C01C37" w:rsidRPr="00DB7CD9" w:rsidRDefault="00C01C37" w:rsidP="0058737C">
            <w:pPr>
              <w:rPr>
                <w:rFonts w:ascii="Arial" w:hAnsi="Arial" w:cs="Arial"/>
                <w:sz w:val="18"/>
                <w:szCs w:val="18"/>
              </w:rPr>
            </w:pPr>
            <w:r w:rsidRPr="00DB7CD9">
              <w:rPr>
                <w:rFonts w:ascii="Arial" w:hAnsi="Arial" w:cs="Arial"/>
                <w:sz w:val="18"/>
                <w:szCs w:val="18"/>
              </w:rPr>
              <w:t>274398, 8597015</w:t>
            </w:r>
          </w:p>
        </w:tc>
        <w:tc>
          <w:tcPr>
            <w:tcW w:w="756" w:type="dxa"/>
          </w:tcPr>
          <w:p w:rsidR="00C01C37" w:rsidRPr="00DB7CD9" w:rsidRDefault="00C01C37" w:rsidP="0058737C">
            <w:pPr>
              <w:jc w:val="center"/>
              <w:rPr>
                <w:rFonts w:ascii="Arial" w:hAnsi="Arial" w:cs="Arial"/>
                <w:sz w:val="18"/>
                <w:szCs w:val="18"/>
              </w:rPr>
            </w:pPr>
            <w:r>
              <w:rPr>
                <w:rFonts w:ascii="Arial" w:hAnsi="Arial" w:cs="Arial"/>
                <w:sz w:val="18"/>
                <w:szCs w:val="18"/>
              </w:rPr>
              <w:t>69.15</w:t>
            </w:r>
          </w:p>
        </w:tc>
        <w:tc>
          <w:tcPr>
            <w:tcW w:w="709" w:type="dxa"/>
          </w:tcPr>
          <w:p w:rsidR="00C01C37" w:rsidRPr="00DB7CD9" w:rsidRDefault="00C01C37" w:rsidP="0058737C">
            <w:pPr>
              <w:jc w:val="center"/>
              <w:rPr>
                <w:rFonts w:ascii="Arial" w:hAnsi="Arial" w:cs="Arial"/>
                <w:sz w:val="18"/>
                <w:szCs w:val="18"/>
              </w:rPr>
            </w:pPr>
            <w:r>
              <w:rPr>
                <w:rFonts w:ascii="Arial" w:hAnsi="Arial" w:cs="Arial"/>
                <w:sz w:val="18"/>
                <w:szCs w:val="18"/>
              </w:rPr>
              <w:t>30.14</w:t>
            </w:r>
          </w:p>
        </w:tc>
      </w:tr>
      <w:tr w:rsidR="00C01C37" w:rsidRPr="00DB7CD9" w:rsidTr="0058737C">
        <w:tc>
          <w:tcPr>
            <w:tcW w:w="1100" w:type="dxa"/>
          </w:tcPr>
          <w:p w:rsidR="00C01C37" w:rsidRPr="00DB7CD9" w:rsidRDefault="00C01C37" w:rsidP="0058737C">
            <w:pPr>
              <w:rPr>
                <w:rFonts w:ascii="Arial" w:hAnsi="Arial" w:cs="Arial"/>
                <w:b/>
                <w:sz w:val="18"/>
                <w:szCs w:val="18"/>
              </w:rPr>
            </w:pPr>
            <w:r w:rsidRPr="00DB7CD9">
              <w:rPr>
                <w:rFonts w:ascii="Arial" w:hAnsi="Arial" w:cs="Arial"/>
                <w:b/>
                <w:sz w:val="18"/>
                <w:szCs w:val="18"/>
              </w:rPr>
              <w:t>RM13081</w:t>
            </w:r>
          </w:p>
        </w:tc>
        <w:tc>
          <w:tcPr>
            <w:tcW w:w="1594" w:type="dxa"/>
          </w:tcPr>
          <w:p w:rsidR="00C01C37" w:rsidRPr="00DB7CD9" w:rsidRDefault="00C01C37" w:rsidP="0058737C">
            <w:pPr>
              <w:rPr>
                <w:rFonts w:ascii="Arial" w:hAnsi="Arial" w:cs="Arial"/>
                <w:sz w:val="18"/>
                <w:szCs w:val="18"/>
              </w:rPr>
            </w:pPr>
            <w:r w:rsidRPr="00DB7CD9">
              <w:rPr>
                <w:rFonts w:ascii="Arial" w:hAnsi="Arial" w:cs="Arial"/>
                <w:sz w:val="18"/>
                <w:szCs w:val="18"/>
              </w:rPr>
              <w:t>Transfer tower inside bund</w:t>
            </w:r>
          </w:p>
        </w:tc>
        <w:tc>
          <w:tcPr>
            <w:tcW w:w="1145" w:type="dxa"/>
          </w:tcPr>
          <w:p w:rsidR="00C01C37" w:rsidRPr="00DB7CD9" w:rsidRDefault="00C01C37" w:rsidP="0058737C">
            <w:pPr>
              <w:rPr>
                <w:rFonts w:ascii="Arial" w:hAnsi="Arial" w:cs="Arial"/>
                <w:sz w:val="18"/>
                <w:szCs w:val="18"/>
              </w:rPr>
            </w:pPr>
            <w:r>
              <w:rPr>
                <w:rFonts w:ascii="Arial" w:hAnsi="Arial" w:cs="Arial"/>
                <w:sz w:val="18"/>
                <w:szCs w:val="18"/>
              </w:rPr>
              <w:t>13/12/2013 7/12/2013</w:t>
            </w:r>
          </w:p>
        </w:tc>
        <w:tc>
          <w:tcPr>
            <w:tcW w:w="1093" w:type="dxa"/>
          </w:tcPr>
          <w:p w:rsidR="00C01C37" w:rsidRPr="00DB7CD9" w:rsidRDefault="00C01C37" w:rsidP="0058737C">
            <w:pPr>
              <w:rPr>
                <w:rFonts w:ascii="Arial" w:hAnsi="Arial" w:cs="Arial"/>
                <w:sz w:val="18"/>
                <w:szCs w:val="18"/>
              </w:rPr>
            </w:pPr>
            <w:r w:rsidRPr="00DB7CD9">
              <w:rPr>
                <w:rFonts w:ascii="Arial" w:hAnsi="Arial" w:cs="Arial"/>
                <w:sz w:val="18"/>
                <w:szCs w:val="18"/>
              </w:rPr>
              <w:t>-12.6833, 132.9225</w:t>
            </w:r>
          </w:p>
        </w:tc>
        <w:tc>
          <w:tcPr>
            <w:tcW w:w="1400" w:type="dxa"/>
          </w:tcPr>
          <w:p w:rsidR="00C01C37" w:rsidRPr="00DB7CD9" w:rsidRDefault="00C01C37" w:rsidP="0058737C">
            <w:pPr>
              <w:rPr>
                <w:rFonts w:ascii="Arial" w:hAnsi="Arial" w:cs="Arial"/>
                <w:sz w:val="18"/>
                <w:szCs w:val="18"/>
              </w:rPr>
            </w:pPr>
            <w:r w:rsidRPr="00DB7CD9">
              <w:rPr>
                <w:rFonts w:ascii="Arial" w:hAnsi="Arial" w:cs="Arial"/>
                <w:sz w:val="18"/>
                <w:szCs w:val="18"/>
              </w:rPr>
              <w:t>274385, 8596992</w:t>
            </w:r>
          </w:p>
        </w:tc>
        <w:tc>
          <w:tcPr>
            <w:tcW w:w="756" w:type="dxa"/>
          </w:tcPr>
          <w:p w:rsidR="00C01C37" w:rsidRPr="00DB7CD9" w:rsidRDefault="00C01C37" w:rsidP="0058737C">
            <w:pPr>
              <w:jc w:val="center"/>
              <w:rPr>
                <w:rFonts w:ascii="Arial" w:hAnsi="Arial" w:cs="Arial"/>
                <w:sz w:val="18"/>
                <w:szCs w:val="18"/>
              </w:rPr>
            </w:pPr>
            <w:r>
              <w:rPr>
                <w:rFonts w:ascii="Arial" w:hAnsi="Arial" w:cs="Arial"/>
                <w:sz w:val="18"/>
                <w:szCs w:val="18"/>
              </w:rPr>
              <w:t>84.16</w:t>
            </w:r>
          </w:p>
        </w:tc>
        <w:tc>
          <w:tcPr>
            <w:tcW w:w="709" w:type="dxa"/>
          </w:tcPr>
          <w:p w:rsidR="00C01C37" w:rsidRPr="00DB7CD9" w:rsidRDefault="00C01C37" w:rsidP="0058737C">
            <w:pPr>
              <w:jc w:val="center"/>
              <w:rPr>
                <w:rFonts w:ascii="Arial" w:hAnsi="Arial" w:cs="Arial"/>
                <w:sz w:val="18"/>
                <w:szCs w:val="18"/>
              </w:rPr>
            </w:pPr>
            <w:r>
              <w:rPr>
                <w:rFonts w:ascii="Arial" w:hAnsi="Arial" w:cs="Arial"/>
                <w:sz w:val="18"/>
                <w:szCs w:val="18"/>
              </w:rPr>
              <w:t>35.33</w:t>
            </w:r>
          </w:p>
        </w:tc>
      </w:tr>
      <w:tr w:rsidR="00C01C37" w:rsidRPr="00DB7CD9" w:rsidTr="0058737C">
        <w:tc>
          <w:tcPr>
            <w:tcW w:w="1100" w:type="dxa"/>
          </w:tcPr>
          <w:p w:rsidR="00C01C37" w:rsidRPr="00DB7CD9" w:rsidRDefault="00C01C37" w:rsidP="0058737C">
            <w:pPr>
              <w:rPr>
                <w:rFonts w:ascii="Arial" w:hAnsi="Arial" w:cs="Arial"/>
                <w:b/>
                <w:sz w:val="18"/>
                <w:szCs w:val="18"/>
              </w:rPr>
            </w:pPr>
            <w:r w:rsidRPr="00DB7CD9">
              <w:rPr>
                <w:rFonts w:ascii="Arial" w:hAnsi="Arial" w:cs="Arial"/>
                <w:b/>
                <w:sz w:val="18"/>
                <w:szCs w:val="18"/>
              </w:rPr>
              <w:t>RM13082</w:t>
            </w:r>
          </w:p>
        </w:tc>
        <w:tc>
          <w:tcPr>
            <w:tcW w:w="1594" w:type="dxa"/>
          </w:tcPr>
          <w:p w:rsidR="00C01C37" w:rsidRPr="00DB7CD9" w:rsidRDefault="00C01C37" w:rsidP="0058737C">
            <w:pPr>
              <w:rPr>
                <w:rFonts w:ascii="Arial" w:hAnsi="Arial" w:cs="Arial"/>
                <w:sz w:val="18"/>
                <w:szCs w:val="18"/>
              </w:rPr>
            </w:pPr>
            <w:r w:rsidRPr="00DB7CD9">
              <w:rPr>
                <w:rFonts w:ascii="Arial" w:hAnsi="Arial" w:cs="Arial"/>
                <w:sz w:val="18"/>
                <w:szCs w:val="18"/>
              </w:rPr>
              <w:t>Grinding building corner</w:t>
            </w:r>
          </w:p>
        </w:tc>
        <w:tc>
          <w:tcPr>
            <w:tcW w:w="1145" w:type="dxa"/>
          </w:tcPr>
          <w:p w:rsidR="00C01C37" w:rsidRPr="00DB7CD9" w:rsidRDefault="00C01C37" w:rsidP="0058737C">
            <w:pPr>
              <w:rPr>
                <w:rFonts w:ascii="Arial" w:hAnsi="Arial" w:cs="Arial"/>
                <w:sz w:val="18"/>
                <w:szCs w:val="18"/>
              </w:rPr>
            </w:pPr>
            <w:r>
              <w:rPr>
                <w:rFonts w:ascii="Arial" w:hAnsi="Arial" w:cs="Arial"/>
                <w:sz w:val="18"/>
                <w:szCs w:val="18"/>
              </w:rPr>
              <w:t>13/12/2013 7/12/2013</w:t>
            </w:r>
          </w:p>
        </w:tc>
        <w:tc>
          <w:tcPr>
            <w:tcW w:w="1093" w:type="dxa"/>
          </w:tcPr>
          <w:p w:rsidR="00C01C37" w:rsidRPr="00DB7CD9" w:rsidRDefault="00C01C37" w:rsidP="0058737C">
            <w:pPr>
              <w:rPr>
                <w:rFonts w:ascii="Arial" w:hAnsi="Arial" w:cs="Arial"/>
                <w:sz w:val="18"/>
                <w:szCs w:val="18"/>
              </w:rPr>
            </w:pPr>
            <w:r w:rsidRPr="00DB7CD9">
              <w:rPr>
                <w:rFonts w:ascii="Arial" w:hAnsi="Arial" w:cs="Arial"/>
                <w:sz w:val="18"/>
                <w:szCs w:val="18"/>
              </w:rPr>
              <w:t xml:space="preserve">-12.6834, </w:t>
            </w:r>
            <w:r>
              <w:rPr>
                <w:rFonts w:ascii="Arial" w:hAnsi="Arial" w:cs="Arial"/>
                <w:sz w:val="18"/>
                <w:szCs w:val="18"/>
              </w:rPr>
              <w:t xml:space="preserve"> </w:t>
            </w:r>
            <w:r w:rsidRPr="00DB7CD9">
              <w:rPr>
                <w:rFonts w:ascii="Arial" w:hAnsi="Arial" w:cs="Arial"/>
                <w:sz w:val="18"/>
                <w:szCs w:val="18"/>
              </w:rPr>
              <w:t>132.923</w:t>
            </w:r>
          </w:p>
        </w:tc>
        <w:tc>
          <w:tcPr>
            <w:tcW w:w="1400" w:type="dxa"/>
          </w:tcPr>
          <w:p w:rsidR="00C01C37" w:rsidRPr="00DB7CD9" w:rsidRDefault="00C01C37" w:rsidP="0058737C">
            <w:pPr>
              <w:rPr>
                <w:rFonts w:ascii="Arial" w:hAnsi="Arial" w:cs="Arial"/>
                <w:sz w:val="18"/>
                <w:szCs w:val="18"/>
              </w:rPr>
            </w:pPr>
            <w:r w:rsidRPr="00DB7CD9">
              <w:rPr>
                <w:rFonts w:ascii="Arial" w:hAnsi="Arial" w:cs="Arial"/>
                <w:sz w:val="18"/>
                <w:szCs w:val="18"/>
              </w:rPr>
              <w:t>274473, 8596977</w:t>
            </w:r>
          </w:p>
        </w:tc>
        <w:tc>
          <w:tcPr>
            <w:tcW w:w="756" w:type="dxa"/>
          </w:tcPr>
          <w:p w:rsidR="00C01C37" w:rsidRPr="00DB7CD9" w:rsidRDefault="00C01C37" w:rsidP="0058737C">
            <w:pPr>
              <w:jc w:val="center"/>
              <w:rPr>
                <w:rFonts w:ascii="Arial" w:hAnsi="Arial" w:cs="Arial"/>
                <w:sz w:val="18"/>
                <w:szCs w:val="18"/>
              </w:rPr>
            </w:pPr>
            <w:r>
              <w:rPr>
                <w:rFonts w:ascii="Arial" w:hAnsi="Arial" w:cs="Arial"/>
                <w:sz w:val="18"/>
                <w:szCs w:val="18"/>
              </w:rPr>
              <w:t>65.99</w:t>
            </w:r>
          </w:p>
        </w:tc>
        <w:tc>
          <w:tcPr>
            <w:tcW w:w="709" w:type="dxa"/>
          </w:tcPr>
          <w:p w:rsidR="00C01C37" w:rsidRPr="00DB7CD9" w:rsidRDefault="00C01C37" w:rsidP="0058737C">
            <w:pPr>
              <w:jc w:val="center"/>
              <w:rPr>
                <w:rFonts w:ascii="Arial" w:hAnsi="Arial" w:cs="Arial"/>
                <w:sz w:val="18"/>
                <w:szCs w:val="18"/>
              </w:rPr>
            </w:pPr>
            <w:r>
              <w:rPr>
                <w:rFonts w:ascii="Arial" w:hAnsi="Arial" w:cs="Arial"/>
                <w:sz w:val="18"/>
                <w:szCs w:val="18"/>
              </w:rPr>
              <w:t>27.69</w:t>
            </w:r>
          </w:p>
        </w:tc>
      </w:tr>
    </w:tbl>
    <w:p w:rsidR="00C01C37" w:rsidRDefault="00C01C37" w:rsidP="00C01C37"/>
    <w:p w:rsidR="00C01C37" w:rsidRDefault="00D016A4" w:rsidP="00C01C37">
      <w:r>
        <w:rPr>
          <w:noProof/>
          <w:lang w:eastAsia="en-AU"/>
        </w:rPr>
        <w:drawing>
          <wp:inline distT="0" distB="0" distL="0" distR="0">
            <wp:extent cx="5274310" cy="4765675"/>
            <wp:effectExtent l="19050" t="0" r="2540" b="0"/>
            <wp:docPr id="37" name="Picture 36" descr="ERASamp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ASamples.png"/>
                    <pic:cNvPicPr/>
                  </pic:nvPicPr>
                  <pic:blipFill>
                    <a:blip r:embed="rId103" cstate="screen"/>
                    <a:stretch>
                      <a:fillRect/>
                    </a:stretch>
                  </pic:blipFill>
                  <pic:spPr>
                    <a:xfrm>
                      <a:off x="0" y="0"/>
                      <a:ext cx="5274310" cy="4765675"/>
                    </a:xfrm>
                    <a:prstGeom prst="rect">
                      <a:avLst/>
                    </a:prstGeom>
                  </pic:spPr>
                </pic:pic>
              </a:graphicData>
            </a:graphic>
          </wp:inline>
        </w:drawing>
      </w:r>
    </w:p>
    <w:p w:rsidR="00C01C37" w:rsidRPr="00A03E05" w:rsidRDefault="00C01C37" w:rsidP="00C01C37">
      <w:pPr>
        <w:pStyle w:val="figurecaption"/>
        <w:jc w:val="left"/>
      </w:pPr>
      <w:bookmarkStart w:id="251" w:name="_Toc390766674"/>
      <w:r w:rsidRPr="00384F32">
        <w:rPr>
          <w:b/>
        </w:rPr>
        <w:t xml:space="preserve">Figure </w:t>
      </w:r>
      <w:r w:rsidR="00384F32" w:rsidRPr="00384F32">
        <w:rPr>
          <w:b/>
        </w:rPr>
        <w:t>4.2</w:t>
      </w:r>
      <w:r w:rsidR="000D53BA">
        <w:rPr>
          <w:b/>
        </w:rPr>
        <w:t>9</w:t>
      </w:r>
      <w:r>
        <w:t xml:space="preserve"> Location of the samples collected by ERA in the morning of 7 December 2013</w:t>
      </w:r>
      <w:bookmarkEnd w:id="251"/>
      <w:r w:rsidR="00B37A86">
        <w:t>.</w:t>
      </w:r>
    </w:p>
    <w:p w:rsidR="00C01C37" w:rsidRPr="00A03E05" w:rsidRDefault="00384F32" w:rsidP="00384F32">
      <w:pPr>
        <w:pStyle w:val="Heading4"/>
      </w:pPr>
      <w:proofErr w:type="gramStart"/>
      <w:r w:rsidRPr="00247AAB">
        <w:t xml:space="preserve">4.3.1.2 </w:t>
      </w:r>
      <w:r w:rsidR="00C01C37" w:rsidRPr="00247AAB">
        <w:t xml:space="preserve"> Initial</w:t>
      </w:r>
      <w:proofErr w:type="gramEnd"/>
      <w:r w:rsidR="00C01C37" w:rsidRPr="00247AAB">
        <w:t xml:space="preserve"> radionuclide analyses results</w:t>
      </w:r>
    </w:p>
    <w:p w:rsidR="00C01C37" w:rsidRPr="00D44FC8" w:rsidRDefault="00C01C37" w:rsidP="00C01C37">
      <w:r>
        <w:t>The samples we</w:t>
      </w:r>
      <w:r w:rsidR="009748B4">
        <w:t xml:space="preserve">re received as wet slurry in the SSD </w:t>
      </w:r>
      <w:proofErr w:type="spellStart"/>
      <w:r>
        <w:t>radioanalytical</w:t>
      </w:r>
      <w:proofErr w:type="spellEnd"/>
      <w:r>
        <w:t xml:space="preserve"> lab on </w:t>
      </w:r>
      <w:r w:rsidRPr="009E6F5F">
        <w:t>13 December 2013</w:t>
      </w:r>
      <w:r>
        <w:t xml:space="preserve">. Immediately after the samples had been received, processing of the samples was started. The main purpose of sample analysis for radionuclides was to </w:t>
      </w:r>
      <w:r w:rsidR="009748B4">
        <w:t>confirm</w:t>
      </w:r>
      <w:r>
        <w:t xml:space="preserve"> </w:t>
      </w:r>
      <w:r w:rsidRPr="00D44FC8">
        <w:t>the ore grade of the material in Leach Tank 1.</w:t>
      </w:r>
      <w:r>
        <w:t xml:space="preserve"> </w:t>
      </w:r>
    </w:p>
    <w:p w:rsidR="00C01C37" w:rsidRDefault="00C01C37" w:rsidP="00C01C37">
      <w:r w:rsidRPr="00D44FC8">
        <w:t>Processing of the samples involved the following steps:</w:t>
      </w:r>
    </w:p>
    <w:p w:rsidR="00C01C37" w:rsidRDefault="00C01C37" w:rsidP="00C01C37">
      <w:pPr>
        <w:pStyle w:val="ListParagraph"/>
        <w:numPr>
          <w:ilvl w:val="0"/>
          <w:numId w:val="18"/>
        </w:numPr>
        <w:spacing w:before="120"/>
        <w:ind w:left="357" w:hanging="357"/>
      </w:pPr>
      <w:r>
        <w:t xml:space="preserve">Registering the samples in the </w:t>
      </w:r>
      <w:r w:rsidRPr="007A2893">
        <w:t xml:space="preserve">Environmental Radioactivity </w:t>
      </w:r>
      <w:r>
        <w:t>Universal Database.</w:t>
      </w:r>
    </w:p>
    <w:p w:rsidR="00C01C37" w:rsidRPr="00D44FC8" w:rsidRDefault="00C01C37" w:rsidP="00C01C37">
      <w:pPr>
        <w:pStyle w:val="ListParagraph"/>
        <w:numPr>
          <w:ilvl w:val="0"/>
          <w:numId w:val="18"/>
        </w:numPr>
        <w:spacing w:before="120"/>
        <w:ind w:left="357" w:hanging="357"/>
      </w:pPr>
      <w:r>
        <w:t>Transfer of the slurry samples into glass centrifuge tubes and c</w:t>
      </w:r>
      <w:r w:rsidRPr="00D44FC8">
        <w:t>entrifug</w:t>
      </w:r>
      <w:r>
        <w:t>ation</w:t>
      </w:r>
      <w:r w:rsidRPr="00D44FC8">
        <w:t xml:space="preserve"> at 4400 rpm </w:t>
      </w:r>
      <w:r>
        <w:t>(revolutions per minute).</w:t>
      </w:r>
    </w:p>
    <w:p w:rsidR="00C01C37" w:rsidRPr="00D44FC8" w:rsidRDefault="00C01C37" w:rsidP="00C01C37">
      <w:pPr>
        <w:pStyle w:val="ListParagraph"/>
        <w:numPr>
          <w:ilvl w:val="0"/>
          <w:numId w:val="18"/>
        </w:numPr>
        <w:spacing w:before="120"/>
        <w:ind w:left="357" w:hanging="357"/>
      </w:pPr>
      <w:r w:rsidRPr="00D44FC8">
        <w:t xml:space="preserve">Decanting the supernatant and filtration through 0.45 </w:t>
      </w:r>
      <w:r w:rsidRPr="00D44FC8">
        <w:rPr>
          <w:rFonts w:ascii="Calibri" w:hAnsi="Calibri"/>
        </w:rPr>
        <w:t>µ</w:t>
      </w:r>
      <w:r w:rsidRPr="00D44FC8">
        <w:t xml:space="preserve">m </w:t>
      </w:r>
      <w:proofErr w:type="spellStart"/>
      <w:r w:rsidRPr="00D44FC8">
        <w:t>Polyethersulfone</w:t>
      </w:r>
      <w:proofErr w:type="spellEnd"/>
      <w:r w:rsidRPr="00D44FC8">
        <w:t xml:space="preserve"> (PES) disposable filter membrane</w:t>
      </w:r>
      <w:r>
        <w:t>s</w:t>
      </w:r>
      <w:r w:rsidRPr="00D44FC8">
        <w:t xml:space="preserve"> </w:t>
      </w:r>
      <w:r>
        <w:t>followed by</w:t>
      </w:r>
      <w:r w:rsidRPr="00D44FC8">
        <w:t xml:space="preserve"> acidification of the filtered sample to 0.5% Hydrochloric acid (</w:t>
      </w:r>
      <w:proofErr w:type="spellStart"/>
      <w:r w:rsidRPr="00D44FC8">
        <w:t>HCl</w:t>
      </w:r>
      <w:proofErr w:type="spellEnd"/>
      <w:r w:rsidRPr="00D44FC8">
        <w:t>)</w:t>
      </w:r>
      <w:r>
        <w:t>.</w:t>
      </w:r>
    </w:p>
    <w:p w:rsidR="00C01C37" w:rsidRPr="00D44FC8" w:rsidRDefault="00C01C37" w:rsidP="00C01C37">
      <w:pPr>
        <w:pStyle w:val="ListParagraph"/>
        <w:numPr>
          <w:ilvl w:val="0"/>
          <w:numId w:val="18"/>
        </w:numPr>
        <w:spacing w:before="120"/>
        <w:ind w:left="357" w:hanging="357"/>
      </w:pPr>
      <w:r w:rsidRPr="00D44FC8">
        <w:t xml:space="preserve">Drying the de-wetted slurry at 60°C in Q geometry containers </w:t>
      </w:r>
      <w:r>
        <w:t>for gamma spectrometry (</w:t>
      </w:r>
      <w:proofErr w:type="spellStart"/>
      <w:r>
        <w:t>Pfitzner</w:t>
      </w:r>
      <w:proofErr w:type="spellEnd"/>
      <w:r>
        <w:t xml:space="preserve"> 2010).</w:t>
      </w:r>
    </w:p>
    <w:p w:rsidR="00C01C37" w:rsidRPr="00D44FC8" w:rsidRDefault="00C01C37" w:rsidP="00C01C37">
      <w:pPr>
        <w:pStyle w:val="ListParagraph"/>
        <w:numPr>
          <w:ilvl w:val="0"/>
          <w:numId w:val="18"/>
        </w:numPr>
        <w:spacing w:before="120"/>
        <w:ind w:left="357" w:hanging="357"/>
      </w:pPr>
      <w:r w:rsidRPr="00D44FC8">
        <w:t>Sealing the dried slurry in the Q geometry containers for gamma spectrometry analysis</w:t>
      </w:r>
      <w:r>
        <w:t>.</w:t>
      </w:r>
    </w:p>
    <w:p w:rsidR="00C01C37" w:rsidRPr="00D44FC8" w:rsidRDefault="00C01C37" w:rsidP="00C01C37">
      <w:pPr>
        <w:pStyle w:val="ListParagraph"/>
        <w:numPr>
          <w:ilvl w:val="0"/>
          <w:numId w:val="18"/>
        </w:numPr>
        <w:spacing w:before="120"/>
        <w:ind w:left="357" w:hanging="357"/>
      </w:pPr>
      <w:r w:rsidRPr="00D44FC8">
        <w:t xml:space="preserve">Performing wet chemistry </w:t>
      </w:r>
      <w:r>
        <w:t>on</w:t>
      </w:r>
      <w:r w:rsidRPr="00D44FC8">
        <w:t xml:space="preserve"> the supernatant for </w:t>
      </w:r>
      <w:r w:rsidRPr="00D44FC8">
        <w:rPr>
          <w:snapToGrid w:val="0"/>
          <w:color w:val="000000"/>
          <w:position w:val="6"/>
          <w:sz w:val="16"/>
          <w:szCs w:val="0"/>
          <w:u w:color="000000"/>
        </w:rPr>
        <w:t>226</w:t>
      </w:r>
      <w:r w:rsidRPr="00D44FC8">
        <w:t xml:space="preserve">Ra determination via the </w:t>
      </w:r>
      <w:proofErr w:type="spellStart"/>
      <w:r w:rsidRPr="00D44FC8">
        <w:t>BaSO</w:t>
      </w:r>
      <w:proofErr w:type="spellEnd"/>
      <w:r w:rsidRPr="00D44FC8">
        <w:rPr>
          <w:snapToGrid w:val="0"/>
          <w:color w:val="000000"/>
          <w:position w:val="-6"/>
          <w:sz w:val="16"/>
          <w:szCs w:val="0"/>
          <w:u w:color="000000"/>
        </w:rPr>
        <w:t>4</w:t>
      </w:r>
      <w:r w:rsidRPr="00D44FC8">
        <w:t xml:space="preserve"> method (Medley et al</w:t>
      </w:r>
      <w:r w:rsidR="00A80523">
        <w:t>.</w:t>
      </w:r>
      <w:r w:rsidRPr="00D44FC8">
        <w:t xml:space="preserve"> 2005)</w:t>
      </w:r>
      <w:r>
        <w:t>.</w:t>
      </w:r>
    </w:p>
    <w:p w:rsidR="00C01C37" w:rsidRPr="00D44FC8" w:rsidRDefault="00C01C37" w:rsidP="00C01C37">
      <w:pPr>
        <w:pStyle w:val="ListParagraph"/>
        <w:numPr>
          <w:ilvl w:val="0"/>
          <w:numId w:val="18"/>
        </w:numPr>
        <w:spacing w:before="120"/>
        <w:ind w:left="357" w:hanging="357"/>
      </w:pPr>
      <w:r w:rsidRPr="00D44FC8">
        <w:t xml:space="preserve">Dispatch of supernatant sub-samples for Inductively Coupled Plasma Mass Spectrometric </w:t>
      </w:r>
      <w:r>
        <w:t>(ICP</w:t>
      </w:r>
      <w:r w:rsidR="009748B4">
        <w:t>-</w:t>
      </w:r>
      <w:r>
        <w:t xml:space="preserve">MS) </w:t>
      </w:r>
      <w:r w:rsidRPr="00D44FC8">
        <w:t>determination of key metals.</w:t>
      </w:r>
    </w:p>
    <w:p w:rsidR="00C01C37" w:rsidRDefault="00C01C37" w:rsidP="00C01C37">
      <w:r>
        <w:t>The dried and sealed slurry samples (2 sub-samples from each orig</w:t>
      </w:r>
      <w:r w:rsidR="009748B4">
        <w:t>inal vial) were analysed on the SSD h</w:t>
      </w:r>
      <w:r>
        <w:t>igh purity germanium (</w:t>
      </w:r>
      <w:proofErr w:type="spellStart"/>
      <w:r>
        <w:t>HPGe</w:t>
      </w:r>
      <w:proofErr w:type="spellEnd"/>
      <w:r>
        <w:t>) detectors (Murray et al</w:t>
      </w:r>
      <w:r w:rsidR="00A80523">
        <w:t>.</w:t>
      </w:r>
      <w:r>
        <w:t xml:space="preserve"> 1987; </w:t>
      </w:r>
      <w:proofErr w:type="spellStart"/>
      <w:r>
        <w:t>Pfitzner</w:t>
      </w:r>
      <w:proofErr w:type="spellEnd"/>
      <w:r>
        <w:t xml:space="preserve"> 2010) on 16 December 2013, to get an initial estimate of the ore grade. The results of the preliminary analyses are shown in </w:t>
      </w:r>
      <w:r w:rsidRPr="00262ED9">
        <w:t>Tabl</w:t>
      </w:r>
      <w:r w:rsidR="000D53BA" w:rsidRPr="00262ED9">
        <w:t>e 4.8</w:t>
      </w:r>
      <w:r w:rsidRPr="00262ED9">
        <w:t>.</w:t>
      </w:r>
    </w:p>
    <w:p w:rsidR="00C01C37" w:rsidRDefault="00C01C37" w:rsidP="00C01C37">
      <w:r>
        <w:t xml:space="preserve">It is important to note that immediate measurement, not allowing for appropriate </w:t>
      </w:r>
      <w:proofErr w:type="spellStart"/>
      <w:r>
        <w:t>ingrowth</w:t>
      </w:r>
      <w:proofErr w:type="spellEnd"/>
      <w:r>
        <w:t xml:space="preserve"> times for radon decay products, will underestimate the activity concentration of </w:t>
      </w:r>
      <w:r w:rsidRPr="004272CC">
        <w:rPr>
          <w:snapToGrid w:val="0"/>
          <w:color w:val="000000"/>
          <w:position w:val="6"/>
          <w:sz w:val="16"/>
          <w:szCs w:val="0"/>
          <w:u w:color="000000"/>
        </w:rPr>
        <w:t>226</w:t>
      </w:r>
      <w:r>
        <w:t xml:space="preserve">Ra. This is because the activity of </w:t>
      </w:r>
      <w:r w:rsidRPr="004272CC">
        <w:rPr>
          <w:snapToGrid w:val="0"/>
          <w:color w:val="000000"/>
          <w:position w:val="6"/>
          <w:sz w:val="16"/>
          <w:szCs w:val="0"/>
          <w:u w:color="000000"/>
        </w:rPr>
        <w:t>226</w:t>
      </w:r>
      <w:r>
        <w:t xml:space="preserve">Ra in a dried and pressed soil sample is conventionally estimated from the activity of radon decay products, after an </w:t>
      </w:r>
      <w:proofErr w:type="spellStart"/>
      <w:r>
        <w:t>ingrowth</w:t>
      </w:r>
      <w:proofErr w:type="spellEnd"/>
      <w:r>
        <w:t xml:space="preserve"> time of three weeks, to allow radon decay products to reach secular equilibrium with their progenitor, </w:t>
      </w:r>
      <w:r w:rsidRPr="00BC0FCF">
        <w:rPr>
          <w:snapToGrid w:val="0"/>
          <w:color w:val="000000"/>
          <w:position w:val="6"/>
          <w:sz w:val="16"/>
          <w:szCs w:val="0"/>
          <w:u w:color="000000"/>
        </w:rPr>
        <w:t>226</w:t>
      </w:r>
      <w:r>
        <w:t xml:space="preserve">Ra (Murray et al 1987). In contrast, the </w:t>
      </w:r>
      <w:r w:rsidRPr="004272CC">
        <w:rPr>
          <w:snapToGrid w:val="0"/>
          <w:color w:val="000000"/>
          <w:position w:val="6"/>
          <w:sz w:val="16"/>
          <w:szCs w:val="0"/>
          <w:u w:color="000000"/>
        </w:rPr>
        <w:t>238</w:t>
      </w:r>
      <w:r>
        <w:t xml:space="preserve">U activity will be overestimated, because its measurement is based on a measurement of the </w:t>
      </w:r>
      <w:r w:rsidRPr="004272CC">
        <w:rPr>
          <w:snapToGrid w:val="0"/>
          <w:color w:val="000000"/>
          <w:position w:val="6"/>
          <w:sz w:val="16"/>
          <w:szCs w:val="0"/>
          <w:u w:color="000000"/>
        </w:rPr>
        <w:t>235</w:t>
      </w:r>
      <w:r>
        <w:t xml:space="preserve">U activity at 186 </w:t>
      </w:r>
      <w:proofErr w:type="spellStart"/>
      <w:r>
        <w:t>keV</w:t>
      </w:r>
      <w:proofErr w:type="spellEnd"/>
      <w:r>
        <w:t xml:space="preserve">, which is corrected for the contribution of gamma rays from </w:t>
      </w:r>
      <w:r w:rsidRPr="00613400">
        <w:rPr>
          <w:snapToGrid w:val="0"/>
          <w:color w:val="000000"/>
          <w:position w:val="6"/>
          <w:sz w:val="16"/>
          <w:szCs w:val="0"/>
          <w:u w:color="000000"/>
        </w:rPr>
        <w:t>226</w:t>
      </w:r>
      <w:r>
        <w:t>Ra at the same energy (</w:t>
      </w:r>
      <w:proofErr w:type="spellStart"/>
      <w:r>
        <w:t>Esparon</w:t>
      </w:r>
      <w:proofErr w:type="spellEnd"/>
      <w:r>
        <w:t xml:space="preserve"> &amp; </w:t>
      </w:r>
      <w:proofErr w:type="spellStart"/>
      <w:r>
        <w:t>Pfitzner</w:t>
      </w:r>
      <w:proofErr w:type="spellEnd"/>
      <w:r>
        <w:t xml:space="preserve"> 2009; </w:t>
      </w:r>
      <w:proofErr w:type="spellStart"/>
      <w:r>
        <w:t>Pfitzner</w:t>
      </w:r>
      <w:proofErr w:type="spellEnd"/>
      <w:r>
        <w:t xml:space="preserve"> 2010). This will result in an under</w:t>
      </w:r>
      <w:r w:rsidR="004C7972">
        <w:t>-</w:t>
      </w:r>
      <w:r>
        <w:t xml:space="preserve">correction of the </w:t>
      </w:r>
      <w:r w:rsidRPr="00613400">
        <w:rPr>
          <w:snapToGrid w:val="0"/>
          <w:color w:val="000000"/>
          <w:position w:val="6"/>
          <w:sz w:val="16"/>
          <w:szCs w:val="0"/>
          <w:u w:color="000000"/>
        </w:rPr>
        <w:t>23</w:t>
      </w:r>
      <w:r>
        <w:rPr>
          <w:snapToGrid w:val="0"/>
          <w:color w:val="000000"/>
          <w:position w:val="6"/>
          <w:sz w:val="16"/>
          <w:szCs w:val="0"/>
          <w:u w:color="000000"/>
        </w:rPr>
        <w:t>5</w:t>
      </w:r>
      <w:r>
        <w:t xml:space="preserve">U activity concentration in the samples and consequently higher estimated </w:t>
      </w:r>
      <w:r w:rsidRPr="00BF71D3">
        <w:rPr>
          <w:snapToGrid w:val="0"/>
          <w:color w:val="000000"/>
          <w:position w:val="6"/>
          <w:sz w:val="16"/>
          <w:szCs w:val="0"/>
          <w:u w:color="000000"/>
        </w:rPr>
        <w:t>238</w:t>
      </w:r>
      <w:r>
        <w:t>U activity concentrations.</w:t>
      </w:r>
    </w:p>
    <w:p w:rsidR="00C01C37" w:rsidRDefault="00C01C37" w:rsidP="00C01C37">
      <w:r>
        <w:t xml:space="preserve">In addition, radionuclides will dissolve through the addition of the dilute sulphuric acid, and this dissolved fraction was not accounted for in the initial results of the dried material. The supernatant has been decanted after centrifugation and before the samples were dried and sealed. The decanted solution has been filtered and analysed separately, using alpha spectrometry methods for </w:t>
      </w:r>
      <w:r w:rsidRPr="003639FE">
        <w:rPr>
          <w:snapToGrid w:val="0"/>
          <w:color w:val="000000"/>
          <w:position w:val="6"/>
          <w:sz w:val="16"/>
          <w:szCs w:val="0"/>
          <w:u w:color="000000"/>
        </w:rPr>
        <w:t>226</w:t>
      </w:r>
      <w:r>
        <w:t xml:space="preserve">Ra (Medley et </w:t>
      </w:r>
      <w:r w:rsidR="00262ED9">
        <w:t>al</w:t>
      </w:r>
      <w:r w:rsidR="00A80523">
        <w:t>.</w:t>
      </w:r>
      <w:r w:rsidR="00262ED9">
        <w:t xml:space="preserve"> 2005) and ICP</w:t>
      </w:r>
      <w:r w:rsidR="009748B4">
        <w:t>-</w:t>
      </w:r>
      <w:r w:rsidR="00262ED9">
        <w:t>MS for uranium.</w:t>
      </w:r>
    </w:p>
    <w:p w:rsidR="00B37A86" w:rsidRDefault="00B37A86" w:rsidP="00C01C37"/>
    <w:p w:rsidR="00C01C37" w:rsidRPr="00A03E05" w:rsidRDefault="00384F32" w:rsidP="00C01C37">
      <w:pPr>
        <w:pStyle w:val="tablecaption"/>
      </w:pPr>
      <w:bookmarkStart w:id="252" w:name="_Toc390766616"/>
      <w:r w:rsidRPr="00384F32">
        <w:rPr>
          <w:b/>
        </w:rPr>
        <w:t>Table 4.</w:t>
      </w:r>
      <w:r w:rsidR="000D53BA">
        <w:rPr>
          <w:b/>
        </w:rPr>
        <w:t>8</w:t>
      </w:r>
      <w:r w:rsidR="00C01C37" w:rsidRPr="00A03E05">
        <w:t xml:space="preserve"> </w:t>
      </w:r>
      <w:r w:rsidR="00C01C37">
        <w:t>Initial r</w:t>
      </w:r>
      <w:r w:rsidR="00C01C37" w:rsidRPr="00A03E05">
        <w:t>esults of radionuclide analysis</w:t>
      </w:r>
      <w:r w:rsidR="00C01C37">
        <w:t xml:space="preserve"> (in </w:t>
      </w:r>
      <w:proofErr w:type="spellStart"/>
      <w:r w:rsidR="00C01C37">
        <w:t>Bq</w:t>
      </w:r>
      <w:proofErr w:type="spellEnd"/>
      <w:r w:rsidR="00C01C37">
        <w:t>/g)</w:t>
      </w:r>
      <w:r w:rsidR="00C01C37" w:rsidRPr="00A03E05">
        <w:t xml:space="preserve"> </w:t>
      </w:r>
      <w:r w:rsidR="00C01C37">
        <w:t>and ore grade (% U</w:t>
      </w:r>
      <w:r w:rsidR="00C01C37" w:rsidRPr="003507CB">
        <w:rPr>
          <w:snapToGrid w:val="0"/>
          <w:color w:val="000000"/>
          <w:position w:val="-4"/>
          <w:sz w:val="12"/>
          <w:szCs w:val="0"/>
          <w:u w:color="000000"/>
        </w:rPr>
        <w:t>3</w:t>
      </w:r>
      <w:r w:rsidR="00C01C37">
        <w:t>O</w:t>
      </w:r>
      <w:r w:rsidR="00C01C37" w:rsidRPr="003507CB">
        <w:rPr>
          <w:snapToGrid w:val="0"/>
          <w:color w:val="000000"/>
          <w:position w:val="-4"/>
          <w:sz w:val="12"/>
          <w:szCs w:val="0"/>
          <w:u w:color="000000"/>
        </w:rPr>
        <w:t>8</w:t>
      </w:r>
      <w:r w:rsidR="00C01C37">
        <w:t xml:space="preserve">) </w:t>
      </w:r>
      <w:r w:rsidR="00C01C37" w:rsidRPr="00A03E05">
        <w:t xml:space="preserve">in the </w:t>
      </w:r>
      <w:r w:rsidR="00C01C37">
        <w:t>dried slurry</w:t>
      </w:r>
      <w:r w:rsidR="00C01C37" w:rsidRPr="00A03E05">
        <w:t xml:space="preserve"> samples</w:t>
      </w:r>
      <w:r w:rsidR="00C01C37">
        <w:t>.</w:t>
      </w:r>
      <w:bookmarkEnd w:id="252"/>
      <w:r w:rsidR="00C01C37">
        <w:t xml:space="preserve"> </w:t>
      </w:r>
    </w:p>
    <w:tbl>
      <w:tblPr>
        <w:tblStyle w:val="TableGrid"/>
        <w:tblW w:w="0" w:type="auto"/>
        <w:tblLook w:val="04A0"/>
      </w:tblPr>
      <w:tblGrid>
        <w:gridCol w:w="1384"/>
        <w:gridCol w:w="1276"/>
        <w:gridCol w:w="1134"/>
        <w:gridCol w:w="992"/>
        <w:gridCol w:w="1276"/>
        <w:gridCol w:w="992"/>
        <w:gridCol w:w="1134"/>
      </w:tblGrid>
      <w:tr w:rsidR="00C01C37" w:rsidRPr="00337ABB" w:rsidTr="0058737C">
        <w:tc>
          <w:tcPr>
            <w:tcW w:w="1384" w:type="dxa"/>
          </w:tcPr>
          <w:p w:rsidR="00C01C37" w:rsidRPr="00337ABB" w:rsidRDefault="00C01C37" w:rsidP="0058737C">
            <w:pPr>
              <w:rPr>
                <w:rFonts w:ascii="Arial" w:hAnsi="Arial" w:cs="Arial"/>
                <w:b/>
                <w:sz w:val="18"/>
                <w:szCs w:val="18"/>
              </w:rPr>
            </w:pPr>
            <w:r w:rsidRPr="00337ABB">
              <w:rPr>
                <w:rFonts w:ascii="Arial" w:hAnsi="Arial" w:cs="Arial"/>
                <w:b/>
                <w:sz w:val="18"/>
                <w:szCs w:val="18"/>
              </w:rPr>
              <w:t>Sample ID</w:t>
            </w:r>
          </w:p>
        </w:tc>
        <w:tc>
          <w:tcPr>
            <w:tcW w:w="1276" w:type="dxa"/>
          </w:tcPr>
          <w:p w:rsidR="00C01C37" w:rsidRPr="00337ABB" w:rsidRDefault="00C01C37" w:rsidP="0058737C">
            <w:pPr>
              <w:rPr>
                <w:rFonts w:ascii="Arial" w:hAnsi="Arial" w:cs="Arial"/>
                <w:b/>
                <w:sz w:val="18"/>
                <w:szCs w:val="18"/>
              </w:rPr>
            </w:pPr>
            <w:r w:rsidRPr="00337ABB">
              <w:rPr>
                <w:rFonts w:ascii="Arial" w:hAnsi="Arial"/>
                <w:b/>
                <w:snapToGrid w:val="0"/>
                <w:color w:val="000000"/>
                <w:position w:val="4"/>
                <w:sz w:val="12"/>
                <w:szCs w:val="0"/>
                <w:u w:color="000000"/>
              </w:rPr>
              <w:t>238</w:t>
            </w:r>
            <w:r w:rsidRPr="00337ABB">
              <w:rPr>
                <w:rFonts w:ascii="Arial" w:hAnsi="Arial" w:cs="Arial"/>
                <w:b/>
                <w:sz w:val="18"/>
                <w:szCs w:val="18"/>
              </w:rPr>
              <w:t>U</w:t>
            </w:r>
          </w:p>
        </w:tc>
        <w:tc>
          <w:tcPr>
            <w:tcW w:w="1134" w:type="dxa"/>
          </w:tcPr>
          <w:p w:rsidR="00C01C37" w:rsidRPr="00337ABB" w:rsidRDefault="00C01C37" w:rsidP="0058737C">
            <w:pPr>
              <w:rPr>
                <w:rFonts w:ascii="Arial" w:hAnsi="Arial" w:cs="Arial"/>
                <w:b/>
                <w:sz w:val="18"/>
                <w:szCs w:val="18"/>
              </w:rPr>
            </w:pPr>
            <w:r w:rsidRPr="00337ABB">
              <w:rPr>
                <w:rFonts w:ascii="Arial" w:hAnsi="Arial"/>
                <w:b/>
                <w:snapToGrid w:val="0"/>
                <w:color w:val="000000"/>
                <w:position w:val="4"/>
                <w:sz w:val="12"/>
                <w:szCs w:val="0"/>
                <w:u w:color="000000"/>
              </w:rPr>
              <w:t>230</w:t>
            </w:r>
            <w:proofErr w:type="spellStart"/>
            <w:r w:rsidRPr="00337ABB">
              <w:rPr>
                <w:rFonts w:ascii="Arial" w:hAnsi="Arial" w:cs="Arial"/>
                <w:b/>
                <w:sz w:val="18"/>
                <w:szCs w:val="18"/>
              </w:rPr>
              <w:t>Th</w:t>
            </w:r>
            <w:proofErr w:type="spellEnd"/>
          </w:p>
        </w:tc>
        <w:tc>
          <w:tcPr>
            <w:tcW w:w="992" w:type="dxa"/>
          </w:tcPr>
          <w:p w:rsidR="00C01C37" w:rsidRPr="00337ABB" w:rsidRDefault="00C01C37" w:rsidP="0058737C">
            <w:pPr>
              <w:rPr>
                <w:rFonts w:ascii="Arial" w:hAnsi="Arial" w:cs="Arial"/>
                <w:b/>
                <w:sz w:val="18"/>
                <w:szCs w:val="18"/>
              </w:rPr>
            </w:pPr>
            <w:r w:rsidRPr="00337ABB">
              <w:rPr>
                <w:rFonts w:ascii="Arial" w:hAnsi="Arial"/>
                <w:b/>
                <w:snapToGrid w:val="0"/>
                <w:color w:val="000000"/>
                <w:position w:val="4"/>
                <w:sz w:val="12"/>
                <w:szCs w:val="0"/>
                <w:u w:color="000000"/>
              </w:rPr>
              <w:t>226</w:t>
            </w:r>
            <w:r w:rsidRPr="00337ABB">
              <w:rPr>
                <w:rFonts w:ascii="Arial" w:hAnsi="Arial" w:cs="Arial"/>
                <w:b/>
                <w:sz w:val="18"/>
                <w:szCs w:val="18"/>
              </w:rPr>
              <w:t>Ra</w:t>
            </w:r>
          </w:p>
        </w:tc>
        <w:tc>
          <w:tcPr>
            <w:tcW w:w="1276" w:type="dxa"/>
          </w:tcPr>
          <w:p w:rsidR="00C01C37" w:rsidRPr="00337ABB" w:rsidRDefault="00C01C37" w:rsidP="0058737C">
            <w:pPr>
              <w:rPr>
                <w:rFonts w:ascii="Arial" w:hAnsi="Arial" w:cs="Arial"/>
                <w:b/>
                <w:sz w:val="18"/>
                <w:szCs w:val="18"/>
              </w:rPr>
            </w:pPr>
            <w:r w:rsidRPr="00337ABB">
              <w:rPr>
                <w:rFonts w:ascii="Arial" w:hAnsi="Arial"/>
                <w:b/>
                <w:snapToGrid w:val="0"/>
                <w:color w:val="000000"/>
                <w:position w:val="4"/>
                <w:sz w:val="12"/>
                <w:szCs w:val="0"/>
                <w:u w:color="000000"/>
              </w:rPr>
              <w:t>210</w:t>
            </w:r>
            <w:proofErr w:type="spellStart"/>
            <w:r w:rsidRPr="00337ABB">
              <w:rPr>
                <w:rFonts w:ascii="Arial" w:hAnsi="Arial" w:cs="Arial"/>
                <w:b/>
                <w:sz w:val="18"/>
                <w:szCs w:val="18"/>
              </w:rPr>
              <w:t>Pb</w:t>
            </w:r>
            <w:proofErr w:type="spellEnd"/>
          </w:p>
        </w:tc>
        <w:tc>
          <w:tcPr>
            <w:tcW w:w="992" w:type="dxa"/>
          </w:tcPr>
          <w:p w:rsidR="00C01C37" w:rsidRPr="00337ABB" w:rsidRDefault="00C01C37" w:rsidP="0058737C">
            <w:pPr>
              <w:rPr>
                <w:rFonts w:ascii="Arial" w:hAnsi="Arial" w:cs="Arial"/>
                <w:b/>
                <w:sz w:val="18"/>
                <w:szCs w:val="18"/>
              </w:rPr>
            </w:pPr>
            <w:r w:rsidRPr="00337ABB">
              <w:rPr>
                <w:rFonts w:ascii="Arial" w:hAnsi="Arial" w:cs="Arial"/>
                <w:b/>
                <w:sz w:val="18"/>
                <w:szCs w:val="18"/>
              </w:rPr>
              <w:t>average</w:t>
            </w:r>
          </w:p>
        </w:tc>
        <w:tc>
          <w:tcPr>
            <w:tcW w:w="1134" w:type="dxa"/>
          </w:tcPr>
          <w:p w:rsidR="00C01C37" w:rsidRPr="00337ABB" w:rsidRDefault="00C01C37" w:rsidP="0058737C">
            <w:pPr>
              <w:rPr>
                <w:rFonts w:ascii="Arial" w:hAnsi="Arial" w:cs="Arial"/>
                <w:b/>
                <w:sz w:val="18"/>
                <w:szCs w:val="18"/>
              </w:rPr>
            </w:pPr>
            <w:r w:rsidRPr="00337ABB">
              <w:rPr>
                <w:rFonts w:ascii="Arial" w:hAnsi="Arial" w:cs="Arial"/>
                <w:b/>
                <w:sz w:val="18"/>
                <w:szCs w:val="18"/>
              </w:rPr>
              <w:t>Ore grade</w:t>
            </w:r>
          </w:p>
        </w:tc>
      </w:tr>
      <w:tr w:rsidR="00C01C37" w:rsidRPr="00735DFC" w:rsidTr="0058737C">
        <w:tc>
          <w:tcPr>
            <w:tcW w:w="1384" w:type="dxa"/>
          </w:tcPr>
          <w:p w:rsidR="00C01C37" w:rsidRPr="00337ABB" w:rsidRDefault="00C01C37" w:rsidP="0058737C">
            <w:pPr>
              <w:rPr>
                <w:rFonts w:ascii="Arial" w:hAnsi="Arial" w:cs="Arial"/>
                <w:b/>
                <w:sz w:val="18"/>
                <w:szCs w:val="18"/>
              </w:rPr>
            </w:pPr>
            <w:r w:rsidRPr="00337ABB">
              <w:rPr>
                <w:rFonts w:ascii="Arial" w:hAnsi="Arial" w:cs="Arial"/>
                <w:b/>
                <w:sz w:val="18"/>
                <w:szCs w:val="18"/>
              </w:rPr>
              <w:t>RM13080a</w:t>
            </w:r>
          </w:p>
        </w:tc>
        <w:tc>
          <w:tcPr>
            <w:tcW w:w="1276"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13.3±0.4</w:t>
            </w:r>
          </w:p>
        </w:tc>
        <w:tc>
          <w:tcPr>
            <w:tcW w:w="1134"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15.9±2.6</w:t>
            </w:r>
          </w:p>
        </w:tc>
        <w:tc>
          <w:tcPr>
            <w:tcW w:w="992"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17.7±0.2</w:t>
            </w:r>
          </w:p>
        </w:tc>
        <w:tc>
          <w:tcPr>
            <w:tcW w:w="1276"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23.7±0.6</w:t>
            </w:r>
          </w:p>
        </w:tc>
        <w:tc>
          <w:tcPr>
            <w:tcW w:w="992" w:type="dxa"/>
            <w:vAlign w:val="bottom"/>
          </w:tcPr>
          <w:p w:rsidR="00C01C37" w:rsidRPr="00735DFC" w:rsidRDefault="00C01C37" w:rsidP="0058737C">
            <w:pPr>
              <w:jc w:val="center"/>
              <w:rPr>
                <w:rFonts w:ascii="Arial" w:hAnsi="Arial" w:cs="Arial"/>
                <w:color w:val="000000"/>
                <w:sz w:val="18"/>
                <w:szCs w:val="18"/>
              </w:rPr>
            </w:pPr>
          </w:p>
        </w:tc>
        <w:tc>
          <w:tcPr>
            <w:tcW w:w="1134" w:type="dxa"/>
            <w:vAlign w:val="bottom"/>
          </w:tcPr>
          <w:p w:rsidR="00C01C37" w:rsidRPr="00735DFC" w:rsidRDefault="00C01C37" w:rsidP="0058737C">
            <w:pPr>
              <w:jc w:val="center"/>
              <w:rPr>
                <w:rFonts w:ascii="Arial" w:hAnsi="Arial" w:cs="Arial"/>
                <w:color w:val="000000"/>
                <w:sz w:val="18"/>
                <w:szCs w:val="18"/>
              </w:rPr>
            </w:pPr>
          </w:p>
        </w:tc>
      </w:tr>
      <w:tr w:rsidR="00C01C37" w:rsidRPr="00735DFC" w:rsidTr="0058737C">
        <w:tc>
          <w:tcPr>
            <w:tcW w:w="1384" w:type="dxa"/>
          </w:tcPr>
          <w:p w:rsidR="00C01C37" w:rsidRPr="00337ABB" w:rsidRDefault="00C01C37" w:rsidP="0058737C">
            <w:pPr>
              <w:rPr>
                <w:rFonts w:ascii="Arial" w:hAnsi="Arial" w:cs="Arial"/>
                <w:b/>
                <w:sz w:val="18"/>
                <w:szCs w:val="18"/>
              </w:rPr>
            </w:pPr>
            <w:r w:rsidRPr="00337ABB">
              <w:rPr>
                <w:rFonts w:ascii="Arial" w:hAnsi="Arial" w:cs="Arial"/>
                <w:b/>
                <w:sz w:val="18"/>
                <w:szCs w:val="18"/>
              </w:rPr>
              <w:t>RM13080b</w:t>
            </w:r>
          </w:p>
        </w:tc>
        <w:tc>
          <w:tcPr>
            <w:tcW w:w="1276"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13.9±0.5</w:t>
            </w:r>
          </w:p>
        </w:tc>
        <w:tc>
          <w:tcPr>
            <w:tcW w:w="1134"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15.7±3.1</w:t>
            </w:r>
          </w:p>
        </w:tc>
        <w:tc>
          <w:tcPr>
            <w:tcW w:w="992"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16.9±0.2</w:t>
            </w:r>
          </w:p>
        </w:tc>
        <w:tc>
          <w:tcPr>
            <w:tcW w:w="1276"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21.7±0.7</w:t>
            </w:r>
          </w:p>
        </w:tc>
        <w:tc>
          <w:tcPr>
            <w:tcW w:w="992" w:type="dxa"/>
            <w:vAlign w:val="bottom"/>
          </w:tcPr>
          <w:p w:rsidR="00C01C37" w:rsidRPr="00735DFC" w:rsidRDefault="00C01C37" w:rsidP="0058737C">
            <w:pPr>
              <w:jc w:val="center"/>
              <w:rPr>
                <w:rFonts w:ascii="Arial" w:hAnsi="Arial" w:cs="Arial"/>
                <w:color w:val="000000"/>
                <w:sz w:val="18"/>
                <w:szCs w:val="18"/>
              </w:rPr>
            </w:pPr>
            <w:r>
              <w:rPr>
                <w:rFonts w:ascii="Arial" w:hAnsi="Arial" w:cs="Arial"/>
                <w:color w:val="000000"/>
                <w:sz w:val="18"/>
                <w:szCs w:val="18"/>
              </w:rPr>
              <w:t>17.3</w:t>
            </w:r>
            <w:r w:rsidRPr="00735DFC">
              <w:rPr>
                <w:rFonts w:ascii="Arial" w:hAnsi="Arial" w:cs="Arial"/>
                <w:color w:val="000000"/>
                <w:sz w:val="18"/>
                <w:szCs w:val="18"/>
              </w:rPr>
              <w:t>±</w:t>
            </w:r>
            <w:r>
              <w:rPr>
                <w:rFonts w:ascii="Arial" w:hAnsi="Arial" w:cs="Arial"/>
                <w:color w:val="000000"/>
                <w:sz w:val="18"/>
                <w:szCs w:val="18"/>
              </w:rPr>
              <w:t>3.9</w:t>
            </w:r>
          </w:p>
        </w:tc>
        <w:tc>
          <w:tcPr>
            <w:tcW w:w="1134" w:type="dxa"/>
            <w:vAlign w:val="bottom"/>
          </w:tcPr>
          <w:p w:rsidR="00C01C37" w:rsidRPr="00735DFC" w:rsidRDefault="00C01C37" w:rsidP="0058737C">
            <w:pPr>
              <w:jc w:val="center"/>
              <w:rPr>
                <w:rFonts w:ascii="Arial" w:hAnsi="Arial" w:cs="Arial"/>
                <w:color w:val="000000"/>
                <w:sz w:val="18"/>
                <w:szCs w:val="18"/>
              </w:rPr>
            </w:pPr>
            <w:r>
              <w:rPr>
                <w:rFonts w:ascii="Arial" w:hAnsi="Arial" w:cs="Arial"/>
                <w:color w:val="000000"/>
                <w:sz w:val="18"/>
                <w:szCs w:val="18"/>
              </w:rPr>
              <w:t>0.166</w:t>
            </w:r>
          </w:p>
        </w:tc>
      </w:tr>
      <w:tr w:rsidR="00C01C37" w:rsidRPr="00735DFC" w:rsidTr="0058737C">
        <w:tc>
          <w:tcPr>
            <w:tcW w:w="1384" w:type="dxa"/>
          </w:tcPr>
          <w:p w:rsidR="00C01C37" w:rsidRPr="00337ABB" w:rsidRDefault="00C01C37" w:rsidP="0058737C">
            <w:pPr>
              <w:rPr>
                <w:rFonts w:ascii="Arial" w:hAnsi="Arial" w:cs="Arial"/>
                <w:b/>
                <w:sz w:val="18"/>
                <w:szCs w:val="18"/>
              </w:rPr>
            </w:pPr>
            <w:r w:rsidRPr="00337ABB">
              <w:rPr>
                <w:rFonts w:ascii="Arial" w:hAnsi="Arial" w:cs="Arial"/>
                <w:b/>
                <w:sz w:val="18"/>
                <w:szCs w:val="18"/>
              </w:rPr>
              <w:t>RM13081a</w:t>
            </w:r>
          </w:p>
        </w:tc>
        <w:tc>
          <w:tcPr>
            <w:tcW w:w="1276"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13.4±0.5</w:t>
            </w:r>
          </w:p>
        </w:tc>
        <w:tc>
          <w:tcPr>
            <w:tcW w:w="1134"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12.1±2.9</w:t>
            </w:r>
          </w:p>
        </w:tc>
        <w:tc>
          <w:tcPr>
            <w:tcW w:w="992"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18.4±0.2</w:t>
            </w:r>
          </w:p>
        </w:tc>
        <w:tc>
          <w:tcPr>
            <w:tcW w:w="1276"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24.1±0.6</w:t>
            </w:r>
          </w:p>
        </w:tc>
        <w:tc>
          <w:tcPr>
            <w:tcW w:w="992" w:type="dxa"/>
            <w:vAlign w:val="bottom"/>
          </w:tcPr>
          <w:p w:rsidR="00C01C37" w:rsidRPr="00735DFC" w:rsidRDefault="00C01C37" w:rsidP="0058737C">
            <w:pPr>
              <w:jc w:val="center"/>
              <w:rPr>
                <w:rFonts w:ascii="Arial" w:hAnsi="Arial" w:cs="Arial"/>
                <w:color w:val="000000"/>
                <w:sz w:val="18"/>
                <w:szCs w:val="18"/>
              </w:rPr>
            </w:pPr>
          </w:p>
        </w:tc>
        <w:tc>
          <w:tcPr>
            <w:tcW w:w="1134" w:type="dxa"/>
            <w:vAlign w:val="bottom"/>
          </w:tcPr>
          <w:p w:rsidR="00C01C37" w:rsidRPr="00735DFC" w:rsidRDefault="00C01C37" w:rsidP="0058737C">
            <w:pPr>
              <w:jc w:val="center"/>
              <w:rPr>
                <w:rFonts w:ascii="Arial" w:hAnsi="Arial" w:cs="Arial"/>
                <w:color w:val="000000"/>
                <w:sz w:val="18"/>
                <w:szCs w:val="18"/>
              </w:rPr>
            </w:pPr>
          </w:p>
        </w:tc>
      </w:tr>
      <w:tr w:rsidR="00C01C37" w:rsidRPr="00735DFC" w:rsidTr="0058737C">
        <w:tc>
          <w:tcPr>
            <w:tcW w:w="1384" w:type="dxa"/>
          </w:tcPr>
          <w:p w:rsidR="00C01C37" w:rsidRPr="00337ABB" w:rsidRDefault="00C01C37" w:rsidP="0058737C">
            <w:pPr>
              <w:rPr>
                <w:rFonts w:ascii="Arial" w:hAnsi="Arial" w:cs="Arial"/>
                <w:b/>
                <w:sz w:val="18"/>
                <w:szCs w:val="18"/>
              </w:rPr>
            </w:pPr>
            <w:r w:rsidRPr="00337ABB">
              <w:rPr>
                <w:rFonts w:ascii="Arial" w:hAnsi="Arial" w:cs="Arial"/>
                <w:b/>
                <w:sz w:val="18"/>
                <w:szCs w:val="18"/>
              </w:rPr>
              <w:t>RM13081b</w:t>
            </w:r>
          </w:p>
        </w:tc>
        <w:tc>
          <w:tcPr>
            <w:tcW w:w="1276"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12.7±0.5</w:t>
            </w:r>
          </w:p>
        </w:tc>
        <w:tc>
          <w:tcPr>
            <w:tcW w:w="1134"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20.4±3.1</w:t>
            </w:r>
          </w:p>
        </w:tc>
        <w:tc>
          <w:tcPr>
            <w:tcW w:w="992"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16.7±0.2</w:t>
            </w:r>
          </w:p>
        </w:tc>
        <w:tc>
          <w:tcPr>
            <w:tcW w:w="1276"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21.3±0.6</w:t>
            </w:r>
          </w:p>
        </w:tc>
        <w:tc>
          <w:tcPr>
            <w:tcW w:w="992" w:type="dxa"/>
            <w:vAlign w:val="bottom"/>
          </w:tcPr>
          <w:p w:rsidR="00C01C37" w:rsidRPr="00735DFC" w:rsidRDefault="00C01C37" w:rsidP="0058737C">
            <w:pPr>
              <w:jc w:val="center"/>
              <w:rPr>
                <w:rFonts w:ascii="Arial" w:hAnsi="Arial" w:cs="Arial"/>
                <w:color w:val="000000"/>
                <w:sz w:val="18"/>
                <w:szCs w:val="18"/>
              </w:rPr>
            </w:pPr>
            <w:r>
              <w:rPr>
                <w:rFonts w:ascii="Arial" w:hAnsi="Arial" w:cs="Arial"/>
                <w:color w:val="000000"/>
                <w:sz w:val="18"/>
                <w:szCs w:val="18"/>
              </w:rPr>
              <w:t>17.4</w:t>
            </w:r>
            <w:r w:rsidRPr="00735DFC">
              <w:rPr>
                <w:rFonts w:ascii="Arial" w:hAnsi="Arial" w:cs="Arial"/>
                <w:color w:val="000000"/>
                <w:sz w:val="18"/>
                <w:szCs w:val="18"/>
              </w:rPr>
              <w:t>±</w:t>
            </w:r>
            <w:r>
              <w:rPr>
                <w:rFonts w:ascii="Arial" w:hAnsi="Arial" w:cs="Arial"/>
                <w:color w:val="000000"/>
                <w:sz w:val="18"/>
                <w:szCs w:val="18"/>
              </w:rPr>
              <w:t>4.0</w:t>
            </w:r>
          </w:p>
        </w:tc>
        <w:tc>
          <w:tcPr>
            <w:tcW w:w="1134" w:type="dxa"/>
            <w:vAlign w:val="bottom"/>
          </w:tcPr>
          <w:p w:rsidR="00C01C37" w:rsidRPr="00735DFC" w:rsidRDefault="00C01C37" w:rsidP="0058737C">
            <w:pPr>
              <w:jc w:val="center"/>
              <w:rPr>
                <w:rFonts w:ascii="Arial" w:hAnsi="Arial" w:cs="Arial"/>
                <w:color w:val="000000"/>
                <w:sz w:val="18"/>
                <w:szCs w:val="18"/>
              </w:rPr>
            </w:pPr>
            <w:r>
              <w:rPr>
                <w:rFonts w:ascii="Arial" w:hAnsi="Arial" w:cs="Arial"/>
                <w:color w:val="000000"/>
                <w:sz w:val="18"/>
                <w:szCs w:val="18"/>
              </w:rPr>
              <w:t>0.166</w:t>
            </w:r>
          </w:p>
        </w:tc>
      </w:tr>
      <w:tr w:rsidR="00C01C37" w:rsidRPr="00735DFC" w:rsidTr="0058737C">
        <w:tc>
          <w:tcPr>
            <w:tcW w:w="1384" w:type="dxa"/>
          </w:tcPr>
          <w:p w:rsidR="00C01C37" w:rsidRPr="00337ABB" w:rsidRDefault="00C01C37" w:rsidP="0058737C">
            <w:pPr>
              <w:rPr>
                <w:rFonts w:ascii="Arial" w:hAnsi="Arial" w:cs="Arial"/>
                <w:b/>
                <w:sz w:val="18"/>
                <w:szCs w:val="18"/>
              </w:rPr>
            </w:pPr>
            <w:r w:rsidRPr="00337ABB">
              <w:rPr>
                <w:rFonts w:ascii="Arial" w:hAnsi="Arial" w:cs="Arial"/>
                <w:b/>
                <w:sz w:val="18"/>
                <w:szCs w:val="18"/>
              </w:rPr>
              <w:t>RM13082a</w:t>
            </w:r>
          </w:p>
        </w:tc>
        <w:tc>
          <w:tcPr>
            <w:tcW w:w="1276"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10.8±0.4</w:t>
            </w:r>
          </w:p>
        </w:tc>
        <w:tc>
          <w:tcPr>
            <w:tcW w:w="1134"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18.8±2.7</w:t>
            </w:r>
          </w:p>
        </w:tc>
        <w:tc>
          <w:tcPr>
            <w:tcW w:w="992"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14.1±0.2</w:t>
            </w:r>
          </w:p>
        </w:tc>
        <w:tc>
          <w:tcPr>
            <w:tcW w:w="1276"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19.5±0.5</w:t>
            </w:r>
          </w:p>
        </w:tc>
        <w:tc>
          <w:tcPr>
            <w:tcW w:w="992" w:type="dxa"/>
            <w:vAlign w:val="bottom"/>
          </w:tcPr>
          <w:p w:rsidR="00C01C37" w:rsidRPr="00735DFC" w:rsidRDefault="00C01C37" w:rsidP="0058737C">
            <w:pPr>
              <w:jc w:val="center"/>
              <w:rPr>
                <w:rFonts w:ascii="Arial" w:hAnsi="Arial" w:cs="Arial"/>
                <w:color w:val="000000"/>
                <w:sz w:val="18"/>
                <w:szCs w:val="18"/>
              </w:rPr>
            </w:pPr>
          </w:p>
        </w:tc>
        <w:tc>
          <w:tcPr>
            <w:tcW w:w="1134" w:type="dxa"/>
            <w:vAlign w:val="bottom"/>
          </w:tcPr>
          <w:p w:rsidR="00C01C37" w:rsidRPr="00735DFC" w:rsidRDefault="00C01C37" w:rsidP="0058737C">
            <w:pPr>
              <w:jc w:val="center"/>
              <w:rPr>
                <w:rFonts w:ascii="Arial" w:hAnsi="Arial" w:cs="Arial"/>
                <w:color w:val="000000"/>
                <w:sz w:val="18"/>
                <w:szCs w:val="18"/>
              </w:rPr>
            </w:pPr>
          </w:p>
        </w:tc>
      </w:tr>
      <w:tr w:rsidR="00C01C37" w:rsidRPr="00735DFC" w:rsidTr="0058737C">
        <w:tc>
          <w:tcPr>
            <w:tcW w:w="1384" w:type="dxa"/>
          </w:tcPr>
          <w:p w:rsidR="00C01C37" w:rsidRPr="00337ABB" w:rsidRDefault="00C01C37" w:rsidP="0058737C">
            <w:pPr>
              <w:rPr>
                <w:rFonts w:ascii="Arial" w:hAnsi="Arial" w:cs="Arial"/>
                <w:b/>
                <w:sz w:val="18"/>
                <w:szCs w:val="18"/>
              </w:rPr>
            </w:pPr>
            <w:r w:rsidRPr="00337ABB">
              <w:rPr>
                <w:rFonts w:ascii="Arial" w:hAnsi="Arial" w:cs="Arial"/>
                <w:b/>
                <w:sz w:val="18"/>
                <w:szCs w:val="18"/>
              </w:rPr>
              <w:t>RM13082b</w:t>
            </w:r>
          </w:p>
        </w:tc>
        <w:tc>
          <w:tcPr>
            <w:tcW w:w="1276"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15.1±0.6</w:t>
            </w:r>
          </w:p>
        </w:tc>
        <w:tc>
          <w:tcPr>
            <w:tcW w:w="1134"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25.2±3.8</w:t>
            </w:r>
          </w:p>
        </w:tc>
        <w:tc>
          <w:tcPr>
            <w:tcW w:w="992"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21.9±0.2</w:t>
            </w:r>
          </w:p>
        </w:tc>
        <w:tc>
          <w:tcPr>
            <w:tcW w:w="1276" w:type="dxa"/>
            <w:vAlign w:val="bottom"/>
          </w:tcPr>
          <w:p w:rsidR="00C01C37" w:rsidRPr="00735DFC" w:rsidRDefault="00C01C37" w:rsidP="0058737C">
            <w:pPr>
              <w:jc w:val="center"/>
              <w:rPr>
                <w:rFonts w:ascii="Arial" w:hAnsi="Arial" w:cs="Arial"/>
                <w:color w:val="000000"/>
                <w:sz w:val="18"/>
                <w:szCs w:val="18"/>
              </w:rPr>
            </w:pPr>
            <w:r w:rsidRPr="00735DFC">
              <w:rPr>
                <w:rFonts w:ascii="Arial" w:hAnsi="Arial" w:cs="Arial"/>
                <w:color w:val="000000"/>
                <w:sz w:val="18"/>
                <w:szCs w:val="18"/>
              </w:rPr>
              <w:t>29.6±0.8</w:t>
            </w:r>
          </w:p>
        </w:tc>
        <w:tc>
          <w:tcPr>
            <w:tcW w:w="992" w:type="dxa"/>
            <w:vAlign w:val="bottom"/>
          </w:tcPr>
          <w:p w:rsidR="00C01C37" w:rsidRPr="00735DFC" w:rsidRDefault="00C01C37" w:rsidP="0058737C">
            <w:pPr>
              <w:jc w:val="center"/>
              <w:rPr>
                <w:rFonts w:ascii="Arial" w:hAnsi="Arial" w:cs="Arial"/>
                <w:color w:val="000000"/>
                <w:sz w:val="18"/>
                <w:szCs w:val="18"/>
              </w:rPr>
            </w:pPr>
            <w:r>
              <w:rPr>
                <w:rFonts w:ascii="Arial" w:hAnsi="Arial" w:cs="Arial"/>
                <w:color w:val="000000"/>
                <w:sz w:val="18"/>
                <w:szCs w:val="18"/>
              </w:rPr>
              <w:t>19.2</w:t>
            </w:r>
            <w:r w:rsidRPr="00735DFC">
              <w:rPr>
                <w:rFonts w:ascii="Arial" w:hAnsi="Arial" w:cs="Arial"/>
                <w:color w:val="000000"/>
                <w:sz w:val="18"/>
                <w:szCs w:val="18"/>
              </w:rPr>
              <w:t>±</w:t>
            </w:r>
            <w:r>
              <w:rPr>
                <w:rFonts w:ascii="Arial" w:hAnsi="Arial" w:cs="Arial"/>
                <w:color w:val="000000"/>
                <w:sz w:val="18"/>
                <w:szCs w:val="18"/>
              </w:rPr>
              <w:t>5.4</w:t>
            </w:r>
          </w:p>
        </w:tc>
        <w:tc>
          <w:tcPr>
            <w:tcW w:w="1134" w:type="dxa"/>
            <w:vAlign w:val="bottom"/>
          </w:tcPr>
          <w:p w:rsidR="00C01C37" w:rsidRPr="00735DFC" w:rsidRDefault="00C01C37" w:rsidP="0058737C">
            <w:pPr>
              <w:jc w:val="center"/>
              <w:rPr>
                <w:rFonts w:ascii="Arial" w:hAnsi="Arial" w:cs="Arial"/>
                <w:color w:val="000000"/>
                <w:sz w:val="18"/>
                <w:szCs w:val="18"/>
              </w:rPr>
            </w:pPr>
            <w:r>
              <w:rPr>
                <w:rFonts w:ascii="Arial" w:hAnsi="Arial" w:cs="Arial"/>
                <w:color w:val="000000"/>
                <w:sz w:val="18"/>
                <w:szCs w:val="18"/>
              </w:rPr>
              <w:t>0.183</w:t>
            </w:r>
          </w:p>
        </w:tc>
      </w:tr>
    </w:tbl>
    <w:p w:rsidR="00C01C37" w:rsidRDefault="00C01C37" w:rsidP="00C01C37"/>
    <w:p w:rsidR="00C01C37" w:rsidRDefault="00BD3423" w:rsidP="00384F32">
      <w:pPr>
        <w:pStyle w:val="Heading4"/>
      </w:pPr>
      <w:r w:rsidRPr="00247AAB">
        <w:t>4.3.1.3</w:t>
      </w:r>
      <w:r w:rsidR="00C01C37" w:rsidRPr="00247AAB">
        <w:t xml:space="preserve"> Final radionuclide analyses results</w:t>
      </w:r>
    </w:p>
    <w:p w:rsidR="00C01C37" w:rsidRPr="00262ED9" w:rsidRDefault="00C01C37" w:rsidP="00C01C37">
      <w:r w:rsidRPr="00BD3F19">
        <w:t xml:space="preserve">The dried slurry samples were re-analysed on 7 February 2014 using </w:t>
      </w:r>
      <w:r w:rsidR="009E1171">
        <w:t xml:space="preserve">the SSD </w:t>
      </w:r>
      <w:proofErr w:type="spellStart"/>
      <w:r w:rsidRPr="00BD3F19">
        <w:t>HPGe</w:t>
      </w:r>
      <w:proofErr w:type="spellEnd"/>
      <w:r w:rsidRPr="00BD3F19">
        <w:t xml:space="preserve"> detectors, after sufficient time was allowed for </w:t>
      </w:r>
      <w:proofErr w:type="spellStart"/>
      <w:r w:rsidRPr="00BD3F19">
        <w:t>ingrowth</w:t>
      </w:r>
      <w:proofErr w:type="spellEnd"/>
      <w:r w:rsidRPr="00BD3F19">
        <w:t xml:space="preserve"> of the radon decay products in the samples. Results for </w:t>
      </w:r>
      <w:r w:rsidRPr="00BD3F19">
        <w:rPr>
          <w:snapToGrid w:val="0"/>
          <w:color w:val="000000"/>
          <w:position w:val="6"/>
          <w:sz w:val="16"/>
          <w:szCs w:val="0"/>
          <w:u w:color="000000"/>
        </w:rPr>
        <w:t>238</w:t>
      </w:r>
      <w:r w:rsidRPr="00BD3F19">
        <w:t xml:space="preserve">U and </w:t>
      </w:r>
      <w:r w:rsidRPr="00BD3F19">
        <w:rPr>
          <w:snapToGrid w:val="0"/>
          <w:color w:val="000000"/>
          <w:position w:val="6"/>
          <w:sz w:val="16"/>
          <w:szCs w:val="0"/>
          <w:u w:color="000000"/>
        </w:rPr>
        <w:t>226</w:t>
      </w:r>
      <w:r w:rsidR="00384F32">
        <w:t xml:space="preserve">Ra are </w:t>
      </w:r>
      <w:r w:rsidR="00384F32" w:rsidRPr="00262ED9">
        <w:t xml:space="preserve">shown in </w:t>
      </w:r>
      <w:r w:rsidR="000D53BA" w:rsidRPr="00262ED9">
        <w:t>Table 4.9</w:t>
      </w:r>
      <w:r w:rsidRPr="00262ED9">
        <w:t>.</w:t>
      </w:r>
    </w:p>
    <w:p w:rsidR="00C01C37" w:rsidRPr="00262ED9" w:rsidRDefault="00C01C37" w:rsidP="00C01C37">
      <w:r w:rsidRPr="00262ED9">
        <w:t xml:space="preserve">Samples of the supernatant were also analysed for </w:t>
      </w:r>
      <w:r w:rsidRPr="00262ED9">
        <w:rPr>
          <w:snapToGrid w:val="0"/>
          <w:color w:val="000000"/>
          <w:position w:val="6"/>
          <w:sz w:val="16"/>
          <w:szCs w:val="0"/>
          <w:u w:color="000000"/>
        </w:rPr>
        <w:t>226</w:t>
      </w:r>
      <w:r w:rsidRPr="00262ED9">
        <w:t>Ra in the</w:t>
      </w:r>
      <w:r w:rsidR="009E1171">
        <w:t xml:space="preserve"> SSD</w:t>
      </w:r>
      <w:r w:rsidRPr="00262ED9">
        <w:t xml:space="preserve"> </w:t>
      </w:r>
      <w:proofErr w:type="spellStart"/>
      <w:r w:rsidRPr="00262ED9">
        <w:t>radioanalytical</w:t>
      </w:r>
      <w:proofErr w:type="spellEnd"/>
      <w:r w:rsidRPr="00262ED9">
        <w:t xml:space="preserve"> lab and for uranium using ICP</w:t>
      </w:r>
      <w:r w:rsidR="009E1171">
        <w:t>-</w:t>
      </w:r>
      <w:r w:rsidRPr="00262ED9">
        <w:t xml:space="preserve">MS at </w:t>
      </w:r>
      <w:proofErr w:type="spellStart"/>
      <w:r w:rsidRPr="00262ED9">
        <w:t>Envirolab</w:t>
      </w:r>
      <w:proofErr w:type="spellEnd"/>
      <w:r w:rsidRPr="00262ED9">
        <w:t>, Sydney. The results of the analyses are given in Table</w:t>
      </w:r>
      <w:r w:rsidR="008A7C29" w:rsidRPr="00262ED9">
        <w:t> </w:t>
      </w:r>
      <w:r w:rsidR="000D53BA" w:rsidRPr="00262ED9">
        <w:t>4.9</w:t>
      </w:r>
      <w:r w:rsidRPr="00262ED9">
        <w:t xml:space="preserve">. </w:t>
      </w:r>
    </w:p>
    <w:p w:rsidR="00C01C37" w:rsidRDefault="00C01C37" w:rsidP="00C01C37">
      <w:r w:rsidRPr="00262ED9">
        <w:t xml:space="preserve">Table </w:t>
      </w:r>
      <w:r w:rsidR="000D53BA" w:rsidRPr="00262ED9">
        <w:t>4.9</w:t>
      </w:r>
      <w:r w:rsidRPr="00262ED9">
        <w:t xml:space="preserve"> also shows the combined </w:t>
      </w:r>
      <w:r w:rsidRPr="00262ED9">
        <w:rPr>
          <w:snapToGrid w:val="0"/>
          <w:color w:val="000000"/>
          <w:position w:val="6"/>
          <w:sz w:val="16"/>
          <w:szCs w:val="0"/>
          <w:u w:color="000000"/>
        </w:rPr>
        <w:t>238</w:t>
      </w:r>
      <w:r w:rsidRPr="00262ED9">
        <w:t xml:space="preserve">U and </w:t>
      </w:r>
      <w:r w:rsidRPr="00262ED9">
        <w:rPr>
          <w:snapToGrid w:val="0"/>
          <w:color w:val="000000"/>
          <w:position w:val="6"/>
          <w:sz w:val="16"/>
          <w:szCs w:val="0"/>
          <w:u w:color="000000"/>
        </w:rPr>
        <w:t>226</w:t>
      </w:r>
      <w:r w:rsidRPr="00262ED9">
        <w:t xml:space="preserve">Ra activity concentration for the samples, assuming all activity (i.e. the activity in the dry sample and the supernatant) was retained in the dry sample after the spill. As expected, </w:t>
      </w:r>
      <w:r w:rsidRPr="00262ED9">
        <w:rPr>
          <w:snapToGrid w:val="0"/>
          <w:color w:val="000000"/>
          <w:position w:val="6"/>
          <w:sz w:val="16"/>
          <w:szCs w:val="0"/>
          <w:u w:color="000000"/>
        </w:rPr>
        <w:t>238</w:t>
      </w:r>
      <w:r w:rsidRPr="00262ED9">
        <w:t>U</w:t>
      </w:r>
      <w:r w:rsidRPr="00BD3F19">
        <w:t xml:space="preserve"> and </w:t>
      </w:r>
      <w:r w:rsidRPr="00BD3F19">
        <w:rPr>
          <w:snapToGrid w:val="0"/>
          <w:color w:val="000000"/>
          <w:position w:val="6"/>
          <w:sz w:val="16"/>
          <w:szCs w:val="0"/>
          <w:u w:color="000000"/>
        </w:rPr>
        <w:t>226</w:t>
      </w:r>
      <w:r w:rsidRPr="00BD3F19">
        <w:t xml:space="preserve">Ra are in secular equilibrium in the combined </w:t>
      </w:r>
      <w:r>
        <w:t>results</w:t>
      </w:r>
      <w:r w:rsidRPr="00BD3F19">
        <w:t xml:space="preserve"> of slurry and supernatant</w:t>
      </w:r>
      <w:r>
        <w:t>,</w:t>
      </w:r>
      <w:r w:rsidRPr="00BD3F19">
        <w:t xml:space="preserve"> </w:t>
      </w:r>
      <w:r>
        <w:t xml:space="preserve">and the average combined activity concentration in the dry spill material amounts to 21.6 </w:t>
      </w:r>
      <w:proofErr w:type="spellStart"/>
      <w:r>
        <w:t>Bq∙g</w:t>
      </w:r>
      <w:proofErr w:type="spellEnd"/>
      <w:r w:rsidRPr="00BD3F19">
        <w:rPr>
          <w:snapToGrid w:val="0"/>
          <w:color w:val="000000"/>
          <w:position w:val="6"/>
          <w:sz w:val="16"/>
          <w:szCs w:val="0"/>
          <w:u w:color="000000"/>
        </w:rPr>
        <w:t>-1</w:t>
      </w:r>
      <w:r>
        <w:t xml:space="preserve">. </w:t>
      </w:r>
    </w:p>
    <w:p w:rsidR="00C01C37" w:rsidRPr="00BD3F19" w:rsidRDefault="00C01C37" w:rsidP="00C01C37"/>
    <w:p w:rsidR="00C01C37" w:rsidRDefault="00384F32" w:rsidP="0092297C">
      <w:pPr>
        <w:pStyle w:val="tablecaption"/>
      </w:pPr>
      <w:bookmarkStart w:id="253" w:name="_Toc390766617"/>
      <w:r w:rsidRPr="00384F32">
        <w:rPr>
          <w:b/>
        </w:rPr>
        <w:t>Table 4.</w:t>
      </w:r>
      <w:r w:rsidR="000D53BA">
        <w:rPr>
          <w:b/>
        </w:rPr>
        <w:t>9</w:t>
      </w:r>
      <w:r w:rsidR="00C01C37" w:rsidRPr="00A03E05">
        <w:t xml:space="preserve"> Results of radionuclide analysis in the slurry samples</w:t>
      </w:r>
      <w:bookmarkEnd w:id="253"/>
      <w:r w:rsidR="00B37A86">
        <w:t>.</w:t>
      </w:r>
    </w:p>
    <w:tbl>
      <w:tblPr>
        <w:tblStyle w:val="TableGrid"/>
        <w:tblW w:w="0" w:type="auto"/>
        <w:tblLook w:val="04A0"/>
      </w:tblPr>
      <w:tblGrid>
        <w:gridCol w:w="1177"/>
        <w:gridCol w:w="1074"/>
        <w:gridCol w:w="1034"/>
        <w:gridCol w:w="1273"/>
        <w:gridCol w:w="795"/>
        <w:gridCol w:w="937"/>
        <w:gridCol w:w="1016"/>
        <w:gridCol w:w="1216"/>
      </w:tblGrid>
      <w:tr w:rsidR="00C01C37" w:rsidRPr="00735DFC" w:rsidTr="0058737C">
        <w:tc>
          <w:tcPr>
            <w:tcW w:w="1177" w:type="dxa"/>
          </w:tcPr>
          <w:p w:rsidR="00C01C37" w:rsidRPr="00735DFC" w:rsidRDefault="00C01C37" w:rsidP="0058737C">
            <w:pPr>
              <w:jc w:val="center"/>
              <w:rPr>
                <w:rFonts w:ascii="Arial" w:hAnsi="Arial" w:cs="Arial"/>
                <w:sz w:val="18"/>
                <w:szCs w:val="18"/>
              </w:rPr>
            </w:pPr>
          </w:p>
        </w:tc>
        <w:tc>
          <w:tcPr>
            <w:tcW w:w="2108" w:type="dxa"/>
            <w:gridSpan w:val="2"/>
          </w:tcPr>
          <w:p w:rsidR="00C01C37" w:rsidRDefault="00C01C37" w:rsidP="0058737C">
            <w:pPr>
              <w:tabs>
                <w:tab w:val="left" w:pos="1155"/>
              </w:tabs>
              <w:jc w:val="center"/>
              <w:rPr>
                <w:rFonts w:ascii="Arial" w:hAnsi="Arial" w:cs="Arial"/>
                <w:sz w:val="18"/>
                <w:szCs w:val="18"/>
              </w:rPr>
            </w:pPr>
            <w:r>
              <w:rPr>
                <w:rFonts w:ascii="Arial" w:hAnsi="Arial" w:cs="Arial"/>
                <w:sz w:val="18"/>
                <w:szCs w:val="18"/>
              </w:rPr>
              <w:t>Dry slurry</w:t>
            </w:r>
          </w:p>
          <w:p w:rsidR="00C01C37" w:rsidRPr="00735DFC" w:rsidRDefault="00C01C37" w:rsidP="0058737C">
            <w:pPr>
              <w:tabs>
                <w:tab w:val="left" w:pos="1155"/>
              </w:tabs>
              <w:jc w:val="center"/>
              <w:rPr>
                <w:rFonts w:ascii="Arial" w:hAnsi="Arial"/>
                <w:snapToGrid w:val="0"/>
                <w:color w:val="000000"/>
                <w:position w:val="4"/>
                <w:sz w:val="12"/>
                <w:szCs w:val="0"/>
                <w:u w:color="000000"/>
              </w:rPr>
            </w:pPr>
            <w:r>
              <w:rPr>
                <w:rFonts w:ascii="Arial" w:hAnsi="Arial" w:cs="Arial"/>
                <w:sz w:val="18"/>
                <w:szCs w:val="18"/>
              </w:rPr>
              <w:t>(</w:t>
            </w:r>
            <w:proofErr w:type="spellStart"/>
            <w:r>
              <w:rPr>
                <w:rFonts w:ascii="Arial" w:hAnsi="Arial" w:cs="Arial"/>
                <w:sz w:val="18"/>
                <w:szCs w:val="18"/>
              </w:rPr>
              <w:t>Bq</w:t>
            </w:r>
            <w:r>
              <w:rPr>
                <w:sz w:val="18"/>
                <w:szCs w:val="18"/>
              </w:rPr>
              <w:t>∙</w:t>
            </w:r>
            <w:r>
              <w:rPr>
                <w:rFonts w:ascii="Arial" w:hAnsi="Arial" w:cs="Arial"/>
                <w:sz w:val="18"/>
                <w:szCs w:val="18"/>
              </w:rPr>
              <w:t>g</w:t>
            </w:r>
            <w:proofErr w:type="spellEnd"/>
            <w:r w:rsidRPr="00C3012E">
              <w:rPr>
                <w:rFonts w:ascii="Arial" w:hAnsi="Arial"/>
                <w:snapToGrid w:val="0"/>
                <w:color w:val="000000"/>
                <w:position w:val="4"/>
                <w:sz w:val="12"/>
                <w:szCs w:val="0"/>
                <w:u w:color="000000"/>
              </w:rPr>
              <w:t>-1</w:t>
            </w:r>
            <w:r w:rsidRPr="00C3012E">
              <w:rPr>
                <w:rFonts w:ascii="Arial" w:hAnsi="Arial"/>
                <w:snapToGrid w:val="0"/>
                <w:color w:val="000000"/>
                <w:position w:val="-4"/>
                <w:sz w:val="12"/>
                <w:szCs w:val="0"/>
                <w:u w:color="000000"/>
              </w:rPr>
              <w:t>dry</w:t>
            </w:r>
            <w:r>
              <w:rPr>
                <w:rFonts w:ascii="Arial" w:hAnsi="Arial" w:cs="Arial"/>
                <w:sz w:val="18"/>
                <w:szCs w:val="18"/>
              </w:rPr>
              <w:t>)</w:t>
            </w:r>
          </w:p>
        </w:tc>
        <w:tc>
          <w:tcPr>
            <w:tcW w:w="2068" w:type="dxa"/>
            <w:gridSpan w:val="2"/>
          </w:tcPr>
          <w:p w:rsidR="00C01C37" w:rsidRDefault="00C01C37" w:rsidP="0058737C">
            <w:pPr>
              <w:jc w:val="center"/>
              <w:rPr>
                <w:rFonts w:ascii="Arial" w:hAnsi="Arial" w:cs="Arial"/>
                <w:sz w:val="18"/>
                <w:szCs w:val="18"/>
              </w:rPr>
            </w:pPr>
            <w:r>
              <w:rPr>
                <w:rFonts w:ascii="Arial" w:hAnsi="Arial" w:cs="Arial"/>
                <w:sz w:val="18"/>
                <w:szCs w:val="18"/>
              </w:rPr>
              <w:t>Supernatant</w:t>
            </w:r>
          </w:p>
          <w:p w:rsidR="00C01C37" w:rsidRPr="00735DFC" w:rsidRDefault="00C01C37" w:rsidP="0058737C">
            <w:pPr>
              <w:jc w:val="center"/>
              <w:rPr>
                <w:rFonts w:ascii="Arial" w:hAnsi="Arial"/>
                <w:snapToGrid w:val="0"/>
                <w:color w:val="000000"/>
                <w:position w:val="4"/>
                <w:sz w:val="12"/>
                <w:szCs w:val="0"/>
                <w:u w:color="000000"/>
              </w:rPr>
            </w:pPr>
            <w:r>
              <w:rPr>
                <w:rFonts w:ascii="Arial" w:hAnsi="Arial" w:cs="Arial"/>
                <w:sz w:val="18"/>
                <w:szCs w:val="18"/>
              </w:rPr>
              <w:t>(</w:t>
            </w:r>
            <w:proofErr w:type="spellStart"/>
            <w:r>
              <w:rPr>
                <w:rFonts w:ascii="Arial" w:hAnsi="Arial" w:cs="Arial"/>
                <w:sz w:val="18"/>
                <w:szCs w:val="18"/>
              </w:rPr>
              <w:t>Bq</w:t>
            </w:r>
            <w:r>
              <w:rPr>
                <w:sz w:val="18"/>
                <w:szCs w:val="18"/>
              </w:rPr>
              <w:t>∙</w:t>
            </w:r>
            <w:r>
              <w:rPr>
                <w:rFonts w:ascii="Arial" w:hAnsi="Arial" w:cs="Arial"/>
                <w:sz w:val="18"/>
                <w:szCs w:val="18"/>
              </w:rPr>
              <w:t>L</w:t>
            </w:r>
            <w:proofErr w:type="spellEnd"/>
            <w:r w:rsidRPr="00C3012E">
              <w:rPr>
                <w:rFonts w:ascii="Arial" w:hAnsi="Arial"/>
                <w:snapToGrid w:val="0"/>
                <w:color w:val="000000"/>
                <w:position w:val="4"/>
                <w:sz w:val="12"/>
                <w:szCs w:val="0"/>
                <w:u w:color="000000"/>
              </w:rPr>
              <w:t>-1</w:t>
            </w:r>
            <w:r>
              <w:rPr>
                <w:rFonts w:ascii="Arial" w:hAnsi="Arial" w:cs="Arial"/>
                <w:sz w:val="18"/>
                <w:szCs w:val="18"/>
              </w:rPr>
              <w:t>)</w:t>
            </w:r>
          </w:p>
        </w:tc>
        <w:tc>
          <w:tcPr>
            <w:tcW w:w="1953" w:type="dxa"/>
            <w:gridSpan w:val="2"/>
          </w:tcPr>
          <w:p w:rsidR="00C01C37" w:rsidRDefault="00C01C37" w:rsidP="0058737C">
            <w:pPr>
              <w:jc w:val="center"/>
              <w:rPr>
                <w:rFonts w:ascii="Arial" w:hAnsi="Arial" w:cs="Arial"/>
                <w:sz w:val="18"/>
                <w:szCs w:val="18"/>
              </w:rPr>
            </w:pPr>
            <w:r>
              <w:rPr>
                <w:rFonts w:ascii="Arial" w:hAnsi="Arial" w:cs="Arial"/>
                <w:sz w:val="18"/>
                <w:szCs w:val="18"/>
              </w:rPr>
              <w:t>Total</w:t>
            </w:r>
          </w:p>
          <w:p w:rsidR="00C01C37" w:rsidRDefault="00C01C37" w:rsidP="0058737C">
            <w:pPr>
              <w:jc w:val="center"/>
              <w:rPr>
                <w:rFonts w:ascii="Arial" w:hAnsi="Arial" w:cs="Arial"/>
                <w:sz w:val="18"/>
                <w:szCs w:val="18"/>
              </w:rPr>
            </w:pPr>
            <w:r>
              <w:rPr>
                <w:rFonts w:ascii="Arial" w:hAnsi="Arial" w:cs="Arial"/>
                <w:sz w:val="18"/>
                <w:szCs w:val="18"/>
              </w:rPr>
              <w:t>(</w:t>
            </w:r>
            <w:proofErr w:type="spellStart"/>
            <w:r>
              <w:rPr>
                <w:rFonts w:ascii="Arial" w:hAnsi="Arial" w:cs="Arial"/>
                <w:sz w:val="18"/>
                <w:szCs w:val="18"/>
              </w:rPr>
              <w:t>Bq</w:t>
            </w:r>
            <w:r>
              <w:rPr>
                <w:sz w:val="18"/>
                <w:szCs w:val="18"/>
              </w:rPr>
              <w:t>∙</w:t>
            </w:r>
            <w:r>
              <w:rPr>
                <w:rFonts w:ascii="Arial" w:hAnsi="Arial" w:cs="Arial"/>
                <w:sz w:val="18"/>
                <w:szCs w:val="18"/>
              </w:rPr>
              <w:t>g</w:t>
            </w:r>
            <w:proofErr w:type="spellEnd"/>
            <w:r w:rsidRPr="00C3012E">
              <w:rPr>
                <w:rFonts w:ascii="Arial" w:hAnsi="Arial"/>
                <w:snapToGrid w:val="0"/>
                <w:color w:val="000000"/>
                <w:position w:val="4"/>
                <w:sz w:val="12"/>
                <w:szCs w:val="0"/>
                <w:u w:color="000000"/>
              </w:rPr>
              <w:t>-1</w:t>
            </w:r>
            <w:r w:rsidRPr="00C3012E">
              <w:rPr>
                <w:rFonts w:ascii="Arial" w:hAnsi="Arial"/>
                <w:snapToGrid w:val="0"/>
                <w:color w:val="000000"/>
                <w:position w:val="-4"/>
                <w:sz w:val="12"/>
                <w:szCs w:val="0"/>
                <w:u w:color="000000"/>
              </w:rPr>
              <w:t>dry</w:t>
            </w:r>
            <w:r>
              <w:rPr>
                <w:rFonts w:ascii="Arial" w:hAnsi="Arial" w:cs="Arial"/>
                <w:sz w:val="18"/>
                <w:szCs w:val="18"/>
              </w:rPr>
              <w:t>)</w:t>
            </w:r>
          </w:p>
        </w:tc>
        <w:tc>
          <w:tcPr>
            <w:tcW w:w="1216" w:type="dxa"/>
          </w:tcPr>
          <w:p w:rsidR="00C01C37" w:rsidRDefault="00C01C37" w:rsidP="0058737C">
            <w:pPr>
              <w:jc w:val="center"/>
              <w:rPr>
                <w:rFonts w:ascii="Arial" w:hAnsi="Arial" w:cs="Arial"/>
                <w:sz w:val="18"/>
                <w:szCs w:val="18"/>
              </w:rPr>
            </w:pPr>
            <w:r>
              <w:rPr>
                <w:rFonts w:ascii="Arial" w:hAnsi="Arial" w:cs="Arial"/>
                <w:sz w:val="18"/>
                <w:szCs w:val="18"/>
              </w:rPr>
              <w:t>U grade</w:t>
            </w:r>
          </w:p>
          <w:p w:rsidR="00C01C37" w:rsidRDefault="00C01C37" w:rsidP="0058737C">
            <w:pPr>
              <w:jc w:val="center"/>
              <w:rPr>
                <w:rFonts w:ascii="Arial" w:hAnsi="Arial" w:cs="Arial"/>
                <w:sz w:val="18"/>
                <w:szCs w:val="18"/>
              </w:rPr>
            </w:pPr>
            <w:r>
              <w:rPr>
                <w:rFonts w:ascii="Arial" w:hAnsi="Arial" w:cs="Arial"/>
                <w:sz w:val="18"/>
                <w:szCs w:val="18"/>
              </w:rPr>
              <w:t>(%)</w:t>
            </w:r>
          </w:p>
        </w:tc>
      </w:tr>
      <w:tr w:rsidR="00C01C37" w:rsidRPr="00735DFC" w:rsidTr="0058737C">
        <w:tc>
          <w:tcPr>
            <w:tcW w:w="1177" w:type="dxa"/>
          </w:tcPr>
          <w:p w:rsidR="00C01C37" w:rsidRPr="00735DFC" w:rsidRDefault="00C01C37" w:rsidP="0058737C">
            <w:pPr>
              <w:rPr>
                <w:rFonts w:ascii="Arial" w:hAnsi="Arial" w:cs="Arial"/>
                <w:sz w:val="18"/>
                <w:szCs w:val="18"/>
              </w:rPr>
            </w:pPr>
            <w:r w:rsidRPr="00735DFC">
              <w:rPr>
                <w:rFonts w:ascii="Arial" w:hAnsi="Arial" w:cs="Arial"/>
                <w:sz w:val="18"/>
                <w:szCs w:val="18"/>
              </w:rPr>
              <w:t>Sample ID</w:t>
            </w:r>
          </w:p>
        </w:tc>
        <w:tc>
          <w:tcPr>
            <w:tcW w:w="1074" w:type="dxa"/>
          </w:tcPr>
          <w:p w:rsidR="00C01C37" w:rsidRPr="00735DFC" w:rsidRDefault="00C01C37" w:rsidP="0058737C">
            <w:pPr>
              <w:rPr>
                <w:rFonts w:ascii="Arial" w:hAnsi="Arial" w:cs="Arial"/>
                <w:sz w:val="18"/>
                <w:szCs w:val="18"/>
              </w:rPr>
            </w:pPr>
            <w:r w:rsidRPr="00735DFC">
              <w:rPr>
                <w:rFonts w:ascii="Arial" w:hAnsi="Arial"/>
                <w:snapToGrid w:val="0"/>
                <w:color w:val="000000"/>
                <w:position w:val="4"/>
                <w:sz w:val="12"/>
                <w:szCs w:val="0"/>
                <w:u w:color="000000"/>
              </w:rPr>
              <w:t>238</w:t>
            </w:r>
            <w:r>
              <w:rPr>
                <w:rFonts w:ascii="Arial" w:hAnsi="Arial" w:cs="Arial"/>
                <w:sz w:val="18"/>
                <w:szCs w:val="18"/>
              </w:rPr>
              <w:t>U</w:t>
            </w:r>
          </w:p>
        </w:tc>
        <w:tc>
          <w:tcPr>
            <w:tcW w:w="1034" w:type="dxa"/>
          </w:tcPr>
          <w:p w:rsidR="00C01C37" w:rsidRPr="00735DFC" w:rsidRDefault="00C01C37" w:rsidP="0058737C">
            <w:pPr>
              <w:rPr>
                <w:rFonts w:ascii="Arial" w:hAnsi="Arial" w:cs="Arial"/>
                <w:sz w:val="18"/>
                <w:szCs w:val="18"/>
              </w:rPr>
            </w:pPr>
            <w:r w:rsidRPr="00735DFC">
              <w:rPr>
                <w:rFonts w:ascii="Arial" w:hAnsi="Arial"/>
                <w:snapToGrid w:val="0"/>
                <w:color w:val="000000"/>
                <w:position w:val="4"/>
                <w:sz w:val="12"/>
                <w:szCs w:val="0"/>
                <w:u w:color="000000"/>
              </w:rPr>
              <w:t>226</w:t>
            </w:r>
            <w:r>
              <w:rPr>
                <w:rFonts w:ascii="Arial" w:hAnsi="Arial" w:cs="Arial"/>
                <w:sz w:val="18"/>
                <w:szCs w:val="18"/>
              </w:rPr>
              <w:t>Ra</w:t>
            </w:r>
          </w:p>
        </w:tc>
        <w:tc>
          <w:tcPr>
            <w:tcW w:w="1273" w:type="dxa"/>
          </w:tcPr>
          <w:p w:rsidR="00C01C37" w:rsidRPr="00735DFC" w:rsidRDefault="00C01C37" w:rsidP="0058737C">
            <w:pPr>
              <w:rPr>
                <w:rFonts w:ascii="Arial" w:hAnsi="Arial" w:cs="Arial"/>
                <w:sz w:val="18"/>
                <w:szCs w:val="18"/>
              </w:rPr>
            </w:pPr>
            <w:r w:rsidRPr="00735DFC">
              <w:rPr>
                <w:rFonts w:ascii="Arial" w:hAnsi="Arial"/>
                <w:snapToGrid w:val="0"/>
                <w:color w:val="000000"/>
                <w:position w:val="4"/>
                <w:sz w:val="12"/>
                <w:szCs w:val="0"/>
                <w:u w:color="000000"/>
              </w:rPr>
              <w:t>238</w:t>
            </w:r>
            <w:r>
              <w:rPr>
                <w:rFonts w:ascii="Arial" w:hAnsi="Arial" w:cs="Arial"/>
                <w:sz w:val="18"/>
                <w:szCs w:val="18"/>
              </w:rPr>
              <w:t>U</w:t>
            </w:r>
          </w:p>
        </w:tc>
        <w:tc>
          <w:tcPr>
            <w:tcW w:w="795" w:type="dxa"/>
          </w:tcPr>
          <w:p w:rsidR="00C01C37" w:rsidRPr="00735DFC" w:rsidRDefault="00C01C37" w:rsidP="0058737C">
            <w:pPr>
              <w:rPr>
                <w:rFonts w:ascii="Arial" w:hAnsi="Arial" w:cs="Arial"/>
                <w:sz w:val="18"/>
                <w:szCs w:val="18"/>
              </w:rPr>
            </w:pPr>
            <w:r w:rsidRPr="00735DFC">
              <w:rPr>
                <w:rFonts w:ascii="Arial" w:hAnsi="Arial"/>
                <w:snapToGrid w:val="0"/>
                <w:color w:val="000000"/>
                <w:position w:val="4"/>
                <w:sz w:val="12"/>
                <w:szCs w:val="0"/>
                <w:u w:color="000000"/>
              </w:rPr>
              <w:t>226</w:t>
            </w:r>
            <w:r>
              <w:rPr>
                <w:rFonts w:ascii="Arial" w:hAnsi="Arial" w:cs="Arial"/>
                <w:sz w:val="18"/>
                <w:szCs w:val="18"/>
              </w:rPr>
              <w:t>Ra</w:t>
            </w:r>
          </w:p>
        </w:tc>
        <w:tc>
          <w:tcPr>
            <w:tcW w:w="937" w:type="dxa"/>
          </w:tcPr>
          <w:p w:rsidR="00C01C37" w:rsidRPr="00735DFC" w:rsidRDefault="00C01C37" w:rsidP="0058737C">
            <w:pPr>
              <w:rPr>
                <w:rFonts w:ascii="Arial" w:hAnsi="Arial" w:cs="Arial"/>
                <w:sz w:val="18"/>
                <w:szCs w:val="18"/>
              </w:rPr>
            </w:pPr>
            <w:r w:rsidRPr="00735DFC">
              <w:rPr>
                <w:rFonts w:ascii="Arial" w:hAnsi="Arial"/>
                <w:snapToGrid w:val="0"/>
                <w:color w:val="000000"/>
                <w:position w:val="4"/>
                <w:sz w:val="12"/>
                <w:szCs w:val="0"/>
                <w:u w:color="000000"/>
              </w:rPr>
              <w:t>238</w:t>
            </w:r>
            <w:r>
              <w:rPr>
                <w:rFonts w:ascii="Arial" w:hAnsi="Arial" w:cs="Arial"/>
                <w:sz w:val="18"/>
                <w:szCs w:val="18"/>
              </w:rPr>
              <w:t>U</w:t>
            </w:r>
          </w:p>
        </w:tc>
        <w:tc>
          <w:tcPr>
            <w:tcW w:w="1016" w:type="dxa"/>
          </w:tcPr>
          <w:p w:rsidR="00C01C37" w:rsidRPr="00735DFC" w:rsidRDefault="00C01C37" w:rsidP="0058737C">
            <w:pPr>
              <w:rPr>
                <w:rFonts w:ascii="Arial" w:hAnsi="Arial" w:cs="Arial"/>
                <w:sz w:val="18"/>
                <w:szCs w:val="18"/>
              </w:rPr>
            </w:pPr>
            <w:r w:rsidRPr="00735DFC">
              <w:rPr>
                <w:rFonts w:ascii="Arial" w:hAnsi="Arial"/>
                <w:snapToGrid w:val="0"/>
                <w:color w:val="000000"/>
                <w:position w:val="4"/>
                <w:sz w:val="12"/>
                <w:szCs w:val="0"/>
                <w:u w:color="000000"/>
              </w:rPr>
              <w:t>226</w:t>
            </w:r>
            <w:r>
              <w:rPr>
                <w:rFonts w:ascii="Arial" w:hAnsi="Arial" w:cs="Arial"/>
                <w:sz w:val="18"/>
                <w:szCs w:val="18"/>
              </w:rPr>
              <w:t>Ra</w:t>
            </w:r>
          </w:p>
        </w:tc>
        <w:tc>
          <w:tcPr>
            <w:tcW w:w="1216" w:type="dxa"/>
          </w:tcPr>
          <w:p w:rsidR="00C01C37" w:rsidRPr="00735DFC" w:rsidRDefault="00C01C37" w:rsidP="0058737C">
            <w:pPr>
              <w:jc w:val="center"/>
              <w:rPr>
                <w:rFonts w:ascii="Arial" w:hAnsi="Arial"/>
                <w:snapToGrid w:val="0"/>
                <w:color w:val="000000"/>
                <w:position w:val="4"/>
                <w:sz w:val="12"/>
                <w:szCs w:val="0"/>
                <w:u w:color="000000"/>
              </w:rPr>
            </w:pPr>
            <w:r>
              <w:rPr>
                <w:rFonts w:ascii="Arial" w:hAnsi="Arial" w:cs="Arial"/>
                <w:sz w:val="18"/>
                <w:szCs w:val="18"/>
              </w:rPr>
              <w:t>U</w:t>
            </w:r>
            <w:r w:rsidRPr="0088353D">
              <w:rPr>
                <w:rFonts w:ascii="Arial" w:hAnsi="Arial"/>
                <w:snapToGrid w:val="0"/>
                <w:color w:val="000000"/>
                <w:position w:val="-4"/>
                <w:sz w:val="12"/>
                <w:szCs w:val="0"/>
                <w:u w:color="000000"/>
              </w:rPr>
              <w:t>3</w:t>
            </w:r>
            <w:r>
              <w:rPr>
                <w:rFonts w:ascii="Arial" w:hAnsi="Arial" w:cs="Arial"/>
                <w:sz w:val="18"/>
                <w:szCs w:val="18"/>
              </w:rPr>
              <w:t>O</w:t>
            </w:r>
            <w:r w:rsidRPr="0088353D">
              <w:rPr>
                <w:rFonts w:ascii="Arial" w:hAnsi="Arial"/>
                <w:snapToGrid w:val="0"/>
                <w:color w:val="000000"/>
                <w:position w:val="-4"/>
                <w:sz w:val="12"/>
                <w:szCs w:val="0"/>
                <w:u w:color="000000"/>
              </w:rPr>
              <w:t>8</w:t>
            </w:r>
          </w:p>
        </w:tc>
      </w:tr>
      <w:tr w:rsidR="00C01C37" w:rsidRPr="00735DFC" w:rsidTr="0058737C">
        <w:tc>
          <w:tcPr>
            <w:tcW w:w="1177" w:type="dxa"/>
          </w:tcPr>
          <w:p w:rsidR="00C01C37" w:rsidRPr="00735DFC" w:rsidRDefault="00C01C37" w:rsidP="0058737C">
            <w:pPr>
              <w:rPr>
                <w:rFonts w:ascii="Arial" w:hAnsi="Arial" w:cs="Arial"/>
                <w:sz w:val="18"/>
                <w:szCs w:val="18"/>
              </w:rPr>
            </w:pPr>
            <w:r w:rsidRPr="00735DFC">
              <w:rPr>
                <w:rFonts w:ascii="Arial" w:hAnsi="Arial" w:cs="Arial"/>
                <w:sz w:val="18"/>
                <w:szCs w:val="18"/>
              </w:rPr>
              <w:t>RM13080</w:t>
            </w:r>
          </w:p>
        </w:tc>
        <w:tc>
          <w:tcPr>
            <w:tcW w:w="1074" w:type="dxa"/>
            <w:vAlign w:val="bottom"/>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9.9±0.4</w:t>
            </w:r>
          </w:p>
        </w:tc>
        <w:tc>
          <w:tcPr>
            <w:tcW w:w="1034" w:type="dxa"/>
            <w:vAlign w:val="bottom"/>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21.9±0.1</w:t>
            </w:r>
          </w:p>
        </w:tc>
        <w:tc>
          <w:tcPr>
            <w:tcW w:w="1273" w:type="dxa"/>
            <w:vAlign w:val="bottom"/>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15400±1500</w:t>
            </w:r>
          </w:p>
        </w:tc>
        <w:tc>
          <w:tcPr>
            <w:tcW w:w="795" w:type="dxa"/>
            <w:vAlign w:val="bottom"/>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141±6</w:t>
            </w:r>
          </w:p>
        </w:tc>
        <w:tc>
          <w:tcPr>
            <w:tcW w:w="937" w:type="dxa"/>
            <w:vAlign w:val="bottom"/>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20.7±2.3</w:t>
            </w:r>
          </w:p>
        </w:tc>
        <w:tc>
          <w:tcPr>
            <w:tcW w:w="1016" w:type="dxa"/>
            <w:vAlign w:val="bottom"/>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22.0±0.3</w:t>
            </w:r>
          </w:p>
        </w:tc>
        <w:tc>
          <w:tcPr>
            <w:tcW w:w="1216" w:type="dxa"/>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0.204±0.008</w:t>
            </w:r>
          </w:p>
        </w:tc>
      </w:tr>
      <w:tr w:rsidR="00C01C37" w:rsidRPr="00735DFC" w:rsidTr="0058737C">
        <w:tc>
          <w:tcPr>
            <w:tcW w:w="1177" w:type="dxa"/>
          </w:tcPr>
          <w:p w:rsidR="00C01C37" w:rsidRPr="00735DFC" w:rsidRDefault="00C01C37" w:rsidP="0058737C">
            <w:pPr>
              <w:rPr>
                <w:rFonts w:ascii="Arial" w:hAnsi="Arial" w:cs="Arial"/>
                <w:sz w:val="18"/>
                <w:szCs w:val="18"/>
              </w:rPr>
            </w:pPr>
            <w:r w:rsidRPr="00735DFC">
              <w:rPr>
                <w:rFonts w:ascii="Arial" w:hAnsi="Arial" w:cs="Arial"/>
                <w:sz w:val="18"/>
                <w:szCs w:val="18"/>
              </w:rPr>
              <w:t>RM13081</w:t>
            </w:r>
          </w:p>
        </w:tc>
        <w:tc>
          <w:tcPr>
            <w:tcW w:w="1074" w:type="dxa"/>
            <w:vAlign w:val="bottom"/>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9.1±0.4</w:t>
            </w:r>
          </w:p>
        </w:tc>
        <w:tc>
          <w:tcPr>
            <w:tcW w:w="1034" w:type="dxa"/>
            <w:vAlign w:val="bottom"/>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22.6±0.1</w:t>
            </w:r>
          </w:p>
        </w:tc>
        <w:tc>
          <w:tcPr>
            <w:tcW w:w="1273" w:type="dxa"/>
            <w:vAlign w:val="bottom"/>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14500±1500</w:t>
            </w:r>
          </w:p>
        </w:tc>
        <w:tc>
          <w:tcPr>
            <w:tcW w:w="795" w:type="dxa"/>
            <w:vAlign w:val="bottom"/>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142±5</w:t>
            </w:r>
          </w:p>
        </w:tc>
        <w:tc>
          <w:tcPr>
            <w:tcW w:w="937" w:type="dxa"/>
            <w:vAlign w:val="bottom"/>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21.2±2.6</w:t>
            </w:r>
          </w:p>
        </w:tc>
        <w:tc>
          <w:tcPr>
            <w:tcW w:w="1016" w:type="dxa"/>
            <w:vAlign w:val="bottom"/>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22.7±0.36</w:t>
            </w:r>
          </w:p>
        </w:tc>
        <w:tc>
          <w:tcPr>
            <w:tcW w:w="1216" w:type="dxa"/>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0.21±0..010</w:t>
            </w:r>
          </w:p>
        </w:tc>
      </w:tr>
      <w:tr w:rsidR="00C01C37" w:rsidRPr="00735DFC" w:rsidTr="0058737C">
        <w:tc>
          <w:tcPr>
            <w:tcW w:w="1177" w:type="dxa"/>
          </w:tcPr>
          <w:p w:rsidR="00C01C37" w:rsidRPr="00735DFC" w:rsidRDefault="00C01C37" w:rsidP="0058737C">
            <w:pPr>
              <w:rPr>
                <w:rFonts w:ascii="Arial" w:hAnsi="Arial" w:cs="Arial"/>
                <w:sz w:val="18"/>
                <w:szCs w:val="18"/>
              </w:rPr>
            </w:pPr>
            <w:r w:rsidRPr="00735DFC">
              <w:rPr>
                <w:rFonts w:ascii="Arial" w:hAnsi="Arial" w:cs="Arial"/>
                <w:sz w:val="18"/>
                <w:szCs w:val="18"/>
              </w:rPr>
              <w:t>RM13082</w:t>
            </w:r>
          </w:p>
        </w:tc>
        <w:tc>
          <w:tcPr>
            <w:tcW w:w="1074" w:type="dxa"/>
            <w:vAlign w:val="bottom"/>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8.7±0.2</w:t>
            </w:r>
          </w:p>
        </w:tc>
        <w:tc>
          <w:tcPr>
            <w:tcW w:w="1034" w:type="dxa"/>
            <w:vAlign w:val="bottom"/>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22.1±0.1</w:t>
            </w:r>
          </w:p>
        </w:tc>
        <w:tc>
          <w:tcPr>
            <w:tcW w:w="1273" w:type="dxa"/>
            <w:vAlign w:val="bottom"/>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16000±1600</w:t>
            </w:r>
          </w:p>
        </w:tc>
        <w:tc>
          <w:tcPr>
            <w:tcW w:w="795" w:type="dxa"/>
            <w:vAlign w:val="bottom"/>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222±7</w:t>
            </w:r>
          </w:p>
        </w:tc>
        <w:tc>
          <w:tcPr>
            <w:tcW w:w="937" w:type="dxa"/>
            <w:vAlign w:val="bottom"/>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20.8±2.5</w:t>
            </w:r>
          </w:p>
        </w:tc>
        <w:tc>
          <w:tcPr>
            <w:tcW w:w="1016" w:type="dxa"/>
            <w:vAlign w:val="bottom"/>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22.3±0.3</w:t>
            </w:r>
          </w:p>
        </w:tc>
        <w:tc>
          <w:tcPr>
            <w:tcW w:w="1216" w:type="dxa"/>
          </w:tcPr>
          <w:p w:rsidR="00C01C37" w:rsidRPr="00EE6F22" w:rsidRDefault="00C01C37" w:rsidP="0058737C">
            <w:pPr>
              <w:jc w:val="center"/>
              <w:rPr>
                <w:rFonts w:ascii="Arial" w:hAnsi="Arial" w:cs="Arial"/>
                <w:color w:val="000000"/>
                <w:sz w:val="18"/>
                <w:szCs w:val="18"/>
              </w:rPr>
            </w:pPr>
            <w:r w:rsidRPr="00EE6F22">
              <w:rPr>
                <w:rFonts w:ascii="Arial" w:hAnsi="Arial" w:cs="Arial"/>
                <w:color w:val="000000"/>
                <w:sz w:val="18"/>
                <w:szCs w:val="18"/>
              </w:rPr>
              <w:t>0.206±0.010</w:t>
            </w:r>
          </w:p>
        </w:tc>
      </w:tr>
    </w:tbl>
    <w:p w:rsidR="00C01C37" w:rsidRDefault="00C01C37" w:rsidP="00C01C37"/>
    <w:p w:rsidR="00C01C37" w:rsidRDefault="00C01C37" w:rsidP="00266E77">
      <w:pPr>
        <w:pStyle w:val="Heading4"/>
      </w:pPr>
      <w:r w:rsidRPr="00247AAB">
        <w:t>4.</w:t>
      </w:r>
      <w:r w:rsidR="00BD3423" w:rsidRPr="00247AAB">
        <w:t>3.1.4</w:t>
      </w:r>
      <w:r w:rsidRPr="00247AAB">
        <w:t xml:space="preserve"> Area impacted by the spill</w:t>
      </w:r>
    </w:p>
    <w:p w:rsidR="00C01C37" w:rsidRPr="0062228F" w:rsidRDefault="00C01C37" w:rsidP="00C01C37">
      <w:r w:rsidRPr="0062228F">
        <w:t xml:space="preserve">The spill impacted an area on site of approximately 1.475 ha, the majority of it onto earthed hardstand, bitumen roads and concrete </w:t>
      </w:r>
      <w:proofErr w:type="spellStart"/>
      <w:r w:rsidRPr="0062228F">
        <w:t>bunded</w:t>
      </w:r>
      <w:proofErr w:type="spellEnd"/>
      <w:r w:rsidRPr="0062228F">
        <w:t xml:space="preserve"> areas. A small grassed area was also impacted</w:t>
      </w:r>
      <w:r>
        <w:t xml:space="preserve"> </w:t>
      </w:r>
      <w:r w:rsidRPr="00262ED9">
        <w:t>(</w:t>
      </w:r>
      <w:r w:rsidR="00384F32" w:rsidRPr="00262ED9">
        <w:t xml:space="preserve">see </w:t>
      </w:r>
      <w:r w:rsidR="00BD3423" w:rsidRPr="00262ED9">
        <w:t>Section 2.4</w:t>
      </w:r>
      <w:r w:rsidRPr="00262ED9">
        <w:t>).</w:t>
      </w:r>
    </w:p>
    <w:p w:rsidR="00C01C37" w:rsidRPr="0062228F" w:rsidRDefault="00C01C37" w:rsidP="00C01C37">
      <w:pPr>
        <w:tabs>
          <w:tab w:val="left" w:pos="4253"/>
        </w:tabs>
      </w:pPr>
      <w:r w:rsidRPr="0062228F">
        <w:t xml:space="preserve">Using </w:t>
      </w:r>
      <w:r w:rsidR="009E1171">
        <w:t xml:space="preserve">a conservative estimate of the entire </w:t>
      </w:r>
      <w:r w:rsidRPr="0062228F">
        <w:t xml:space="preserve">volume of material in Leach Tank 1 and the area impacted by the spill allows </w:t>
      </w:r>
      <w:r w:rsidR="00F01303">
        <w:t>estimating</w:t>
      </w:r>
      <w:r w:rsidRPr="0062228F">
        <w:t xml:space="preserve"> the average thickness of wet slurry that deposited across the impacted area to 0.095 m. To determine the thickne</w:t>
      </w:r>
      <w:r w:rsidR="008A7C29">
        <w:t>s</w:t>
      </w:r>
      <w:r w:rsidRPr="0062228F">
        <w:t xml:space="preserve">s of the dried lateritic material after deposition and evaporation of the associated liquid, </w:t>
      </w:r>
      <w:r>
        <w:t>a</w:t>
      </w:r>
      <w:r w:rsidRPr="0062228F">
        <w:t xml:space="preserve"> dry bulk density of the material </w:t>
      </w:r>
      <w:proofErr w:type="gramStart"/>
      <w:r w:rsidRPr="0062228F">
        <w:t xml:space="preserve">of 1.6 </w:t>
      </w:r>
      <w:proofErr w:type="spellStart"/>
      <w:r w:rsidRPr="0062228F">
        <w:t>g∙cm</w:t>
      </w:r>
      <w:proofErr w:type="spellEnd"/>
      <w:r w:rsidRPr="0062228F">
        <w:rPr>
          <w:snapToGrid w:val="0"/>
          <w:color w:val="000000"/>
          <w:position w:val="6"/>
          <w:sz w:val="16"/>
          <w:szCs w:val="0"/>
          <w:u w:color="000000"/>
        </w:rPr>
        <w:t>-3</w:t>
      </w:r>
      <w:r w:rsidRPr="0062228F">
        <w:t>, typical for soils in the area,</w:t>
      </w:r>
      <w:proofErr w:type="gramEnd"/>
      <w:r w:rsidRPr="0062228F">
        <w:t xml:space="preserve"> was </w:t>
      </w:r>
      <w:r>
        <w:t>used as</w:t>
      </w:r>
      <w:r w:rsidRPr="0062228F">
        <w:t xml:space="preserve"> the dry </w:t>
      </w:r>
      <w:r>
        <w:t xml:space="preserve">bulk density of the </w:t>
      </w:r>
      <w:r w:rsidRPr="0062228F">
        <w:t xml:space="preserve">lateritic material. The measurements of weights on the samples received by </w:t>
      </w:r>
      <w:proofErr w:type="spellStart"/>
      <w:r w:rsidRPr="00A80523">
        <w:rPr>
          <w:b/>
          <w:i/>
          <w:sz w:val="24"/>
          <w:szCs w:val="24"/>
        </w:rPr>
        <w:t>eriss</w:t>
      </w:r>
      <w:proofErr w:type="spellEnd"/>
      <w:r w:rsidRPr="00A80523">
        <w:rPr>
          <w:sz w:val="24"/>
          <w:szCs w:val="24"/>
        </w:rPr>
        <w:t xml:space="preserve"> </w:t>
      </w:r>
      <w:r w:rsidRPr="0062228F">
        <w:t>(</w:t>
      </w:r>
      <w:r w:rsidRPr="00262ED9">
        <w:t xml:space="preserve">Table </w:t>
      </w:r>
      <w:r w:rsidR="000D53BA" w:rsidRPr="00262ED9">
        <w:t>4.7</w:t>
      </w:r>
      <w:r w:rsidRPr="00262ED9">
        <w:t>)</w:t>
      </w:r>
      <w:r w:rsidRPr="0062228F">
        <w:t xml:space="preserve"> allowed </w:t>
      </w:r>
      <w:proofErr w:type="gramStart"/>
      <w:r w:rsidRPr="0062228F">
        <w:t>to determine</w:t>
      </w:r>
      <w:proofErr w:type="gramEnd"/>
      <w:r w:rsidRPr="0062228F">
        <w:t xml:space="preserve"> the average dry/wet mass ratio of the material to 0.43.</w:t>
      </w:r>
    </w:p>
    <w:p w:rsidR="00C01C37" w:rsidRDefault="00C01C37" w:rsidP="00C01C37">
      <w:r w:rsidRPr="00A43EE8">
        <w:t xml:space="preserve">The </w:t>
      </w:r>
      <w:r>
        <w:t xml:space="preserve">average </w:t>
      </w:r>
      <w:r w:rsidRPr="00A43EE8">
        <w:t>areal activity concentration (</w:t>
      </w:r>
      <w:proofErr w:type="spellStart"/>
      <w:r w:rsidRPr="00A43EE8">
        <w:t>Bq</w:t>
      </w:r>
      <w:r>
        <w:t>∙cm</w:t>
      </w:r>
      <w:proofErr w:type="spellEnd"/>
      <w:r w:rsidRPr="00A43EE8">
        <w:rPr>
          <w:snapToGrid w:val="0"/>
          <w:color w:val="000000"/>
          <w:position w:val="6"/>
          <w:sz w:val="16"/>
          <w:szCs w:val="0"/>
          <w:u w:color="000000"/>
        </w:rPr>
        <w:t>-2</w:t>
      </w:r>
      <w:r>
        <w:t xml:space="preserve">) of the deposited slurry is calculated, assuming that the material was evenly distributed throughout the impacted area. This is of course a simplification, but appropriate for the purpose of estimating average gamma doses to workers </w:t>
      </w:r>
      <w:r w:rsidR="00F01303">
        <w:t xml:space="preserve">involved in the </w:t>
      </w:r>
      <w:r w:rsidR="00F01C02">
        <w:t>cleanup</w:t>
      </w:r>
      <w:r w:rsidR="00F01303">
        <w:t xml:space="preserve"> of the </w:t>
      </w:r>
      <w:r>
        <w:t>spill.</w:t>
      </w:r>
    </w:p>
    <w:p w:rsidR="00C01C37" w:rsidRDefault="00C01C37" w:rsidP="00C01C37">
      <w:r w:rsidRPr="00A43EE8">
        <w:t xml:space="preserve">The </w:t>
      </w:r>
      <w:r>
        <w:t xml:space="preserve">average </w:t>
      </w:r>
      <w:r w:rsidRPr="00A43EE8">
        <w:t>areal activity concentration (</w:t>
      </w:r>
      <w:proofErr w:type="spellStart"/>
      <w:r w:rsidRPr="00A43EE8">
        <w:t>Bq</w:t>
      </w:r>
      <w:r>
        <w:t>∙cm</w:t>
      </w:r>
      <w:proofErr w:type="spellEnd"/>
      <w:r w:rsidRPr="00A43EE8">
        <w:rPr>
          <w:snapToGrid w:val="0"/>
          <w:color w:val="000000"/>
          <w:position w:val="6"/>
          <w:sz w:val="16"/>
          <w:szCs w:val="0"/>
          <w:u w:color="000000"/>
        </w:rPr>
        <w:t>-2</w:t>
      </w:r>
      <w:r>
        <w:t>) can be calculated as:</w:t>
      </w:r>
    </w:p>
    <w:p w:rsidR="00C01C37" w:rsidRPr="00A43EE8" w:rsidRDefault="00C01C37" w:rsidP="00C01C37"/>
    <w:p w:rsidR="00C01C37" w:rsidRDefault="00C01C37" w:rsidP="00C01C37">
      <m:oMath>
        <m:r>
          <w:rPr>
            <w:rFonts w:ascii="Cambria Math" w:hAnsi="Cambria Math"/>
          </w:rPr>
          <m:t>A[</m:t>
        </m:r>
        <m:f>
          <m:fPr>
            <m:ctrlPr>
              <w:rPr>
                <w:rFonts w:ascii="Cambria Math" w:hAnsi="Cambria Math"/>
                <w:i/>
              </w:rPr>
            </m:ctrlPr>
          </m:fPr>
          <m:num>
            <m:r>
              <w:rPr>
                <w:rFonts w:ascii="Cambria Math" w:hAnsi="Cambria Math"/>
              </w:rPr>
              <m:t>Bq</m:t>
            </m:r>
          </m:num>
          <m:den>
            <m:sSup>
              <m:sSupPr>
                <m:ctrlPr>
                  <w:rPr>
                    <w:rFonts w:ascii="Cambria Math" w:hAnsi="Cambria Math"/>
                    <w:i/>
                  </w:rPr>
                </m:ctrlPr>
              </m:sSupPr>
              <m:e>
                <m:r>
                  <w:rPr>
                    <w:rFonts w:ascii="Cambria Math" w:hAnsi="Cambria Math"/>
                  </w:rPr>
                  <m:t>m</m:t>
                </m:r>
              </m:e>
              <m:sup>
                <m:r>
                  <w:rPr>
                    <w:rFonts w:ascii="Cambria Math" w:hAnsi="Cambria Math"/>
                  </w:rPr>
                  <m:t>2</m:t>
                </m:r>
              </m:sup>
            </m:sSup>
          </m:den>
        </m:f>
        <m:r>
          <w:rPr>
            <w:rFonts w:ascii="Cambria Math" w:hAnsi="Cambria Math"/>
          </w:rPr>
          <m:t xml:space="preserve">] </m:t>
        </m:r>
        <m:sSub>
          <m:sSubPr>
            <m:ctrlPr>
              <w:rPr>
                <w:rFonts w:ascii="Cambria Math" w:hAnsi="Cambria Math"/>
                <w:i/>
              </w:rPr>
            </m:ctrlPr>
          </m:sSubPr>
          <m:e>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slurry</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slurry</m:t>
                </m:r>
              </m:sub>
            </m:sSub>
            <m:r>
              <w:rPr>
                <w:rFonts w:ascii="Cambria Math" w:hAnsi="Cambria Math"/>
              </w:rPr>
              <m:t xml:space="preserve"> ∙</m:t>
            </m:r>
            <m:sSub>
              <m:sSubPr>
                <m:ctrlPr>
                  <w:rPr>
                    <w:rFonts w:ascii="Cambria Math" w:hAnsi="Cambria Math"/>
                    <w:i/>
                  </w:rPr>
                </m:ctrlPr>
              </m:sSubPr>
              <m:e>
                <m:r>
                  <w:rPr>
                    <w:rFonts w:ascii="Cambria Math" w:hAnsi="Cambria Math"/>
                  </w:rPr>
                  <m:t>ρ</m:t>
                </m:r>
              </m:e>
              <m:sub>
                <m:r>
                  <w:rPr>
                    <w:rFonts w:ascii="Cambria Math" w:hAnsi="Cambria Math"/>
                  </w:rPr>
                  <m:t>slurry</m:t>
                </m:r>
              </m:sub>
            </m:sSub>
            <m:r>
              <w:rPr>
                <w:rFonts w:ascii="Cambria Math" w:hAnsi="Cambria Math"/>
              </w:rPr>
              <m:t>=d</m:t>
            </m:r>
          </m:e>
          <m:sub>
            <m:r>
              <w:rPr>
                <w:rFonts w:ascii="Cambria Math" w:hAnsi="Cambria Math"/>
              </w:rPr>
              <m:t>slurry</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dry</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dry</m:t>
                </m:r>
              </m:sub>
            </m:sSub>
          </m:num>
          <m:den>
            <m:sSub>
              <m:sSubPr>
                <m:ctrlPr>
                  <w:rPr>
                    <w:rFonts w:ascii="Cambria Math" w:hAnsi="Cambria Math"/>
                    <w:i/>
                  </w:rPr>
                </m:ctrlPr>
              </m:sSubPr>
              <m:e>
                <m:r>
                  <w:rPr>
                    <w:rFonts w:ascii="Cambria Math" w:hAnsi="Cambria Math"/>
                  </w:rPr>
                  <m:t>m</m:t>
                </m:r>
              </m:e>
              <m:sub>
                <m:r>
                  <w:rPr>
                    <w:rFonts w:ascii="Cambria Math" w:hAnsi="Cambria Math"/>
                  </w:rPr>
                  <m:t>wet</m:t>
                </m:r>
              </m:sub>
            </m:sSub>
          </m:den>
        </m:f>
        <m:r>
          <w:rPr>
            <w:rFonts w:ascii="Cambria Math" w:hAnsi="Cambria Math"/>
          </w:rPr>
          <m:t xml:space="preserve"> ∙</m:t>
        </m:r>
        <m:sSub>
          <m:sSubPr>
            <m:ctrlPr>
              <w:rPr>
                <w:rFonts w:ascii="Cambria Math" w:hAnsi="Cambria Math"/>
                <w:i/>
              </w:rPr>
            </m:ctrlPr>
          </m:sSubPr>
          <m:e>
            <m:r>
              <w:rPr>
                <w:rFonts w:ascii="Cambria Math" w:hAnsi="Cambria Math"/>
              </w:rPr>
              <m:t>ρ</m:t>
            </m:r>
          </m:e>
          <m:sub>
            <m:r>
              <w:rPr>
                <w:rFonts w:ascii="Cambria Math" w:hAnsi="Cambria Math"/>
              </w:rPr>
              <m:t>slurry</m:t>
            </m:r>
          </m:sub>
        </m:sSub>
      </m:oMath>
      <w:r>
        <w:tab/>
      </w:r>
      <w:r>
        <w:tab/>
      </w:r>
      <w:r>
        <w:tab/>
      </w:r>
      <w:r>
        <w:tab/>
        <w:t>(1)</w:t>
      </w:r>
    </w:p>
    <w:p w:rsidR="00C01C37" w:rsidRDefault="00C01C37" w:rsidP="00C01C37"/>
    <w:p w:rsidR="00C01C37" w:rsidRPr="0062228F" w:rsidRDefault="00C01C37" w:rsidP="00C01C37">
      <w:r w:rsidRPr="0062228F">
        <w:t>With:</w:t>
      </w:r>
    </w:p>
    <w:p w:rsidR="00C01C37" w:rsidRDefault="00C01C37" w:rsidP="00C01C37">
      <w:proofErr w:type="gramStart"/>
      <w:r>
        <w:t>d</w:t>
      </w:r>
      <w:r w:rsidRPr="0062228F">
        <w:rPr>
          <w:snapToGrid w:val="0"/>
          <w:color w:val="000000"/>
          <w:position w:val="-6"/>
          <w:sz w:val="16"/>
          <w:szCs w:val="0"/>
          <w:u w:color="000000"/>
        </w:rPr>
        <w:t>slurry</w:t>
      </w:r>
      <w:proofErr w:type="gramEnd"/>
      <w:r w:rsidRPr="0062228F">
        <w:t>:</w:t>
      </w:r>
      <w:r w:rsidRPr="0062228F">
        <w:tab/>
      </w:r>
      <w:r>
        <w:t>average thickness of wet deposited</w:t>
      </w:r>
      <w:r w:rsidRPr="0062228F">
        <w:t xml:space="preserve"> slurry (</w:t>
      </w:r>
      <w:r>
        <w:t>c</w:t>
      </w:r>
      <w:r w:rsidRPr="0062228F">
        <w:t>m)</w:t>
      </w:r>
    </w:p>
    <w:p w:rsidR="00C01C37" w:rsidRDefault="00C01C37" w:rsidP="00C01C37">
      <w:r>
        <w:t>C</w:t>
      </w:r>
      <w:r w:rsidRPr="0062228F">
        <w:rPr>
          <w:snapToGrid w:val="0"/>
          <w:color w:val="000000"/>
          <w:position w:val="-6"/>
          <w:sz w:val="16"/>
          <w:szCs w:val="0"/>
          <w:u w:color="000000"/>
        </w:rPr>
        <w:t>slurry</w:t>
      </w:r>
      <w:r w:rsidRPr="0062228F">
        <w:t>:</w:t>
      </w:r>
      <w:r w:rsidRPr="0062228F">
        <w:tab/>
      </w:r>
      <w:r>
        <w:t xml:space="preserve">activity concentration of wet </w:t>
      </w:r>
      <w:r w:rsidRPr="0062228F">
        <w:t>slurry (</w:t>
      </w:r>
      <w:proofErr w:type="spellStart"/>
      <w:r>
        <w:t>Bq∙g</w:t>
      </w:r>
      <w:proofErr w:type="spellEnd"/>
      <w:r w:rsidRPr="005B7FE3">
        <w:rPr>
          <w:snapToGrid w:val="0"/>
          <w:color w:val="000000"/>
          <w:position w:val="6"/>
          <w:sz w:val="16"/>
          <w:szCs w:val="0"/>
          <w:u w:color="000000"/>
        </w:rPr>
        <w:t>-1</w:t>
      </w:r>
      <w:r w:rsidRPr="0062228F">
        <w:t>)</w:t>
      </w:r>
    </w:p>
    <w:p w:rsidR="00C01C37" w:rsidRPr="0062228F" w:rsidRDefault="00C01C37" w:rsidP="00C01C37">
      <w:proofErr w:type="gramStart"/>
      <w:r w:rsidRPr="0062228F">
        <w:t>ρ</w:t>
      </w:r>
      <w:r w:rsidRPr="0062228F">
        <w:rPr>
          <w:snapToGrid w:val="0"/>
          <w:color w:val="000000"/>
          <w:position w:val="-6"/>
          <w:sz w:val="16"/>
          <w:szCs w:val="0"/>
          <w:u w:color="000000"/>
        </w:rPr>
        <w:t>slurry</w:t>
      </w:r>
      <w:proofErr w:type="gramEnd"/>
      <w:r w:rsidRPr="0062228F">
        <w:t>:</w:t>
      </w:r>
      <w:r w:rsidRPr="0062228F">
        <w:tab/>
        <w:t xml:space="preserve">density of the </w:t>
      </w:r>
      <w:r>
        <w:t xml:space="preserve">wet </w:t>
      </w:r>
      <w:r w:rsidRPr="0062228F">
        <w:t>slurry (</w:t>
      </w:r>
      <w:r>
        <w:t xml:space="preserve">1.35 </w:t>
      </w:r>
      <w:proofErr w:type="spellStart"/>
      <w:r>
        <w:t>g</w:t>
      </w:r>
      <w:r w:rsidRPr="0062228F">
        <w:t>∙</w:t>
      </w:r>
      <w:r>
        <w:t>c</w:t>
      </w:r>
      <w:r w:rsidRPr="0062228F">
        <w:t>m</w:t>
      </w:r>
      <w:proofErr w:type="spellEnd"/>
      <w:r w:rsidRPr="0062228F">
        <w:rPr>
          <w:snapToGrid w:val="0"/>
          <w:color w:val="000000"/>
          <w:position w:val="6"/>
          <w:sz w:val="16"/>
          <w:szCs w:val="0"/>
          <w:u w:color="000000"/>
        </w:rPr>
        <w:t>-3</w:t>
      </w:r>
      <w:r w:rsidRPr="0062228F">
        <w:t>)</w:t>
      </w:r>
    </w:p>
    <w:p w:rsidR="00C01C37" w:rsidRDefault="00C01C37" w:rsidP="00C01C37">
      <w:r>
        <w:t>C</w:t>
      </w:r>
      <w:r>
        <w:rPr>
          <w:snapToGrid w:val="0"/>
          <w:color w:val="000000"/>
          <w:position w:val="-6"/>
          <w:sz w:val="16"/>
          <w:szCs w:val="0"/>
          <w:u w:color="000000"/>
        </w:rPr>
        <w:t>dry</w:t>
      </w:r>
      <w:r w:rsidRPr="0062228F">
        <w:t>:</w:t>
      </w:r>
      <w:r w:rsidRPr="0062228F">
        <w:tab/>
      </w:r>
      <w:r>
        <w:t xml:space="preserve">activity concentration of dry </w:t>
      </w:r>
      <w:r w:rsidRPr="0062228F">
        <w:t>slurry (</w:t>
      </w:r>
      <w:proofErr w:type="spellStart"/>
      <w:r>
        <w:t>Bq∙g</w:t>
      </w:r>
      <w:proofErr w:type="spellEnd"/>
      <w:r w:rsidRPr="005B7FE3">
        <w:rPr>
          <w:snapToGrid w:val="0"/>
          <w:color w:val="000000"/>
          <w:position w:val="6"/>
          <w:sz w:val="16"/>
          <w:szCs w:val="0"/>
          <w:u w:color="000000"/>
        </w:rPr>
        <w:t>-1</w:t>
      </w:r>
      <w:r w:rsidRPr="0062228F">
        <w:t>)</w:t>
      </w:r>
    </w:p>
    <w:p w:rsidR="00C01C37" w:rsidRDefault="00C01C37" w:rsidP="00C01C37">
      <w:proofErr w:type="gramStart"/>
      <w:r>
        <w:t>m</w:t>
      </w:r>
      <w:r w:rsidRPr="005B7FE3">
        <w:rPr>
          <w:snapToGrid w:val="0"/>
          <w:color w:val="000000"/>
          <w:position w:val="-6"/>
          <w:sz w:val="16"/>
          <w:szCs w:val="0"/>
          <w:u w:color="000000"/>
        </w:rPr>
        <w:t>dry</w:t>
      </w:r>
      <w:proofErr w:type="gramEnd"/>
      <w:r>
        <w:t>:</w:t>
      </w:r>
      <w:r>
        <w:tab/>
        <w:t>mass of dried slurry (g)</w:t>
      </w:r>
    </w:p>
    <w:p w:rsidR="00C01C37" w:rsidRDefault="00C01C37" w:rsidP="00C01C37">
      <w:proofErr w:type="gramStart"/>
      <w:r>
        <w:t>m</w:t>
      </w:r>
      <w:r>
        <w:rPr>
          <w:snapToGrid w:val="0"/>
          <w:color w:val="000000"/>
          <w:position w:val="-6"/>
          <w:sz w:val="16"/>
          <w:szCs w:val="0"/>
          <w:u w:color="000000"/>
        </w:rPr>
        <w:t>slurry</w:t>
      </w:r>
      <w:proofErr w:type="gramEnd"/>
      <w:r>
        <w:t>:</w:t>
      </w:r>
      <w:r>
        <w:tab/>
        <w:t>mass of wet slurry (g).</w:t>
      </w:r>
    </w:p>
    <w:p w:rsidR="00C01C37" w:rsidRDefault="00C01C37" w:rsidP="00C01C37"/>
    <w:p w:rsidR="00C01C37" w:rsidRDefault="00C01C37" w:rsidP="00C01C37">
      <w:r>
        <w:t xml:space="preserve">The areal activity concentration calculated with equation (1) should be the same </w:t>
      </w:r>
      <w:r w:rsidR="00F01303">
        <w:t>once</w:t>
      </w:r>
      <w:r>
        <w:t xml:space="preserve"> the deposited material has dried:</w:t>
      </w:r>
    </w:p>
    <w:p w:rsidR="00C01C37" w:rsidRDefault="00C01C37" w:rsidP="00C01C37"/>
    <w:p w:rsidR="00C01C37" w:rsidRDefault="00C01C37" w:rsidP="00C01C37">
      <m:oMath>
        <m:r>
          <w:rPr>
            <w:rFonts w:ascii="Cambria Math" w:hAnsi="Cambria Math"/>
          </w:rPr>
          <m:t>A[</m:t>
        </m:r>
        <m:f>
          <m:fPr>
            <m:ctrlPr>
              <w:rPr>
                <w:rFonts w:ascii="Cambria Math" w:hAnsi="Cambria Math"/>
                <w:i/>
              </w:rPr>
            </m:ctrlPr>
          </m:fPr>
          <m:num>
            <m:r>
              <w:rPr>
                <w:rFonts w:ascii="Cambria Math" w:hAnsi="Cambria Math"/>
              </w:rPr>
              <m:t>Bq</m:t>
            </m:r>
          </m:num>
          <m:den>
            <m:sSup>
              <m:sSupPr>
                <m:ctrlPr>
                  <w:rPr>
                    <w:rFonts w:ascii="Cambria Math" w:hAnsi="Cambria Math"/>
                    <w:i/>
                  </w:rPr>
                </m:ctrlPr>
              </m:sSupPr>
              <m:e>
                <m:r>
                  <w:rPr>
                    <w:rFonts w:ascii="Cambria Math" w:hAnsi="Cambria Math"/>
                  </w:rPr>
                  <m:t>m</m:t>
                </m:r>
              </m:e>
              <m:sup>
                <m:r>
                  <w:rPr>
                    <w:rFonts w:ascii="Cambria Math" w:hAnsi="Cambria Math"/>
                  </w:rPr>
                  <m:t>2</m:t>
                </m:r>
              </m:sup>
            </m:sSup>
          </m:den>
        </m:f>
        <m:r>
          <w:rPr>
            <w:rFonts w:ascii="Cambria Math" w:hAnsi="Cambria Math"/>
          </w:rPr>
          <m:t>] =</m:t>
        </m:r>
        <m:sSub>
          <m:sSubPr>
            <m:ctrlPr>
              <w:rPr>
                <w:rFonts w:ascii="Cambria Math" w:hAnsi="Cambria Math"/>
                <w:i/>
              </w:rPr>
            </m:ctrlPr>
          </m:sSubPr>
          <m:e>
            <m:r>
              <w:rPr>
                <w:rFonts w:ascii="Cambria Math" w:hAnsi="Cambria Math"/>
              </w:rPr>
              <m:t>d</m:t>
            </m:r>
          </m:e>
          <m:sub>
            <m:r>
              <w:rPr>
                <w:rFonts w:ascii="Cambria Math" w:hAnsi="Cambria Math"/>
              </w:rPr>
              <m:t>dry</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dry</m:t>
            </m:r>
          </m:sub>
        </m:sSub>
        <m:r>
          <w:rPr>
            <w:rFonts w:ascii="Cambria Math" w:hAnsi="Cambria Math"/>
          </w:rPr>
          <m:t xml:space="preserve"> ∙</m:t>
        </m:r>
        <m:sSub>
          <m:sSubPr>
            <m:ctrlPr>
              <w:rPr>
                <w:rFonts w:ascii="Cambria Math" w:hAnsi="Cambria Math"/>
                <w:i/>
              </w:rPr>
            </m:ctrlPr>
          </m:sSubPr>
          <m:e>
            <m:r>
              <w:rPr>
                <w:rFonts w:ascii="Cambria Math" w:hAnsi="Cambria Math"/>
              </w:rPr>
              <m:t>ρ</m:t>
            </m:r>
          </m:e>
          <m:sub>
            <m:r>
              <w:rPr>
                <w:rFonts w:ascii="Cambria Math" w:hAnsi="Cambria Math"/>
              </w:rPr>
              <m:t>dry</m:t>
            </m:r>
          </m:sub>
        </m:sSub>
        <m:r>
          <w:rPr>
            <w:rFonts w:ascii="Cambria Math" w:hAnsi="Cambria Math"/>
          </w:rPr>
          <m:t>∙</m:t>
        </m:r>
      </m:oMath>
      <w:r>
        <w:tab/>
      </w:r>
      <w:r>
        <w:tab/>
      </w:r>
      <w:r>
        <w:tab/>
      </w:r>
      <w:r>
        <w:tab/>
      </w:r>
      <w:r>
        <w:tab/>
      </w:r>
      <w:r>
        <w:tab/>
      </w:r>
      <w:r>
        <w:tab/>
      </w:r>
      <w:r>
        <w:tab/>
      </w:r>
      <w:r>
        <w:tab/>
      </w:r>
      <w:r>
        <w:tab/>
      </w:r>
      <w:r>
        <w:tab/>
      </w:r>
      <w:r>
        <w:tab/>
      </w:r>
      <w:r>
        <w:tab/>
      </w:r>
      <w:r>
        <w:tab/>
      </w:r>
      <w:r>
        <w:tab/>
        <w:t>(2)</w:t>
      </w:r>
    </w:p>
    <w:p w:rsidR="00C01C37" w:rsidRDefault="00C01C37" w:rsidP="00C01C37"/>
    <w:p w:rsidR="00C01C37" w:rsidRDefault="00C01C37" w:rsidP="00C01C37">
      <w:r>
        <w:t>With:</w:t>
      </w:r>
    </w:p>
    <w:p w:rsidR="00C01C37" w:rsidRDefault="00C01C37" w:rsidP="00C01C37">
      <w:proofErr w:type="gramStart"/>
      <w:r>
        <w:t>d</w:t>
      </w:r>
      <w:r>
        <w:rPr>
          <w:snapToGrid w:val="0"/>
          <w:color w:val="000000"/>
          <w:position w:val="-6"/>
          <w:sz w:val="16"/>
          <w:szCs w:val="0"/>
          <w:u w:color="000000"/>
        </w:rPr>
        <w:t>dry</w:t>
      </w:r>
      <w:proofErr w:type="gramEnd"/>
      <w:r w:rsidRPr="0062228F">
        <w:t>:</w:t>
      </w:r>
      <w:r w:rsidRPr="0062228F">
        <w:tab/>
      </w:r>
      <w:r>
        <w:t xml:space="preserve">average thickness of dry </w:t>
      </w:r>
      <w:r w:rsidRPr="0062228F">
        <w:t>slurry (</w:t>
      </w:r>
      <w:r>
        <w:t>c</w:t>
      </w:r>
      <w:r w:rsidRPr="0062228F">
        <w:t>m)</w:t>
      </w:r>
    </w:p>
    <w:p w:rsidR="00C01C37" w:rsidRDefault="00C01C37" w:rsidP="00C01C37">
      <w:r>
        <w:t>C</w:t>
      </w:r>
      <w:r>
        <w:rPr>
          <w:snapToGrid w:val="0"/>
          <w:color w:val="000000"/>
          <w:position w:val="-6"/>
          <w:sz w:val="16"/>
          <w:szCs w:val="0"/>
          <w:u w:color="000000"/>
        </w:rPr>
        <w:t>dry</w:t>
      </w:r>
      <w:r w:rsidRPr="0062228F">
        <w:t>:</w:t>
      </w:r>
      <w:r w:rsidRPr="0062228F">
        <w:tab/>
      </w:r>
      <w:r>
        <w:t xml:space="preserve">activity concentration of dry </w:t>
      </w:r>
      <w:r w:rsidRPr="0062228F">
        <w:t>slurry (</w:t>
      </w:r>
      <w:proofErr w:type="spellStart"/>
      <w:r>
        <w:t>Bq∙g</w:t>
      </w:r>
      <w:proofErr w:type="spellEnd"/>
      <w:r w:rsidRPr="005B7FE3">
        <w:rPr>
          <w:snapToGrid w:val="0"/>
          <w:color w:val="000000"/>
          <w:position w:val="6"/>
          <w:sz w:val="16"/>
          <w:szCs w:val="0"/>
          <w:u w:color="000000"/>
        </w:rPr>
        <w:t>-1</w:t>
      </w:r>
      <w:r w:rsidRPr="0062228F">
        <w:t>)</w:t>
      </w:r>
    </w:p>
    <w:p w:rsidR="00C01C37" w:rsidRPr="0062228F" w:rsidRDefault="00C01C37" w:rsidP="00C01C37">
      <w:proofErr w:type="gramStart"/>
      <w:r w:rsidRPr="0062228F">
        <w:t>ρ</w:t>
      </w:r>
      <w:r>
        <w:rPr>
          <w:snapToGrid w:val="0"/>
          <w:color w:val="000000"/>
          <w:position w:val="-6"/>
          <w:sz w:val="16"/>
          <w:szCs w:val="0"/>
          <w:u w:color="000000"/>
        </w:rPr>
        <w:t>dry</w:t>
      </w:r>
      <w:proofErr w:type="gramEnd"/>
      <w:r w:rsidRPr="0062228F">
        <w:t>:</w:t>
      </w:r>
      <w:r w:rsidRPr="0062228F">
        <w:tab/>
        <w:t xml:space="preserve">density of </w:t>
      </w:r>
      <w:r>
        <w:t>dry</w:t>
      </w:r>
      <w:r w:rsidRPr="0062228F">
        <w:t xml:space="preserve"> slurry (</w:t>
      </w:r>
      <w:r>
        <w:t xml:space="preserve">1.6 </w:t>
      </w:r>
      <w:proofErr w:type="spellStart"/>
      <w:r>
        <w:t>g</w:t>
      </w:r>
      <w:r w:rsidRPr="0062228F">
        <w:t>∙</w:t>
      </w:r>
      <w:r>
        <w:t>c</w:t>
      </w:r>
      <w:r w:rsidRPr="0062228F">
        <w:t>m</w:t>
      </w:r>
      <w:proofErr w:type="spellEnd"/>
      <w:r w:rsidRPr="0062228F">
        <w:rPr>
          <w:snapToGrid w:val="0"/>
          <w:color w:val="000000"/>
          <w:position w:val="6"/>
          <w:sz w:val="16"/>
          <w:szCs w:val="0"/>
          <w:u w:color="000000"/>
        </w:rPr>
        <w:t>-3</w:t>
      </w:r>
      <w:r w:rsidRPr="0062228F">
        <w:t>)</w:t>
      </w:r>
    </w:p>
    <w:p w:rsidR="00C01C37" w:rsidRDefault="00C01C37" w:rsidP="00C01C37"/>
    <w:p w:rsidR="00C01C37" w:rsidRDefault="00C01C37" w:rsidP="00C01C37">
      <w:r>
        <w:t>The average thickness of dry material, d</w:t>
      </w:r>
      <w:r w:rsidRPr="0048387F">
        <w:rPr>
          <w:snapToGrid w:val="0"/>
          <w:color w:val="000000"/>
          <w:position w:val="-6"/>
          <w:sz w:val="16"/>
          <w:szCs w:val="0"/>
          <w:u w:color="000000"/>
        </w:rPr>
        <w:t>dry</w:t>
      </w:r>
      <w:r>
        <w:t>, can thus be estimated using:</w:t>
      </w:r>
    </w:p>
    <w:p w:rsidR="00C01C37" w:rsidRDefault="00C01C37" w:rsidP="00C01C37"/>
    <w:p w:rsidR="00C01C37" w:rsidRPr="0062228F" w:rsidRDefault="00117C79" w:rsidP="00C01C37">
      <m:oMath>
        <m:sSub>
          <m:sSubPr>
            <m:ctrlPr>
              <w:rPr>
                <w:rFonts w:ascii="Cambria Math" w:hAnsi="Cambria Math"/>
                <w:i/>
              </w:rPr>
            </m:ctrlPr>
          </m:sSubPr>
          <m:e>
            <m:r>
              <w:rPr>
                <w:rFonts w:ascii="Cambria Math" w:hAnsi="Cambria Math"/>
              </w:rPr>
              <m:t>d</m:t>
            </m:r>
          </m:e>
          <m:sub>
            <m:r>
              <w:rPr>
                <w:rFonts w:ascii="Cambria Math" w:hAnsi="Cambria Math"/>
              </w:rPr>
              <m:t>dry</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slurry</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dry</m:t>
                </m:r>
              </m:sub>
            </m:sSub>
          </m:num>
          <m:den>
            <m:sSub>
              <m:sSubPr>
                <m:ctrlPr>
                  <w:rPr>
                    <w:rFonts w:ascii="Cambria Math" w:hAnsi="Cambria Math"/>
                    <w:i/>
                  </w:rPr>
                </m:ctrlPr>
              </m:sSubPr>
              <m:e>
                <m:r>
                  <w:rPr>
                    <w:rFonts w:ascii="Cambria Math" w:hAnsi="Cambria Math"/>
                  </w:rPr>
                  <m:t>m</m:t>
                </m:r>
              </m:e>
              <m:sub>
                <m:r>
                  <w:rPr>
                    <w:rFonts w:ascii="Cambria Math" w:hAnsi="Cambria Math"/>
                  </w:rPr>
                  <m:t>wet</m:t>
                </m:r>
              </m:sub>
            </m:sSub>
          </m:den>
        </m:f>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slurry</m:t>
                </m:r>
              </m:sub>
            </m:sSub>
          </m:num>
          <m:den>
            <m:sSub>
              <m:sSubPr>
                <m:ctrlPr>
                  <w:rPr>
                    <w:rFonts w:ascii="Cambria Math" w:hAnsi="Cambria Math"/>
                    <w:i/>
                  </w:rPr>
                </m:ctrlPr>
              </m:sSubPr>
              <m:e>
                <m:r>
                  <w:rPr>
                    <w:rFonts w:ascii="Cambria Math" w:hAnsi="Cambria Math"/>
                  </w:rPr>
                  <m:t>ρ</m:t>
                </m:r>
              </m:e>
              <m:sub>
                <m:r>
                  <w:rPr>
                    <w:rFonts w:ascii="Cambria Math" w:hAnsi="Cambria Math"/>
                  </w:rPr>
                  <m:t>dry</m:t>
                </m:r>
              </m:sub>
            </m:sSub>
          </m:den>
        </m:f>
      </m:oMath>
      <w:r w:rsidR="00C01C37">
        <w:tab/>
      </w:r>
      <w:r w:rsidR="00C01C37">
        <w:tab/>
      </w:r>
      <w:r w:rsidR="00C01C37">
        <w:tab/>
      </w:r>
      <w:r w:rsidR="00C01C37">
        <w:tab/>
      </w:r>
      <w:r w:rsidR="00C01C37">
        <w:tab/>
      </w:r>
      <w:r w:rsidR="00C01C37">
        <w:tab/>
      </w:r>
      <w:r w:rsidR="00C01C37">
        <w:tab/>
      </w:r>
      <w:r w:rsidR="00C01C37">
        <w:tab/>
      </w:r>
      <w:r w:rsidR="00C01C37">
        <w:tab/>
      </w:r>
      <w:r w:rsidR="00C01C37">
        <w:tab/>
      </w:r>
      <w:r w:rsidR="00C01C37">
        <w:tab/>
      </w:r>
      <w:r w:rsidR="00C01C37">
        <w:tab/>
      </w:r>
      <w:r w:rsidR="00C01C37">
        <w:tab/>
      </w:r>
      <w:r w:rsidR="00C01C37">
        <w:tab/>
        <w:t>(3)</w:t>
      </w:r>
    </w:p>
    <w:p w:rsidR="00C01C37" w:rsidRDefault="00C01C37" w:rsidP="00C01C37"/>
    <w:p w:rsidR="00C01C37" w:rsidRPr="0062228F" w:rsidRDefault="00C01C37" w:rsidP="00C01C37">
      <w:r w:rsidRPr="0062228F">
        <w:t xml:space="preserve">Consequently, the </w:t>
      </w:r>
      <w:r>
        <w:t>average thickness</w:t>
      </w:r>
      <w:r w:rsidRPr="0062228F">
        <w:t xml:space="preserve"> of dry material spilled during the incident across the 1.475 ha of impacted area amount</w:t>
      </w:r>
      <w:r>
        <w:t>ed</w:t>
      </w:r>
      <w:r w:rsidRPr="0062228F">
        <w:t xml:space="preserve"> to </w:t>
      </w:r>
      <w:r>
        <w:t xml:space="preserve">approximately </w:t>
      </w:r>
      <w:r w:rsidRPr="0062228F">
        <w:t>3</w:t>
      </w:r>
      <w:r>
        <w:t>.5</w:t>
      </w:r>
      <w:r w:rsidRPr="0062228F">
        <w:t xml:space="preserve"> cm.</w:t>
      </w:r>
    </w:p>
    <w:p w:rsidR="00C01C37" w:rsidRDefault="00C01C37" w:rsidP="00266E77">
      <w:pPr>
        <w:pStyle w:val="Heading4"/>
      </w:pPr>
      <w:proofErr w:type="gramStart"/>
      <w:r w:rsidRPr="00247AAB">
        <w:t>4.</w:t>
      </w:r>
      <w:r w:rsidR="00BD3423" w:rsidRPr="00247AAB">
        <w:t xml:space="preserve">3.1.5 </w:t>
      </w:r>
      <w:r w:rsidRPr="00247AAB">
        <w:t xml:space="preserve"> Modelling</w:t>
      </w:r>
      <w:proofErr w:type="gramEnd"/>
      <w:r w:rsidRPr="00A03E05">
        <w:t xml:space="preserve"> of the external gamma radiation pathway</w:t>
      </w:r>
    </w:p>
    <w:p w:rsidR="00C01C37" w:rsidRPr="0062228F" w:rsidRDefault="00C01C37" w:rsidP="00C01C37">
      <w:r>
        <w:t xml:space="preserve">The </w:t>
      </w:r>
      <w:proofErr w:type="spellStart"/>
      <w:r>
        <w:t>ResRad</w:t>
      </w:r>
      <w:proofErr w:type="spellEnd"/>
      <w:r>
        <w:t xml:space="preserve"> computer code (</w:t>
      </w:r>
      <w:proofErr w:type="spellStart"/>
      <w:r>
        <w:t>Resrad</w:t>
      </w:r>
      <w:proofErr w:type="spellEnd"/>
      <w:r>
        <w:t xml:space="preserve"> offsite Version 2.6) has been used to calculate gamma doses to people standing and working on the material spilled during the incident. It was assumed that the material had dried, and the contribution of background radiation (i.e.: radiation from any material present before the spill or radiation from ore bins) was not considered in the modelling. The average activity concentration of </w:t>
      </w:r>
      <w:r w:rsidRPr="00A0478A">
        <w:rPr>
          <w:snapToGrid w:val="0"/>
          <w:color w:val="000000"/>
          <w:position w:val="6"/>
          <w:sz w:val="16"/>
          <w:szCs w:val="0"/>
          <w:u w:color="000000"/>
        </w:rPr>
        <w:t>238</w:t>
      </w:r>
      <w:r>
        <w:t xml:space="preserve">U in equilibrium with its decay products was assumed to be 21.6 </w:t>
      </w:r>
      <w:proofErr w:type="spellStart"/>
      <w:r>
        <w:t>Bq∙g</w:t>
      </w:r>
      <w:proofErr w:type="spellEnd"/>
      <w:r w:rsidRPr="00BD3F19">
        <w:rPr>
          <w:snapToGrid w:val="0"/>
          <w:color w:val="000000"/>
          <w:position w:val="6"/>
          <w:sz w:val="16"/>
          <w:szCs w:val="0"/>
          <w:u w:color="000000"/>
        </w:rPr>
        <w:t>-1</w:t>
      </w:r>
      <w:r>
        <w:t>.</w:t>
      </w:r>
    </w:p>
    <w:p w:rsidR="00C01C37" w:rsidRDefault="00C01C37" w:rsidP="00C01C37">
      <w:r w:rsidRPr="00262ED9">
        <w:t>Figure</w:t>
      </w:r>
      <w:r w:rsidR="00BD3423" w:rsidRPr="00262ED9">
        <w:t xml:space="preserve"> 4.</w:t>
      </w:r>
      <w:r w:rsidR="000D53BA" w:rsidRPr="00262ED9">
        <w:t>30</w:t>
      </w:r>
      <w:r>
        <w:t xml:space="preserve"> shows the external gamma dose rate received for various thicknesses of material deposited after the incident. </w:t>
      </w:r>
      <w:r w:rsidRPr="008C04F3">
        <w:t xml:space="preserve">Assuming </w:t>
      </w:r>
      <w:r>
        <w:t>an</w:t>
      </w:r>
      <w:r w:rsidRPr="008C04F3">
        <w:t xml:space="preserve"> average thickness of the </w:t>
      </w:r>
      <w:r>
        <w:t>dried</w:t>
      </w:r>
      <w:r w:rsidRPr="008C04F3">
        <w:t xml:space="preserve"> material </w:t>
      </w:r>
      <w:r>
        <w:t>of</w:t>
      </w:r>
      <w:r w:rsidRPr="008C04F3">
        <w:t xml:space="preserve"> 3</w:t>
      </w:r>
      <w:r>
        <w:t>.5</w:t>
      </w:r>
      <w:r w:rsidRPr="008C04F3">
        <w:t xml:space="preserve"> cm, the average dose rate </w:t>
      </w:r>
      <w:r>
        <w:t>received by a worker standing on the material was</w:t>
      </w:r>
      <w:r w:rsidRPr="008C04F3">
        <w:t xml:space="preserve"> </w:t>
      </w:r>
      <w:proofErr w:type="gramStart"/>
      <w:r>
        <w:t>1.6 µ</w:t>
      </w:r>
      <w:proofErr w:type="spellStart"/>
      <w:r>
        <w:t>Sv∙hr</w:t>
      </w:r>
      <w:proofErr w:type="spellEnd"/>
      <w:r w:rsidRPr="008C04F3">
        <w:rPr>
          <w:snapToGrid w:val="0"/>
          <w:color w:val="000000"/>
          <w:position w:val="6"/>
          <w:sz w:val="16"/>
          <w:szCs w:val="0"/>
          <w:u w:color="000000"/>
        </w:rPr>
        <w:t>-1</w:t>
      </w:r>
      <w:proofErr w:type="gramEnd"/>
      <w:r>
        <w:t>.</w:t>
      </w:r>
    </w:p>
    <w:p w:rsidR="00C01C37" w:rsidRDefault="00C01C37" w:rsidP="00C01C37">
      <w:pPr>
        <w:jc w:val="center"/>
      </w:pPr>
      <w:r w:rsidRPr="004C5F96">
        <w:rPr>
          <w:noProof/>
          <w:lang w:eastAsia="en-AU"/>
        </w:rPr>
        <w:drawing>
          <wp:inline distT="0" distB="0" distL="0" distR="0">
            <wp:extent cx="3830633" cy="2780767"/>
            <wp:effectExtent l="1905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screen"/>
                    <a:srcRect t="9459"/>
                    <a:stretch>
                      <a:fillRect/>
                    </a:stretch>
                  </pic:blipFill>
                  <pic:spPr bwMode="auto">
                    <a:xfrm>
                      <a:off x="0" y="0"/>
                      <a:ext cx="3830633" cy="2780767"/>
                    </a:xfrm>
                    <a:prstGeom prst="rect">
                      <a:avLst/>
                    </a:prstGeom>
                    <a:noFill/>
                    <a:ln w="9525">
                      <a:noFill/>
                      <a:miter lim="800000"/>
                      <a:headEnd/>
                      <a:tailEnd/>
                    </a:ln>
                  </pic:spPr>
                </pic:pic>
              </a:graphicData>
            </a:graphic>
          </wp:inline>
        </w:drawing>
      </w:r>
    </w:p>
    <w:p w:rsidR="00C01C37" w:rsidRDefault="00C01C37" w:rsidP="00C01C37">
      <w:pPr>
        <w:pStyle w:val="figurecaption"/>
      </w:pPr>
      <w:bookmarkStart w:id="254" w:name="_Toc390766675"/>
      <w:r w:rsidRPr="00BD3423">
        <w:rPr>
          <w:b/>
        </w:rPr>
        <w:t xml:space="preserve">Figure </w:t>
      </w:r>
      <w:r w:rsidR="00BD3423" w:rsidRPr="00BD3423">
        <w:rPr>
          <w:b/>
        </w:rPr>
        <w:t>4.</w:t>
      </w:r>
      <w:r w:rsidR="000D53BA">
        <w:rPr>
          <w:b/>
        </w:rPr>
        <w:t>30</w:t>
      </w:r>
      <w:r>
        <w:t xml:space="preserve"> Effective gamma dose rates for various thicknesses of dried material with an activity concentration of </w:t>
      </w:r>
      <w:r w:rsidRPr="00FB2323">
        <w:rPr>
          <w:snapToGrid w:val="0"/>
          <w:color w:val="000000"/>
          <w:position w:val="4"/>
          <w:sz w:val="12"/>
          <w:szCs w:val="0"/>
          <w:u w:color="000000"/>
        </w:rPr>
        <w:t>238</w:t>
      </w:r>
      <w:r>
        <w:t xml:space="preserve">U in equilibrium with its decay products of 21.6 </w:t>
      </w:r>
      <w:proofErr w:type="spellStart"/>
      <w:r>
        <w:t>Bq∙g</w:t>
      </w:r>
      <w:proofErr w:type="spellEnd"/>
      <w:r w:rsidRPr="008C04F3">
        <w:rPr>
          <w:snapToGrid w:val="0"/>
          <w:color w:val="000000"/>
          <w:position w:val="6"/>
          <w:sz w:val="16"/>
          <w:szCs w:val="0"/>
          <w:u w:color="000000"/>
        </w:rPr>
        <w:t>-1</w:t>
      </w:r>
      <w:bookmarkEnd w:id="254"/>
    </w:p>
    <w:p w:rsidR="00C01C37" w:rsidRPr="00262ED9" w:rsidRDefault="00C01C37" w:rsidP="00C01C37">
      <w:r>
        <w:t xml:space="preserve">The </w:t>
      </w:r>
      <w:r w:rsidRPr="00262ED9">
        <w:t>dotted line in Figure</w:t>
      </w:r>
      <w:r w:rsidR="00BD3423" w:rsidRPr="00262ED9">
        <w:t xml:space="preserve"> 4</w:t>
      </w:r>
      <w:r w:rsidR="000D53BA" w:rsidRPr="00262ED9">
        <w:t>.30</w:t>
      </w:r>
      <w:r w:rsidRPr="00262ED9">
        <w:t xml:space="preserve"> shows the expected maximum dose rate from a slab of material with the same activity concentration but infinite thickness, calculated from conversion factors given in Saito &amp; Jacob (1995) who estimated air </w:t>
      </w:r>
      <w:proofErr w:type="spellStart"/>
      <w:r w:rsidRPr="00262ED9">
        <w:t>kerma</w:t>
      </w:r>
      <w:proofErr w:type="spellEnd"/>
      <w:r w:rsidRPr="00262ED9">
        <w:t xml:space="preserve"> from natural occurring radionuclides 1 m above ground using Monte Carlo modelling. This maximum amounts to 7 µ</w:t>
      </w:r>
      <w:proofErr w:type="spellStart"/>
      <w:r w:rsidRPr="00262ED9">
        <w:t>Sv∙hr</w:t>
      </w:r>
      <w:proofErr w:type="spellEnd"/>
      <w:r w:rsidRPr="00262ED9">
        <w:rPr>
          <w:snapToGrid w:val="0"/>
          <w:color w:val="000000"/>
          <w:position w:val="6"/>
          <w:sz w:val="16"/>
          <w:szCs w:val="0"/>
          <w:u w:color="000000"/>
        </w:rPr>
        <w:t>-1</w:t>
      </w:r>
      <w:r w:rsidRPr="00262ED9">
        <w:t>.</w:t>
      </w:r>
    </w:p>
    <w:p w:rsidR="00C01C37" w:rsidRPr="00262ED9" w:rsidRDefault="00C01C37" w:rsidP="00266E77">
      <w:pPr>
        <w:pStyle w:val="Heading4"/>
      </w:pPr>
      <w:proofErr w:type="gramStart"/>
      <w:r w:rsidRPr="00262ED9">
        <w:t>4.</w:t>
      </w:r>
      <w:r w:rsidR="00BD3423" w:rsidRPr="00262ED9">
        <w:t xml:space="preserve">3.1.6 </w:t>
      </w:r>
      <w:r w:rsidRPr="00262ED9">
        <w:t xml:space="preserve"> Inhalation</w:t>
      </w:r>
      <w:proofErr w:type="gramEnd"/>
      <w:r w:rsidRPr="00262ED9">
        <w:t xml:space="preserve"> pathway</w:t>
      </w:r>
    </w:p>
    <w:p w:rsidR="00C01C37" w:rsidRDefault="00C01C37" w:rsidP="00C01C37">
      <w:r w:rsidRPr="00262ED9">
        <w:t>Table 4</w:t>
      </w:r>
      <w:r w:rsidR="000D53BA" w:rsidRPr="00262ED9">
        <w:t>.10</w:t>
      </w:r>
      <w:r w:rsidRPr="00262ED9">
        <w:t xml:space="preserve"> shows conversion coefficients to calculate doses from the inhalation of radon decay products (RDP) and long lived alpha activity (LLAA) in dust. Worker and general public conversion coefficients are shown. Dust conversion coefficients were calculated using the recommended values given in ICRP 71 (1995) and ICRP 72 (1996). LLAA dose conversion coefficients for an activity median aerodynamic diameter (AMAD) of both 1 µm and 5 µm are given. Table </w:t>
      </w:r>
      <w:r w:rsidR="000D53BA" w:rsidRPr="00262ED9">
        <w:t>4.11</w:t>
      </w:r>
      <w:r>
        <w:t xml:space="preserve"> shows the breathing rates for a worker given in ICRP Publication 66 (ICRP 1994).</w:t>
      </w:r>
    </w:p>
    <w:p w:rsidR="00C01C37" w:rsidRDefault="00C01C37" w:rsidP="00C01C37">
      <w:pPr>
        <w:pStyle w:val="tablecaption"/>
      </w:pPr>
      <w:bookmarkStart w:id="255" w:name="_Toc390766618"/>
      <w:r w:rsidRPr="004D1F83">
        <w:rPr>
          <w:b/>
        </w:rPr>
        <w:t>Table 4</w:t>
      </w:r>
      <w:r w:rsidR="00BD3423" w:rsidRPr="004D1F83">
        <w:rPr>
          <w:b/>
        </w:rPr>
        <w:t>.</w:t>
      </w:r>
      <w:r w:rsidR="000D53BA">
        <w:rPr>
          <w:b/>
        </w:rPr>
        <w:t>10</w:t>
      </w:r>
      <w:r>
        <w:t xml:space="preserve"> Inhalation dose coefficients for radon decay products (RDP) and long lived alpha activity (LLAA) assuming an activity mean aerodynamic diameter (AMAD) of 5 </w:t>
      </w:r>
      <w:r>
        <w:rPr>
          <w:rFonts w:cs="Arial"/>
        </w:rPr>
        <w:t>µ</w:t>
      </w:r>
      <w:r>
        <w:t>m and 0% radon retention in the crushed and leached material.</w:t>
      </w:r>
      <w:bookmarkEnd w:id="255"/>
    </w:p>
    <w:tbl>
      <w:tblPr>
        <w:tblStyle w:val="TableGrid"/>
        <w:tblW w:w="5683" w:type="dxa"/>
        <w:jc w:val="center"/>
        <w:tblInd w:w="1063" w:type="dxa"/>
        <w:tblLook w:val="04A0"/>
      </w:tblPr>
      <w:tblGrid>
        <w:gridCol w:w="2126"/>
        <w:gridCol w:w="1808"/>
        <w:gridCol w:w="757"/>
        <w:gridCol w:w="992"/>
      </w:tblGrid>
      <w:tr w:rsidR="00C01C37" w:rsidRPr="00EE6F22" w:rsidTr="0058737C">
        <w:trPr>
          <w:jc w:val="center"/>
        </w:trPr>
        <w:tc>
          <w:tcPr>
            <w:tcW w:w="2126" w:type="dxa"/>
          </w:tcPr>
          <w:p w:rsidR="00C01C37" w:rsidRPr="00EE6F22" w:rsidRDefault="00C01C37" w:rsidP="0058737C">
            <w:pPr>
              <w:pStyle w:val="table1"/>
              <w:rPr>
                <w:sz w:val="18"/>
                <w:szCs w:val="18"/>
              </w:rPr>
            </w:pPr>
          </w:p>
        </w:tc>
        <w:tc>
          <w:tcPr>
            <w:tcW w:w="1808" w:type="dxa"/>
          </w:tcPr>
          <w:p w:rsidR="00C01C37" w:rsidRDefault="00C01C37" w:rsidP="0058737C">
            <w:pPr>
              <w:pStyle w:val="table1"/>
            </w:pPr>
            <w:r>
              <w:t>RDP (</w:t>
            </w:r>
            <w:r w:rsidRPr="00F02F2C">
              <w:t>µ</w:t>
            </w:r>
            <w:proofErr w:type="spellStart"/>
            <w:r w:rsidRPr="00F02F2C">
              <w:t>Sv</w:t>
            </w:r>
            <w:proofErr w:type="spellEnd"/>
            <w:r w:rsidRPr="00F02F2C">
              <w:t xml:space="preserve"> m</w:t>
            </w:r>
            <w:r w:rsidRPr="004A7343">
              <w:rPr>
                <w:snapToGrid w:val="0"/>
                <w:color w:val="000000"/>
                <w:position w:val="4"/>
                <w:sz w:val="11"/>
                <w:szCs w:val="0"/>
                <w:u w:color="000000"/>
              </w:rPr>
              <w:t>3</w:t>
            </w:r>
            <w:r w:rsidRPr="00F02F2C">
              <w:t xml:space="preserve"> µJ</w:t>
            </w:r>
            <w:r w:rsidRPr="004A7343">
              <w:rPr>
                <w:snapToGrid w:val="0"/>
                <w:color w:val="000000"/>
                <w:position w:val="4"/>
                <w:sz w:val="11"/>
                <w:szCs w:val="0"/>
                <w:u w:color="000000"/>
              </w:rPr>
              <w:t>-1</w:t>
            </w:r>
            <w:r w:rsidRPr="00F02F2C">
              <w:t xml:space="preserve"> h</w:t>
            </w:r>
            <w:r w:rsidRPr="004A7343">
              <w:rPr>
                <w:snapToGrid w:val="0"/>
                <w:color w:val="000000"/>
                <w:position w:val="4"/>
                <w:sz w:val="11"/>
                <w:szCs w:val="0"/>
                <w:u w:color="000000"/>
              </w:rPr>
              <w:t>-1</w:t>
            </w:r>
            <w:r>
              <w:t>)</w:t>
            </w:r>
          </w:p>
        </w:tc>
        <w:tc>
          <w:tcPr>
            <w:tcW w:w="1749" w:type="dxa"/>
            <w:gridSpan w:val="2"/>
          </w:tcPr>
          <w:p w:rsidR="00C01C37" w:rsidRPr="00EE6F22" w:rsidRDefault="00C01C37" w:rsidP="0058737C">
            <w:pPr>
              <w:pStyle w:val="table1"/>
              <w:rPr>
                <w:sz w:val="18"/>
                <w:szCs w:val="18"/>
              </w:rPr>
            </w:pPr>
            <w:r>
              <w:t>LLAA (</w:t>
            </w:r>
            <w:r w:rsidRPr="004A7343">
              <w:t>µ</w:t>
            </w:r>
            <w:proofErr w:type="spellStart"/>
            <w:r w:rsidRPr="004A7343">
              <w:t>Sv</w:t>
            </w:r>
            <w:proofErr w:type="spellEnd"/>
            <w:r w:rsidRPr="004A7343">
              <w:t xml:space="preserve"> </w:t>
            </w:r>
            <w:proofErr w:type="spellStart"/>
            <w:r w:rsidRPr="004A7343">
              <w:t>Bq</w:t>
            </w:r>
            <w:proofErr w:type="spellEnd"/>
            <w:r w:rsidRPr="004A7343">
              <w:rPr>
                <w:snapToGrid w:val="0"/>
                <w:color w:val="000000"/>
                <w:position w:val="-4"/>
                <w:sz w:val="11"/>
                <w:szCs w:val="0"/>
                <w:u w:color="000000"/>
              </w:rPr>
              <w:t>α</w:t>
            </w:r>
            <w:r w:rsidRPr="004A7343">
              <w:rPr>
                <w:snapToGrid w:val="0"/>
                <w:color w:val="000000"/>
                <w:position w:val="4"/>
                <w:sz w:val="11"/>
                <w:szCs w:val="0"/>
                <w:u w:color="000000"/>
              </w:rPr>
              <w:t>-1</w:t>
            </w:r>
            <w:r>
              <w:t>)</w:t>
            </w:r>
            <w:r w:rsidRPr="00EE6F22">
              <w:rPr>
                <w:sz w:val="18"/>
                <w:szCs w:val="18"/>
              </w:rPr>
              <w:t xml:space="preserve"> </w:t>
            </w:r>
          </w:p>
          <w:p w:rsidR="00C01C37" w:rsidRPr="00EE6F22" w:rsidRDefault="00C01C37" w:rsidP="0058737C">
            <w:pPr>
              <w:pStyle w:val="table1"/>
              <w:rPr>
                <w:sz w:val="18"/>
                <w:szCs w:val="18"/>
              </w:rPr>
            </w:pPr>
            <w:r w:rsidRPr="00EE6F22">
              <w:rPr>
                <w:sz w:val="18"/>
                <w:szCs w:val="18"/>
              </w:rPr>
              <w:t xml:space="preserve">1 </w:t>
            </w:r>
            <w:r w:rsidRPr="00EE6F22">
              <w:rPr>
                <w:rFonts w:cs="Arial"/>
                <w:sz w:val="18"/>
                <w:szCs w:val="18"/>
              </w:rPr>
              <w:t>µ</w:t>
            </w:r>
            <w:r w:rsidRPr="00EE6F22">
              <w:rPr>
                <w:sz w:val="18"/>
                <w:szCs w:val="18"/>
              </w:rPr>
              <w:t xml:space="preserve">m             5 </w:t>
            </w:r>
            <w:r w:rsidRPr="00EE6F22">
              <w:rPr>
                <w:rFonts w:cs="Arial"/>
                <w:sz w:val="18"/>
                <w:szCs w:val="18"/>
              </w:rPr>
              <w:t>µ</w:t>
            </w:r>
            <w:r w:rsidRPr="00EE6F22">
              <w:rPr>
                <w:sz w:val="18"/>
                <w:szCs w:val="18"/>
              </w:rPr>
              <w:t>m</w:t>
            </w:r>
          </w:p>
        </w:tc>
      </w:tr>
      <w:tr w:rsidR="00C01C37" w:rsidRPr="00EE6F22" w:rsidTr="0058737C">
        <w:trPr>
          <w:jc w:val="center"/>
        </w:trPr>
        <w:tc>
          <w:tcPr>
            <w:tcW w:w="2126" w:type="dxa"/>
          </w:tcPr>
          <w:p w:rsidR="00C01C37" w:rsidRPr="00EE6F22" w:rsidRDefault="00C01C37" w:rsidP="0058737C">
            <w:pPr>
              <w:pStyle w:val="table1"/>
              <w:rPr>
                <w:sz w:val="18"/>
                <w:szCs w:val="18"/>
              </w:rPr>
            </w:pPr>
            <w:r w:rsidRPr="00EE6F22">
              <w:rPr>
                <w:sz w:val="18"/>
                <w:szCs w:val="18"/>
              </w:rPr>
              <w:t>Worker</w:t>
            </w:r>
          </w:p>
        </w:tc>
        <w:tc>
          <w:tcPr>
            <w:tcW w:w="1808" w:type="dxa"/>
          </w:tcPr>
          <w:p w:rsidR="00C01C37" w:rsidRPr="00EE6F22" w:rsidRDefault="00C01C37" w:rsidP="0058737C">
            <w:pPr>
              <w:pStyle w:val="table1"/>
              <w:rPr>
                <w:sz w:val="18"/>
                <w:szCs w:val="18"/>
              </w:rPr>
            </w:pPr>
            <w:r w:rsidRPr="00EE6F22">
              <w:rPr>
                <w:sz w:val="18"/>
                <w:szCs w:val="18"/>
              </w:rPr>
              <w:t>1.4</w:t>
            </w:r>
          </w:p>
        </w:tc>
        <w:tc>
          <w:tcPr>
            <w:tcW w:w="757" w:type="dxa"/>
          </w:tcPr>
          <w:p w:rsidR="00C01C37" w:rsidRPr="00EE6F22" w:rsidRDefault="00C01C37" w:rsidP="0058737C">
            <w:pPr>
              <w:pStyle w:val="table1"/>
              <w:rPr>
                <w:sz w:val="18"/>
                <w:szCs w:val="18"/>
              </w:rPr>
            </w:pPr>
            <w:r>
              <w:rPr>
                <w:sz w:val="18"/>
                <w:szCs w:val="18"/>
              </w:rPr>
              <w:t>7.8</w:t>
            </w:r>
          </w:p>
        </w:tc>
        <w:tc>
          <w:tcPr>
            <w:tcW w:w="992" w:type="dxa"/>
          </w:tcPr>
          <w:p w:rsidR="00C01C37" w:rsidRPr="00EE6F22" w:rsidRDefault="00C01C37" w:rsidP="0058737C">
            <w:pPr>
              <w:pStyle w:val="table1"/>
              <w:rPr>
                <w:sz w:val="18"/>
                <w:szCs w:val="18"/>
              </w:rPr>
            </w:pPr>
            <w:r>
              <w:rPr>
                <w:sz w:val="18"/>
                <w:szCs w:val="18"/>
              </w:rPr>
              <w:t>5.5</w:t>
            </w:r>
          </w:p>
        </w:tc>
      </w:tr>
      <w:tr w:rsidR="00C01C37" w:rsidRPr="00EE6F22" w:rsidTr="0058737C">
        <w:trPr>
          <w:jc w:val="center"/>
        </w:trPr>
        <w:tc>
          <w:tcPr>
            <w:tcW w:w="2126" w:type="dxa"/>
          </w:tcPr>
          <w:p w:rsidR="00C01C37" w:rsidRPr="00EE6F22" w:rsidRDefault="00C01C37" w:rsidP="0058737C">
            <w:pPr>
              <w:pStyle w:val="table1"/>
              <w:rPr>
                <w:sz w:val="18"/>
                <w:szCs w:val="18"/>
              </w:rPr>
            </w:pPr>
            <w:r w:rsidRPr="00EE6F22">
              <w:rPr>
                <w:sz w:val="18"/>
                <w:szCs w:val="18"/>
              </w:rPr>
              <w:t>Adult</w:t>
            </w:r>
          </w:p>
        </w:tc>
        <w:tc>
          <w:tcPr>
            <w:tcW w:w="1808" w:type="dxa"/>
          </w:tcPr>
          <w:p w:rsidR="00C01C37" w:rsidRPr="00EE6F22" w:rsidRDefault="00C01C37" w:rsidP="0058737C">
            <w:pPr>
              <w:pStyle w:val="table1"/>
              <w:rPr>
                <w:sz w:val="18"/>
                <w:szCs w:val="18"/>
              </w:rPr>
            </w:pPr>
            <w:r w:rsidRPr="00EE6F22">
              <w:rPr>
                <w:sz w:val="18"/>
                <w:szCs w:val="18"/>
              </w:rPr>
              <w:t>1.1</w:t>
            </w:r>
          </w:p>
        </w:tc>
        <w:tc>
          <w:tcPr>
            <w:tcW w:w="757" w:type="dxa"/>
          </w:tcPr>
          <w:p w:rsidR="00C01C37" w:rsidRPr="00EE6F22" w:rsidRDefault="00C01C37" w:rsidP="0058737C">
            <w:pPr>
              <w:pStyle w:val="table1"/>
              <w:rPr>
                <w:sz w:val="18"/>
                <w:szCs w:val="18"/>
              </w:rPr>
            </w:pPr>
            <w:r w:rsidRPr="00EE6F22">
              <w:rPr>
                <w:sz w:val="18"/>
                <w:szCs w:val="18"/>
              </w:rPr>
              <w:t>6.1</w:t>
            </w:r>
          </w:p>
        </w:tc>
        <w:tc>
          <w:tcPr>
            <w:tcW w:w="992" w:type="dxa"/>
          </w:tcPr>
          <w:p w:rsidR="00C01C37" w:rsidRPr="00EE6F22" w:rsidRDefault="00C01C37" w:rsidP="0058737C">
            <w:pPr>
              <w:pStyle w:val="table1"/>
              <w:rPr>
                <w:sz w:val="18"/>
                <w:szCs w:val="18"/>
              </w:rPr>
            </w:pPr>
          </w:p>
        </w:tc>
      </w:tr>
    </w:tbl>
    <w:p w:rsidR="00C01C37" w:rsidRDefault="00C01C37" w:rsidP="00C01C37"/>
    <w:p w:rsidR="00C01C37" w:rsidRDefault="00C01C37" w:rsidP="00C01C37">
      <w:pPr>
        <w:pStyle w:val="tablecaption"/>
        <w:jc w:val="center"/>
      </w:pPr>
      <w:bookmarkStart w:id="256" w:name="_Toc390766619"/>
      <w:r w:rsidRPr="004D1F83">
        <w:rPr>
          <w:b/>
        </w:rPr>
        <w:t xml:space="preserve">Table </w:t>
      </w:r>
      <w:r w:rsidR="00BD3423" w:rsidRPr="004D1F83">
        <w:rPr>
          <w:b/>
        </w:rPr>
        <w:t>4.1</w:t>
      </w:r>
      <w:r w:rsidR="000D53BA">
        <w:rPr>
          <w:b/>
        </w:rPr>
        <w:t>1</w:t>
      </w:r>
      <w:r>
        <w:t xml:space="preserve"> Breathing rates </w:t>
      </w:r>
      <w:r>
        <w:rPr>
          <w:szCs w:val="18"/>
        </w:rPr>
        <w:t>(m</w:t>
      </w:r>
      <w:r w:rsidRPr="007F173A">
        <w:rPr>
          <w:snapToGrid w:val="0"/>
          <w:color w:val="000000"/>
          <w:position w:val="4"/>
          <w:sz w:val="12"/>
          <w:szCs w:val="0"/>
          <w:u w:color="000000"/>
        </w:rPr>
        <w:t>3</w:t>
      </w:r>
      <w:r>
        <w:rPr>
          <w:szCs w:val="18"/>
        </w:rPr>
        <w:t xml:space="preserve"> hr</w:t>
      </w:r>
      <w:r w:rsidRPr="007F173A">
        <w:rPr>
          <w:snapToGrid w:val="0"/>
          <w:color w:val="000000"/>
          <w:position w:val="4"/>
          <w:sz w:val="12"/>
          <w:szCs w:val="0"/>
          <w:u w:color="000000"/>
        </w:rPr>
        <w:t>-1</w:t>
      </w:r>
      <w:r>
        <w:rPr>
          <w:szCs w:val="18"/>
        </w:rPr>
        <w:t xml:space="preserve">) </w:t>
      </w:r>
      <w:r>
        <w:t>for a male adult and worker for different physical activities</w:t>
      </w:r>
      <w:bookmarkEnd w:id="256"/>
      <w:r w:rsidR="00D4773B">
        <w:t>.</w:t>
      </w:r>
    </w:p>
    <w:tbl>
      <w:tblPr>
        <w:tblStyle w:val="TableGrid"/>
        <w:tblW w:w="0" w:type="auto"/>
        <w:jc w:val="center"/>
        <w:tblInd w:w="1155" w:type="dxa"/>
        <w:tblLook w:val="04A0"/>
      </w:tblPr>
      <w:tblGrid>
        <w:gridCol w:w="1591"/>
        <w:gridCol w:w="1929"/>
        <w:gridCol w:w="1932"/>
        <w:gridCol w:w="1915"/>
      </w:tblGrid>
      <w:tr w:rsidR="00C01C37" w:rsidRPr="00EE6F22" w:rsidTr="00F01303">
        <w:trPr>
          <w:jc w:val="center"/>
        </w:trPr>
        <w:tc>
          <w:tcPr>
            <w:tcW w:w="1591" w:type="dxa"/>
          </w:tcPr>
          <w:p w:rsidR="00C01C37" w:rsidRPr="00EE6F22" w:rsidRDefault="00C01C37" w:rsidP="0058737C">
            <w:pPr>
              <w:pStyle w:val="table1"/>
              <w:rPr>
                <w:sz w:val="18"/>
                <w:szCs w:val="18"/>
              </w:rPr>
            </w:pPr>
          </w:p>
        </w:tc>
        <w:tc>
          <w:tcPr>
            <w:tcW w:w="1929" w:type="dxa"/>
          </w:tcPr>
          <w:p w:rsidR="00C01C37" w:rsidRPr="00EE6F22" w:rsidRDefault="00C01C37" w:rsidP="0058737C">
            <w:pPr>
              <w:pStyle w:val="table1"/>
              <w:rPr>
                <w:sz w:val="18"/>
                <w:szCs w:val="18"/>
              </w:rPr>
            </w:pPr>
            <w:r>
              <w:rPr>
                <w:sz w:val="18"/>
                <w:szCs w:val="18"/>
              </w:rPr>
              <w:t xml:space="preserve">Resting, sitting </w:t>
            </w:r>
          </w:p>
        </w:tc>
        <w:tc>
          <w:tcPr>
            <w:tcW w:w="1932" w:type="dxa"/>
          </w:tcPr>
          <w:p w:rsidR="00C01C37" w:rsidRPr="00EE6F22" w:rsidRDefault="00C01C37" w:rsidP="0058737C">
            <w:pPr>
              <w:pStyle w:val="table1"/>
              <w:rPr>
                <w:sz w:val="18"/>
                <w:szCs w:val="18"/>
              </w:rPr>
            </w:pPr>
            <w:r>
              <w:rPr>
                <w:sz w:val="18"/>
                <w:szCs w:val="18"/>
              </w:rPr>
              <w:t xml:space="preserve">Light </w:t>
            </w:r>
            <w:r w:rsidR="00262ED9">
              <w:rPr>
                <w:sz w:val="18"/>
                <w:szCs w:val="18"/>
              </w:rPr>
              <w:t>exercise</w:t>
            </w:r>
            <w:r>
              <w:rPr>
                <w:sz w:val="18"/>
                <w:szCs w:val="18"/>
              </w:rPr>
              <w:t xml:space="preserve"> </w:t>
            </w:r>
          </w:p>
        </w:tc>
        <w:tc>
          <w:tcPr>
            <w:tcW w:w="1915" w:type="dxa"/>
          </w:tcPr>
          <w:p w:rsidR="00C01C37" w:rsidRPr="00EE6F22" w:rsidRDefault="00C01C37" w:rsidP="0058737C">
            <w:pPr>
              <w:pStyle w:val="table1"/>
              <w:rPr>
                <w:sz w:val="18"/>
                <w:szCs w:val="18"/>
              </w:rPr>
            </w:pPr>
            <w:r>
              <w:rPr>
                <w:sz w:val="18"/>
                <w:szCs w:val="18"/>
              </w:rPr>
              <w:t xml:space="preserve">Heavy </w:t>
            </w:r>
            <w:r w:rsidR="00262ED9">
              <w:rPr>
                <w:sz w:val="18"/>
                <w:szCs w:val="18"/>
              </w:rPr>
              <w:t>exercise</w:t>
            </w:r>
          </w:p>
        </w:tc>
      </w:tr>
      <w:tr w:rsidR="00C01C37" w:rsidRPr="00EE6F22" w:rsidTr="00F01303">
        <w:trPr>
          <w:jc w:val="center"/>
        </w:trPr>
        <w:tc>
          <w:tcPr>
            <w:tcW w:w="1591" w:type="dxa"/>
          </w:tcPr>
          <w:p w:rsidR="00C01C37" w:rsidRPr="00EE6F22" w:rsidRDefault="00C01C37" w:rsidP="0058737C">
            <w:pPr>
              <w:pStyle w:val="table1"/>
              <w:rPr>
                <w:sz w:val="18"/>
                <w:szCs w:val="18"/>
              </w:rPr>
            </w:pPr>
            <w:r w:rsidRPr="00EE6F22">
              <w:rPr>
                <w:sz w:val="18"/>
                <w:szCs w:val="18"/>
              </w:rPr>
              <w:t>Worker</w:t>
            </w:r>
          </w:p>
        </w:tc>
        <w:tc>
          <w:tcPr>
            <w:tcW w:w="1929" w:type="dxa"/>
          </w:tcPr>
          <w:p w:rsidR="00C01C37" w:rsidRPr="00EE6F22" w:rsidRDefault="00C01C37" w:rsidP="0058737C">
            <w:pPr>
              <w:pStyle w:val="table1"/>
              <w:jc w:val="center"/>
              <w:rPr>
                <w:sz w:val="18"/>
                <w:szCs w:val="18"/>
              </w:rPr>
            </w:pPr>
            <w:r>
              <w:rPr>
                <w:sz w:val="18"/>
                <w:szCs w:val="18"/>
              </w:rPr>
              <w:t>0.54</w:t>
            </w:r>
          </w:p>
        </w:tc>
        <w:tc>
          <w:tcPr>
            <w:tcW w:w="1932" w:type="dxa"/>
          </w:tcPr>
          <w:p w:rsidR="00C01C37" w:rsidRPr="00EE6F22" w:rsidRDefault="00C01C37" w:rsidP="0058737C">
            <w:pPr>
              <w:pStyle w:val="table1"/>
              <w:jc w:val="center"/>
              <w:rPr>
                <w:sz w:val="18"/>
                <w:szCs w:val="18"/>
              </w:rPr>
            </w:pPr>
            <w:r>
              <w:rPr>
                <w:sz w:val="18"/>
                <w:szCs w:val="18"/>
              </w:rPr>
              <w:t>1.5</w:t>
            </w:r>
          </w:p>
        </w:tc>
        <w:tc>
          <w:tcPr>
            <w:tcW w:w="1915" w:type="dxa"/>
          </w:tcPr>
          <w:p w:rsidR="00C01C37" w:rsidRPr="00EE6F22" w:rsidRDefault="00C01C37" w:rsidP="0058737C">
            <w:pPr>
              <w:pStyle w:val="table1"/>
              <w:jc w:val="center"/>
              <w:rPr>
                <w:sz w:val="18"/>
                <w:szCs w:val="18"/>
              </w:rPr>
            </w:pPr>
            <w:r>
              <w:rPr>
                <w:sz w:val="18"/>
                <w:szCs w:val="18"/>
              </w:rPr>
              <w:t>3.0</w:t>
            </w:r>
          </w:p>
        </w:tc>
      </w:tr>
    </w:tbl>
    <w:p w:rsidR="00C01C37" w:rsidRDefault="00C01C37" w:rsidP="00C01C37"/>
    <w:p w:rsidR="00C01C37" w:rsidRPr="00BD3423" w:rsidRDefault="00C01C37" w:rsidP="00BD3423">
      <w:pPr>
        <w:pStyle w:val="Heading5"/>
      </w:pPr>
      <w:r w:rsidRPr="00BD3423">
        <w:t>Estimate of the radon decay product inhalation pathway</w:t>
      </w:r>
    </w:p>
    <w:p w:rsidR="00C01C37" w:rsidRDefault="00C01C37" w:rsidP="00C01C37">
      <w:r>
        <w:t>To calculate the radon decay product inhalation dose rates t</w:t>
      </w:r>
      <w:r w:rsidR="00F01303">
        <w:t xml:space="preserve">o workers involved in the </w:t>
      </w:r>
      <w:r w:rsidR="00F01C02">
        <w:t>cleanup</w:t>
      </w:r>
      <w:r>
        <w:t xml:space="preserve"> of the material the </w:t>
      </w:r>
      <w:proofErr w:type="spellStart"/>
      <w:r>
        <w:t>ResRad</w:t>
      </w:r>
      <w:proofErr w:type="spellEnd"/>
      <w:r>
        <w:t xml:space="preserve"> computer code (</w:t>
      </w:r>
      <w:proofErr w:type="spellStart"/>
      <w:r>
        <w:t>ResRad</w:t>
      </w:r>
      <w:proofErr w:type="spellEnd"/>
      <w:r>
        <w:t xml:space="preserve"> Offsite, version 2.6) has been used. It was assumed that workers were working on top of the spilled material during clean up. A radon emanation coefficient for tailings of 0.3 (Strong &amp; </w:t>
      </w:r>
      <w:proofErr w:type="spellStart"/>
      <w:r>
        <w:t>Levins</w:t>
      </w:r>
      <w:proofErr w:type="spellEnd"/>
      <w:r>
        <w:t xml:space="preserve"> 1982) and an average diffusion length for radon in the material of 1.0 m were assumed. </w:t>
      </w:r>
    </w:p>
    <w:p w:rsidR="00027CDE" w:rsidRDefault="00C01C37" w:rsidP="00027CDE">
      <w:r w:rsidRPr="00262ED9">
        <w:t xml:space="preserve">The results of the </w:t>
      </w:r>
      <w:proofErr w:type="spellStart"/>
      <w:r w:rsidRPr="00262ED9">
        <w:t>ResRad</w:t>
      </w:r>
      <w:proofErr w:type="spellEnd"/>
      <w:r w:rsidRPr="00262ED9">
        <w:t xml:space="preserve"> worker radon decay product inhalation dos</w:t>
      </w:r>
      <w:r w:rsidR="00BD3423" w:rsidRPr="00262ED9">
        <w:t xml:space="preserve">e modelling is shown in </w:t>
      </w:r>
      <w:r w:rsidR="000D53BA" w:rsidRPr="00262ED9">
        <w:t>Figure 4.31</w:t>
      </w:r>
      <w:r w:rsidRPr="00262ED9">
        <w:t>.</w:t>
      </w:r>
      <w:r w:rsidR="00027CDE" w:rsidRPr="00262ED9">
        <w:t xml:space="preserve"> The</w:t>
      </w:r>
      <w:r w:rsidR="00027CDE" w:rsidRPr="00C47916">
        <w:t xml:space="preserve"> average dose rate </w:t>
      </w:r>
      <w:r w:rsidR="00027CDE">
        <w:t>f</w:t>
      </w:r>
      <w:r w:rsidR="00027CDE" w:rsidRPr="00C47916">
        <w:t>rom RDP inhalation for a thickness</w:t>
      </w:r>
      <w:r w:rsidR="00027CDE">
        <w:t xml:space="preserve"> of spilled material</w:t>
      </w:r>
      <w:r w:rsidR="00027CDE" w:rsidRPr="00C47916">
        <w:t xml:space="preserve"> of 3.5 cm is </w:t>
      </w:r>
      <w:proofErr w:type="gramStart"/>
      <w:r w:rsidR="00027CDE">
        <w:t>only 0.005 µ</w:t>
      </w:r>
      <w:proofErr w:type="spellStart"/>
      <w:r w:rsidR="00027CDE">
        <w:t>Sv∙hr</w:t>
      </w:r>
      <w:proofErr w:type="spellEnd"/>
      <w:r w:rsidR="00027CDE" w:rsidRPr="008C04F3">
        <w:rPr>
          <w:snapToGrid w:val="0"/>
          <w:color w:val="000000"/>
          <w:position w:val="6"/>
          <w:sz w:val="16"/>
          <w:szCs w:val="0"/>
          <w:u w:color="000000"/>
        </w:rPr>
        <w:t>-1</w:t>
      </w:r>
      <w:proofErr w:type="gramEnd"/>
      <w:r w:rsidR="00027CDE">
        <w:t xml:space="preserve">. The maximum dose rate on top of the material, assuming a thickness of 1 m is </w:t>
      </w:r>
      <w:proofErr w:type="gramStart"/>
      <w:r w:rsidR="00027CDE">
        <w:t>0.13 µ</w:t>
      </w:r>
      <w:proofErr w:type="spellStart"/>
      <w:r w:rsidR="00027CDE">
        <w:t>Sv∙hr</w:t>
      </w:r>
      <w:proofErr w:type="spellEnd"/>
      <w:r w:rsidR="00027CDE" w:rsidRPr="008C04F3">
        <w:rPr>
          <w:snapToGrid w:val="0"/>
          <w:color w:val="000000"/>
          <w:position w:val="6"/>
          <w:sz w:val="16"/>
          <w:szCs w:val="0"/>
          <w:u w:color="000000"/>
        </w:rPr>
        <w:t>-1</w:t>
      </w:r>
      <w:proofErr w:type="gramEnd"/>
      <w:r w:rsidR="00027CDE">
        <w:t>. This is much lower than the dose rates received from gamma radiation.</w:t>
      </w:r>
    </w:p>
    <w:p w:rsidR="00027CDE" w:rsidRDefault="00027CDE" w:rsidP="00027CDE">
      <w:r>
        <w:t>It is not surprising that the radon decay product inhalation pathway for workers as</w:t>
      </w:r>
      <w:r w:rsidR="00F01303">
        <w:t xml:space="preserve">sociated with the spill </w:t>
      </w:r>
      <w:r w:rsidR="00F01C02">
        <w:t>cleanup</w:t>
      </w:r>
      <w:r>
        <w:t xml:space="preserve"> is low. The average thickness of the material is only 3.5 cm across the 1.475 ha, and assuming a diffusion length of 1 m, the amount of radon exhaling from the surface of a 3.5 cm thick layer is only 3.4 % of the radon exhalation expected from a layer with the same activity concentration of </w:t>
      </w:r>
      <w:r w:rsidRPr="008531F9">
        <w:rPr>
          <w:snapToGrid w:val="0"/>
          <w:color w:val="000000"/>
          <w:position w:val="6"/>
          <w:sz w:val="16"/>
          <w:szCs w:val="0"/>
          <w:u w:color="000000"/>
        </w:rPr>
        <w:t>226</w:t>
      </w:r>
      <w:r>
        <w:t>Ra but infinite thickness. In addition, the radon equilibrium factor</w:t>
      </w:r>
      <w:r>
        <w:rPr>
          <w:rStyle w:val="FootnoteReference"/>
        </w:rPr>
        <w:footnoteReference w:id="2"/>
      </w:r>
      <w:r>
        <w:t xml:space="preserve"> in air on top of the spilled material is low, as the radon exhaling from the spill is ‘young’ and consequently the dose from the inhalation of RDP is expected to be low</w:t>
      </w:r>
      <w:r w:rsidR="00AE754D">
        <w:t xml:space="preserve"> as well</w:t>
      </w:r>
      <w:r>
        <w:t>.</w:t>
      </w:r>
    </w:p>
    <w:p w:rsidR="00C01C37" w:rsidRDefault="00C01C37" w:rsidP="00C01C37">
      <w:pPr>
        <w:jc w:val="center"/>
      </w:pPr>
      <w:r w:rsidRPr="00D204F3">
        <w:rPr>
          <w:noProof/>
          <w:lang w:eastAsia="en-AU"/>
        </w:rPr>
        <w:drawing>
          <wp:inline distT="0" distB="0" distL="0" distR="0">
            <wp:extent cx="3940175" cy="2781300"/>
            <wp:effectExtent l="19050" t="0" r="3175" b="0"/>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screen"/>
                    <a:srcRect t="9317"/>
                    <a:stretch>
                      <a:fillRect/>
                    </a:stretch>
                  </pic:blipFill>
                  <pic:spPr bwMode="auto">
                    <a:xfrm>
                      <a:off x="0" y="0"/>
                      <a:ext cx="3940175" cy="2781300"/>
                    </a:xfrm>
                    <a:prstGeom prst="rect">
                      <a:avLst/>
                    </a:prstGeom>
                    <a:noFill/>
                    <a:ln w="9525">
                      <a:noFill/>
                      <a:miter lim="800000"/>
                      <a:headEnd/>
                      <a:tailEnd/>
                    </a:ln>
                  </pic:spPr>
                </pic:pic>
              </a:graphicData>
            </a:graphic>
          </wp:inline>
        </w:drawing>
      </w:r>
    </w:p>
    <w:p w:rsidR="00C01C37" w:rsidRDefault="00C01C37" w:rsidP="00C01C37">
      <w:pPr>
        <w:pStyle w:val="figurecaption"/>
      </w:pPr>
      <w:bookmarkStart w:id="257" w:name="_Toc390766676"/>
      <w:r w:rsidRPr="00BD3423">
        <w:rPr>
          <w:b/>
        </w:rPr>
        <w:t xml:space="preserve">Figure </w:t>
      </w:r>
      <w:r w:rsidR="00BD3423" w:rsidRPr="00BD3423">
        <w:rPr>
          <w:b/>
        </w:rPr>
        <w:t>4.</w:t>
      </w:r>
      <w:r w:rsidRPr="00BD3423">
        <w:rPr>
          <w:b/>
        </w:rPr>
        <w:t>3</w:t>
      </w:r>
      <w:r w:rsidR="000D53BA">
        <w:rPr>
          <w:b/>
        </w:rPr>
        <w:t>1</w:t>
      </w:r>
      <w:r w:rsidRPr="00D204F3">
        <w:t xml:space="preserve"> Dose rate from the inhal</w:t>
      </w:r>
      <w:r>
        <w:t>a</w:t>
      </w:r>
      <w:r w:rsidRPr="00D204F3">
        <w:t xml:space="preserve">tion of radon decay products for various thicknesses of dried material with an activity concentration of </w:t>
      </w:r>
      <w:r w:rsidRPr="00D204F3">
        <w:rPr>
          <w:snapToGrid w:val="0"/>
          <w:color w:val="000000"/>
          <w:position w:val="4"/>
          <w:sz w:val="12"/>
          <w:szCs w:val="0"/>
          <w:u w:color="000000"/>
        </w:rPr>
        <w:t>238</w:t>
      </w:r>
      <w:r w:rsidRPr="00D204F3">
        <w:t xml:space="preserve">U of 21.6 </w:t>
      </w:r>
      <w:proofErr w:type="spellStart"/>
      <w:r w:rsidRPr="00D204F3">
        <w:t>Bq∙g</w:t>
      </w:r>
      <w:proofErr w:type="spellEnd"/>
      <w:r w:rsidRPr="00D204F3">
        <w:rPr>
          <w:snapToGrid w:val="0"/>
          <w:color w:val="000000"/>
          <w:position w:val="4"/>
          <w:sz w:val="12"/>
          <w:szCs w:val="0"/>
          <w:u w:color="000000"/>
        </w:rPr>
        <w:t>-1</w:t>
      </w:r>
      <w:r>
        <w:t xml:space="preserve"> i</w:t>
      </w:r>
      <w:r w:rsidRPr="00D204F3">
        <w:t xml:space="preserve">n </w:t>
      </w:r>
      <w:r>
        <w:t xml:space="preserve">radioactive </w:t>
      </w:r>
      <w:r w:rsidRPr="00D204F3">
        <w:t>equilibrium with its decay products</w:t>
      </w:r>
      <w:r w:rsidR="00AC400D">
        <w:t xml:space="preserve">. Dose rates were modelled using the </w:t>
      </w:r>
      <w:proofErr w:type="spellStart"/>
      <w:r w:rsidR="00AC400D">
        <w:t>ResRad</w:t>
      </w:r>
      <w:proofErr w:type="spellEnd"/>
      <w:r w:rsidR="00AC400D">
        <w:t xml:space="preserve"> computer code and assuming a worker is standing on top of the spilled material</w:t>
      </w:r>
      <w:r w:rsidR="00027CDE">
        <w:t xml:space="preserve"> and assuming a low wind speed of &lt; 1 </w:t>
      </w:r>
      <w:proofErr w:type="spellStart"/>
      <w:r w:rsidR="00027CDE">
        <w:t>m</w:t>
      </w:r>
      <w:r w:rsidR="00027CDE">
        <w:rPr>
          <w:rFonts w:cs="Arial"/>
        </w:rPr>
        <w:t>·</w:t>
      </w:r>
      <w:r w:rsidR="00027CDE">
        <w:t>s</w:t>
      </w:r>
      <w:proofErr w:type="spellEnd"/>
      <w:r w:rsidR="00027CDE" w:rsidRPr="00027CDE">
        <w:rPr>
          <w:snapToGrid w:val="0"/>
          <w:color w:val="000000"/>
          <w:position w:val="4"/>
          <w:sz w:val="12"/>
          <w:szCs w:val="0"/>
          <w:u w:color="000000"/>
        </w:rPr>
        <w:t>-1</w:t>
      </w:r>
      <w:r w:rsidR="00027CDE">
        <w:t xml:space="preserve"> and atmospheric stability class A.</w:t>
      </w:r>
      <w:bookmarkEnd w:id="257"/>
    </w:p>
    <w:p w:rsidR="00C01C37" w:rsidRDefault="00C01C37" w:rsidP="00FF625F">
      <w:pPr>
        <w:pStyle w:val="Heading5"/>
      </w:pPr>
      <w:r>
        <w:t>Estimate of the dust inhalation pathway</w:t>
      </w:r>
    </w:p>
    <w:p w:rsidR="00C01C37" w:rsidRDefault="00C01C37" w:rsidP="00C01C37">
      <w:r>
        <w:t>Dust LLAA data have been provided by ERA. The dust samples were collected using personal dust pumps attached to the bobcats involved in the clean up</w:t>
      </w:r>
      <w:r w:rsidRPr="00262ED9">
        <w:t>. Figure 4</w:t>
      </w:r>
      <w:r w:rsidR="000D53BA" w:rsidRPr="00262ED9">
        <w:t>.32</w:t>
      </w:r>
      <w:r w:rsidRPr="00262ED9">
        <w:t xml:space="preserve"> shows</w:t>
      </w:r>
      <w:r>
        <w:t xml:space="preserve"> the histogram and cumulative frequency plot of the measured LLAA concentrations (in </w:t>
      </w:r>
      <w:proofErr w:type="spellStart"/>
      <w:r>
        <w:t>Bq∙m</w:t>
      </w:r>
      <w:proofErr w:type="spellEnd"/>
      <w:r w:rsidRPr="00C0717D">
        <w:rPr>
          <w:snapToGrid w:val="0"/>
          <w:color w:val="000000"/>
          <w:position w:val="6"/>
          <w:sz w:val="16"/>
          <w:szCs w:val="0"/>
          <w:u w:color="000000"/>
        </w:rPr>
        <w:t>-3</w:t>
      </w:r>
      <w:r>
        <w:t>).</w:t>
      </w:r>
    </w:p>
    <w:p w:rsidR="00C01C37" w:rsidRDefault="00C01C37" w:rsidP="00C01C37">
      <w:r>
        <w:t xml:space="preserve">The typical LLAA concentrations measured during the </w:t>
      </w:r>
      <w:r w:rsidR="00F01C02">
        <w:t>cleanup</w:t>
      </w:r>
      <w:r>
        <w:t xml:space="preserve"> amounts </w:t>
      </w:r>
      <w:proofErr w:type="gramStart"/>
      <w:r>
        <w:t xml:space="preserve">to 11.4 </w:t>
      </w:r>
      <w:proofErr w:type="spellStart"/>
      <w:r>
        <w:t>mBq∙m</w:t>
      </w:r>
      <w:proofErr w:type="spellEnd"/>
      <w:r w:rsidRPr="004B5AE3">
        <w:rPr>
          <w:snapToGrid w:val="0"/>
          <w:color w:val="000000"/>
          <w:position w:val="6"/>
          <w:sz w:val="16"/>
          <w:szCs w:val="0"/>
          <w:u w:color="000000"/>
        </w:rPr>
        <w:t>-3</w:t>
      </w:r>
      <w:proofErr w:type="gramEnd"/>
      <w:r>
        <w:t>. The 95</w:t>
      </w:r>
      <w:r w:rsidRPr="004B5AE3">
        <w:rPr>
          <w:vertAlign w:val="superscript"/>
        </w:rPr>
        <w:t>th</w:t>
      </w:r>
      <w:r>
        <w:t xml:space="preserve"> percentile LLAA concentration was </w:t>
      </w:r>
      <w:proofErr w:type="gramStart"/>
      <w:r>
        <w:t xml:space="preserve">64.4 </w:t>
      </w:r>
      <w:proofErr w:type="spellStart"/>
      <w:r>
        <w:t>mBq∙m</w:t>
      </w:r>
      <w:proofErr w:type="spellEnd"/>
      <w:r w:rsidRPr="004B5AE3">
        <w:rPr>
          <w:snapToGrid w:val="0"/>
          <w:color w:val="000000"/>
          <w:position w:val="6"/>
          <w:sz w:val="16"/>
          <w:szCs w:val="0"/>
          <w:u w:color="000000"/>
        </w:rPr>
        <w:t>-3</w:t>
      </w:r>
      <w:proofErr w:type="gramEnd"/>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83"/>
        <w:gridCol w:w="4139"/>
      </w:tblGrid>
      <w:tr w:rsidR="00C01C37" w:rsidTr="0058737C">
        <w:tc>
          <w:tcPr>
            <w:tcW w:w="4383" w:type="dxa"/>
          </w:tcPr>
          <w:p w:rsidR="00C01C37" w:rsidRDefault="00C01C37" w:rsidP="0058737C">
            <w:r>
              <w:rPr>
                <w:noProof/>
                <w:lang w:eastAsia="en-AU"/>
              </w:rPr>
              <w:drawing>
                <wp:inline distT="0" distB="0" distL="0" distR="0">
                  <wp:extent cx="2711450" cy="1803400"/>
                  <wp:effectExtent l="0" t="0" r="0" b="0"/>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cstate="screen"/>
                          <a:srcRect l="2511" b="2927"/>
                          <a:stretch>
                            <a:fillRect/>
                          </a:stretch>
                        </pic:blipFill>
                        <pic:spPr bwMode="auto">
                          <a:xfrm>
                            <a:off x="0" y="0"/>
                            <a:ext cx="2711450" cy="1803400"/>
                          </a:xfrm>
                          <a:prstGeom prst="rect">
                            <a:avLst/>
                          </a:prstGeom>
                          <a:noFill/>
                          <a:ln w="9525">
                            <a:noFill/>
                            <a:miter lim="800000"/>
                            <a:headEnd/>
                            <a:tailEnd/>
                          </a:ln>
                        </pic:spPr>
                      </pic:pic>
                    </a:graphicData>
                  </a:graphic>
                </wp:inline>
              </w:drawing>
            </w:r>
          </w:p>
        </w:tc>
        <w:tc>
          <w:tcPr>
            <w:tcW w:w="4139" w:type="dxa"/>
          </w:tcPr>
          <w:p w:rsidR="00C01C37" w:rsidRDefault="00C01C37" w:rsidP="0058737C">
            <w:pPr>
              <w:jc w:val="left"/>
            </w:pPr>
            <w:r>
              <w:rPr>
                <w:noProof/>
                <w:lang w:eastAsia="en-AU"/>
              </w:rPr>
              <w:drawing>
                <wp:inline distT="0" distB="0" distL="0" distR="0">
                  <wp:extent cx="2551430" cy="1822450"/>
                  <wp:effectExtent l="0" t="0" r="1270" b="0"/>
                  <wp:docPr id="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cstate="screen"/>
                          <a:srcRect l="1010" t="10148" r="17857" b="2927"/>
                          <a:stretch>
                            <a:fillRect/>
                          </a:stretch>
                        </pic:blipFill>
                        <pic:spPr bwMode="auto">
                          <a:xfrm>
                            <a:off x="0" y="0"/>
                            <a:ext cx="2551430" cy="1822450"/>
                          </a:xfrm>
                          <a:prstGeom prst="rect">
                            <a:avLst/>
                          </a:prstGeom>
                          <a:noFill/>
                          <a:ln w="9525">
                            <a:noFill/>
                            <a:miter lim="800000"/>
                            <a:headEnd/>
                            <a:tailEnd/>
                          </a:ln>
                        </pic:spPr>
                      </pic:pic>
                    </a:graphicData>
                  </a:graphic>
                </wp:inline>
              </w:drawing>
            </w:r>
          </w:p>
        </w:tc>
      </w:tr>
    </w:tbl>
    <w:p w:rsidR="00C01C37" w:rsidRDefault="00C01C37" w:rsidP="00C01C37">
      <w:pPr>
        <w:pStyle w:val="figurecaption"/>
      </w:pPr>
      <w:bookmarkStart w:id="258" w:name="_Toc390766677"/>
      <w:r w:rsidRPr="00BD3423">
        <w:rPr>
          <w:b/>
        </w:rPr>
        <w:t xml:space="preserve">Figure </w:t>
      </w:r>
      <w:r w:rsidR="00BD3423" w:rsidRPr="00BD3423">
        <w:rPr>
          <w:b/>
        </w:rPr>
        <w:t>4.3</w:t>
      </w:r>
      <w:r w:rsidR="000D53BA">
        <w:rPr>
          <w:b/>
        </w:rPr>
        <w:t>2</w:t>
      </w:r>
      <w:r>
        <w:t xml:space="preserve"> Histogram (left) and cumulative probability (right) of long lived alpha activity concentrations measured during the </w:t>
      </w:r>
      <w:r w:rsidR="00C220C5">
        <w:t>cleanup</w:t>
      </w:r>
      <w:r>
        <w:t xml:space="preserve"> of the spill.</w:t>
      </w:r>
      <w:bookmarkEnd w:id="258"/>
    </w:p>
    <w:p w:rsidR="00C01C37" w:rsidRDefault="00C01C37" w:rsidP="00C01C37">
      <w:r>
        <w:t xml:space="preserve">Equation 4 is used to calculate the dose rates to workers from the inhalation of dust generated during the </w:t>
      </w:r>
      <w:r w:rsidR="00F01C02">
        <w:t>cleanup</w:t>
      </w:r>
      <w:r>
        <w:t>. The dose conversion factor used a</w:t>
      </w:r>
      <w:r w:rsidR="008A7C29">
        <w:t>nd the breathing rate (light ex</w:t>
      </w:r>
      <w:r>
        <w:t xml:space="preserve">ercise) were taken from </w:t>
      </w:r>
      <w:r w:rsidRPr="00262ED9">
        <w:t>Tables 4</w:t>
      </w:r>
      <w:r w:rsidR="000D53BA" w:rsidRPr="00262ED9">
        <w:t>.10 and 4.11</w:t>
      </w:r>
      <w:r w:rsidRPr="00262ED9">
        <w:t>.</w:t>
      </w:r>
      <w:r>
        <w:t xml:space="preserve"> </w:t>
      </w:r>
    </w:p>
    <w:p w:rsidR="00C01C37" w:rsidRDefault="00C01C37" w:rsidP="00C01C37">
      <w:r>
        <w:t xml:space="preserve">It was assumed that radionuclides are in equilibrium with </w:t>
      </w:r>
      <w:r w:rsidRPr="004B5AE3">
        <w:rPr>
          <w:snapToGrid w:val="0"/>
          <w:color w:val="000000"/>
          <w:position w:val="6"/>
          <w:sz w:val="16"/>
          <w:szCs w:val="0"/>
          <w:u w:color="000000"/>
        </w:rPr>
        <w:t>238</w:t>
      </w:r>
      <w:r>
        <w:t xml:space="preserve">U down to </w:t>
      </w:r>
      <w:r w:rsidRPr="00B70E82">
        <w:rPr>
          <w:snapToGrid w:val="0"/>
          <w:color w:val="000000"/>
          <w:position w:val="6"/>
          <w:sz w:val="16"/>
          <w:szCs w:val="0"/>
          <w:u w:color="000000"/>
        </w:rPr>
        <w:t>226</w:t>
      </w:r>
      <w:r>
        <w:t>Ra, but that all radon in the dust particles was lost as a result of the crushing and leaching process.</w:t>
      </w:r>
      <w:r w:rsidRPr="002A178F">
        <w:t xml:space="preserve"> </w:t>
      </w:r>
      <w:r>
        <w:t xml:space="preserve">In addition, although it can reasonably be assumed that the AMAD of the dust inhaled during clean up would be greater than 1 µm, due to the dust creating activities (scraping and dumping) taking place immediately next to the bobcat, an AMAD of the aerosol inhaled of 1 µm was used for the calculations, which leads to a conservative dose estimate. </w:t>
      </w:r>
    </w:p>
    <w:p w:rsidR="00C01C37" w:rsidRDefault="00C01C37" w:rsidP="00C01C37"/>
    <w:p w:rsidR="00C01C37" w:rsidRDefault="00117C79" w:rsidP="00C01C37">
      <m:oMath>
        <m:sSub>
          <m:sSubPr>
            <m:ctrlPr>
              <w:rPr>
                <w:rFonts w:ascii="Cambria Math" w:hAnsi="Cambria Math"/>
                <w:i/>
              </w:rPr>
            </m:ctrlPr>
          </m:sSubPr>
          <m:e>
            <m:r>
              <w:rPr>
                <w:rFonts w:ascii="Cambria Math" w:hAnsi="Cambria Math"/>
              </w:rPr>
              <m:t>E</m:t>
            </m:r>
          </m:e>
          <m:sub>
            <m:r>
              <w:rPr>
                <w:rFonts w:ascii="Cambria Math" w:hAnsi="Cambria Math"/>
              </w:rPr>
              <m:t>dust</m:t>
            </m:r>
          </m:sub>
        </m:sSub>
        <m:r>
          <w:rPr>
            <w:rFonts w:ascii="Cambria Math" w:hAnsi="Cambria Math"/>
          </w:rPr>
          <m:t>=DCF∙LLAA∙BR</m:t>
        </m:r>
      </m:oMath>
      <w:r w:rsidR="00C01C37">
        <w:tab/>
      </w:r>
      <w:r w:rsidR="00C01C37">
        <w:tab/>
      </w:r>
      <w:r w:rsidR="00C01C37">
        <w:tab/>
      </w:r>
      <w:r w:rsidR="00C01C37">
        <w:tab/>
      </w:r>
      <w:r w:rsidR="00C01C37">
        <w:tab/>
      </w:r>
      <w:r w:rsidR="00C01C37">
        <w:tab/>
      </w:r>
      <w:r w:rsidR="00C01C37">
        <w:tab/>
      </w:r>
      <w:r w:rsidR="00C01C37">
        <w:tab/>
      </w:r>
      <w:r w:rsidR="00C01C37">
        <w:tab/>
      </w:r>
      <w:r w:rsidR="00C01C37">
        <w:tab/>
      </w:r>
      <w:r w:rsidR="00C01C37">
        <w:tab/>
      </w:r>
      <w:r w:rsidR="00C01C37">
        <w:tab/>
      </w:r>
      <w:r w:rsidR="00C01C37">
        <w:tab/>
      </w:r>
      <w:r w:rsidR="00C01C37">
        <w:tab/>
      </w:r>
      <w:r w:rsidR="00C01C37">
        <w:tab/>
        <w:t>(4)</w:t>
      </w:r>
    </w:p>
    <w:p w:rsidR="00C01C37" w:rsidRDefault="00C01C37" w:rsidP="00C01C37"/>
    <w:p w:rsidR="00C01C37" w:rsidRDefault="00C01C37" w:rsidP="00C01C37">
      <w:r>
        <w:t>With:</w:t>
      </w:r>
    </w:p>
    <w:p w:rsidR="00C01C37" w:rsidRDefault="00C01C37" w:rsidP="00C01C37">
      <w:r w:rsidRPr="00B70E82">
        <w:t>DCF:</w:t>
      </w:r>
      <w:r w:rsidRPr="00B70E82">
        <w:tab/>
      </w:r>
      <w:r>
        <w:t>7</w:t>
      </w:r>
      <w:r w:rsidRPr="00B70E82">
        <w:t>.</w:t>
      </w:r>
      <w:r>
        <w:t>8</w:t>
      </w:r>
      <w:r w:rsidRPr="00B70E82">
        <w:t xml:space="preserve"> µ</w:t>
      </w:r>
      <w:proofErr w:type="spellStart"/>
      <w:r w:rsidRPr="00B70E82">
        <w:t>Sv</w:t>
      </w:r>
      <w:proofErr w:type="spellEnd"/>
      <w:r w:rsidRPr="00B70E82">
        <w:t xml:space="preserve"> </w:t>
      </w:r>
      <w:proofErr w:type="spellStart"/>
      <w:r>
        <w:t>Bq</w:t>
      </w:r>
      <w:proofErr w:type="spellEnd"/>
      <w:r w:rsidRPr="00542B76">
        <w:rPr>
          <w:snapToGrid w:val="0"/>
          <w:color w:val="000000"/>
          <w:position w:val="-6"/>
          <w:sz w:val="16"/>
          <w:szCs w:val="0"/>
          <w:u w:color="000000"/>
        </w:rPr>
        <w:t>α</w:t>
      </w:r>
      <w:r w:rsidRPr="00B70E82">
        <w:rPr>
          <w:snapToGrid w:val="0"/>
          <w:color w:val="000000"/>
          <w:position w:val="6"/>
          <w:sz w:val="16"/>
          <w:szCs w:val="0"/>
          <w:u w:color="000000"/>
        </w:rPr>
        <w:t>-1</w:t>
      </w:r>
    </w:p>
    <w:p w:rsidR="00C01C37" w:rsidRPr="00270188" w:rsidRDefault="00C01C37" w:rsidP="00C01C37">
      <w:r w:rsidRPr="00270188">
        <w:t>LLAA:</w:t>
      </w:r>
      <w:r w:rsidRPr="00270188">
        <w:tab/>
        <w:t xml:space="preserve">0.0114 </w:t>
      </w:r>
      <w:r>
        <w:t xml:space="preserve">(0.0644) </w:t>
      </w:r>
      <w:proofErr w:type="spellStart"/>
      <w:r w:rsidRPr="00270188">
        <w:t>Bq∙m</w:t>
      </w:r>
      <w:proofErr w:type="spellEnd"/>
      <w:r w:rsidRPr="00270188">
        <w:rPr>
          <w:snapToGrid w:val="0"/>
          <w:color w:val="000000"/>
          <w:position w:val="6"/>
          <w:sz w:val="16"/>
          <w:szCs w:val="0"/>
          <w:u w:color="000000"/>
        </w:rPr>
        <w:t>-3</w:t>
      </w:r>
    </w:p>
    <w:p w:rsidR="00C01C37" w:rsidRDefault="00C01C37" w:rsidP="00C01C37">
      <w:r>
        <w:t>BR:</w:t>
      </w:r>
      <w:r>
        <w:tab/>
      </w:r>
      <w:r>
        <w:tab/>
      </w:r>
      <w:proofErr w:type="gramStart"/>
      <w:r>
        <w:t>1.5 m</w:t>
      </w:r>
      <w:r w:rsidRPr="002A178F">
        <w:rPr>
          <w:snapToGrid w:val="0"/>
          <w:color w:val="000000"/>
          <w:position w:val="6"/>
          <w:sz w:val="16"/>
          <w:szCs w:val="0"/>
          <w:u w:color="000000"/>
        </w:rPr>
        <w:t>3</w:t>
      </w:r>
      <w:r>
        <w:t>∙hr</w:t>
      </w:r>
      <w:r w:rsidRPr="00542B76">
        <w:rPr>
          <w:snapToGrid w:val="0"/>
          <w:color w:val="000000"/>
          <w:position w:val="6"/>
          <w:sz w:val="16"/>
          <w:szCs w:val="0"/>
          <w:u w:color="000000"/>
        </w:rPr>
        <w:t>-1</w:t>
      </w:r>
      <w:proofErr w:type="gramEnd"/>
    </w:p>
    <w:p w:rsidR="00C01C37" w:rsidRDefault="00C01C37" w:rsidP="00C01C37">
      <w:r>
        <w:t xml:space="preserve">Consequently, the typical dust inhalation dose rate during </w:t>
      </w:r>
      <w:r w:rsidR="00F01C02">
        <w:t>cleanup</w:t>
      </w:r>
      <w:r>
        <w:t xml:space="preserve"> equals </w:t>
      </w:r>
      <w:proofErr w:type="gramStart"/>
      <w:r>
        <w:t>0.13 µ</w:t>
      </w:r>
      <w:proofErr w:type="spellStart"/>
      <w:r>
        <w:t>Sv∙hr</w:t>
      </w:r>
      <w:proofErr w:type="spellEnd"/>
      <w:r w:rsidRPr="008C04F3">
        <w:rPr>
          <w:snapToGrid w:val="0"/>
          <w:color w:val="000000"/>
          <w:position w:val="6"/>
          <w:sz w:val="16"/>
          <w:szCs w:val="0"/>
          <w:u w:color="000000"/>
        </w:rPr>
        <w:t>-1</w:t>
      </w:r>
      <w:proofErr w:type="gramEnd"/>
      <w:r>
        <w:t>. The 95</w:t>
      </w:r>
      <w:r w:rsidRPr="00DF21D1">
        <w:rPr>
          <w:vertAlign w:val="superscript"/>
        </w:rPr>
        <w:t>th</w:t>
      </w:r>
      <w:r>
        <w:t xml:space="preserve"> percentile dust inhalation dose rate amounts to 0.75 µ</w:t>
      </w:r>
      <w:proofErr w:type="spellStart"/>
      <w:r>
        <w:t>Sv∙hr</w:t>
      </w:r>
      <w:proofErr w:type="spellEnd"/>
      <w:r w:rsidRPr="008C04F3">
        <w:rPr>
          <w:snapToGrid w:val="0"/>
          <w:color w:val="000000"/>
          <w:position w:val="6"/>
          <w:sz w:val="16"/>
          <w:szCs w:val="0"/>
          <w:u w:color="000000"/>
        </w:rPr>
        <w:t>-1</w:t>
      </w:r>
      <w:r>
        <w:t xml:space="preserve">. It is important to note that this assessment does not include any protection factors associated with the wearing of dust masks during the </w:t>
      </w:r>
      <w:r w:rsidR="00F01C02">
        <w:t>cleanup</w:t>
      </w:r>
      <w:r>
        <w:t>.</w:t>
      </w:r>
    </w:p>
    <w:p w:rsidR="007930B7" w:rsidRDefault="007930B7" w:rsidP="00266E77">
      <w:pPr>
        <w:pStyle w:val="Heading4"/>
      </w:pPr>
      <w:r>
        <w:t>4.</w:t>
      </w:r>
      <w:r w:rsidR="004D1F83">
        <w:t>3.1.7</w:t>
      </w:r>
      <w:r w:rsidRPr="00A03E05">
        <w:t xml:space="preserve"> </w:t>
      </w:r>
      <w:r>
        <w:t xml:space="preserve">Exposure </w:t>
      </w:r>
      <w:r w:rsidR="00C9034D">
        <w:t>s</w:t>
      </w:r>
      <w:r>
        <w:t>cenario</w:t>
      </w:r>
    </w:p>
    <w:p w:rsidR="007930B7" w:rsidRPr="00262ED9" w:rsidRDefault="004D1F83" w:rsidP="007930B7">
      <w:r w:rsidRPr="00262ED9">
        <w:t>Table 4.1</w:t>
      </w:r>
      <w:r w:rsidR="000D53BA" w:rsidRPr="00262ED9">
        <w:t>2</w:t>
      </w:r>
      <w:r w:rsidR="007930B7" w:rsidRPr="00262ED9">
        <w:t xml:space="preserve"> shows the typical and maximum dose rates from the three exposure pathways, external gamma radiation, radon decay product inhalation and dust inhalation. Approximately 90% of the dose received b</w:t>
      </w:r>
      <w:r w:rsidR="00881E0B" w:rsidRPr="00262ED9">
        <w:t>y workers involved in the clean</w:t>
      </w:r>
      <w:r w:rsidR="007930B7" w:rsidRPr="00262ED9">
        <w:t xml:space="preserve">up of the spill is due to exposure to gamma radiation. </w:t>
      </w:r>
    </w:p>
    <w:p w:rsidR="007930B7" w:rsidRPr="00262ED9" w:rsidRDefault="004D1F83" w:rsidP="007930B7">
      <w:pPr>
        <w:pStyle w:val="tablecaption"/>
        <w:jc w:val="center"/>
      </w:pPr>
      <w:bookmarkStart w:id="259" w:name="_Toc390766620"/>
      <w:r w:rsidRPr="00262ED9">
        <w:rPr>
          <w:b/>
        </w:rPr>
        <w:t>Table 4.1</w:t>
      </w:r>
      <w:r w:rsidR="000D53BA" w:rsidRPr="00262ED9">
        <w:rPr>
          <w:b/>
        </w:rPr>
        <w:t>2</w:t>
      </w:r>
      <w:r w:rsidR="007930B7" w:rsidRPr="00262ED9">
        <w:t xml:space="preserve"> Dose rates [µ</w:t>
      </w:r>
      <w:proofErr w:type="spellStart"/>
      <w:r w:rsidR="007930B7" w:rsidRPr="00262ED9">
        <w:t>Sv∙hr</w:t>
      </w:r>
      <w:proofErr w:type="spellEnd"/>
      <w:r w:rsidR="007930B7" w:rsidRPr="00262ED9">
        <w:rPr>
          <w:snapToGrid w:val="0"/>
          <w:color w:val="000000"/>
          <w:position w:val="6"/>
          <w:sz w:val="16"/>
          <w:szCs w:val="0"/>
          <w:u w:color="000000"/>
        </w:rPr>
        <w:t>-1</w:t>
      </w:r>
      <w:r w:rsidR="007930B7" w:rsidRPr="00262ED9">
        <w:t>] estimated for workers involved in the cleanup</w:t>
      </w:r>
      <w:bookmarkEnd w:id="259"/>
      <w:r w:rsidR="004469E5">
        <w:t>.</w:t>
      </w:r>
    </w:p>
    <w:tbl>
      <w:tblPr>
        <w:tblStyle w:val="TableGrid"/>
        <w:tblW w:w="0" w:type="auto"/>
        <w:jc w:val="center"/>
        <w:tblLook w:val="04A0"/>
      </w:tblPr>
      <w:tblGrid>
        <w:gridCol w:w="1242"/>
        <w:gridCol w:w="1276"/>
        <w:gridCol w:w="1559"/>
        <w:gridCol w:w="1560"/>
        <w:gridCol w:w="1560"/>
      </w:tblGrid>
      <w:tr w:rsidR="007930B7" w:rsidRPr="00262ED9" w:rsidTr="00A244E3">
        <w:trPr>
          <w:jc w:val="center"/>
        </w:trPr>
        <w:tc>
          <w:tcPr>
            <w:tcW w:w="1242" w:type="dxa"/>
          </w:tcPr>
          <w:p w:rsidR="007930B7" w:rsidRPr="00262ED9" w:rsidRDefault="007930B7" w:rsidP="00A244E3">
            <w:pPr>
              <w:pStyle w:val="table1"/>
              <w:rPr>
                <w:sz w:val="18"/>
                <w:szCs w:val="18"/>
              </w:rPr>
            </w:pPr>
          </w:p>
        </w:tc>
        <w:tc>
          <w:tcPr>
            <w:tcW w:w="1276" w:type="dxa"/>
          </w:tcPr>
          <w:p w:rsidR="007930B7" w:rsidRPr="00262ED9" w:rsidRDefault="007930B7" w:rsidP="00A244E3">
            <w:pPr>
              <w:pStyle w:val="table1"/>
              <w:rPr>
                <w:sz w:val="18"/>
                <w:szCs w:val="18"/>
              </w:rPr>
            </w:pPr>
            <w:r w:rsidRPr="00262ED9">
              <w:rPr>
                <w:sz w:val="18"/>
                <w:szCs w:val="18"/>
              </w:rPr>
              <w:t>γ-radiation</w:t>
            </w:r>
          </w:p>
        </w:tc>
        <w:tc>
          <w:tcPr>
            <w:tcW w:w="1559" w:type="dxa"/>
          </w:tcPr>
          <w:p w:rsidR="007930B7" w:rsidRPr="00262ED9" w:rsidRDefault="007930B7" w:rsidP="00A244E3">
            <w:pPr>
              <w:pStyle w:val="table1"/>
              <w:rPr>
                <w:sz w:val="18"/>
                <w:szCs w:val="18"/>
              </w:rPr>
            </w:pPr>
            <w:r w:rsidRPr="00262ED9">
              <w:rPr>
                <w:sz w:val="18"/>
                <w:szCs w:val="18"/>
              </w:rPr>
              <w:t>Dust inhalation</w:t>
            </w:r>
          </w:p>
        </w:tc>
        <w:tc>
          <w:tcPr>
            <w:tcW w:w="1560" w:type="dxa"/>
          </w:tcPr>
          <w:p w:rsidR="007930B7" w:rsidRPr="00262ED9" w:rsidRDefault="007930B7" w:rsidP="00A244E3">
            <w:pPr>
              <w:pStyle w:val="table1"/>
              <w:rPr>
                <w:sz w:val="18"/>
                <w:szCs w:val="18"/>
              </w:rPr>
            </w:pPr>
            <w:r w:rsidRPr="00262ED9">
              <w:rPr>
                <w:sz w:val="18"/>
                <w:szCs w:val="18"/>
              </w:rPr>
              <w:t>RDP inhalation</w:t>
            </w:r>
          </w:p>
        </w:tc>
        <w:tc>
          <w:tcPr>
            <w:tcW w:w="1560" w:type="dxa"/>
          </w:tcPr>
          <w:p w:rsidR="007930B7" w:rsidRPr="00262ED9" w:rsidRDefault="007930B7" w:rsidP="00A244E3">
            <w:pPr>
              <w:pStyle w:val="table1"/>
              <w:rPr>
                <w:sz w:val="18"/>
                <w:szCs w:val="18"/>
              </w:rPr>
            </w:pPr>
            <w:r w:rsidRPr="00262ED9">
              <w:rPr>
                <w:sz w:val="18"/>
                <w:szCs w:val="18"/>
              </w:rPr>
              <w:t>Total</w:t>
            </w:r>
          </w:p>
        </w:tc>
      </w:tr>
      <w:tr w:rsidR="007930B7" w:rsidRPr="00262ED9" w:rsidTr="00A244E3">
        <w:trPr>
          <w:jc w:val="center"/>
        </w:trPr>
        <w:tc>
          <w:tcPr>
            <w:tcW w:w="1242" w:type="dxa"/>
          </w:tcPr>
          <w:p w:rsidR="007930B7" w:rsidRPr="00262ED9" w:rsidRDefault="007930B7" w:rsidP="00A244E3">
            <w:pPr>
              <w:pStyle w:val="table1"/>
              <w:rPr>
                <w:sz w:val="18"/>
                <w:szCs w:val="18"/>
              </w:rPr>
            </w:pPr>
            <w:r w:rsidRPr="00262ED9">
              <w:rPr>
                <w:sz w:val="18"/>
                <w:szCs w:val="18"/>
              </w:rPr>
              <w:t>Typical</w:t>
            </w:r>
          </w:p>
        </w:tc>
        <w:tc>
          <w:tcPr>
            <w:tcW w:w="1276" w:type="dxa"/>
          </w:tcPr>
          <w:p w:rsidR="007930B7" w:rsidRPr="00262ED9" w:rsidRDefault="007930B7" w:rsidP="00A244E3">
            <w:pPr>
              <w:pStyle w:val="table1"/>
              <w:rPr>
                <w:sz w:val="18"/>
                <w:szCs w:val="18"/>
              </w:rPr>
            </w:pPr>
            <w:r w:rsidRPr="00262ED9">
              <w:rPr>
                <w:sz w:val="18"/>
                <w:szCs w:val="18"/>
              </w:rPr>
              <w:t>1.6</w:t>
            </w:r>
          </w:p>
        </w:tc>
        <w:tc>
          <w:tcPr>
            <w:tcW w:w="1559" w:type="dxa"/>
          </w:tcPr>
          <w:p w:rsidR="007930B7" w:rsidRPr="00262ED9" w:rsidRDefault="007930B7" w:rsidP="00A244E3">
            <w:pPr>
              <w:pStyle w:val="table1"/>
              <w:rPr>
                <w:sz w:val="18"/>
                <w:szCs w:val="18"/>
              </w:rPr>
            </w:pPr>
            <w:r w:rsidRPr="00262ED9">
              <w:rPr>
                <w:sz w:val="18"/>
                <w:szCs w:val="18"/>
              </w:rPr>
              <w:t>0.13</w:t>
            </w:r>
          </w:p>
        </w:tc>
        <w:tc>
          <w:tcPr>
            <w:tcW w:w="1560" w:type="dxa"/>
          </w:tcPr>
          <w:p w:rsidR="007930B7" w:rsidRPr="00262ED9" w:rsidRDefault="007930B7" w:rsidP="00A244E3">
            <w:pPr>
              <w:pStyle w:val="table1"/>
              <w:rPr>
                <w:sz w:val="18"/>
                <w:szCs w:val="18"/>
              </w:rPr>
            </w:pPr>
            <w:r w:rsidRPr="00262ED9">
              <w:rPr>
                <w:sz w:val="18"/>
                <w:szCs w:val="18"/>
              </w:rPr>
              <w:t>0.005</w:t>
            </w:r>
          </w:p>
        </w:tc>
        <w:tc>
          <w:tcPr>
            <w:tcW w:w="1560" w:type="dxa"/>
          </w:tcPr>
          <w:p w:rsidR="007930B7" w:rsidRPr="00262ED9" w:rsidRDefault="007930B7" w:rsidP="00A244E3">
            <w:pPr>
              <w:pStyle w:val="table1"/>
              <w:rPr>
                <w:sz w:val="18"/>
                <w:szCs w:val="18"/>
              </w:rPr>
            </w:pPr>
            <w:r w:rsidRPr="00262ED9">
              <w:rPr>
                <w:sz w:val="18"/>
                <w:szCs w:val="18"/>
              </w:rPr>
              <w:t>1.73</w:t>
            </w:r>
          </w:p>
        </w:tc>
      </w:tr>
      <w:tr w:rsidR="007930B7" w:rsidRPr="00262ED9" w:rsidTr="00A244E3">
        <w:trPr>
          <w:jc w:val="center"/>
        </w:trPr>
        <w:tc>
          <w:tcPr>
            <w:tcW w:w="1242" w:type="dxa"/>
          </w:tcPr>
          <w:p w:rsidR="007930B7" w:rsidRPr="00262ED9" w:rsidRDefault="007930B7" w:rsidP="00A244E3">
            <w:pPr>
              <w:pStyle w:val="table1"/>
              <w:rPr>
                <w:sz w:val="18"/>
                <w:szCs w:val="18"/>
              </w:rPr>
            </w:pPr>
            <w:r w:rsidRPr="00262ED9">
              <w:rPr>
                <w:sz w:val="18"/>
                <w:szCs w:val="18"/>
              </w:rPr>
              <w:t>Max</w:t>
            </w:r>
          </w:p>
        </w:tc>
        <w:tc>
          <w:tcPr>
            <w:tcW w:w="1276" w:type="dxa"/>
          </w:tcPr>
          <w:p w:rsidR="007930B7" w:rsidRPr="00262ED9" w:rsidRDefault="007930B7" w:rsidP="00A244E3">
            <w:pPr>
              <w:pStyle w:val="table1"/>
              <w:rPr>
                <w:sz w:val="18"/>
                <w:szCs w:val="18"/>
              </w:rPr>
            </w:pPr>
            <w:r w:rsidRPr="00262ED9">
              <w:rPr>
                <w:sz w:val="18"/>
                <w:szCs w:val="18"/>
              </w:rPr>
              <w:t>7</w:t>
            </w:r>
          </w:p>
        </w:tc>
        <w:tc>
          <w:tcPr>
            <w:tcW w:w="1559" w:type="dxa"/>
          </w:tcPr>
          <w:p w:rsidR="007930B7" w:rsidRPr="00262ED9" w:rsidRDefault="007930B7" w:rsidP="00A244E3">
            <w:pPr>
              <w:pStyle w:val="table1"/>
              <w:rPr>
                <w:sz w:val="18"/>
                <w:szCs w:val="18"/>
              </w:rPr>
            </w:pPr>
            <w:r w:rsidRPr="00262ED9">
              <w:rPr>
                <w:sz w:val="18"/>
                <w:szCs w:val="18"/>
              </w:rPr>
              <w:t>0.75</w:t>
            </w:r>
          </w:p>
        </w:tc>
        <w:tc>
          <w:tcPr>
            <w:tcW w:w="1560" w:type="dxa"/>
          </w:tcPr>
          <w:p w:rsidR="007930B7" w:rsidRPr="00262ED9" w:rsidRDefault="007930B7" w:rsidP="00A244E3">
            <w:pPr>
              <w:pStyle w:val="table1"/>
              <w:rPr>
                <w:sz w:val="18"/>
                <w:szCs w:val="18"/>
              </w:rPr>
            </w:pPr>
            <w:r w:rsidRPr="00262ED9">
              <w:rPr>
                <w:sz w:val="18"/>
                <w:szCs w:val="18"/>
              </w:rPr>
              <w:t>0.13</w:t>
            </w:r>
          </w:p>
        </w:tc>
        <w:tc>
          <w:tcPr>
            <w:tcW w:w="1560" w:type="dxa"/>
          </w:tcPr>
          <w:p w:rsidR="007930B7" w:rsidRPr="00262ED9" w:rsidRDefault="007930B7" w:rsidP="00A244E3">
            <w:pPr>
              <w:pStyle w:val="table1"/>
              <w:rPr>
                <w:sz w:val="18"/>
                <w:szCs w:val="18"/>
              </w:rPr>
            </w:pPr>
            <w:r w:rsidRPr="00262ED9">
              <w:rPr>
                <w:sz w:val="18"/>
                <w:szCs w:val="18"/>
              </w:rPr>
              <w:t>7.88</w:t>
            </w:r>
          </w:p>
        </w:tc>
      </w:tr>
    </w:tbl>
    <w:p w:rsidR="007930B7" w:rsidRPr="00262ED9" w:rsidRDefault="007930B7" w:rsidP="007930B7"/>
    <w:p w:rsidR="007930B7" w:rsidRPr="00262ED9" w:rsidRDefault="007930B7" w:rsidP="007930B7">
      <w:r w:rsidRPr="00262ED9">
        <w:t>To calculate doses recei</w:t>
      </w:r>
      <w:r w:rsidR="00881E0B" w:rsidRPr="00262ED9">
        <w:t>ved by workers during the clean</w:t>
      </w:r>
      <w:r w:rsidRPr="00262ED9">
        <w:t>up, the following scenario has been assumed: workers involved in the cleanup worked in 12 hour shifts</w:t>
      </w:r>
      <w:r w:rsidR="00C220C5">
        <w:t xml:space="preserve"> with</w:t>
      </w:r>
      <w:r w:rsidRPr="00262ED9">
        <w:t xml:space="preserve"> 10 hours were spent on the spilled material. The initial cleanup, with the exception of the exclusion zone around the failed tank, occurred over 4 days. This scenario results in a total of 40 hours exposure time and thus a typical dose of 0.07 </w:t>
      </w:r>
      <w:proofErr w:type="spellStart"/>
      <w:r w:rsidRPr="00262ED9">
        <w:t>mSv</w:t>
      </w:r>
      <w:proofErr w:type="spellEnd"/>
      <w:r w:rsidRPr="00262ED9">
        <w:t xml:space="preserve">, and a maximum dose of 0.32 </w:t>
      </w:r>
      <w:proofErr w:type="spellStart"/>
      <w:r w:rsidRPr="00262ED9">
        <w:t>mSv</w:t>
      </w:r>
      <w:proofErr w:type="spellEnd"/>
      <w:r w:rsidRPr="00262ED9">
        <w:t xml:space="preserve"> received by the workers.</w:t>
      </w:r>
    </w:p>
    <w:p w:rsidR="007930B7" w:rsidRDefault="007930B7" w:rsidP="007930B7">
      <w:r w:rsidRPr="00262ED9">
        <w:t xml:space="preserve">Mean annual radiation doses for 2013 to workers working in the area where the spill occurred (Radiation area R6: mill) are shown in Table </w:t>
      </w:r>
      <w:r w:rsidR="000D53BA" w:rsidRPr="00262ED9">
        <w:t>4.13</w:t>
      </w:r>
      <w:r>
        <w:t xml:space="preserve"> and the doses are compared with the additional doses received during the cleanup.</w:t>
      </w:r>
    </w:p>
    <w:p w:rsidR="00915C45" w:rsidRDefault="00915C45">
      <w:pPr>
        <w:spacing w:after="0" w:line="240" w:lineRule="auto"/>
        <w:jc w:val="left"/>
        <w:rPr>
          <w:rFonts w:ascii="Arial" w:hAnsi="Arial"/>
          <w:b/>
          <w:sz w:val="18"/>
        </w:rPr>
      </w:pPr>
      <w:r>
        <w:rPr>
          <w:b/>
        </w:rPr>
        <w:br w:type="page"/>
      </w:r>
    </w:p>
    <w:p w:rsidR="007930B7" w:rsidRDefault="004D1F83" w:rsidP="007930B7">
      <w:pPr>
        <w:pStyle w:val="tablecaption"/>
        <w:jc w:val="center"/>
      </w:pPr>
      <w:bookmarkStart w:id="260" w:name="_Toc390766621"/>
      <w:r w:rsidRPr="004D1F83">
        <w:rPr>
          <w:b/>
        </w:rPr>
        <w:t xml:space="preserve">Table </w:t>
      </w:r>
      <w:proofErr w:type="gramStart"/>
      <w:r w:rsidRPr="004D1F83">
        <w:rPr>
          <w:b/>
        </w:rPr>
        <w:t>4.1</w:t>
      </w:r>
      <w:r w:rsidR="000D53BA">
        <w:rPr>
          <w:b/>
        </w:rPr>
        <w:t>3</w:t>
      </w:r>
      <w:r>
        <w:t xml:space="preserve"> </w:t>
      </w:r>
      <w:r w:rsidR="007930B7">
        <w:t xml:space="preserve"> Mean</w:t>
      </w:r>
      <w:proofErr w:type="gramEnd"/>
      <w:r w:rsidR="007930B7">
        <w:t xml:space="preserve"> annual doses (in </w:t>
      </w:r>
      <w:proofErr w:type="spellStart"/>
      <w:r w:rsidR="007930B7">
        <w:t>mSv</w:t>
      </w:r>
      <w:proofErr w:type="spellEnd"/>
      <w:r w:rsidR="007930B7">
        <w:t xml:space="preserve">) received by workers in the Processing Production working group in 2013 </w:t>
      </w:r>
      <w:r w:rsidR="007930B7" w:rsidRPr="00E67F3E">
        <w:t>(ERA 2014)</w:t>
      </w:r>
      <w:r w:rsidR="007930B7">
        <w:t xml:space="preserve"> and estimated doses (in </w:t>
      </w:r>
      <w:proofErr w:type="spellStart"/>
      <w:r w:rsidR="007930B7">
        <w:t>mSv</w:t>
      </w:r>
      <w:proofErr w:type="spellEnd"/>
      <w:r w:rsidR="007930B7">
        <w:t>) received during the cleanup operation.</w:t>
      </w:r>
      <w:bookmarkEnd w:id="260"/>
    </w:p>
    <w:tbl>
      <w:tblPr>
        <w:tblStyle w:val="TableGrid"/>
        <w:tblW w:w="0" w:type="auto"/>
        <w:jc w:val="center"/>
        <w:tblLayout w:type="fixed"/>
        <w:tblLook w:val="04A0"/>
      </w:tblPr>
      <w:tblGrid>
        <w:gridCol w:w="2091"/>
        <w:gridCol w:w="850"/>
        <w:gridCol w:w="1276"/>
        <w:gridCol w:w="1418"/>
        <w:gridCol w:w="1559"/>
        <w:gridCol w:w="1323"/>
      </w:tblGrid>
      <w:tr w:rsidR="007930B7" w:rsidRPr="004B3260" w:rsidTr="00A244E3">
        <w:trPr>
          <w:jc w:val="center"/>
        </w:trPr>
        <w:tc>
          <w:tcPr>
            <w:tcW w:w="2091" w:type="dxa"/>
          </w:tcPr>
          <w:p w:rsidR="007930B7" w:rsidRPr="004B3260" w:rsidRDefault="007930B7" w:rsidP="00A244E3">
            <w:pPr>
              <w:pStyle w:val="table1"/>
              <w:rPr>
                <w:rFonts w:cs="Arial"/>
                <w:sz w:val="18"/>
                <w:szCs w:val="18"/>
              </w:rPr>
            </w:pPr>
          </w:p>
        </w:tc>
        <w:tc>
          <w:tcPr>
            <w:tcW w:w="850" w:type="dxa"/>
          </w:tcPr>
          <w:p w:rsidR="007930B7" w:rsidRPr="004B3260" w:rsidRDefault="007930B7" w:rsidP="00A244E3">
            <w:pPr>
              <w:pStyle w:val="table1"/>
              <w:rPr>
                <w:rFonts w:cs="Arial"/>
                <w:sz w:val="18"/>
                <w:szCs w:val="18"/>
              </w:rPr>
            </w:pPr>
          </w:p>
        </w:tc>
        <w:tc>
          <w:tcPr>
            <w:tcW w:w="1276" w:type="dxa"/>
          </w:tcPr>
          <w:p w:rsidR="007930B7" w:rsidRPr="004B3260" w:rsidRDefault="007930B7" w:rsidP="00A244E3">
            <w:pPr>
              <w:pStyle w:val="table1"/>
              <w:rPr>
                <w:rFonts w:cs="Arial"/>
                <w:sz w:val="18"/>
                <w:szCs w:val="18"/>
              </w:rPr>
            </w:pPr>
            <w:r w:rsidRPr="004B3260">
              <w:rPr>
                <w:rFonts w:cs="Arial"/>
                <w:sz w:val="18"/>
                <w:szCs w:val="18"/>
              </w:rPr>
              <w:t>γ-radiation</w:t>
            </w:r>
          </w:p>
        </w:tc>
        <w:tc>
          <w:tcPr>
            <w:tcW w:w="1418" w:type="dxa"/>
          </w:tcPr>
          <w:p w:rsidR="007930B7" w:rsidRPr="004B3260" w:rsidRDefault="007930B7" w:rsidP="00A244E3">
            <w:pPr>
              <w:pStyle w:val="table1"/>
              <w:rPr>
                <w:rFonts w:cs="Arial"/>
                <w:sz w:val="18"/>
                <w:szCs w:val="18"/>
              </w:rPr>
            </w:pPr>
            <w:r w:rsidRPr="004B3260">
              <w:rPr>
                <w:rFonts w:cs="Arial"/>
                <w:sz w:val="18"/>
                <w:szCs w:val="18"/>
              </w:rPr>
              <w:t>Dust inhalation</w:t>
            </w:r>
          </w:p>
        </w:tc>
        <w:tc>
          <w:tcPr>
            <w:tcW w:w="1559" w:type="dxa"/>
          </w:tcPr>
          <w:p w:rsidR="007930B7" w:rsidRPr="004B3260" w:rsidRDefault="007930B7" w:rsidP="00A244E3">
            <w:pPr>
              <w:pStyle w:val="table1"/>
              <w:rPr>
                <w:rFonts w:cs="Arial"/>
                <w:sz w:val="18"/>
                <w:szCs w:val="18"/>
              </w:rPr>
            </w:pPr>
            <w:r w:rsidRPr="004B3260">
              <w:rPr>
                <w:rFonts w:cs="Arial"/>
                <w:sz w:val="18"/>
                <w:szCs w:val="18"/>
              </w:rPr>
              <w:t>RDP inhalation</w:t>
            </w:r>
          </w:p>
        </w:tc>
        <w:tc>
          <w:tcPr>
            <w:tcW w:w="1323" w:type="dxa"/>
          </w:tcPr>
          <w:p w:rsidR="007930B7" w:rsidRPr="004B3260" w:rsidRDefault="007930B7" w:rsidP="00A244E3">
            <w:pPr>
              <w:pStyle w:val="table1"/>
              <w:rPr>
                <w:rFonts w:cs="Arial"/>
                <w:sz w:val="18"/>
                <w:szCs w:val="18"/>
              </w:rPr>
            </w:pPr>
            <w:r w:rsidRPr="004B3260">
              <w:rPr>
                <w:rFonts w:cs="Arial"/>
                <w:sz w:val="18"/>
                <w:szCs w:val="18"/>
              </w:rPr>
              <w:t>Total</w:t>
            </w:r>
          </w:p>
        </w:tc>
      </w:tr>
      <w:tr w:rsidR="007930B7" w:rsidRPr="004B3260" w:rsidTr="00A244E3">
        <w:trPr>
          <w:trHeight w:val="475"/>
          <w:jc w:val="center"/>
        </w:trPr>
        <w:tc>
          <w:tcPr>
            <w:tcW w:w="2091" w:type="dxa"/>
          </w:tcPr>
          <w:p w:rsidR="007930B7" w:rsidRPr="004B3260" w:rsidRDefault="007930B7" w:rsidP="00A244E3">
            <w:pPr>
              <w:pStyle w:val="table1"/>
              <w:rPr>
                <w:rFonts w:cs="Arial"/>
                <w:sz w:val="18"/>
                <w:szCs w:val="18"/>
              </w:rPr>
            </w:pPr>
            <w:r w:rsidRPr="004B3260">
              <w:rPr>
                <w:rFonts w:cs="Arial"/>
                <w:sz w:val="18"/>
                <w:szCs w:val="18"/>
              </w:rPr>
              <w:t>Processing</w:t>
            </w:r>
            <w:r>
              <w:rPr>
                <w:rFonts w:cs="Arial"/>
                <w:sz w:val="18"/>
                <w:szCs w:val="18"/>
              </w:rPr>
              <w:t xml:space="preserve"> </w:t>
            </w:r>
            <w:r w:rsidRPr="004B3260">
              <w:rPr>
                <w:rFonts w:cs="Arial"/>
                <w:sz w:val="18"/>
                <w:szCs w:val="18"/>
              </w:rPr>
              <w:t>Production</w:t>
            </w:r>
            <w:r>
              <w:rPr>
                <w:rFonts w:cs="Arial"/>
                <w:sz w:val="18"/>
                <w:szCs w:val="18"/>
              </w:rPr>
              <w:t xml:space="preserve"> Annual Dose</w:t>
            </w:r>
          </w:p>
        </w:tc>
        <w:tc>
          <w:tcPr>
            <w:tcW w:w="850" w:type="dxa"/>
          </w:tcPr>
          <w:p w:rsidR="007930B7" w:rsidRPr="004B3260" w:rsidRDefault="007930B7" w:rsidP="00A244E3">
            <w:pPr>
              <w:pStyle w:val="table1"/>
              <w:rPr>
                <w:rFonts w:cs="Arial"/>
                <w:sz w:val="18"/>
                <w:szCs w:val="18"/>
              </w:rPr>
            </w:pPr>
            <w:r>
              <w:rPr>
                <w:rFonts w:cs="Arial"/>
                <w:sz w:val="18"/>
                <w:szCs w:val="18"/>
              </w:rPr>
              <w:t>Mean</w:t>
            </w:r>
          </w:p>
        </w:tc>
        <w:tc>
          <w:tcPr>
            <w:tcW w:w="1276" w:type="dxa"/>
          </w:tcPr>
          <w:p w:rsidR="007930B7" w:rsidRPr="004B3260" w:rsidRDefault="007930B7" w:rsidP="00A244E3">
            <w:pPr>
              <w:spacing w:before="60" w:after="60" w:line="200" w:lineRule="atLeast"/>
              <w:jc w:val="left"/>
              <w:rPr>
                <w:rFonts w:ascii="Arial" w:hAnsi="Arial" w:cs="Arial"/>
                <w:color w:val="000000"/>
                <w:sz w:val="18"/>
                <w:szCs w:val="18"/>
              </w:rPr>
            </w:pPr>
            <w:r>
              <w:rPr>
                <w:rFonts w:ascii="Arial" w:hAnsi="Arial" w:cs="Arial"/>
                <w:color w:val="000000"/>
                <w:sz w:val="18"/>
                <w:szCs w:val="18"/>
              </w:rPr>
              <w:t>1.8</w:t>
            </w:r>
          </w:p>
        </w:tc>
        <w:tc>
          <w:tcPr>
            <w:tcW w:w="1418" w:type="dxa"/>
          </w:tcPr>
          <w:p w:rsidR="007930B7" w:rsidRPr="004B3260" w:rsidRDefault="007930B7" w:rsidP="00A244E3">
            <w:pPr>
              <w:spacing w:before="60" w:after="60" w:line="200" w:lineRule="atLeast"/>
              <w:jc w:val="left"/>
              <w:rPr>
                <w:rFonts w:ascii="Arial" w:hAnsi="Arial" w:cs="Arial"/>
                <w:color w:val="000000"/>
                <w:sz w:val="18"/>
                <w:szCs w:val="18"/>
              </w:rPr>
            </w:pPr>
            <w:r w:rsidRPr="004B3260">
              <w:rPr>
                <w:rFonts w:ascii="Arial" w:hAnsi="Arial" w:cs="Arial"/>
                <w:color w:val="000000"/>
                <w:sz w:val="18"/>
                <w:szCs w:val="18"/>
              </w:rPr>
              <w:t>0.0</w:t>
            </w:r>
            <w:r>
              <w:rPr>
                <w:rFonts w:ascii="Arial" w:hAnsi="Arial" w:cs="Arial"/>
                <w:color w:val="000000"/>
                <w:sz w:val="18"/>
                <w:szCs w:val="18"/>
              </w:rPr>
              <w:t>9</w:t>
            </w:r>
          </w:p>
        </w:tc>
        <w:tc>
          <w:tcPr>
            <w:tcW w:w="1559" w:type="dxa"/>
          </w:tcPr>
          <w:p w:rsidR="007930B7" w:rsidRPr="004B3260" w:rsidRDefault="007930B7" w:rsidP="00A244E3">
            <w:pPr>
              <w:spacing w:before="60" w:after="60" w:line="200" w:lineRule="atLeast"/>
              <w:jc w:val="left"/>
              <w:rPr>
                <w:rFonts w:ascii="Arial" w:hAnsi="Arial" w:cs="Arial"/>
                <w:color w:val="000000"/>
                <w:sz w:val="18"/>
                <w:szCs w:val="18"/>
              </w:rPr>
            </w:pPr>
            <w:r>
              <w:rPr>
                <w:rFonts w:ascii="Arial" w:hAnsi="Arial" w:cs="Arial"/>
                <w:color w:val="000000"/>
                <w:sz w:val="18"/>
                <w:szCs w:val="18"/>
              </w:rPr>
              <w:t>0.</w:t>
            </w:r>
            <w:r w:rsidRPr="004B3260">
              <w:rPr>
                <w:rFonts w:ascii="Arial" w:hAnsi="Arial" w:cs="Arial"/>
                <w:color w:val="000000"/>
                <w:sz w:val="18"/>
                <w:szCs w:val="18"/>
              </w:rPr>
              <w:t>1</w:t>
            </w:r>
            <w:r>
              <w:rPr>
                <w:rFonts w:ascii="Arial" w:hAnsi="Arial" w:cs="Arial"/>
                <w:color w:val="000000"/>
                <w:sz w:val="18"/>
                <w:szCs w:val="18"/>
              </w:rPr>
              <w:t>2</w:t>
            </w:r>
          </w:p>
        </w:tc>
        <w:tc>
          <w:tcPr>
            <w:tcW w:w="1323" w:type="dxa"/>
          </w:tcPr>
          <w:p w:rsidR="007930B7" w:rsidRPr="004B3260" w:rsidRDefault="007930B7" w:rsidP="00A244E3">
            <w:pPr>
              <w:spacing w:before="60" w:after="60" w:line="200" w:lineRule="atLeast"/>
              <w:jc w:val="left"/>
              <w:rPr>
                <w:rFonts w:ascii="Arial" w:hAnsi="Arial" w:cs="Arial"/>
                <w:color w:val="000000"/>
                <w:sz w:val="18"/>
                <w:szCs w:val="18"/>
              </w:rPr>
            </w:pPr>
            <w:r>
              <w:rPr>
                <w:rFonts w:ascii="Arial" w:hAnsi="Arial" w:cs="Arial"/>
                <w:color w:val="000000"/>
                <w:sz w:val="18"/>
                <w:szCs w:val="18"/>
              </w:rPr>
              <w:t>2.01</w:t>
            </w:r>
          </w:p>
        </w:tc>
      </w:tr>
      <w:tr w:rsidR="007930B7" w:rsidRPr="004B3260" w:rsidTr="00A244E3">
        <w:trPr>
          <w:jc w:val="center"/>
        </w:trPr>
        <w:tc>
          <w:tcPr>
            <w:tcW w:w="2091" w:type="dxa"/>
            <w:vMerge w:val="restart"/>
          </w:tcPr>
          <w:p w:rsidR="007930B7" w:rsidRPr="004B3260" w:rsidRDefault="001013D4" w:rsidP="00A244E3">
            <w:pPr>
              <w:pStyle w:val="table1"/>
              <w:rPr>
                <w:rFonts w:cs="Arial"/>
                <w:sz w:val="18"/>
                <w:szCs w:val="18"/>
              </w:rPr>
            </w:pPr>
            <w:r>
              <w:rPr>
                <w:rFonts w:cs="Arial"/>
                <w:sz w:val="18"/>
                <w:szCs w:val="18"/>
              </w:rPr>
              <w:t>Cleanup</w:t>
            </w:r>
            <w:r w:rsidR="007930B7" w:rsidRPr="004B3260">
              <w:rPr>
                <w:rFonts w:cs="Arial"/>
                <w:sz w:val="18"/>
                <w:szCs w:val="18"/>
              </w:rPr>
              <w:t xml:space="preserve"> </w:t>
            </w:r>
          </w:p>
          <w:p w:rsidR="007930B7" w:rsidRPr="004B3260" w:rsidRDefault="007930B7" w:rsidP="00A244E3">
            <w:pPr>
              <w:pStyle w:val="table1"/>
              <w:rPr>
                <w:rFonts w:cs="Arial"/>
                <w:sz w:val="18"/>
                <w:szCs w:val="18"/>
              </w:rPr>
            </w:pPr>
            <w:r w:rsidRPr="004B3260">
              <w:rPr>
                <w:rFonts w:cs="Arial"/>
                <w:sz w:val="18"/>
                <w:szCs w:val="18"/>
              </w:rPr>
              <w:t>Operation</w:t>
            </w:r>
          </w:p>
        </w:tc>
        <w:tc>
          <w:tcPr>
            <w:tcW w:w="850" w:type="dxa"/>
          </w:tcPr>
          <w:p w:rsidR="007930B7" w:rsidRPr="004B3260" w:rsidRDefault="007930B7" w:rsidP="00A244E3">
            <w:pPr>
              <w:pStyle w:val="table1"/>
              <w:rPr>
                <w:rFonts w:cs="Arial"/>
                <w:sz w:val="18"/>
                <w:szCs w:val="18"/>
              </w:rPr>
            </w:pPr>
            <w:r w:rsidRPr="004B3260">
              <w:rPr>
                <w:rFonts w:cs="Arial"/>
                <w:sz w:val="18"/>
                <w:szCs w:val="18"/>
              </w:rPr>
              <w:t>Typical</w:t>
            </w:r>
          </w:p>
        </w:tc>
        <w:tc>
          <w:tcPr>
            <w:tcW w:w="1276" w:type="dxa"/>
            <w:vAlign w:val="bottom"/>
          </w:tcPr>
          <w:p w:rsidR="007930B7" w:rsidRPr="004B3260" w:rsidRDefault="007930B7" w:rsidP="00A244E3">
            <w:pPr>
              <w:spacing w:before="60" w:after="60" w:line="200" w:lineRule="atLeast"/>
              <w:jc w:val="left"/>
              <w:rPr>
                <w:rFonts w:ascii="Arial" w:hAnsi="Arial" w:cs="Arial"/>
                <w:color w:val="000000"/>
                <w:sz w:val="18"/>
                <w:szCs w:val="18"/>
              </w:rPr>
            </w:pPr>
            <w:r w:rsidRPr="004B3260">
              <w:rPr>
                <w:rFonts w:ascii="Arial" w:hAnsi="Arial" w:cs="Arial"/>
                <w:color w:val="000000"/>
                <w:sz w:val="18"/>
                <w:szCs w:val="18"/>
              </w:rPr>
              <w:t>0.</w:t>
            </w:r>
            <w:r>
              <w:rPr>
                <w:rFonts w:ascii="Arial" w:hAnsi="Arial" w:cs="Arial"/>
                <w:color w:val="000000"/>
                <w:sz w:val="18"/>
                <w:szCs w:val="18"/>
              </w:rPr>
              <w:t>06</w:t>
            </w:r>
          </w:p>
        </w:tc>
        <w:tc>
          <w:tcPr>
            <w:tcW w:w="1418" w:type="dxa"/>
            <w:vAlign w:val="bottom"/>
          </w:tcPr>
          <w:p w:rsidR="007930B7" w:rsidRPr="004B3260" w:rsidRDefault="007930B7" w:rsidP="00A244E3">
            <w:pPr>
              <w:spacing w:before="60" w:after="60" w:line="200" w:lineRule="atLeast"/>
              <w:jc w:val="left"/>
              <w:rPr>
                <w:rFonts w:ascii="Arial" w:hAnsi="Arial" w:cs="Arial"/>
                <w:color w:val="000000"/>
                <w:sz w:val="18"/>
                <w:szCs w:val="18"/>
              </w:rPr>
            </w:pPr>
            <w:r w:rsidRPr="004B3260">
              <w:rPr>
                <w:rFonts w:ascii="Arial" w:hAnsi="Arial" w:cs="Arial"/>
                <w:color w:val="000000"/>
                <w:sz w:val="18"/>
                <w:szCs w:val="18"/>
              </w:rPr>
              <w:t>0.0</w:t>
            </w:r>
            <w:r>
              <w:rPr>
                <w:rFonts w:ascii="Arial" w:hAnsi="Arial" w:cs="Arial"/>
                <w:color w:val="000000"/>
                <w:sz w:val="18"/>
                <w:szCs w:val="18"/>
              </w:rPr>
              <w:t>05</w:t>
            </w:r>
          </w:p>
        </w:tc>
        <w:tc>
          <w:tcPr>
            <w:tcW w:w="1559" w:type="dxa"/>
            <w:vAlign w:val="bottom"/>
          </w:tcPr>
          <w:p w:rsidR="007930B7" w:rsidRPr="004B3260" w:rsidRDefault="007930B7" w:rsidP="00A244E3">
            <w:pPr>
              <w:spacing w:before="60" w:after="60" w:line="200" w:lineRule="atLeast"/>
              <w:jc w:val="left"/>
              <w:rPr>
                <w:rFonts w:ascii="Arial" w:hAnsi="Arial" w:cs="Arial"/>
                <w:color w:val="000000"/>
                <w:sz w:val="18"/>
                <w:szCs w:val="18"/>
              </w:rPr>
            </w:pPr>
            <w:r w:rsidRPr="004B3260">
              <w:rPr>
                <w:rFonts w:ascii="Arial" w:hAnsi="Arial" w:cs="Arial"/>
                <w:color w:val="000000"/>
                <w:sz w:val="18"/>
                <w:szCs w:val="18"/>
              </w:rPr>
              <w:t>0.00</w:t>
            </w:r>
          </w:p>
        </w:tc>
        <w:tc>
          <w:tcPr>
            <w:tcW w:w="1323" w:type="dxa"/>
            <w:vAlign w:val="bottom"/>
          </w:tcPr>
          <w:p w:rsidR="007930B7" w:rsidRPr="004B3260" w:rsidRDefault="007930B7" w:rsidP="00A244E3">
            <w:pPr>
              <w:spacing w:before="60" w:after="60" w:line="200" w:lineRule="atLeast"/>
              <w:jc w:val="left"/>
              <w:rPr>
                <w:rFonts w:ascii="Arial" w:hAnsi="Arial" w:cs="Arial"/>
                <w:color w:val="000000"/>
                <w:sz w:val="18"/>
                <w:szCs w:val="18"/>
              </w:rPr>
            </w:pPr>
            <w:r w:rsidRPr="004B3260">
              <w:rPr>
                <w:rFonts w:ascii="Arial" w:hAnsi="Arial" w:cs="Arial"/>
                <w:color w:val="000000"/>
                <w:sz w:val="18"/>
                <w:szCs w:val="18"/>
              </w:rPr>
              <w:t>0.</w:t>
            </w:r>
            <w:r>
              <w:rPr>
                <w:rFonts w:ascii="Arial" w:hAnsi="Arial" w:cs="Arial"/>
                <w:color w:val="000000"/>
                <w:sz w:val="18"/>
                <w:szCs w:val="18"/>
              </w:rPr>
              <w:t>065</w:t>
            </w:r>
          </w:p>
        </w:tc>
      </w:tr>
      <w:tr w:rsidR="007930B7" w:rsidRPr="004B3260" w:rsidTr="00A244E3">
        <w:trPr>
          <w:jc w:val="center"/>
        </w:trPr>
        <w:tc>
          <w:tcPr>
            <w:tcW w:w="2091" w:type="dxa"/>
            <w:vMerge/>
          </w:tcPr>
          <w:p w:rsidR="007930B7" w:rsidRPr="004B3260" w:rsidRDefault="007930B7" w:rsidP="00A244E3">
            <w:pPr>
              <w:pStyle w:val="table1"/>
              <w:rPr>
                <w:rFonts w:cs="Arial"/>
                <w:sz w:val="18"/>
                <w:szCs w:val="18"/>
              </w:rPr>
            </w:pPr>
          </w:p>
        </w:tc>
        <w:tc>
          <w:tcPr>
            <w:tcW w:w="850" w:type="dxa"/>
          </w:tcPr>
          <w:p w:rsidR="007930B7" w:rsidRPr="004B3260" w:rsidRDefault="007930B7" w:rsidP="00A244E3">
            <w:pPr>
              <w:pStyle w:val="table1"/>
              <w:rPr>
                <w:rFonts w:cs="Arial"/>
                <w:sz w:val="18"/>
                <w:szCs w:val="18"/>
              </w:rPr>
            </w:pPr>
            <w:r>
              <w:rPr>
                <w:rFonts w:cs="Arial"/>
                <w:sz w:val="18"/>
                <w:szCs w:val="18"/>
              </w:rPr>
              <w:t>M</w:t>
            </w:r>
            <w:r w:rsidRPr="004B3260">
              <w:rPr>
                <w:rFonts w:cs="Arial"/>
                <w:sz w:val="18"/>
                <w:szCs w:val="18"/>
              </w:rPr>
              <w:t>ax</w:t>
            </w:r>
          </w:p>
        </w:tc>
        <w:tc>
          <w:tcPr>
            <w:tcW w:w="1276" w:type="dxa"/>
            <w:vAlign w:val="bottom"/>
          </w:tcPr>
          <w:p w:rsidR="007930B7" w:rsidRPr="004B3260" w:rsidRDefault="007930B7" w:rsidP="00A244E3">
            <w:pPr>
              <w:spacing w:before="60" w:after="60" w:line="200" w:lineRule="atLeast"/>
              <w:jc w:val="left"/>
              <w:rPr>
                <w:rFonts w:ascii="Arial" w:hAnsi="Arial" w:cs="Arial"/>
                <w:color w:val="000000"/>
                <w:sz w:val="18"/>
                <w:szCs w:val="18"/>
              </w:rPr>
            </w:pPr>
            <w:r w:rsidRPr="004B3260">
              <w:rPr>
                <w:rFonts w:ascii="Arial" w:hAnsi="Arial" w:cs="Arial"/>
                <w:color w:val="000000"/>
                <w:sz w:val="18"/>
                <w:szCs w:val="18"/>
              </w:rPr>
              <w:t>0.</w:t>
            </w:r>
            <w:r>
              <w:rPr>
                <w:rFonts w:ascii="Arial" w:hAnsi="Arial" w:cs="Arial"/>
                <w:color w:val="000000"/>
                <w:sz w:val="18"/>
                <w:szCs w:val="18"/>
              </w:rPr>
              <w:t>28</w:t>
            </w:r>
          </w:p>
        </w:tc>
        <w:tc>
          <w:tcPr>
            <w:tcW w:w="1418" w:type="dxa"/>
            <w:vAlign w:val="bottom"/>
          </w:tcPr>
          <w:p w:rsidR="007930B7" w:rsidRPr="004B3260" w:rsidRDefault="007930B7" w:rsidP="00A244E3">
            <w:pPr>
              <w:spacing w:before="60" w:after="60" w:line="200" w:lineRule="atLeast"/>
              <w:jc w:val="left"/>
              <w:rPr>
                <w:rFonts w:ascii="Arial" w:hAnsi="Arial" w:cs="Arial"/>
                <w:color w:val="000000"/>
                <w:sz w:val="18"/>
                <w:szCs w:val="18"/>
              </w:rPr>
            </w:pPr>
            <w:r w:rsidRPr="004B3260">
              <w:rPr>
                <w:rFonts w:ascii="Arial" w:hAnsi="Arial" w:cs="Arial"/>
                <w:color w:val="000000"/>
                <w:sz w:val="18"/>
                <w:szCs w:val="18"/>
              </w:rPr>
              <w:t>0.0</w:t>
            </w:r>
            <w:r>
              <w:rPr>
                <w:rFonts w:ascii="Arial" w:hAnsi="Arial" w:cs="Arial"/>
                <w:color w:val="000000"/>
                <w:sz w:val="18"/>
                <w:szCs w:val="18"/>
              </w:rPr>
              <w:t>3</w:t>
            </w:r>
          </w:p>
        </w:tc>
        <w:tc>
          <w:tcPr>
            <w:tcW w:w="1559" w:type="dxa"/>
            <w:vAlign w:val="bottom"/>
          </w:tcPr>
          <w:p w:rsidR="007930B7" w:rsidRPr="004B3260" w:rsidRDefault="007930B7" w:rsidP="00A244E3">
            <w:pPr>
              <w:spacing w:before="60" w:after="60" w:line="200" w:lineRule="atLeast"/>
              <w:jc w:val="left"/>
              <w:rPr>
                <w:rFonts w:ascii="Arial" w:hAnsi="Arial" w:cs="Arial"/>
                <w:color w:val="000000"/>
                <w:sz w:val="18"/>
                <w:szCs w:val="18"/>
              </w:rPr>
            </w:pPr>
            <w:r w:rsidRPr="004B3260">
              <w:rPr>
                <w:rFonts w:ascii="Arial" w:hAnsi="Arial" w:cs="Arial"/>
                <w:color w:val="000000"/>
                <w:sz w:val="18"/>
                <w:szCs w:val="18"/>
              </w:rPr>
              <w:t>0.0</w:t>
            </w:r>
            <w:r>
              <w:rPr>
                <w:rFonts w:ascii="Arial" w:hAnsi="Arial" w:cs="Arial"/>
                <w:color w:val="000000"/>
                <w:sz w:val="18"/>
                <w:szCs w:val="18"/>
              </w:rPr>
              <w:t>05</w:t>
            </w:r>
          </w:p>
        </w:tc>
        <w:tc>
          <w:tcPr>
            <w:tcW w:w="1323" w:type="dxa"/>
            <w:vAlign w:val="bottom"/>
          </w:tcPr>
          <w:p w:rsidR="007930B7" w:rsidRPr="004B3260" w:rsidRDefault="007930B7" w:rsidP="00A244E3">
            <w:pPr>
              <w:spacing w:before="60" w:after="60" w:line="200" w:lineRule="atLeast"/>
              <w:jc w:val="left"/>
              <w:rPr>
                <w:rFonts w:ascii="Arial" w:hAnsi="Arial" w:cs="Arial"/>
                <w:color w:val="000000"/>
                <w:sz w:val="18"/>
                <w:szCs w:val="18"/>
              </w:rPr>
            </w:pPr>
            <w:r w:rsidRPr="004B3260">
              <w:rPr>
                <w:rFonts w:ascii="Arial" w:hAnsi="Arial" w:cs="Arial"/>
                <w:color w:val="000000"/>
                <w:sz w:val="18"/>
                <w:szCs w:val="18"/>
              </w:rPr>
              <w:t>0.</w:t>
            </w:r>
            <w:r>
              <w:rPr>
                <w:rFonts w:ascii="Arial" w:hAnsi="Arial" w:cs="Arial"/>
                <w:color w:val="000000"/>
                <w:sz w:val="18"/>
                <w:szCs w:val="18"/>
              </w:rPr>
              <w:t>315</w:t>
            </w:r>
          </w:p>
        </w:tc>
      </w:tr>
    </w:tbl>
    <w:p w:rsidR="007930B7" w:rsidRDefault="007930B7" w:rsidP="007930B7"/>
    <w:p w:rsidR="007930B7" w:rsidRDefault="007930B7" w:rsidP="007930B7">
      <w:r>
        <w:t xml:space="preserve">Assuming a worst case exposure, 0.32 </w:t>
      </w:r>
      <w:proofErr w:type="spellStart"/>
      <w:r>
        <w:t>mSv</w:t>
      </w:r>
      <w:proofErr w:type="spellEnd"/>
      <w:r>
        <w:t xml:space="preserve"> would have been received by workers during the </w:t>
      </w:r>
      <w:r w:rsidR="00F01C02">
        <w:t>cleanup</w:t>
      </w:r>
      <w:r>
        <w:t xml:space="preserve"> in addition to the mean annual effective dose of 2.1</w:t>
      </w:r>
      <w:r w:rsidRPr="00AA2541">
        <w:t xml:space="preserve"> </w:t>
      </w:r>
      <w:proofErr w:type="spellStart"/>
      <w:r w:rsidRPr="00AA2541">
        <w:t>mSv</w:t>
      </w:r>
      <w:proofErr w:type="spellEnd"/>
      <w:r>
        <w:t xml:space="preserve"> received by the Processing Production working group in 2013. This contribution to the total annual dose is small in comparison to the annual worker dose limit of 20 </w:t>
      </w:r>
      <w:proofErr w:type="spellStart"/>
      <w:r>
        <w:t>mSv</w:t>
      </w:r>
      <w:proofErr w:type="spellEnd"/>
      <w:r>
        <w:t xml:space="preserve"> and of no concern to the health of workers involved in the </w:t>
      </w:r>
      <w:r w:rsidR="00F01C02">
        <w:t>cleanup</w:t>
      </w:r>
      <w:r>
        <w:t xml:space="preserve"> of the spill. The maximum dose from the cleanup </w:t>
      </w:r>
      <w:r w:rsidR="00017628">
        <w:t>operation is</w:t>
      </w:r>
      <w:r>
        <w:t xml:space="preserve"> approximately 5 per cent of the maximum </w:t>
      </w:r>
      <w:r w:rsidR="00017628">
        <w:t xml:space="preserve">annual </w:t>
      </w:r>
      <w:r>
        <w:t>dose received by a worker at ERA in 2013.</w:t>
      </w:r>
    </w:p>
    <w:p w:rsidR="00C01C37" w:rsidRPr="004D1F83" w:rsidRDefault="004D1F83" w:rsidP="004D1F83">
      <w:pPr>
        <w:pStyle w:val="Heading3"/>
      </w:pPr>
      <w:bookmarkStart w:id="261" w:name="_Toc390766599"/>
      <w:proofErr w:type="gramStart"/>
      <w:r w:rsidRPr="004D1F83">
        <w:t>4.3.2</w:t>
      </w:r>
      <w:r w:rsidR="00555AFC" w:rsidRPr="004D1F83">
        <w:t xml:space="preserve">  </w:t>
      </w:r>
      <w:r w:rsidR="00881E0B">
        <w:t>Assessment</w:t>
      </w:r>
      <w:proofErr w:type="gramEnd"/>
      <w:r w:rsidR="00881E0B">
        <w:t xml:space="preserve"> of</w:t>
      </w:r>
      <w:r w:rsidR="00C01C37" w:rsidRPr="004D1F83">
        <w:t xml:space="preserve"> radiological impacts to the public</w:t>
      </w:r>
      <w:bookmarkEnd w:id="261"/>
    </w:p>
    <w:p w:rsidR="00C01C37" w:rsidRDefault="00C01C37" w:rsidP="00266E77">
      <w:pPr>
        <w:pStyle w:val="Heading4"/>
      </w:pPr>
      <w:r>
        <w:t>4.</w:t>
      </w:r>
      <w:r w:rsidR="004D1F83">
        <w:t>3.2.1</w:t>
      </w:r>
      <w:r>
        <w:t xml:space="preserve"> Background</w:t>
      </w:r>
    </w:p>
    <w:p w:rsidR="00C01C37" w:rsidRDefault="00C01C37" w:rsidP="00C01C37">
      <w:r>
        <w:t>The main airborne constituents that can add to the inhalation radiation dose received by the public in the vicinity of a uranium mine are radon progeny in air and long-lived alpha activity (LLAA) radionuclides contained in dust.</w:t>
      </w:r>
    </w:p>
    <w:p w:rsidR="00C01C37" w:rsidRPr="00595DA9" w:rsidRDefault="00C01C37" w:rsidP="00C01C37">
      <w:r>
        <w:t xml:space="preserve">Radon progeny are the short-lived decay products of radon-222 (radon), a naturally occurring </w:t>
      </w:r>
      <w:r w:rsidRPr="00595DA9">
        <w:t xml:space="preserve">radioactive gas that is formed from the decay of </w:t>
      </w:r>
      <w:r w:rsidR="007F1420" w:rsidRPr="007F1420">
        <w:rPr>
          <w:snapToGrid w:val="0"/>
          <w:color w:val="000000"/>
          <w:position w:val="5"/>
          <w:sz w:val="15"/>
          <w:szCs w:val="0"/>
          <w:u w:color="000000"/>
        </w:rPr>
        <w:t>226</w:t>
      </w:r>
      <w:r w:rsidR="007F1420" w:rsidRPr="007F1420">
        <w:t xml:space="preserve">Ra </w:t>
      </w:r>
      <w:r w:rsidRPr="00595DA9">
        <w:t>in the urani</w:t>
      </w:r>
      <w:r w:rsidR="004D1F83" w:rsidRPr="00595DA9">
        <w:t>um-238 decay series (Figure 4.3</w:t>
      </w:r>
      <w:r w:rsidR="000D53BA" w:rsidRPr="00595DA9">
        <w:t>3</w:t>
      </w:r>
      <w:r w:rsidRPr="00595DA9">
        <w:t>) and that exhales from the ground surface (soils and rocks) to the atmosphere by natural processes.</w:t>
      </w:r>
    </w:p>
    <w:p w:rsidR="00C01C37" w:rsidRDefault="00C01C37" w:rsidP="00C01C37">
      <w:r w:rsidRPr="00595DA9">
        <w:t>LLAA radionuclides are the long half-life alpha-emitting radionuclides in the ur</w:t>
      </w:r>
      <w:r w:rsidR="004D1F83" w:rsidRPr="00595DA9">
        <w:t>anium-238 decay series (Figure 4.3</w:t>
      </w:r>
      <w:r w:rsidR="000D53BA" w:rsidRPr="00595DA9">
        <w:t>3</w:t>
      </w:r>
      <w:r w:rsidRPr="00595DA9">
        <w:t>). They</w:t>
      </w:r>
      <w:r>
        <w:t xml:space="preserve"> are particle bound and enter the atmosphere when dust is stirred up from the ground surface by natural processes and human activities.</w:t>
      </w:r>
    </w:p>
    <w:p w:rsidR="00C01C37" w:rsidRDefault="00C01C37" w:rsidP="00C01C37">
      <w:pPr>
        <w:jc w:val="center"/>
      </w:pPr>
      <w:r w:rsidRPr="002B7916">
        <w:rPr>
          <w:noProof/>
          <w:lang w:eastAsia="en-AU"/>
        </w:rPr>
        <w:drawing>
          <wp:inline distT="0" distB="0" distL="0" distR="0">
            <wp:extent cx="4966621" cy="2715482"/>
            <wp:effectExtent l="19050" t="0" r="5429" b="0"/>
            <wp:docPr id="7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cstate="screen"/>
                    <a:srcRect/>
                    <a:stretch>
                      <a:fillRect/>
                    </a:stretch>
                  </pic:blipFill>
                  <pic:spPr bwMode="auto">
                    <a:xfrm>
                      <a:off x="0" y="0"/>
                      <a:ext cx="4966621" cy="2715482"/>
                    </a:xfrm>
                    <a:prstGeom prst="rect">
                      <a:avLst/>
                    </a:prstGeom>
                    <a:noFill/>
                    <a:ln w="9525">
                      <a:noFill/>
                      <a:miter lim="800000"/>
                      <a:headEnd/>
                      <a:tailEnd/>
                    </a:ln>
                  </pic:spPr>
                </pic:pic>
              </a:graphicData>
            </a:graphic>
          </wp:inline>
        </w:drawing>
      </w:r>
    </w:p>
    <w:p w:rsidR="00C01C37" w:rsidRDefault="000D53BA" w:rsidP="00C01C37">
      <w:pPr>
        <w:pStyle w:val="figurecaption"/>
      </w:pPr>
      <w:bookmarkStart w:id="262" w:name="_Toc390766678"/>
      <w:r w:rsidRPr="00B50BDA">
        <w:rPr>
          <w:b/>
        </w:rPr>
        <w:t>Figure 4.33</w:t>
      </w:r>
      <w:r w:rsidR="00C01C37">
        <w:t xml:space="preserve"> Uranium-238 decay series showing radon progeny (red) and LLAA radionuclides (brown).</w:t>
      </w:r>
      <w:bookmarkEnd w:id="262"/>
    </w:p>
    <w:p w:rsidR="00C01C37" w:rsidRDefault="00C01C37" w:rsidP="00C01C37">
      <w:r>
        <w:t>The concentration of radon and radon progeny in air depends on several factors:</w:t>
      </w:r>
    </w:p>
    <w:p w:rsidR="00C01C37" w:rsidRDefault="00C01C37" w:rsidP="00B37A86">
      <w:pPr>
        <w:pStyle w:val="ListBullet"/>
      </w:pPr>
      <w:r>
        <w:t>soil properties (</w:t>
      </w:r>
      <w:r w:rsidR="003B68CB">
        <w:t>e.g.</w:t>
      </w:r>
      <w:r>
        <w:t xml:space="preserve"> moisture content, porosity, </w:t>
      </w:r>
      <w:r w:rsidR="007F1420" w:rsidRPr="007F1420">
        <w:rPr>
          <w:snapToGrid w:val="0"/>
          <w:color w:val="000000"/>
          <w:position w:val="5"/>
          <w:sz w:val="15"/>
          <w:szCs w:val="0"/>
          <w:u w:color="000000"/>
        </w:rPr>
        <w:t>226</w:t>
      </w:r>
      <w:r w:rsidR="007F1420" w:rsidRPr="007F1420">
        <w:t xml:space="preserve">Ra </w:t>
      </w:r>
      <w:r>
        <w:t xml:space="preserve">content), which affect radon exhalation from the ground surface to the atmosphere; </w:t>
      </w:r>
    </w:p>
    <w:p w:rsidR="00C01C37" w:rsidRDefault="00C01C37" w:rsidP="00B37A86">
      <w:pPr>
        <w:pStyle w:val="ListBullet"/>
      </w:pPr>
      <w:r>
        <w:t>meteorological conditions (</w:t>
      </w:r>
      <w:r w:rsidR="003B68CB">
        <w:t>e.g.</w:t>
      </w:r>
      <w:r>
        <w:t xml:space="preserve"> rainfall, temperature, pressure), which can also affect radon exhalation from the ground surface to the atmosphere; </w:t>
      </w:r>
    </w:p>
    <w:p w:rsidR="00C01C37" w:rsidRDefault="00C01C37" w:rsidP="00B37A86">
      <w:pPr>
        <w:pStyle w:val="ListBullet"/>
      </w:pPr>
      <w:r>
        <w:t xml:space="preserve">wind speed, which affects atmospheric dispersion of radon and radon progeny; </w:t>
      </w:r>
    </w:p>
    <w:p w:rsidR="00C01C37" w:rsidRDefault="00C01C37" w:rsidP="00B37A86">
      <w:pPr>
        <w:pStyle w:val="ListBullet"/>
      </w:pPr>
      <w:r>
        <w:t xml:space="preserve">wind direction, which determines the regional source term of radon in air; </w:t>
      </w:r>
    </w:p>
    <w:p w:rsidR="00C01C37" w:rsidRDefault="00C01C37" w:rsidP="00B37A86">
      <w:pPr>
        <w:pStyle w:val="ListBullet"/>
      </w:pPr>
      <w:proofErr w:type="gramStart"/>
      <w:r>
        <w:t>how</w:t>
      </w:r>
      <w:proofErr w:type="gramEnd"/>
      <w:r>
        <w:t xml:space="preserve"> long the radon in air has been decaying for (</w:t>
      </w:r>
      <w:r w:rsidR="003B68CB">
        <w:t>i.e.</w:t>
      </w:r>
      <w:r>
        <w:t xml:space="preserve"> the ‘age’ of radon in air), since radon progeny grow-in from the decay of radon. </w:t>
      </w:r>
    </w:p>
    <w:p w:rsidR="00C01C37" w:rsidRDefault="00C01C37" w:rsidP="00C01C37">
      <w:r>
        <w:t>The concentration of LLAA radionuclides in dust also depends on several factors:</w:t>
      </w:r>
    </w:p>
    <w:p w:rsidR="00C01C37" w:rsidRDefault="00C01C37" w:rsidP="00B37A86">
      <w:pPr>
        <w:pStyle w:val="ListBullet"/>
      </w:pPr>
      <w:r>
        <w:t>uranium-238 activity concentration in soil;</w:t>
      </w:r>
    </w:p>
    <w:p w:rsidR="00C01C37" w:rsidRDefault="00C01C37" w:rsidP="00B37A86">
      <w:pPr>
        <w:pStyle w:val="ListBullet"/>
      </w:pPr>
      <w:r>
        <w:t>rainfall, which reduces re</w:t>
      </w:r>
      <w:r w:rsidR="003B68CB">
        <w:t>-</w:t>
      </w:r>
      <w:r>
        <w:t>suspension and washes out dust from the atmosphere;</w:t>
      </w:r>
    </w:p>
    <w:p w:rsidR="00C01C37" w:rsidRDefault="00C01C37" w:rsidP="00B37A86">
      <w:pPr>
        <w:pStyle w:val="ListBullet"/>
      </w:pPr>
      <w:r>
        <w:t>wind speed, which generally increases dust generation;</w:t>
      </w:r>
    </w:p>
    <w:p w:rsidR="00C01C37" w:rsidRDefault="00C01C37" w:rsidP="00B37A86">
      <w:pPr>
        <w:pStyle w:val="ListBullet"/>
      </w:pPr>
      <w:proofErr w:type="gramStart"/>
      <w:r>
        <w:t>human</w:t>
      </w:r>
      <w:proofErr w:type="gramEnd"/>
      <w:r>
        <w:t xml:space="preserve"> </w:t>
      </w:r>
      <w:r w:rsidR="003B68CB">
        <w:t>activities</w:t>
      </w:r>
      <w:r>
        <w:t xml:space="preserve"> such as mining, which can increase dusts via ground disturbance.</w:t>
      </w:r>
    </w:p>
    <w:p w:rsidR="00C01C37" w:rsidRDefault="00C01C37" w:rsidP="00C01C37">
      <w:r>
        <w:t>SSD routinely monitors radon progeny and dust LLAA concentrations at Jabiru East and Jabiru Town. The purpose is to provide public assurance that there is no unacceptable radiation risk via the inhalation pathway from exposure to mine-related sources of radon progeny and dust LLAA radionuclides. SSD’s radon progeny and dust monitors were operational at the time of the leach tank incident on 7 December 2013.</w:t>
      </w:r>
    </w:p>
    <w:p w:rsidR="00C01C37" w:rsidRDefault="00C01C37" w:rsidP="00266E77">
      <w:pPr>
        <w:pStyle w:val="Heading4"/>
      </w:pPr>
      <w:r>
        <w:t>4.</w:t>
      </w:r>
      <w:r w:rsidR="004D1F83">
        <w:t>3.2</w:t>
      </w:r>
      <w:r>
        <w:t>.2 Spilled material as an additional exposure source to the public</w:t>
      </w:r>
    </w:p>
    <w:p w:rsidR="00C01C37" w:rsidRDefault="00C01C37" w:rsidP="00FF625F">
      <w:pPr>
        <w:pStyle w:val="Heading5"/>
      </w:pPr>
      <w:r>
        <w:t xml:space="preserve">Spill </w:t>
      </w:r>
      <w:r w:rsidR="003B68CB">
        <w:t>material</w:t>
      </w:r>
      <w:r>
        <w:t xml:space="preserve"> in the context of </w:t>
      </w:r>
      <w:r w:rsidR="003B68CB">
        <w:t>existing</w:t>
      </w:r>
      <w:r>
        <w:t xml:space="preserve"> mine as a source of radon and dust</w:t>
      </w:r>
    </w:p>
    <w:p w:rsidR="00C01C37" w:rsidRDefault="00C01C37" w:rsidP="00C01C37">
      <w:r w:rsidRPr="00595DA9">
        <w:t>The spilled material had an estimated initial footprint of 1.475 ha and av</w:t>
      </w:r>
      <w:r w:rsidR="00384F32" w:rsidRPr="00595DA9">
        <w:t>erage thickness of 3.5 cm (see S</w:t>
      </w:r>
      <w:r w:rsidRPr="00595DA9">
        <w:t xml:space="preserve">ection </w:t>
      </w:r>
      <w:r w:rsidR="00BD3423" w:rsidRPr="00595DA9">
        <w:t>2.4</w:t>
      </w:r>
      <w:r w:rsidRPr="00595DA9">
        <w:t>).</w:t>
      </w:r>
      <w:r>
        <w:t xml:space="preserve"> </w:t>
      </w:r>
      <w:r w:rsidR="001013D4">
        <w:t>Cleanup</w:t>
      </w:r>
      <w:r>
        <w:t xml:space="preserve"> of spilled material was largely completed by two weeks after the incident. By comparison, ore and waste rock stockpiles at Ranger mine have an estimated total footprint 100 times larger than that of the spilled material and thickness of several metres to several tens of metres. Effectively no change in size of the stockpiles occurred in the two weeks following the incident.</w:t>
      </w:r>
    </w:p>
    <w:p w:rsidR="00C01C37" w:rsidRDefault="00C01C37" w:rsidP="00C01C37">
      <w:r>
        <w:t>The following assumptions have been applied to provide context on the spilled material and stockpiles as comparative sources of radon and LLAA radionuclides:</w:t>
      </w:r>
    </w:p>
    <w:p w:rsidR="00C01C37" w:rsidRDefault="00C01C37" w:rsidP="00B37A86">
      <w:pPr>
        <w:pStyle w:val="ListBullet"/>
      </w:pPr>
      <w:r>
        <w:t>average uranium-238 concentration of stockpiles is half that of spilled material;</w:t>
      </w:r>
    </w:p>
    <w:p w:rsidR="00C01C37" w:rsidRDefault="00C01C37" w:rsidP="00B37A86">
      <w:pPr>
        <w:pStyle w:val="ListBullet"/>
      </w:pPr>
      <w:r>
        <w:t>radon diffusion length of spilled material is 1 m, similar to that for soils;</w:t>
      </w:r>
    </w:p>
    <w:p w:rsidR="00C01C37" w:rsidRDefault="00C01C37" w:rsidP="00B37A86">
      <w:pPr>
        <w:pStyle w:val="ListBullet"/>
      </w:pPr>
      <w:r>
        <w:t>stockpile radon diffusion length is 10 m (Lawrence 2005) and average height is 25 m;</w:t>
      </w:r>
    </w:p>
    <w:p w:rsidR="00C01C37" w:rsidRDefault="00C01C37" w:rsidP="00B37A86">
      <w:pPr>
        <w:pStyle w:val="ListBullet"/>
      </w:pPr>
      <w:proofErr w:type="gramStart"/>
      <w:r>
        <w:t>dust</w:t>
      </w:r>
      <w:proofErr w:type="gramEnd"/>
      <w:r>
        <w:t xml:space="preserve"> re</w:t>
      </w:r>
      <w:r w:rsidR="00537199">
        <w:t>-</w:t>
      </w:r>
      <w:r>
        <w:t>suspension factor of the spilled and stockpiled material is the same.</w:t>
      </w:r>
    </w:p>
    <w:p w:rsidR="00C01C37" w:rsidRDefault="00C01C37" w:rsidP="00C01C37">
      <w:r>
        <w:t xml:space="preserve">The percentage of radon exhalation from a material of thickness </w:t>
      </w:r>
      <w:r w:rsidRPr="00BC04FD">
        <w:rPr>
          <w:i/>
        </w:rPr>
        <w:t>x</w:t>
      </w:r>
      <w:r>
        <w:t xml:space="preserve"> (relative to infinite thickness) and diffusion length </w:t>
      </w:r>
      <w:r w:rsidRPr="00BC04FD">
        <w:rPr>
          <w:i/>
        </w:rPr>
        <w:t>D</w:t>
      </w:r>
      <w:r>
        <w:t xml:space="preserve"> can be described by the relationship:</w:t>
      </w:r>
    </w:p>
    <w:p w:rsidR="00C01C37" w:rsidRDefault="00117C79" w:rsidP="00C01C37">
      <m:oMathPara>
        <m:oMath>
          <m:d>
            <m:dPr>
              <m:ctrlPr>
                <w:rPr>
                  <w:rFonts w:ascii="Cambria Math" w:hAnsi="Cambria Math"/>
                  <w:i/>
                </w:rPr>
              </m:ctrlPr>
            </m:dPr>
            <m:e>
              <m:r>
                <w:rPr>
                  <w:rFonts w:ascii="Cambria Math" w:hAnsi="Cambria Math"/>
                </w:rPr>
                <m:t>1-</m:t>
              </m:r>
              <m:sSup>
                <m:sSupPr>
                  <m:ctrlPr>
                    <w:rPr>
                      <w:rFonts w:ascii="Cambria Math" w:hAnsi="Cambria Math"/>
                    </w:rPr>
                  </m:ctrlPr>
                </m:sSupPr>
                <m:e>
                  <m:r>
                    <m:rPr>
                      <m:sty m:val="p"/>
                    </m:rPr>
                    <w:rPr>
                      <w:rFonts w:ascii="Cambria Math" w:hAnsi="Cambria Math"/>
                    </w:rPr>
                    <m:t>e</m:t>
                  </m:r>
                </m:e>
                <m:sup>
                  <m:r>
                    <m:rPr>
                      <m:sty m:val="p"/>
                    </m:rPr>
                    <w:rPr>
                      <w:rFonts w:ascii="Cambria Math" w:hAnsi="Cambria Math"/>
                    </w:rPr>
                    <m:t>-x/D</m:t>
                  </m:r>
                </m:sup>
              </m:sSup>
            </m:e>
          </m:d>
          <m:r>
            <w:rPr>
              <w:rFonts w:ascii="Cambria Math" w:hAnsi="Cambria Math"/>
            </w:rPr>
            <m:t>×100%</m:t>
          </m:r>
        </m:oMath>
      </m:oMathPara>
    </w:p>
    <w:p w:rsidR="00C01C37" w:rsidRDefault="00C01C37" w:rsidP="00C01C37">
      <w:r>
        <w:t>Radon exhalation from the spilled material with 3.5 cm thickness would be around 3.4% relative to infinite thickness and that from the stockpiles with 25 m height would be around 92% relative to infinite thickness. This, together with estimates on comparative footprints and uranium-238 activity concentrations, implies that radon exhalation from the spilled material would be more than 1000 times less than that from the stockpiles.</w:t>
      </w:r>
    </w:p>
    <w:p w:rsidR="00C01C37" w:rsidRDefault="00C01C37" w:rsidP="00C01C37">
      <w:r>
        <w:t>With regard to dust, the total dust LLAA load from the spilled material would be around 50 times less than that from the stockpiles.</w:t>
      </w:r>
    </w:p>
    <w:p w:rsidR="00C01C37" w:rsidRDefault="00C01C37" w:rsidP="00FF625F">
      <w:pPr>
        <w:pStyle w:val="Heading5"/>
      </w:pPr>
      <w:r>
        <w:t>Transport pathway for offsite impacts to the public</w:t>
      </w:r>
    </w:p>
    <w:p w:rsidR="00C01C37" w:rsidRDefault="00C01C37" w:rsidP="00C01C37">
      <w:r>
        <w:t xml:space="preserve">Wind direction determines the transport pathway of radon progeny and dust in air and the potential for public exposures to mine-related sources. It is assumed that radon progeny in air at Jabiru Town includes a mine-related component when the wind is from the 90°–110° sector. The same assumption is made for Jabiru East when the wind is from the 110°–180° sector. Analysis of half-hourly wind direction data from the Bureau of </w:t>
      </w:r>
      <w:r w:rsidR="00364BC5">
        <w:t>Meteorology</w:t>
      </w:r>
      <w:r>
        <w:t xml:space="preserve"> (</w:t>
      </w:r>
      <w:proofErr w:type="spellStart"/>
      <w:r>
        <w:t>BoM</w:t>
      </w:r>
      <w:proofErr w:type="spellEnd"/>
      <w:r>
        <w:t xml:space="preserve">) weather </w:t>
      </w:r>
      <w:r w:rsidRPr="00595DA9">
        <w:t xml:space="preserve">station at Jabiru Airport (Figure </w:t>
      </w:r>
      <w:r w:rsidR="004D1F83" w:rsidRPr="00595DA9">
        <w:t>4.3</w:t>
      </w:r>
      <w:r w:rsidR="000D53BA" w:rsidRPr="00595DA9">
        <w:t>4</w:t>
      </w:r>
      <w:r w:rsidRPr="00595DA9">
        <w:t>)</w:t>
      </w:r>
      <w:r>
        <w:t xml:space="preserve"> indicated that the wind was from the direction of the mine for 53 half-hour periods at Jabiru East and for 54 half-hour periods at Jabiru Town during the two weeks after the incident. This suggests that there was potential for radon progeny and dust LLAA originating from the spilled material to be transported in the direction of Jabiru Town and Jabiru East, though it is unlikely to have been distinguishable above that originating from the stockpiles due to source size considerations.</w:t>
      </w:r>
    </w:p>
    <w:p w:rsidR="00C01C37" w:rsidRDefault="00C01C37" w:rsidP="00C01C37">
      <w:pPr>
        <w:jc w:val="center"/>
      </w:pPr>
      <w:r w:rsidRPr="001F7C0A">
        <w:rPr>
          <w:noProof/>
          <w:lang w:eastAsia="en-AU"/>
        </w:rPr>
        <w:drawing>
          <wp:inline distT="0" distB="0" distL="0" distR="0">
            <wp:extent cx="4199093" cy="3759200"/>
            <wp:effectExtent l="1905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screen"/>
                    <a:srcRect/>
                    <a:stretch>
                      <a:fillRect/>
                    </a:stretch>
                  </pic:blipFill>
                  <pic:spPr bwMode="auto">
                    <a:xfrm>
                      <a:off x="0" y="0"/>
                      <a:ext cx="4199093" cy="3759200"/>
                    </a:xfrm>
                    <a:prstGeom prst="rect">
                      <a:avLst/>
                    </a:prstGeom>
                    <a:noFill/>
                    <a:ln w="9525">
                      <a:noFill/>
                      <a:miter lim="800000"/>
                      <a:headEnd/>
                      <a:tailEnd/>
                    </a:ln>
                  </pic:spPr>
                </pic:pic>
              </a:graphicData>
            </a:graphic>
          </wp:inline>
        </w:drawing>
      </w:r>
    </w:p>
    <w:p w:rsidR="00C01C37" w:rsidRPr="003921E5" w:rsidRDefault="00C01C37" w:rsidP="00C01C37">
      <w:pPr>
        <w:pStyle w:val="figurecaption"/>
      </w:pPr>
      <w:bookmarkStart w:id="263" w:name="_Toc390766679"/>
      <w:r w:rsidRPr="004D1F83">
        <w:rPr>
          <w:b/>
        </w:rPr>
        <w:t xml:space="preserve">Figure </w:t>
      </w:r>
      <w:proofErr w:type="gramStart"/>
      <w:r w:rsidR="004D1F83" w:rsidRPr="004D1F83">
        <w:rPr>
          <w:b/>
        </w:rPr>
        <w:t>4.3</w:t>
      </w:r>
      <w:r w:rsidR="000D53BA">
        <w:rPr>
          <w:b/>
        </w:rPr>
        <w:t>4</w:t>
      </w:r>
      <w:r w:rsidRPr="003921E5">
        <w:t xml:space="preserve"> </w:t>
      </w:r>
      <w:r>
        <w:t>Frequency h</w:t>
      </w:r>
      <w:r w:rsidRPr="003921E5">
        <w:t xml:space="preserve">istogram of half-hourly wind direction data from the </w:t>
      </w:r>
      <w:proofErr w:type="spellStart"/>
      <w:r w:rsidRPr="003921E5">
        <w:t>BoM</w:t>
      </w:r>
      <w:proofErr w:type="spellEnd"/>
      <w:r w:rsidRPr="003921E5">
        <w:t xml:space="preserve"> weather station at Jabiru Airport</w:t>
      </w:r>
      <w:proofErr w:type="gramEnd"/>
      <w:r w:rsidRPr="003921E5">
        <w:t xml:space="preserve"> for the two weeks after the incident (7–20 December 2013). </w:t>
      </w:r>
      <w:r>
        <w:t>The blue sector represents the direction of Jabiru Town and the red sector represents the direction of Jabiru East from the Ranger mine. A wind direction of 0 indicates still conditions.</w:t>
      </w:r>
      <w:bookmarkEnd w:id="263"/>
    </w:p>
    <w:p w:rsidR="00C01C37" w:rsidRDefault="00C01C37" w:rsidP="00266E77">
      <w:pPr>
        <w:pStyle w:val="Heading4"/>
      </w:pPr>
      <w:r>
        <w:t>4.</w:t>
      </w:r>
      <w:r w:rsidR="004D1F83">
        <w:t>3.2</w:t>
      </w:r>
      <w:r>
        <w:t>.3 Monitoring methods</w:t>
      </w:r>
    </w:p>
    <w:p w:rsidR="00C01C37" w:rsidRDefault="00C01C37" w:rsidP="00C01C37">
      <w:r>
        <w:t>Environmental radon daughter monitors manufactured by Radiation Detection Systems were used for continuous monitoring radon progeny concentrations in air. The monitors operated at a flow rate of 0.35 l min</w:t>
      </w:r>
      <w:r w:rsidRPr="00781D97">
        <w:rPr>
          <w:snapToGrid w:val="0"/>
          <w:color w:val="000000"/>
          <w:position w:val="6"/>
          <w:sz w:val="16"/>
          <w:szCs w:val="0"/>
          <w:u w:color="000000"/>
        </w:rPr>
        <w:t>-1</w:t>
      </w:r>
      <w:r>
        <w:t xml:space="preserve"> drawing air through a </w:t>
      </w:r>
      <w:proofErr w:type="spellStart"/>
      <w:r>
        <w:t>Whatman</w:t>
      </w:r>
      <w:proofErr w:type="spellEnd"/>
      <w:r>
        <w:t xml:space="preserve"> GF/C filter positioned above an alpha counter. Hourly concentration data was logged in the internal memory of the monitors, which were downloaded at approximately fortnightly intervals by SSD staff based at the JFS.</w:t>
      </w:r>
    </w:p>
    <w:p w:rsidR="00C01C37" w:rsidRDefault="00C01C37" w:rsidP="00C01C37">
      <w:proofErr w:type="spellStart"/>
      <w:r>
        <w:t>EcoTech</w:t>
      </w:r>
      <w:proofErr w:type="spellEnd"/>
      <w:r>
        <w:t xml:space="preserve"> MicroVol-1100 low flow-rate air samplers were used for dust sampling. The samplers operated at a flow rate of approximately 3 l min</w:t>
      </w:r>
      <w:r w:rsidRPr="00781D97">
        <w:rPr>
          <w:snapToGrid w:val="0"/>
          <w:color w:val="000000"/>
          <w:position w:val="6"/>
          <w:sz w:val="16"/>
          <w:szCs w:val="0"/>
          <w:u w:color="000000"/>
        </w:rPr>
        <w:t>-1</w:t>
      </w:r>
      <w:r>
        <w:t xml:space="preserve"> drawing air through a </w:t>
      </w:r>
      <w:proofErr w:type="spellStart"/>
      <w:r>
        <w:t>Whatman</w:t>
      </w:r>
      <w:proofErr w:type="spellEnd"/>
      <w:r>
        <w:t xml:space="preserve"> GF/C filter. Filters were changed at approximately fortnightly intervals by SSD staff based at the JFS and sent to SSD laboratories in Darwin for analysis of LLAA using Daybreak 582 alpha counters. A delay period of nominally 14 days between the end of sample collection and start of counting was applied to allow short-lived alpha activity radionuclides on the filter to decay. Count times were typically three to four days to ensure reasonable counting statistics. Measurement of the background alpha activity of the counters was made prior to analysis of each filter. Counter efficiency was determined by counting a standard alpha disk source.</w:t>
      </w:r>
    </w:p>
    <w:p w:rsidR="00C01C37" w:rsidRDefault="00C01C37" w:rsidP="00266E77">
      <w:pPr>
        <w:pStyle w:val="Heading4"/>
      </w:pPr>
      <w:r>
        <w:t>4.</w:t>
      </w:r>
      <w:r w:rsidR="004D1F83">
        <w:t>3.2</w:t>
      </w:r>
      <w:r>
        <w:t>.4 Monitoring results</w:t>
      </w:r>
    </w:p>
    <w:p w:rsidR="00C01C37" w:rsidRDefault="00C01C37" w:rsidP="00FF625F">
      <w:pPr>
        <w:pStyle w:val="Heading5"/>
      </w:pPr>
      <w:r>
        <w:t>Radon progeny</w:t>
      </w:r>
    </w:p>
    <w:p w:rsidR="00C01C37" w:rsidRPr="00595DA9" w:rsidRDefault="00C01C37" w:rsidP="00C01C37">
      <w:r w:rsidRPr="00595DA9">
        <w:t xml:space="preserve">Figure </w:t>
      </w:r>
      <w:r w:rsidR="004D1F83" w:rsidRPr="00595DA9">
        <w:t>4.3</w:t>
      </w:r>
      <w:r w:rsidR="000D53BA" w:rsidRPr="00595DA9">
        <w:t>5</w:t>
      </w:r>
      <w:r w:rsidRPr="00595DA9">
        <w:t xml:space="preserve"> shows the hourly radon progeny monitoring data from Jabiru East and Jabiru Town and the hourly rainfall data from the </w:t>
      </w:r>
      <w:proofErr w:type="spellStart"/>
      <w:r w:rsidRPr="00595DA9">
        <w:t>BoM</w:t>
      </w:r>
      <w:proofErr w:type="spellEnd"/>
      <w:r w:rsidRPr="00595DA9">
        <w:t xml:space="preserve"> weather station at Jabiru Airport from two weeks before to two weeks after the incident.</w:t>
      </w:r>
    </w:p>
    <w:p w:rsidR="00C01C37" w:rsidRDefault="00C01C37" w:rsidP="00C01C37">
      <w:r w:rsidRPr="00595DA9">
        <w:t>Radon progeny concentrations in air at Jabiru East and Jabiru Town showed typical and in phase diurnal variations. Concentrations generally built up in the early morning and peaked around 6–9 am under conditions of low wind speed and then decreased during the day with increasing wind speed (Figure 4</w:t>
      </w:r>
      <w:r w:rsidR="004D1F83" w:rsidRPr="00595DA9">
        <w:t>.3</w:t>
      </w:r>
      <w:r w:rsidR="000D53BA" w:rsidRPr="00595DA9">
        <w:t>6</w:t>
      </w:r>
      <w:r w:rsidRPr="00595DA9">
        <w:t>). The effect of increasing wind speed is to mix radon exhaled from the ground into a larger atmospheric</w:t>
      </w:r>
      <w:r>
        <w:t xml:space="preserve"> volume and thereby decrease the concentration of radon progeny in surface air.</w:t>
      </w:r>
    </w:p>
    <w:p w:rsidR="00C01C37" w:rsidRDefault="00C01C37" w:rsidP="00C01C37"/>
    <w:p w:rsidR="00C01C37" w:rsidRDefault="00C01C37" w:rsidP="00C01C37">
      <w:r w:rsidRPr="00A025F9">
        <w:rPr>
          <w:noProof/>
          <w:lang w:eastAsia="en-AU"/>
        </w:rPr>
        <w:drawing>
          <wp:inline distT="0" distB="0" distL="0" distR="0">
            <wp:extent cx="5274310" cy="3430403"/>
            <wp:effectExtent l="19050" t="0" r="2540" b="0"/>
            <wp:docPr id="7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0" cstate="screen"/>
                    <a:srcRect/>
                    <a:stretch>
                      <a:fillRect/>
                    </a:stretch>
                  </pic:blipFill>
                  <pic:spPr bwMode="auto">
                    <a:xfrm>
                      <a:off x="0" y="0"/>
                      <a:ext cx="5274310" cy="3430403"/>
                    </a:xfrm>
                    <a:prstGeom prst="rect">
                      <a:avLst/>
                    </a:prstGeom>
                    <a:noFill/>
                    <a:ln w="9525">
                      <a:noFill/>
                      <a:miter lim="800000"/>
                      <a:headEnd/>
                      <a:tailEnd/>
                    </a:ln>
                  </pic:spPr>
                </pic:pic>
              </a:graphicData>
            </a:graphic>
          </wp:inline>
        </w:drawing>
      </w:r>
    </w:p>
    <w:p w:rsidR="00C01C37" w:rsidRPr="00CF325A" w:rsidRDefault="00C01C37" w:rsidP="00C01C37">
      <w:pPr>
        <w:pStyle w:val="figurecaption"/>
      </w:pPr>
      <w:bookmarkStart w:id="264" w:name="_Toc390766680"/>
      <w:r w:rsidRPr="00B50BDA">
        <w:rPr>
          <w:b/>
        </w:rPr>
        <w:t xml:space="preserve">Figure </w:t>
      </w:r>
      <w:r w:rsidR="004D1F83" w:rsidRPr="00B50BDA">
        <w:rPr>
          <w:b/>
        </w:rPr>
        <w:t>4.3</w:t>
      </w:r>
      <w:r w:rsidR="000D53BA" w:rsidRPr="00B50BDA">
        <w:rPr>
          <w:b/>
        </w:rPr>
        <w:t>5</w:t>
      </w:r>
      <w:r>
        <w:t xml:space="preserve"> Hourly radon progeny monitoring data and hourly rainfall data from two weeks before to two weeks after the incident</w:t>
      </w:r>
      <w:bookmarkEnd w:id="264"/>
      <w:r w:rsidR="00B37A86">
        <w:t>.</w:t>
      </w:r>
    </w:p>
    <w:p w:rsidR="00C01C37" w:rsidRDefault="00C01C37" w:rsidP="00C01C37">
      <w:r w:rsidRPr="00A025F9">
        <w:rPr>
          <w:noProof/>
          <w:lang w:eastAsia="en-AU"/>
        </w:rPr>
        <w:drawing>
          <wp:inline distT="0" distB="0" distL="0" distR="0">
            <wp:extent cx="5274310" cy="3008252"/>
            <wp:effectExtent l="19050" t="0" r="2540" b="0"/>
            <wp:docPr id="7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1" cstate="screen"/>
                    <a:srcRect/>
                    <a:stretch>
                      <a:fillRect/>
                    </a:stretch>
                  </pic:blipFill>
                  <pic:spPr bwMode="auto">
                    <a:xfrm>
                      <a:off x="0" y="0"/>
                      <a:ext cx="5274310" cy="3008252"/>
                    </a:xfrm>
                    <a:prstGeom prst="rect">
                      <a:avLst/>
                    </a:prstGeom>
                    <a:noFill/>
                    <a:ln w="9525">
                      <a:noFill/>
                      <a:miter lim="800000"/>
                      <a:headEnd/>
                      <a:tailEnd/>
                    </a:ln>
                  </pic:spPr>
                </pic:pic>
              </a:graphicData>
            </a:graphic>
          </wp:inline>
        </w:drawing>
      </w:r>
    </w:p>
    <w:p w:rsidR="00C01C37" w:rsidRDefault="00C01C37" w:rsidP="00C01C37">
      <w:pPr>
        <w:pStyle w:val="figurecaption"/>
      </w:pPr>
      <w:bookmarkStart w:id="265" w:name="_Toc390766681"/>
      <w:r w:rsidRPr="00B50BDA">
        <w:rPr>
          <w:b/>
        </w:rPr>
        <w:t>Figure 4</w:t>
      </w:r>
      <w:r w:rsidR="004D1F83" w:rsidRPr="00B50BDA">
        <w:rPr>
          <w:b/>
        </w:rPr>
        <w:t>.3</w:t>
      </w:r>
      <w:r w:rsidR="000D53BA" w:rsidRPr="00B50BDA">
        <w:rPr>
          <w:b/>
        </w:rPr>
        <w:t>6</w:t>
      </w:r>
      <w:r>
        <w:t xml:space="preserve"> Average hourly radon progeny concentration and average hourly wind speed from for the four week period from two weeks before to two weeks after the incident</w:t>
      </w:r>
      <w:bookmarkEnd w:id="265"/>
      <w:r w:rsidR="00B37A86">
        <w:t>.</w:t>
      </w:r>
    </w:p>
    <w:p w:rsidR="00C01C37" w:rsidRPr="00595DA9" w:rsidRDefault="00C01C37" w:rsidP="00C01C37">
      <w:r>
        <w:t xml:space="preserve">Rainfall was generally confined to intermittent storms and showers and does not appear to have had a strong influence on radon progeny concentrations. Most likely there was no substantial and sustained increase in soil moisture content from rainfall during the period to </w:t>
      </w:r>
      <w:r w:rsidRPr="00595DA9">
        <w:t>suppress regional radon exhalation to any large extent.</w:t>
      </w:r>
    </w:p>
    <w:p w:rsidR="00C01C37" w:rsidRDefault="00C01C37" w:rsidP="00C01C37">
      <w:r w:rsidRPr="00595DA9">
        <w:t xml:space="preserve">Figure </w:t>
      </w:r>
      <w:r w:rsidR="004D1F83" w:rsidRPr="00595DA9">
        <w:t>4.3</w:t>
      </w:r>
      <w:r w:rsidR="000D53BA" w:rsidRPr="00595DA9">
        <w:t>7</w:t>
      </w:r>
      <w:r w:rsidRPr="00595DA9">
        <w:t xml:space="preserve"> shows a comparison of the average hourly radon concentrations in air at Jabiru Town and Jabiru</w:t>
      </w:r>
      <w:r>
        <w:t xml:space="preserve"> East for the two weeks before (23 November–6 December 2013) and two weeks after (7–20 December 2013) the </w:t>
      </w:r>
      <w:r w:rsidRPr="00595DA9">
        <w:t xml:space="preserve">incident. Table </w:t>
      </w:r>
      <w:r w:rsidR="00D164FB" w:rsidRPr="00595DA9">
        <w:t>4.1</w:t>
      </w:r>
      <w:r w:rsidR="000D53BA" w:rsidRPr="00595DA9">
        <w:t>4</w:t>
      </w:r>
      <w:r w:rsidRPr="00595DA9">
        <w:t xml:space="preserve"> gives</w:t>
      </w:r>
      <w:r>
        <w:t xml:space="preserve"> the mean and standard deviation of the average hourly concentrations. T-test analysis of the data indicated that there was no significant difference between the mean of the hourly average concentrations during the two weeks before and after the incident at either Jabiru East or Jabiru Town (p&lt;0.05).</w:t>
      </w:r>
    </w:p>
    <w:p w:rsidR="00C01C37" w:rsidRDefault="00C01C37" w:rsidP="00C01C3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tblPr>
      <w:tblGrid>
        <w:gridCol w:w="4152"/>
        <w:gridCol w:w="4154"/>
      </w:tblGrid>
      <w:tr w:rsidR="00C01C37" w:rsidTr="0058737C">
        <w:tc>
          <w:tcPr>
            <w:tcW w:w="4261" w:type="dxa"/>
          </w:tcPr>
          <w:p w:rsidR="00C01C37" w:rsidRDefault="00C01C37" w:rsidP="0058737C">
            <w:pPr>
              <w:jc w:val="center"/>
            </w:pPr>
            <w:r>
              <w:rPr>
                <w:noProof/>
                <w:lang w:eastAsia="en-AU"/>
              </w:rPr>
              <w:drawing>
                <wp:inline distT="0" distB="0" distL="0" distR="0">
                  <wp:extent cx="2477820" cy="2121408"/>
                  <wp:effectExtent l="19050" t="0" r="0" b="0"/>
                  <wp:docPr id="7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2" cstate="screen"/>
                          <a:srcRect/>
                          <a:stretch>
                            <a:fillRect/>
                          </a:stretch>
                        </pic:blipFill>
                        <pic:spPr bwMode="auto">
                          <a:xfrm>
                            <a:off x="0" y="0"/>
                            <a:ext cx="2477820" cy="2121408"/>
                          </a:xfrm>
                          <a:prstGeom prst="rect">
                            <a:avLst/>
                          </a:prstGeom>
                          <a:noFill/>
                          <a:ln w="9525">
                            <a:noFill/>
                            <a:miter lim="800000"/>
                            <a:headEnd/>
                            <a:tailEnd/>
                          </a:ln>
                        </pic:spPr>
                      </pic:pic>
                    </a:graphicData>
                  </a:graphic>
                </wp:inline>
              </w:drawing>
            </w:r>
          </w:p>
        </w:tc>
        <w:tc>
          <w:tcPr>
            <w:tcW w:w="4261" w:type="dxa"/>
          </w:tcPr>
          <w:p w:rsidR="00C01C37" w:rsidRDefault="00C01C37" w:rsidP="0058737C">
            <w:pPr>
              <w:jc w:val="center"/>
            </w:pPr>
            <w:r>
              <w:rPr>
                <w:noProof/>
                <w:lang w:eastAsia="en-AU"/>
              </w:rPr>
              <w:drawing>
                <wp:inline distT="0" distB="0" distL="0" distR="0">
                  <wp:extent cx="2481883" cy="2121408"/>
                  <wp:effectExtent l="19050" t="0" r="0" b="0"/>
                  <wp:docPr id="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3" cstate="screen"/>
                          <a:srcRect/>
                          <a:stretch>
                            <a:fillRect/>
                          </a:stretch>
                        </pic:blipFill>
                        <pic:spPr bwMode="auto">
                          <a:xfrm>
                            <a:off x="0" y="0"/>
                            <a:ext cx="2481883" cy="2121408"/>
                          </a:xfrm>
                          <a:prstGeom prst="rect">
                            <a:avLst/>
                          </a:prstGeom>
                          <a:noFill/>
                          <a:ln w="9525">
                            <a:noFill/>
                            <a:miter lim="800000"/>
                            <a:headEnd/>
                            <a:tailEnd/>
                          </a:ln>
                        </pic:spPr>
                      </pic:pic>
                    </a:graphicData>
                  </a:graphic>
                </wp:inline>
              </w:drawing>
            </w:r>
          </w:p>
        </w:tc>
      </w:tr>
    </w:tbl>
    <w:p w:rsidR="00C01C37" w:rsidRDefault="004D1F83" w:rsidP="00C01C37">
      <w:pPr>
        <w:pStyle w:val="figurecaption"/>
      </w:pPr>
      <w:bookmarkStart w:id="266" w:name="_Toc390766682"/>
      <w:r w:rsidRPr="004D1F83">
        <w:rPr>
          <w:b/>
        </w:rPr>
        <w:t>Figure 4.3</w:t>
      </w:r>
      <w:r w:rsidR="000D53BA">
        <w:rPr>
          <w:b/>
        </w:rPr>
        <w:t>7</w:t>
      </w:r>
      <w:r w:rsidR="00C01C37">
        <w:t xml:space="preserve"> Comparison of average hourly radon progeny concentrations in air for the two weeks before (grey line) and two weeks after (black line) the incident</w:t>
      </w:r>
      <w:bookmarkEnd w:id="266"/>
      <w:r w:rsidR="00B37A86">
        <w:t>.</w:t>
      </w:r>
    </w:p>
    <w:p w:rsidR="00C01C37" w:rsidRDefault="00C01C37" w:rsidP="00C01C37"/>
    <w:p w:rsidR="00C01C37" w:rsidRDefault="00C01C37" w:rsidP="00C01C37">
      <w:pPr>
        <w:pStyle w:val="tablecaption"/>
      </w:pPr>
      <w:bookmarkStart w:id="267" w:name="_Toc390766622"/>
      <w:r w:rsidRPr="00D164FB">
        <w:rPr>
          <w:b/>
        </w:rPr>
        <w:t xml:space="preserve">Table </w:t>
      </w:r>
      <w:r w:rsidR="00D164FB" w:rsidRPr="00D164FB">
        <w:rPr>
          <w:b/>
        </w:rPr>
        <w:t>4.1</w:t>
      </w:r>
      <w:r w:rsidR="000D53BA">
        <w:rPr>
          <w:b/>
        </w:rPr>
        <w:t>4</w:t>
      </w:r>
      <w:r w:rsidR="00D164FB">
        <w:t xml:space="preserve"> </w:t>
      </w:r>
      <w:r>
        <w:t>Mean and standard deviation of average hourly radon progeny concentrations in air at Jabiru Town and Jabiru East in the two weeks before and two weeks after the incident.</w:t>
      </w:r>
      <w:bookmarkEnd w:id="267"/>
    </w:p>
    <w:tbl>
      <w:tblPr>
        <w:tblStyle w:val="TableGrid"/>
        <w:tblW w:w="0" w:type="auto"/>
        <w:tblBorders>
          <w:left w:val="none" w:sz="0" w:space="0" w:color="auto"/>
          <w:right w:val="none" w:sz="0" w:space="0" w:color="auto"/>
          <w:insideH w:val="none" w:sz="0" w:space="0" w:color="auto"/>
          <w:insideV w:val="none" w:sz="0" w:space="0" w:color="auto"/>
        </w:tblBorders>
        <w:tblLook w:val="04A0"/>
      </w:tblPr>
      <w:tblGrid>
        <w:gridCol w:w="2840"/>
        <w:gridCol w:w="2841"/>
        <w:gridCol w:w="2841"/>
      </w:tblGrid>
      <w:tr w:rsidR="00C01C37" w:rsidTr="0058737C">
        <w:tc>
          <w:tcPr>
            <w:tcW w:w="2840" w:type="dxa"/>
            <w:tcBorders>
              <w:top w:val="single" w:sz="4" w:space="0" w:color="auto"/>
              <w:bottom w:val="single" w:sz="4" w:space="0" w:color="auto"/>
            </w:tcBorders>
          </w:tcPr>
          <w:p w:rsidR="00C01C37" w:rsidRDefault="00C01C37" w:rsidP="0058737C">
            <w:pPr>
              <w:pStyle w:val="table1"/>
            </w:pPr>
            <w:r>
              <w:t>Location</w:t>
            </w:r>
          </w:p>
        </w:tc>
        <w:tc>
          <w:tcPr>
            <w:tcW w:w="2841" w:type="dxa"/>
            <w:tcBorders>
              <w:top w:val="single" w:sz="4" w:space="0" w:color="auto"/>
              <w:bottom w:val="single" w:sz="4" w:space="0" w:color="auto"/>
            </w:tcBorders>
          </w:tcPr>
          <w:p w:rsidR="00C01C37" w:rsidRDefault="00C01C37" w:rsidP="0058737C">
            <w:pPr>
              <w:pStyle w:val="table1"/>
            </w:pPr>
            <w:r>
              <w:t>PAEC before (</w:t>
            </w:r>
            <w:r>
              <w:rPr>
                <w:rFonts w:cs="Arial"/>
              </w:rPr>
              <w:t>µ</w:t>
            </w:r>
            <w:r>
              <w:t>J m</w:t>
            </w:r>
            <w:r w:rsidRPr="00932D7D">
              <w:rPr>
                <w:snapToGrid w:val="0"/>
                <w:color w:val="000000"/>
                <w:position w:val="4"/>
                <w:sz w:val="11"/>
                <w:szCs w:val="0"/>
                <w:u w:color="000000"/>
              </w:rPr>
              <w:t>-3</w:t>
            </w:r>
            <w:r>
              <w:t>)</w:t>
            </w:r>
          </w:p>
        </w:tc>
        <w:tc>
          <w:tcPr>
            <w:tcW w:w="2841" w:type="dxa"/>
            <w:tcBorders>
              <w:top w:val="single" w:sz="4" w:space="0" w:color="auto"/>
              <w:bottom w:val="single" w:sz="4" w:space="0" w:color="auto"/>
            </w:tcBorders>
          </w:tcPr>
          <w:p w:rsidR="00C01C37" w:rsidRDefault="00C01C37" w:rsidP="0058737C">
            <w:pPr>
              <w:pStyle w:val="table1"/>
            </w:pPr>
            <w:r>
              <w:t>PAEC after (</w:t>
            </w:r>
            <w:r>
              <w:rPr>
                <w:rFonts w:cs="Arial"/>
              </w:rPr>
              <w:t>µ</w:t>
            </w:r>
            <w:r>
              <w:t>J m</w:t>
            </w:r>
            <w:r w:rsidRPr="00932D7D">
              <w:rPr>
                <w:snapToGrid w:val="0"/>
                <w:color w:val="000000"/>
                <w:position w:val="4"/>
                <w:sz w:val="11"/>
                <w:szCs w:val="0"/>
                <w:u w:color="000000"/>
              </w:rPr>
              <w:t>-3</w:t>
            </w:r>
            <w:r>
              <w:t>)</w:t>
            </w:r>
          </w:p>
        </w:tc>
      </w:tr>
      <w:tr w:rsidR="00C01C37" w:rsidTr="0058737C">
        <w:tc>
          <w:tcPr>
            <w:tcW w:w="2840" w:type="dxa"/>
            <w:tcBorders>
              <w:top w:val="single" w:sz="4" w:space="0" w:color="auto"/>
            </w:tcBorders>
          </w:tcPr>
          <w:p w:rsidR="00C01C37" w:rsidRDefault="00C01C37" w:rsidP="0058737C">
            <w:pPr>
              <w:pStyle w:val="table1"/>
            </w:pPr>
            <w:r>
              <w:t>Jabiru Town</w:t>
            </w:r>
          </w:p>
        </w:tc>
        <w:tc>
          <w:tcPr>
            <w:tcW w:w="2841" w:type="dxa"/>
            <w:tcBorders>
              <w:top w:val="single" w:sz="4" w:space="0" w:color="auto"/>
            </w:tcBorders>
          </w:tcPr>
          <w:p w:rsidR="00C01C37" w:rsidRDefault="00C01C37" w:rsidP="0058737C">
            <w:pPr>
              <w:pStyle w:val="table1"/>
            </w:pPr>
            <w:r>
              <w:t xml:space="preserve">0.027 </w:t>
            </w:r>
            <w:r>
              <w:rPr>
                <w:rFonts w:cs="Arial"/>
              </w:rPr>
              <w:t>±</w:t>
            </w:r>
            <w:r>
              <w:t xml:space="preserve"> 0.021</w:t>
            </w:r>
          </w:p>
        </w:tc>
        <w:tc>
          <w:tcPr>
            <w:tcW w:w="2841" w:type="dxa"/>
            <w:tcBorders>
              <w:top w:val="single" w:sz="4" w:space="0" w:color="auto"/>
            </w:tcBorders>
          </w:tcPr>
          <w:p w:rsidR="00C01C37" w:rsidRDefault="00C01C37" w:rsidP="0058737C">
            <w:pPr>
              <w:pStyle w:val="table1"/>
            </w:pPr>
            <w:r>
              <w:t xml:space="preserve">0.029 </w:t>
            </w:r>
            <w:r>
              <w:rPr>
                <w:rFonts w:cs="Arial"/>
              </w:rPr>
              <w:t>±</w:t>
            </w:r>
            <w:r>
              <w:t xml:space="preserve"> 0.013</w:t>
            </w:r>
          </w:p>
        </w:tc>
      </w:tr>
      <w:tr w:rsidR="00C01C37" w:rsidTr="0058737C">
        <w:tc>
          <w:tcPr>
            <w:tcW w:w="2840" w:type="dxa"/>
          </w:tcPr>
          <w:p w:rsidR="00C01C37" w:rsidRDefault="00C01C37" w:rsidP="0058737C">
            <w:pPr>
              <w:pStyle w:val="table1"/>
            </w:pPr>
            <w:r>
              <w:t>Jabiru East</w:t>
            </w:r>
          </w:p>
        </w:tc>
        <w:tc>
          <w:tcPr>
            <w:tcW w:w="2841" w:type="dxa"/>
          </w:tcPr>
          <w:p w:rsidR="00C01C37" w:rsidRDefault="00C01C37" w:rsidP="0058737C">
            <w:pPr>
              <w:pStyle w:val="table1"/>
            </w:pPr>
            <w:r>
              <w:t xml:space="preserve">0.053 </w:t>
            </w:r>
            <w:r>
              <w:rPr>
                <w:rFonts w:cs="Arial"/>
              </w:rPr>
              <w:t>±</w:t>
            </w:r>
            <w:r>
              <w:t xml:space="preserve"> 0.038</w:t>
            </w:r>
          </w:p>
        </w:tc>
        <w:tc>
          <w:tcPr>
            <w:tcW w:w="2841" w:type="dxa"/>
          </w:tcPr>
          <w:p w:rsidR="00C01C37" w:rsidRDefault="00C01C37" w:rsidP="0058737C">
            <w:pPr>
              <w:pStyle w:val="table1"/>
            </w:pPr>
            <w:r>
              <w:t xml:space="preserve">0.063 </w:t>
            </w:r>
            <w:r>
              <w:rPr>
                <w:rFonts w:cs="Arial"/>
              </w:rPr>
              <w:t>±</w:t>
            </w:r>
            <w:r>
              <w:t xml:space="preserve"> 0.041</w:t>
            </w:r>
          </w:p>
        </w:tc>
      </w:tr>
    </w:tbl>
    <w:p w:rsidR="00C01C37" w:rsidRDefault="00C01C37" w:rsidP="00C01C37"/>
    <w:p w:rsidR="00C01C37" w:rsidRDefault="00C01C37" w:rsidP="00FF625F">
      <w:pPr>
        <w:pStyle w:val="Heading5"/>
      </w:pPr>
      <w:r>
        <w:t>LLAA in dust</w:t>
      </w:r>
    </w:p>
    <w:p w:rsidR="00C01C37" w:rsidRDefault="00C01C37" w:rsidP="00C01C37">
      <w:r w:rsidRPr="00595DA9">
        <w:t xml:space="preserve">Figure </w:t>
      </w:r>
      <w:r w:rsidR="00D164FB" w:rsidRPr="00595DA9">
        <w:t>4.3</w:t>
      </w:r>
      <w:r w:rsidR="000D53BA" w:rsidRPr="00595DA9">
        <w:t>8</w:t>
      </w:r>
      <w:r w:rsidRPr="00595DA9">
        <w:t xml:space="preserve"> shows</w:t>
      </w:r>
      <w:r>
        <w:t xml:space="preserve"> the LLAA monitoring data from Jabiru East and Jabiru Town from approximately two weeks before to two weeks after the incident. One measurement was made completely before and one completely after the incident and one measurement was made from eight days before to four days after the incident at both locations. The data showed no unusual changes in LLAA concentrations following the incident above the normal variability that occurs from sampling period to sampling period due to differences in prevailing meteorological conditions. The measured concentrations were also typical of those in previous wet seasons and less than typical dry season concentrations (Supervising Scientist 2013).</w:t>
      </w:r>
    </w:p>
    <w:p w:rsidR="00C01C37" w:rsidRDefault="00C01C37" w:rsidP="00C01C3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tblPr>
      <w:tblGrid>
        <w:gridCol w:w="4152"/>
        <w:gridCol w:w="4154"/>
      </w:tblGrid>
      <w:tr w:rsidR="00C01C37" w:rsidRPr="00D164FB" w:rsidTr="0058737C">
        <w:tc>
          <w:tcPr>
            <w:tcW w:w="4261" w:type="dxa"/>
          </w:tcPr>
          <w:p w:rsidR="00C01C37" w:rsidRPr="00D164FB" w:rsidRDefault="00C01C37" w:rsidP="0058737C">
            <w:pPr>
              <w:jc w:val="center"/>
              <w:rPr>
                <w:b/>
              </w:rPr>
            </w:pPr>
            <w:r w:rsidRPr="00D164FB">
              <w:rPr>
                <w:b/>
                <w:noProof/>
                <w:lang w:eastAsia="en-AU"/>
              </w:rPr>
              <w:drawing>
                <wp:inline distT="0" distB="0" distL="0" distR="0">
                  <wp:extent cx="2495084" cy="2321433"/>
                  <wp:effectExtent l="19050" t="0" r="466" b="0"/>
                  <wp:docPr id="7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cstate="screen"/>
                          <a:srcRect/>
                          <a:stretch>
                            <a:fillRect/>
                          </a:stretch>
                        </pic:blipFill>
                        <pic:spPr bwMode="auto">
                          <a:xfrm>
                            <a:off x="0" y="0"/>
                            <a:ext cx="2495084" cy="2321433"/>
                          </a:xfrm>
                          <a:prstGeom prst="rect">
                            <a:avLst/>
                          </a:prstGeom>
                          <a:noFill/>
                          <a:ln w="9525">
                            <a:noFill/>
                            <a:miter lim="800000"/>
                            <a:headEnd/>
                            <a:tailEnd/>
                          </a:ln>
                        </pic:spPr>
                      </pic:pic>
                    </a:graphicData>
                  </a:graphic>
                </wp:inline>
              </w:drawing>
            </w:r>
          </w:p>
        </w:tc>
        <w:tc>
          <w:tcPr>
            <w:tcW w:w="4261" w:type="dxa"/>
          </w:tcPr>
          <w:p w:rsidR="00C01C37" w:rsidRPr="00D164FB" w:rsidRDefault="00C01C37" w:rsidP="0058737C">
            <w:pPr>
              <w:jc w:val="center"/>
              <w:rPr>
                <w:b/>
              </w:rPr>
            </w:pPr>
            <w:r w:rsidRPr="00D164FB">
              <w:rPr>
                <w:b/>
                <w:noProof/>
                <w:lang w:eastAsia="en-AU"/>
              </w:rPr>
              <w:drawing>
                <wp:inline distT="0" distB="0" distL="0" distR="0">
                  <wp:extent cx="2498511" cy="2321433"/>
                  <wp:effectExtent l="19050" t="0" r="0" b="0"/>
                  <wp:docPr id="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5" cstate="screen"/>
                          <a:srcRect/>
                          <a:stretch>
                            <a:fillRect/>
                          </a:stretch>
                        </pic:blipFill>
                        <pic:spPr bwMode="auto">
                          <a:xfrm>
                            <a:off x="0" y="0"/>
                            <a:ext cx="2498511" cy="2321433"/>
                          </a:xfrm>
                          <a:prstGeom prst="rect">
                            <a:avLst/>
                          </a:prstGeom>
                          <a:noFill/>
                          <a:ln w="9525">
                            <a:noFill/>
                            <a:miter lim="800000"/>
                            <a:headEnd/>
                            <a:tailEnd/>
                          </a:ln>
                        </pic:spPr>
                      </pic:pic>
                    </a:graphicData>
                  </a:graphic>
                </wp:inline>
              </w:drawing>
            </w:r>
          </w:p>
        </w:tc>
      </w:tr>
    </w:tbl>
    <w:p w:rsidR="00C01C37" w:rsidRDefault="00C01C37" w:rsidP="00C01C37">
      <w:pPr>
        <w:pStyle w:val="figurecaption"/>
      </w:pPr>
      <w:bookmarkStart w:id="268" w:name="_Toc390766683"/>
      <w:r w:rsidRPr="00D164FB">
        <w:rPr>
          <w:b/>
        </w:rPr>
        <w:t xml:space="preserve">Figure </w:t>
      </w:r>
      <w:r w:rsidR="00D164FB" w:rsidRPr="00D164FB">
        <w:rPr>
          <w:b/>
        </w:rPr>
        <w:t>4.3</w:t>
      </w:r>
      <w:r w:rsidR="000D53BA">
        <w:rPr>
          <w:b/>
        </w:rPr>
        <w:t>8</w:t>
      </w:r>
      <w:r>
        <w:t xml:space="preserve"> LLAA concentrations measured in dust from approximately two weeks before to two weeks after the incident. The dotted lines represent two standard deviations of the measured value based on counting statistics.</w:t>
      </w:r>
      <w:bookmarkEnd w:id="268"/>
    </w:p>
    <w:p w:rsidR="00C01C37" w:rsidRDefault="00C01C37" w:rsidP="00266E77">
      <w:pPr>
        <w:pStyle w:val="Heading4"/>
      </w:pPr>
      <w:r>
        <w:t>4.2.3.5 Conclusions</w:t>
      </w:r>
    </w:p>
    <w:p w:rsidR="00C01C37" w:rsidRDefault="00C01C37" w:rsidP="00C01C37">
      <w:r>
        <w:t>Consideration of the spilled material in the context of existing ore and waste rock stockpiles at Ranger mine suggested that it would be an effectively negligible mine-related source of radon progeny in air and LLAA radionuclides in dust. Results of atmospheric monitoring conducted by SSD indicated that there were no unusual increases in radon progeny or LLAA in dust concentrations in air at Jabiru Town or Jabiru East following the incident. This implies that there was no increased radiation risk to the public at Jabiru Town or Jabiru East from radon progeny or LLAA in dust associated with the spilled material.</w:t>
      </w:r>
    </w:p>
    <w:p w:rsidR="007F0735" w:rsidRDefault="007F0735">
      <w:pPr>
        <w:spacing w:after="0" w:line="240" w:lineRule="auto"/>
        <w:jc w:val="left"/>
        <w:rPr>
          <w:rFonts w:ascii="Arial" w:hAnsi="Arial"/>
          <w:b/>
          <w:sz w:val="36"/>
        </w:rPr>
      </w:pPr>
      <w:r>
        <w:br w:type="page"/>
      </w:r>
    </w:p>
    <w:p w:rsidR="00057E91" w:rsidRDefault="00555AFC" w:rsidP="00057E91">
      <w:pPr>
        <w:pStyle w:val="Heading1"/>
      </w:pPr>
      <w:bookmarkStart w:id="269" w:name="_Toc390766600"/>
      <w:proofErr w:type="gramStart"/>
      <w:r>
        <w:t xml:space="preserve">5  </w:t>
      </w:r>
      <w:r w:rsidR="00B368AD">
        <w:t>Conclusions</w:t>
      </w:r>
      <w:bookmarkEnd w:id="269"/>
      <w:proofErr w:type="gramEnd"/>
    </w:p>
    <w:p w:rsidR="00436264" w:rsidRDefault="007F0735" w:rsidP="007F0735">
      <w:bookmarkStart w:id="270" w:name="_Toc205022310"/>
      <w:r>
        <w:t>It is concluded, based upon extensive surface water, groundwater and radiological analysis, that the failure of Leach Tank 1 at the Ranger uranium mine on 7 December 2013 did not cause any adverse impact to the offsite environment, including Kakadu National Park, nor cause any impact to the health of local residents or mine workers.</w:t>
      </w:r>
    </w:p>
    <w:p w:rsidR="00C77F7F" w:rsidRDefault="00C77F7F" w:rsidP="00266E77">
      <w:pPr>
        <w:pStyle w:val="Heading2"/>
      </w:pPr>
      <w:bookmarkStart w:id="271" w:name="_Toc390766601"/>
      <w:proofErr w:type="gramStart"/>
      <w:r>
        <w:t>5.1  Surface</w:t>
      </w:r>
      <w:proofErr w:type="gramEnd"/>
      <w:r>
        <w:t xml:space="preserve"> water</w:t>
      </w:r>
      <w:bookmarkEnd w:id="271"/>
    </w:p>
    <w:p w:rsidR="00C77F7F" w:rsidRDefault="00C77F7F" w:rsidP="00C77F7F">
      <w:r>
        <w:t>It is concluded that the Ranger uranium mine leach tank incident of 7 December 2013 did not cause any impact to surface waters off the operational Ranger mine-site, including Kakadu National Park.</w:t>
      </w:r>
    </w:p>
    <w:p w:rsidR="00C77F7F" w:rsidRPr="00664D06" w:rsidRDefault="00C77F7F" w:rsidP="00C77F7F">
      <w:r>
        <w:t xml:space="preserve">Chemical and biological monitoring conducted by the Supervising Scientist in Magela Creek both prior to, and following, the incident included continuous conductivity and pH, manual and automated </w:t>
      </w:r>
      <w:r w:rsidRPr="00664D06">
        <w:t>sample collection for chemistry analysis and</w:t>
      </w:r>
      <w:r>
        <w:t xml:space="preserve"> </w:t>
      </w:r>
      <w:r>
        <w:rPr>
          <w:i/>
          <w:iCs/>
        </w:rPr>
        <w:t xml:space="preserve">in situ </w:t>
      </w:r>
      <w:r w:rsidR="00DF7EC1">
        <w:t>toxicity</w:t>
      </w:r>
      <w:r>
        <w:t xml:space="preserve"> testing. The cumulative results of these monitoring programs indicate no change in water quality in Magela Creek downstream of the Ranger uranium mine as a result of the leach </w:t>
      </w:r>
      <w:r w:rsidRPr="00664D06">
        <w:t>tank failure.</w:t>
      </w:r>
    </w:p>
    <w:p w:rsidR="00C77F7F" w:rsidRPr="00664D06" w:rsidRDefault="00C77F7F" w:rsidP="00C77F7F">
      <w:r w:rsidRPr="00664D06">
        <w:t>Based upon inspections of the site and the extent of the spill there was no mechanism for leach slurry</w:t>
      </w:r>
      <w:r w:rsidR="00864A6D">
        <w:t>,</w:t>
      </w:r>
      <w:r w:rsidRPr="00664D06">
        <w:t xml:space="preserve"> or its derivatives, to have left the mine-site area and entered the surrounding environment via the surface water pathway. It was determined that the leach slurry released during the incident remained within the plant area, with an unknown quantity reporting via the storm water system to </w:t>
      </w:r>
      <w:r w:rsidR="001013D4">
        <w:t>Retention Pond 2</w:t>
      </w:r>
      <w:r w:rsidRPr="00664D06">
        <w:t xml:space="preserve">. The slurry residue observed at the storm water outflow indicated a rapid flow of slurry following the incident and whilst the volume of slurry which reported to </w:t>
      </w:r>
      <w:r w:rsidR="001013D4">
        <w:t>Retention Pond 2</w:t>
      </w:r>
      <w:r w:rsidRPr="00664D06">
        <w:t xml:space="preserve"> cannot be determined</w:t>
      </w:r>
      <w:r w:rsidR="00C76EDA">
        <w:t>,</w:t>
      </w:r>
      <w:r w:rsidRPr="00664D06">
        <w:t xml:space="preserve"> it was insufficient to affect water quality in the pond. It is likely t</w:t>
      </w:r>
      <w:r w:rsidR="00C76EDA">
        <w:t xml:space="preserve">hat the flow was brief but none </w:t>
      </w:r>
      <w:r w:rsidRPr="00664D06">
        <w:t>the</w:t>
      </w:r>
      <w:r w:rsidR="00C76EDA">
        <w:t xml:space="preserve"> </w:t>
      </w:r>
      <w:r w:rsidRPr="00664D06">
        <w:t>less it must be concluded that a substantial volume did enter the pond.</w:t>
      </w:r>
    </w:p>
    <w:p w:rsidR="00C77F7F" w:rsidRPr="00664D06" w:rsidRDefault="00C77F7F" w:rsidP="00C77F7F">
      <w:r w:rsidRPr="00664D06">
        <w:t xml:space="preserve">It is noted that the release of a substantial volume of process material to the pond water system is not in accordance with section 3.4 of the </w:t>
      </w:r>
      <w:r w:rsidRPr="00664D06">
        <w:rPr>
          <w:i/>
          <w:iCs/>
        </w:rPr>
        <w:t>Environmental Requirements of the Commonwealth of Australia for the operation of the Ranger Uranium Mine</w:t>
      </w:r>
      <w:r w:rsidRPr="00664D06">
        <w:t xml:space="preserve"> which states;</w:t>
      </w:r>
    </w:p>
    <w:p w:rsidR="00C77F7F" w:rsidRPr="00664D06" w:rsidRDefault="00C77F7F" w:rsidP="00C77F7F">
      <w:pPr>
        <w:rPr>
          <w:i/>
          <w:iCs/>
        </w:rPr>
      </w:pPr>
      <w:r w:rsidRPr="00664D06">
        <w:rPr>
          <w:i/>
          <w:iCs/>
        </w:rPr>
        <w:t>3.4</w:t>
      </w:r>
      <w:proofErr w:type="gramStart"/>
      <w:r w:rsidRPr="00664D06">
        <w:rPr>
          <w:i/>
          <w:iCs/>
        </w:rPr>
        <w:t>  Process</w:t>
      </w:r>
      <w:proofErr w:type="gramEnd"/>
      <w:r w:rsidRPr="00664D06">
        <w:rPr>
          <w:i/>
          <w:iCs/>
        </w:rPr>
        <w:t xml:space="preserve"> water must be totally contained within a closed system except for:</w:t>
      </w:r>
    </w:p>
    <w:p w:rsidR="00C77F7F" w:rsidRPr="00664D06" w:rsidRDefault="00C77F7F" w:rsidP="00C77F7F">
      <w:pPr>
        <w:ind w:firstLine="357"/>
        <w:rPr>
          <w:i/>
          <w:iCs/>
        </w:rPr>
      </w:pPr>
      <w:r w:rsidRPr="00664D06">
        <w:rPr>
          <w:i/>
          <w:iCs/>
        </w:rPr>
        <w:t xml:space="preserve">(a)  </w:t>
      </w:r>
      <w:proofErr w:type="gramStart"/>
      <w:r w:rsidRPr="00664D06">
        <w:rPr>
          <w:i/>
          <w:iCs/>
        </w:rPr>
        <w:t>losses</w:t>
      </w:r>
      <w:proofErr w:type="gramEnd"/>
      <w:r w:rsidRPr="00664D06">
        <w:rPr>
          <w:i/>
          <w:iCs/>
        </w:rPr>
        <w:t xml:space="preserve"> through natural or enhanced evaporation;</w:t>
      </w:r>
    </w:p>
    <w:p w:rsidR="00C77F7F" w:rsidRPr="00664D06" w:rsidRDefault="00C77F7F" w:rsidP="00C77F7F">
      <w:pPr>
        <w:ind w:left="357"/>
        <w:rPr>
          <w:i/>
          <w:iCs/>
        </w:rPr>
      </w:pPr>
      <w:r w:rsidRPr="00664D06">
        <w:rPr>
          <w:i/>
          <w:iCs/>
        </w:rPr>
        <w:t xml:space="preserve">(b)  </w:t>
      </w:r>
      <w:proofErr w:type="gramStart"/>
      <w:r w:rsidRPr="00664D06">
        <w:rPr>
          <w:i/>
          <w:iCs/>
        </w:rPr>
        <w:t>seepage</w:t>
      </w:r>
      <w:proofErr w:type="gramEnd"/>
      <w:r w:rsidRPr="00664D06">
        <w:rPr>
          <w:i/>
          <w:iCs/>
        </w:rPr>
        <w:t xml:space="preserve"> of a quality and quantity that will not cause detrimental environmental impact outside the Ranger Project Area; and</w:t>
      </w:r>
    </w:p>
    <w:p w:rsidR="00C77F7F" w:rsidRPr="00664D06" w:rsidRDefault="00C77F7F" w:rsidP="00C77F7F">
      <w:pPr>
        <w:ind w:left="357"/>
        <w:rPr>
          <w:i/>
          <w:iCs/>
        </w:rPr>
      </w:pPr>
      <w:r w:rsidRPr="00664D06">
        <w:rPr>
          <w:i/>
          <w:iCs/>
        </w:rPr>
        <w:t xml:space="preserve">(c)   </w:t>
      </w:r>
      <w:proofErr w:type="gramStart"/>
      <w:r w:rsidRPr="00664D06">
        <w:rPr>
          <w:i/>
          <w:iCs/>
        </w:rPr>
        <w:t>subject</w:t>
      </w:r>
      <w:proofErr w:type="gramEnd"/>
      <w:r w:rsidRPr="00664D06">
        <w:rPr>
          <w:i/>
          <w:iCs/>
        </w:rPr>
        <w:t xml:space="preserve"> to clauses 3.1, 3.2 and 3.3, process water which has been treated to achieve a quality which:</w:t>
      </w:r>
    </w:p>
    <w:p w:rsidR="00C77F7F" w:rsidRPr="00664D06" w:rsidRDefault="00C77F7F" w:rsidP="00C77F7F">
      <w:pPr>
        <w:ind w:firstLine="357"/>
        <w:rPr>
          <w:i/>
          <w:iCs/>
        </w:rPr>
      </w:pPr>
      <w:proofErr w:type="spellStart"/>
      <w:r w:rsidRPr="00664D06">
        <w:rPr>
          <w:i/>
          <w:iCs/>
        </w:rPr>
        <w:t>i</w:t>
      </w:r>
      <w:proofErr w:type="spellEnd"/>
      <w:r w:rsidRPr="00664D06">
        <w:rPr>
          <w:i/>
          <w:iCs/>
        </w:rPr>
        <w:t xml:space="preserve">)     </w:t>
      </w:r>
      <w:proofErr w:type="gramStart"/>
      <w:r w:rsidRPr="00664D06">
        <w:rPr>
          <w:i/>
          <w:iCs/>
        </w:rPr>
        <w:t>conforms</w:t>
      </w:r>
      <w:proofErr w:type="gramEnd"/>
      <w:r w:rsidRPr="00664D06">
        <w:rPr>
          <w:i/>
          <w:iCs/>
        </w:rPr>
        <w:t xml:space="preserve"> to a standard  practice or procedure recommended by the Supervising Scientist; and </w:t>
      </w:r>
    </w:p>
    <w:p w:rsidR="00C77F7F" w:rsidRPr="00664D06" w:rsidRDefault="00C77F7F" w:rsidP="00C77F7F">
      <w:pPr>
        <w:ind w:firstLine="357"/>
        <w:rPr>
          <w:i/>
          <w:iCs/>
        </w:rPr>
      </w:pPr>
      <w:r w:rsidRPr="00664D06">
        <w:rPr>
          <w:i/>
          <w:iCs/>
        </w:rPr>
        <w:t xml:space="preserve">ii)    </w:t>
      </w:r>
      <w:proofErr w:type="gramStart"/>
      <w:r w:rsidRPr="00664D06">
        <w:rPr>
          <w:i/>
          <w:iCs/>
        </w:rPr>
        <w:t>is</w:t>
      </w:r>
      <w:proofErr w:type="gramEnd"/>
      <w:r w:rsidRPr="00664D06">
        <w:rPr>
          <w:i/>
          <w:iCs/>
        </w:rPr>
        <w:t xml:space="preserve"> not less than that of the water to which it is to be discharged.</w:t>
      </w:r>
    </w:p>
    <w:p w:rsidR="00C77F7F" w:rsidRPr="00664D06" w:rsidRDefault="00C77F7F" w:rsidP="00C77F7F">
      <w:r w:rsidRPr="00664D06">
        <w:t xml:space="preserve">Based upon site inspections and the analysis of samples collected following each phase of the </w:t>
      </w:r>
      <w:r w:rsidR="00F01C02">
        <w:t>cleanup</w:t>
      </w:r>
      <w:r w:rsidRPr="00664D06">
        <w:t xml:space="preserve"> operation it was determined that the spill area could be returned to the pond water catchment. Following the </w:t>
      </w:r>
      <w:r w:rsidR="00F01C02">
        <w:t>cleanup</w:t>
      </w:r>
      <w:r w:rsidRPr="00664D06">
        <w:t xml:space="preserve"> works it is not expected that the spill will have any </w:t>
      </w:r>
      <w:r w:rsidR="006724A4">
        <w:t xml:space="preserve">significant </w:t>
      </w:r>
      <w:r w:rsidRPr="00664D06">
        <w:t>ongoing impact on pond water quality at the Ranger uranium mine</w:t>
      </w:r>
      <w:r w:rsidR="006724A4">
        <w:t xml:space="preserve">, and the current program of routine monitoring is sufficient to detect any </w:t>
      </w:r>
      <w:r w:rsidR="00181134">
        <w:t>changes</w:t>
      </w:r>
      <w:r w:rsidR="006724A4">
        <w:t xml:space="preserve"> should they occur. The spill did not result in any adverse impact</w:t>
      </w:r>
      <w:r w:rsidRPr="00664D06">
        <w:t xml:space="preserve"> </w:t>
      </w:r>
      <w:r w:rsidR="006724A4">
        <w:t>to</w:t>
      </w:r>
      <w:r w:rsidRPr="00664D06">
        <w:t xml:space="preserve"> </w:t>
      </w:r>
      <w:r w:rsidR="006724A4">
        <w:t xml:space="preserve">offsite </w:t>
      </w:r>
      <w:r w:rsidRPr="00664D06">
        <w:t>water quality</w:t>
      </w:r>
      <w:r w:rsidR="006724A4">
        <w:t>,</w:t>
      </w:r>
      <w:r w:rsidRPr="00664D06">
        <w:t xml:space="preserve"> in</w:t>
      </w:r>
      <w:r w:rsidR="006724A4">
        <w:t>cluding within</w:t>
      </w:r>
      <w:r w:rsidRPr="00664D06">
        <w:t xml:space="preserve"> Kakadu National Park</w:t>
      </w:r>
      <w:r w:rsidR="003D0CA6">
        <w:t>, nor cause any impact to the health of local residents or mine workers.</w:t>
      </w:r>
    </w:p>
    <w:p w:rsidR="00C77F7F" w:rsidRDefault="00C77F7F" w:rsidP="00266E77">
      <w:pPr>
        <w:pStyle w:val="Heading2"/>
      </w:pPr>
      <w:bookmarkStart w:id="272" w:name="_Toc390766602"/>
      <w:proofErr w:type="gramStart"/>
      <w:r>
        <w:t>5.2  Groundwater</w:t>
      </w:r>
      <w:proofErr w:type="gramEnd"/>
      <w:r>
        <w:t xml:space="preserve"> and soils</w:t>
      </w:r>
      <w:bookmarkEnd w:id="272"/>
    </w:p>
    <w:p w:rsidR="00C77F7F" w:rsidRDefault="00C77F7F" w:rsidP="00C77F7F">
      <w:r>
        <w:t xml:space="preserve">The Supervising Scientist commissioned </w:t>
      </w:r>
      <w:proofErr w:type="spellStart"/>
      <w:r>
        <w:t>Geoscience</w:t>
      </w:r>
      <w:proofErr w:type="spellEnd"/>
      <w:r>
        <w:t xml:space="preserve"> Australia to investigate potential impacts to groundwater as a result of the leach tank incident.</w:t>
      </w:r>
    </w:p>
    <w:p w:rsidR="00C77F7F" w:rsidRDefault="00C77F7F" w:rsidP="00C77F7F">
      <w:r>
        <w:t xml:space="preserve">It is noted that limited </w:t>
      </w:r>
      <w:r w:rsidR="00864A6D">
        <w:t xml:space="preserve">historic </w:t>
      </w:r>
      <w:r>
        <w:t>groundwater data available in the area of the spill,</w:t>
      </w:r>
      <w:r>
        <w:rPr>
          <w:color w:val="1F497D"/>
        </w:rPr>
        <w:t xml:space="preserve"> </w:t>
      </w:r>
      <w:r>
        <w:t xml:space="preserve">and </w:t>
      </w:r>
      <w:r w:rsidR="002F3F11">
        <w:t xml:space="preserve">the 6 week timeframe for </w:t>
      </w:r>
      <w:r>
        <w:t>E</w:t>
      </w:r>
      <w:r w:rsidR="00864A6D">
        <w:t xml:space="preserve">nergy Resources of </w:t>
      </w:r>
      <w:r>
        <w:t>A</w:t>
      </w:r>
      <w:r w:rsidR="00864A6D">
        <w:t>ustralia</w:t>
      </w:r>
      <w:r w:rsidR="007A15C5">
        <w:t xml:space="preserve"> Ltd</w:t>
      </w:r>
      <w:r>
        <w:t xml:space="preserve"> </w:t>
      </w:r>
      <w:r w:rsidR="002F3F11">
        <w:t xml:space="preserve">to </w:t>
      </w:r>
      <w:r>
        <w:t>commenc</w:t>
      </w:r>
      <w:r w:rsidR="002F3F11">
        <w:t>e</w:t>
      </w:r>
      <w:r>
        <w:t xml:space="preserve"> the requested groundwater monitoring program, constrain the level of analysis which can be undertaken. Despite these limitations sufficient information is available, including soil profiling work, to conclude that impacts to groundwater beneath the immediate spill area would be minimal, particularly in the context of pre-existing groundwater conditions.</w:t>
      </w:r>
    </w:p>
    <w:p w:rsidR="00C77F7F" w:rsidRPr="009C71FE" w:rsidRDefault="00C77F7F" w:rsidP="00C77F7F">
      <w:r w:rsidRPr="00705A30">
        <w:t xml:space="preserve">The high rate of soil compaction and low residence time of the slurry on the surface would have restricted the infiltration of contaminants into the groundwater system. If any contaminants were to have infiltrated, the low volume is unlikely to alter the existing </w:t>
      </w:r>
      <w:proofErr w:type="spellStart"/>
      <w:r w:rsidRPr="00705A30">
        <w:t>hydrogeochemistr</w:t>
      </w:r>
      <w:r>
        <w:t>y</w:t>
      </w:r>
      <w:proofErr w:type="spellEnd"/>
      <w:r>
        <w:t xml:space="preserve"> of the system, particularly in the context of pre-existing groundwater conditions beneath the plant</w:t>
      </w:r>
      <w:r w:rsidRPr="00705A30">
        <w:t>.  </w:t>
      </w:r>
      <w:r w:rsidR="00BD4974">
        <w:t xml:space="preserve">The work of </w:t>
      </w:r>
      <w:proofErr w:type="spellStart"/>
      <w:r w:rsidR="00BD4974">
        <w:t>Geoscience</w:t>
      </w:r>
      <w:proofErr w:type="spellEnd"/>
      <w:r w:rsidR="00BD4974">
        <w:t xml:space="preserve"> Australia supports p</w:t>
      </w:r>
      <w:r>
        <w:t xml:space="preserve">revious studies </w:t>
      </w:r>
      <w:r w:rsidR="00BD4974">
        <w:t xml:space="preserve">in </w:t>
      </w:r>
      <w:r>
        <w:t>indicat</w:t>
      </w:r>
      <w:r w:rsidR="00BD4974">
        <w:t>ing</w:t>
      </w:r>
      <w:r>
        <w:t xml:space="preserve"> that g</w:t>
      </w:r>
      <w:r w:rsidRPr="00705A30">
        <w:t xml:space="preserve">roundwater </w:t>
      </w:r>
      <w:r>
        <w:t>f</w:t>
      </w:r>
      <w:r w:rsidRPr="00705A30">
        <w:t>low rate</w:t>
      </w:r>
      <w:r>
        <w:t>s</w:t>
      </w:r>
      <w:r w:rsidRPr="00705A30">
        <w:t xml:space="preserve"> from the plant </w:t>
      </w:r>
      <w:r>
        <w:t>area are likely to be low,</w:t>
      </w:r>
      <w:r w:rsidR="00BD4974">
        <w:t xml:space="preserve"> with a correspondingly low likelihood of any significant contaminant movement away from the plant </w:t>
      </w:r>
      <w:r w:rsidR="00BD4974" w:rsidRPr="009C71FE">
        <w:t>area. I</w:t>
      </w:r>
      <w:r w:rsidRPr="009C71FE">
        <w:t>t should be noted</w:t>
      </w:r>
      <w:r w:rsidR="00BD4974" w:rsidRPr="009C71FE">
        <w:t>, however,</w:t>
      </w:r>
      <w:r w:rsidRPr="009C71FE">
        <w:t xml:space="preserve"> that particular geological structures may significantly enhance flow rate in some instances</w:t>
      </w:r>
      <w:r w:rsidR="00BD4974" w:rsidRPr="009C71FE">
        <w:t>, and further information in this regard is needed in the Corridor Creek area</w:t>
      </w:r>
      <w:r w:rsidRPr="009C71FE">
        <w:t>.</w:t>
      </w:r>
      <w:r w:rsidR="00252B65" w:rsidRPr="009C71FE">
        <w:t xml:space="preserve"> A greater understanding of the groundwater system in this area will assist in the remediation of existing groundwater </w:t>
      </w:r>
      <w:r w:rsidR="007A6496" w:rsidRPr="009C71FE">
        <w:t xml:space="preserve">conditions </w:t>
      </w:r>
      <w:r w:rsidR="00252B65" w:rsidRPr="009C71FE">
        <w:t>beneath the plant during site rehabilitation.</w:t>
      </w:r>
    </w:p>
    <w:p w:rsidR="00C77F7F" w:rsidRDefault="00C77F7F" w:rsidP="00C77F7F">
      <w:r w:rsidRPr="009C71FE">
        <w:t>Historical and recent</w:t>
      </w:r>
      <w:r w:rsidRPr="00705A30">
        <w:t xml:space="preserve"> groundwater data </w:t>
      </w:r>
      <w:r>
        <w:t>indicate</w:t>
      </w:r>
      <w:r w:rsidRPr="00705A30">
        <w:t xml:space="preserve"> a groundwater divide</w:t>
      </w:r>
      <w:r>
        <w:t xml:space="preserve"> exists</w:t>
      </w:r>
      <w:r w:rsidRPr="00705A30">
        <w:t xml:space="preserve"> beneath the plant area, with groundwater flowing both to the north and south. The nearest receptor</w:t>
      </w:r>
      <w:r w:rsidR="00864A6D">
        <w:t xml:space="preserve"> is</w:t>
      </w:r>
      <w:r w:rsidRPr="00705A30">
        <w:t xml:space="preserve"> Corridor Creek</w:t>
      </w:r>
      <w:r w:rsidR="00864A6D">
        <w:t>,</w:t>
      </w:r>
      <w:r>
        <w:t xml:space="preserve"> approximately 500 meters to the south-east</w:t>
      </w:r>
      <w:r w:rsidR="00864A6D">
        <w:t xml:space="preserve"> of the spill location, and a further 1 km from the mining lease boundary</w:t>
      </w:r>
      <w:r w:rsidRPr="00705A30">
        <w:t xml:space="preserve">. </w:t>
      </w:r>
      <w:r>
        <w:t>Whilst t</w:t>
      </w:r>
      <w:r w:rsidRPr="00705A30">
        <w:t xml:space="preserve">here is likely to be connectivity between </w:t>
      </w:r>
      <w:r w:rsidR="007A15C5">
        <w:t>Corridor C</w:t>
      </w:r>
      <w:r>
        <w:t>reek and the groundwater system</w:t>
      </w:r>
      <w:r w:rsidRPr="00705A30">
        <w:t xml:space="preserve">, </w:t>
      </w:r>
      <w:r>
        <w:t>due to the dilution which will occur over that distance</w:t>
      </w:r>
      <w:r w:rsidR="002B1D3D">
        <w:t>, and</w:t>
      </w:r>
      <w:r w:rsidR="007A15C5">
        <w:t xml:space="preserve"> within the creek itself,</w:t>
      </w:r>
      <w:r>
        <w:t xml:space="preserve"> it is highly unlikely that the spill would result in any significant concentrations of solutes being transported </w:t>
      </w:r>
      <w:r w:rsidR="001013D4">
        <w:t>offsite</w:t>
      </w:r>
      <w:r>
        <w:t xml:space="preserve"> via the groundwater</w:t>
      </w:r>
      <w:r w:rsidR="00864A6D">
        <w:t>-surface water</w:t>
      </w:r>
      <w:r>
        <w:t xml:space="preserve"> pathway.</w:t>
      </w:r>
    </w:p>
    <w:p w:rsidR="00C77F7F" w:rsidRDefault="00C77F7F" w:rsidP="00266E77">
      <w:pPr>
        <w:pStyle w:val="Heading2"/>
      </w:pPr>
      <w:bookmarkStart w:id="273" w:name="_Toc390766603"/>
      <w:proofErr w:type="gramStart"/>
      <w:r>
        <w:t>5.3  Radiation</w:t>
      </w:r>
      <w:proofErr w:type="gramEnd"/>
      <w:r>
        <w:t xml:space="preserve"> exposure</w:t>
      </w:r>
      <w:bookmarkEnd w:id="273"/>
    </w:p>
    <w:p w:rsidR="00C77F7F" w:rsidRDefault="00C77F7F" w:rsidP="00C77F7F">
      <w:r>
        <w:t>Based upon analysis of leach slurry samples and radiological monitoring results SSD has assessed the likely dose to workers involved in cleaning up the leach slurry and to residents in the surrounding area.</w:t>
      </w:r>
    </w:p>
    <w:p w:rsidR="00C77F7F" w:rsidRDefault="00C77F7F" w:rsidP="00C77F7F">
      <w:r>
        <w:t xml:space="preserve">Cumulative effective dose to workers involved in the clean up was estimated to be typically in the order of 0.07 </w:t>
      </w:r>
      <w:proofErr w:type="spellStart"/>
      <w:r>
        <w:t>mSv</w:t>
      </w:r>
      <w:proofErr w:type="spellEnd"/>
      <w:r>
        <w:t xml:space="preserve"> and a maximum of 0.32 </w:t>
      </w:r>
      <w:proofErr w:type="spellStart"/>
      <w:r>
        <w:t>mSv</w:t>
      </w:r>
      <w:proofErr w:type="spellEnd"/>
      <w:r>
        <w:t xml:space="preserve">. This compares with the mean annual effective dose to Processing Production workers of 2 </w:t>
      </w:r>
      <w:proofErr w:type="spellStart"/>
      <w:r>
        <w:t>mSv</w:t>
      </w:r>
      <w:proofErr w:type="spellEnd"/>
      <w:r>
        <w:t xml:space="preserve"> per year and the annual dose limit for workers of 20 </w:t>
      </w:r>
      <w:proofErr w:type="spellStart"/>
      <w:r>
        <w:t>mSv</w:t>
      </w:r>
      <w:proofErr w:type="spellEnd"/>
      <w:r>
        <w:t xml:space="preserve"> per year.</w:t>
      </w:r>
    </w:p>
    <w:p w:rsidR="00C77F7F" w:rsidRDefault="00C77F7F" w:rsidP="00C77F7F">
      <w:r>
        <w:t xml:space="preserve">Results of atmospheric monitoring conducted by SSD indicated that there were no unusual increases in </w:t>
      </w:r>
      <w:r w:rsidR="00BF3E61">
        <w:t>radionuclide</w:t>
      </w:r>
      <w:r>
        <w:t xml:space="preserve"> concentrations in air at Jabiru Town or Jabiru East following the incident.</w:t>
      </w:r>
    </w:p>
    <w:p w:rsidR="002E7053" w:rsidRDefault="00C77F7F" w:rsidP="00C77F7F">
      <w:pPr>
        <w:sectPr w:rsidR="002E7053">
          <w:pgSz w:w="11906" w:h="16838" w:code="9"/>
          <w:pgMar w:top="1440" w:right="1800" w:bottom="1440" w:left="1800" w:header="1080" w:footer="835" w:gutter="0"/>
          <w:cols w:space="360"/>
          <w:noEndnote/>
        </w:sectPr>
      </w:pPr>
      <w:r>
        <w:t>It is concluded that the incident did not result in any increase in radiation risk to members of the public and that doses to workers involved in the cleanup operation were small in comparison to mean annual worker doses, and not of a level which would cause health concerns.</w:t>
      </w:r>
    </w:p>
    <w:p w:rsidR="00C77F7F" w:rsidRDefault="00C77F7F" w:rsidP="00C77F7F">
      <w:pPr>
        <w:pStyle w:val="Heading1"/>
      </w:pPr>
      <w:bookmarkStart w:id="274" w:name="_Toc390766604"/>
      <w:r>
        <w:t>6 Recommendations</w:t>
      </w:r>
      <w:bookmarkEnd w:id="274"/>
    </w:p>
    <w:p w:rsidR="00640FA6" w:rsidRDefault="00C77F7F" w:rsidP="007361A9">
      <w:r>
        <w:t>It is recommended that ERA</w:t>
      </w:r>
      <w:r w:rsidR="00640FA6">
        <w:t xml:space="preserve"> provide</w:t>
      </w:r>
      <w:r>
        <w:t xml:space="preserve"> the </w:t>
      </w:r>
      <w:r w:rsidR="00640FA6">
        <w:t xml:space="preserve">Ranger </w:t>
      </w:r>
      <w:proofErr w:type="spellStart"/>
      <w:r>
        <w:t>Minesite</w:t>
      </w:r>
      <w:proofErr w:type="spellEnd"/>
      <w:r>
        <w:t xml:space="preserve"> Technical Committee</w:t>
      </w:r>
      <w:r w:rsidR="00640FA6">
        <w:t xml:space="preserve"> with an implementation plan to address the recommendations of the </w:t>
      </w:r>
      <w:proofErr w:type="spellStart"/>
      <w:r w:rsidR="00640FA6">
        <w:t>Geosci</w:t>
      </w:r>
      <w:r w:rsidR="002E7053">
        <w:t>ence</w:t>
      </w:r>
      <w:proofErr w:type="spellEnd"/>
      <w:r w:rsidR="002E7053">
        <w:t xml:space="preserve"> Australia report including:</w:t>
      </w:r>
    </w:p>
    <w:p w:rsidR="00640FA6" w:rsidRDefault="00640FA6" w:rsidP="00D31101">
      <w:pPr>
        <w:pStyle w:val="ListParagraph"/>
        <w:numPr>
          <w:ilvl w:val="0"/>
          <w:numId w:val="26"/>
        </w:numPr>
      </w:pPr>
      <w:r>
        <w:t xml:space="preserve">an </w:t>
      </w:r>
      <w:r w:rsidR="00C77F7F">
        <w:t>increase</w:t>
      </w:r>
      <w:r>
        <w:t xml:space="preserve"> in</w:t>
      </w:r>
      <w:r w:rsidR="00C77F7F">
        <w:t xml:space="preserve"> the frequency and density of </w:t>
      </w:r>
      <w:r w:rsidR="003F331F">
        <w:t xml:space="preserve">routine </w:t>
      </w:r>
      <w:r w:rsidR="00C77F7F">
        <w:t xml:space="preserve">groundwater monitoring in both the plant area and the </w:t>
      </w:r>
      <w:r w:rsidR="003F331F">
        <w:t xml:space="preserve">Corridor Creek </w:t>
      </w:r>
      <w:r w:rsidR="00C77F7F">
        <w:t>region</w:t>
      </w:r>
    </w:p>
    <w:p w:rsidR="003B5590" w:rsidRDefault="003B5590" w:rsidP="00D31101">
      <w:pPr>
        <w:pStyle w:val="ListParagraph"/>
        <w:numPr>
          <w:ilvl w:val="0"/>
          <w:numId w:val="26"/>
        </w:numPr>
      </w:pPr>
      <w:r>
        <w:t>investigate the role of geological structures in groundwater movement to the east of the plant area, and</w:t>
      </w:r>
    </w:p>
    <w:p w:rsidR="003B5590" w:rsidRDefault="003B5590" w:rsidP="00D31101">
      <w:pPr>
        <w:pStyle w:val="ListParagraph"/>
        <w:numPr>
          <w:ilvl w:val="0"/>
          <w:numId w:val="26"/>
        </w:numPr>
      </w:pPr>
      <w:proofErr w:type="gramStart"/>
      <w:r>
        <w:t>continue</w:t>
      </w:r>
      <w:proofErr w:type="gramEnd"/>
      <w:r>
        <w:t xml:space="preserve"> the development and maintenance of a spatial database of groundwater data for the Ranger uranium mine.</w:t>
      </w:r>
    </w:p>
    <w:p w:rsidR="003B5590" w:rsidRDefault="003B5590" w:rsidP="003B5590"/>
    <w:p w:rsidR="003B5590" w:rsidRDefault="003B5590" w:rsidP="003B5590">
      <w:pPr>
        <w:sectPr w:rsidR="003B5590">
          <w:pgSz w:w="11906" w:h="16838" w:code="9"/>
          <w:pgMar w:top="1440" w:right="1800" w:bottom="1440" w:left="1800" w:header="1080" w:footer="835" w:gutter="0"/>
          <w:cols w:space="360"/>
          <w:noEndnote/>
        </w:sectPr>
      </w:pPr>
    </w:p>
    <w:p w:rsidR="000D0385" w:rsidRDefault="000D0385" w:rsidP="000D0385">
      <w:pPr>
        <w:pStyle w:val="Heading1"/>
      </w:pPr>
      <w:bookmarkStart w:id="275" w:name="_Toc390766605"/>
      <w:r>
        <w:t>References</w:t>
      </w:r>
      <w:bookmarkEnd w:id="270"/>
      <w:bookmarkEnd w:id="275"/>
    </w:p>
    <w:p w:rsidR="00DC0BC2" w:rsidRPr="002E7053" w:rsidRDefault="00DC0BC2" w:rsidP="002E7053">
      <w:pPr>
        <w:pStyle w:val="referencelist1"/>
      </w:pPr>
      <w:bookmarkStart w:id="276" w:name="_ENREF_1"/>
      <w:proofErr w:type="spellStart"/>
      <w:r w:rsidRPr="002E7053">
        <w:t>Akber</w:t>
      </w:r>
      <w:proofErr w:type="spellEnd"/>
      <w:r w:rsidRPr="002E7053">
        <w:t xml:space="preserve"> R, Lu P, </w:t>
      </w:r>
      <w:proofErr w:type="spellStart"/>
      <w:r w:rsidRPr="002E7053">
        <w:t>Bollhöfer</w:t>
      </w:r>
      <w:proofErr w:type="spellEnd"/>
      <w:r w:rsidRPr="002E7053">
        <w:t xml:space="preserve"> A &amp; </w:t>
      </w:r>
      <w:proofErr w:type="spellStart"/>
      <w:r w:rsidRPr="002E7053">
        <w:t>Gellert</w:t>
      </w:r>
      <w:proofErr w:type="spellEnd"/>
      <w:r w:rsidRPr="002E7053">
        <w:t xml:space="preserve"> C 2011. Radioactivity in land application areas estimated from historic water monitoring data. Energy Resources of Australia Ltd - Ranger Mine.</w:t>
      </w:r>
      <w:bookmarkEnd w:id="276"/>
    </w:p>
    <w:p w:rsidR="00B611CE" w:rsidRPr="002E7053" w:rsidRDefault="00B611CE" w:rsidP="002E7053">
      <w:pPr>
        <w:pStyle w:val="referencelist1"/>
      </w:pPr>
      <w:bookmarkStart w:id="277" w:name="_ENREF_2"/>
      <w:proofErr w:type="gramStart"/>
      <w:r w:rsidRPr="002E7053">
        <w:t>Alarcon Leon</w:t>
      </w:r>
      <w:r w:rsidR="006B255C">
        <w:t xml:space="preserve"> E, </w:t>
      </w:r>
      <w:proofErr w:type="spellStart"/>
      <w:r w:rsidR="006B255C">
        <w:t>Gellert</w:t>
      </w:r>
      <w:proofErr w:type="spellEnd"/>
      <w:r w:rsidR="006B255C">
        <w:t xml:space="preserve"> C &amp;</w:t>
      </w:r>
      <w:r w:rsidR="002E7053" w:rsidRPr="002E7053">
        <w:t xml:space="preserve"> </w:t>
      </w:r>
      <w:proofErr w:type="spellStart"/>
      <w:r w:rsidR="002E7053" w:rsidRPr="002E7053">
        <w:t>Puhalovich</w:t>
      </w:r>
      <w:proofErr w:type="spellEnd"/>
      <w:r w:rsidR="002E7053" w:rsidRPr="002E7053">
        <w:t xml:space="preserve"> A 2007b.</w:t>
      </w:r>
      <w:proofErr w:type="gramEnd"/>
      <w:r w:rsidRPr="002E7053">
        <w:t xml:space="preserve"> Position Paper: Current Status of Contaminated Sites at Ranger Mine and Proposed Way Forward. </w:t>
      </w:r>
      <w:proofErr w:type="gramStart"/>
      <w:r w:rsidRPr="002E7053">
        <w:t>EWL Sciences.</w:t>
      </w:r>
      <w:bookmarkEnd w:id="277"/>
      <w:proofErr w:type="gramEnd"/>
    </w:p>
    <w:p w:rsidR="00115418" w:rsidRPr="002E7053" w:rsidRDefault="002E7053" w:rsidP="002E7053">
      <w:pPr>
        <w:pStyle w:val="referencelist1"/>
      </w:pPr>
      <w:proofErr w:type="gramStart"/>
      <w:r w:rsidRPr="002E7053">
        <w:t>Anon 1975.</w:t>
      </w:r>
      <w:proofErr w:type="gramEnd"/>
      <w:r w:rsidR="00115418" w:rsidRPr="002E7053">
        <w:t xml:space="preserve"> </w:t>
      </w:r>
      <w:proofErr w:type="spellStart"/>
      <w:proofErr w:type="gramStart"/>
      <w:r w:rsidR="00115418" w:rsidRPr="002E7053">
        <w:t>Munsell</w:t>
      </w:r>
      <w:proofErr w:type="spellEnd"/>
      <w:r w:rsidR="00115418" w:rsidRPr="002E7053">
        <w:t xml:space="preserve">® Soil </w:t>
      </w:r>
      <w:proofErr w:type="spellStart"/>
      <w:r w:rsidR="00115418" w:rsidRPr="002E7053">
        <w:t>Color</w:t>
      </w:r>
      <w:proofErr w:type="spellEnd"/>
      <w:r w:rsidR="00115418" w:rsidRPr="002E7053">
        <w:t xml:space="preserve"> Charts.</w:t>
      </w:r>
      <w:proofErr w:type="gramEnd"/>
      <w:r w:rsidR="00115418" w:rsidRPr="002E7053">
        <w:t xml:space="preserve"> Frank McCarthy </w:t>
      </w:r>
      <w:proofErr w:type="spellStart"/>
      <w:r w:rsidR="00115418" w:rsidRPr="002E7053">
        <w:t>Color</w:t>
      </w:r>
      <w:proofErr w:type="spellEnd"/>
      <w:r w:rsidR="00115418" w:rsidRPr="002E7053">
        <w:t xml:space="preserve"> Pty Ltd, Kew.</w:t>
      </w:r>
    </w:p>
    <w:p w:rsidR="00115418" w:rsidRPr="002E7053" w:rsidRDefault="00115418" w:rsidP="002E7053">
      <w:pPr>
        <w:pStyle w:val="referencelist1"/>
      </w:pPr>
      <w:proofErr w:type="gramStart"/>
      <w:r w:rsidRPr="002E7053">
        <w:t xml:space="preserve">Chartres CJ, Walker PH, Willett IR, East TJ, Cull RF, </w:t>
      </w:r>
      <w:proofErr w:type="spellStart"/>
      <w:r w:rsidRPr="002E7053">
        <w:t>Talsma</w:t>
      </w:r>
      <w:proofErr w:type="spellEnd"/>
      <w:r w:rsidRPr="002E7053">
        <w:t xml:space="preserve"> T &amp; Bond WJ 1991.</w:t>
      </w:r>
      <w:proofErr w:type="gramEnd"/>
      <w:r w:rsidRPr="002E7053">
        <w:t xml:space="preserve"> </w:t>
      </w:r>
      <w:proofErr w:type="gramStart"/>
      <w:r w:rsidRPr="002E7053">
        <w:t>Soils and hydrology of Ranger Uranium Mine sites in relation to application of retention pond water.</w:t>
      </w:r>
      <w:proofErr w:type="gramEnd"/>
      <w:r w:rsidRPr="002E7053">
        <w:t xml:space="preserve"> Technical Memorandum 34, Supervising Scientist for the Alligator Rivers Region, AGPS, Canberra.</w:t>
      </w:r>
    </w:p>
    <w:p w:rsidR="0002502F" w:rsidRPr="002E7053" w:rsidRDefault="0002502F" w:rsidP="002E7053">
      <w:pPr>
        <w:pStyle w:val="referencelist1"/>
      </w:pPr>
      <w:proofErr w:type="spellStart"/>
      <w:proofErr w:type="gramStart"/>
      <w:r w:rsidRPr="002E7053">
        <w:t>Cresswell</w:t>
      </w:r>
      <w:proofErr w:type="spellEnd"/>
      <w:r w:rsidRPr="002E7053">
        <w:t xml:space="preserve"> HP &amp;</w:t>
      </w:r>
      <w:r w:rsidR="002E7053" w:rsidRPr="002E7053">
        <w:t xml:space="preserve"> Hamilton 2002.</w:t>
      </w:r>
      <w:proofErr w:type="gramEnd"/>
      <w:r w:rsidRPr="002E7053">
        <w:t xml:space="preserve"> </w:t>
      </w:r>
      <w:proofErr w:type="gramStart"/>
      <w:r w:rsidRPr="002E7053">
        <w:t>Particle Size Analysis.</w:t>
      </w:r>
      <w:proofErr w:type="gramEnd"/>
      <w:r w:rsidRPr="002E7053">
        <w:t xml:space="preserve"> In: Soil Physical Measurement and Interpretation </w:t>
      </w:r>
      <w:proofErr w:type="gramStart"/>
      <w:r w:rsidRPr="002E7053">
        <w:t>For</w:t>
      </w:r>
      <w:proofErr w:type="gramEnd"/>
      <w:r w:rsidRPr="002E7053">
        <w:t xml:space="preserve"> Land Evaluation. (Eds. NJ McKenzie, HP </w:t>
      </w:r>
      <w:proofErr w:type="spellStart"/>
      <w:r w:rsidRPr="002E7053">
        <w:t>Cresswell</w:t>
      </w:r>
      <w:proofErr w:type="spellEnd"/>
      <w:r w:rsidRPr="002E7053">
        <w:t xml:space="preserve"> and KJ </w:t>
      </w:r>
      <w:proofErr w:type="spellStart"/>
      <w:r w:rsidRPr="002E7053">
        <w:t>Coughlan</w:t>
      </w:r>
      <w:proofErr w:type="spellEnd"/>
      <w:r w:rsidRPr="002E7053">
        <w:t>) CSIRO Publishing: Collingwood, Victoria. pp 224</w:t>
      </w:r>
      <w:r w:rsidR="002E7053" w:rsidRPr="002E7053">
        <w:t>–</w:t>
      </w:r>
      <w:r w:rsidRPr="002E7053">
        <w:t>239</w:t>
      </w:r>
      <w:r w:rsidR="00943E3A">
        <w:t>.</w:t>
      </w:r>
    </w:p>
    <w:p w:rsidR="00DC0BC2" w:rsidRPr="002E7053" w:rsidRDefault="00DC0BC2" w:rsidP="002E7053">
      <w:pPr>
        <w:pStyle w:val="referencelist1"/>
      </w:pPr>
      <w:proofErr w:type="gramStart"/>
      <w:r w:rsidRPr="002E7053">
        <w:t>ERA 2013.</w:t>
      </w:r>
      <w:proofErr w:type="gramEnd"/>
      <w:r w:rsidRPr="002E7053">
        <w:t xml:space="preserve"> </w:t>
      </w:r>
      <w:proofErr w:type="gramStart"/>
      <w:r w:rsidRPr="002E7053">
        <w:t xml:space="preserve">ERA Ranger water management plan </w:t>
      </w:r>
      <w:r w:rsidR="00943E3A">
        <w:t>2013</w:t>
      </w:r>
      <w:r w:rsidR="00943E3A">
        <w:softHyphen/>
        <w:t>–</w:t>
      </w:r>
      <w:r w:rsidR="001013D4" w:rsidRPr="002E7053">
        <w:t>14</w:t>
      </w:r>
      <w:r w:rsidRPr="002E7053">
        <w:t>.</w:t>
      </w:r>
      <w:proofErr w:type="gramEnd"/>
      <w:r w:rsidRPr="002E7053">
        <w:t xml:space="preserve"> Energy Resources of Australia Ltd – Ranger Mine. RWMP001.</w:t>
      </w:r>
    </w:p>
    <w:p w:rsidR="00DC0BC2" w:rsidRPr="002E7053" w:rsidRDefault="002E7053" w:rsidP="002E7053">
      <w:pPr>
        <w:pStyle w:val="referencelist1"/>
      </w:pPr>
      <w:proofErr w:type="gramStart"/>
      <w:r>
        <w:t xml:space="preserve">ERA </w:t>
      </w:r>
      <w:r w:rsidR="00DC0BC2" w:rsidRPr="002E7053">
        <w:t>201</w:t>
      </w:r>
      <w:r w:rsidR="00C77F7F" w:rsidRPr="002E7053">
        <w:t>4</w:t>
      </w:r>
      <w:r w:rsidR="00DC0BC2" w:rsidRPr="002E7053">
        <w:t>.</w:t>
      </w:r>
      <w:proofErr w:type="gramEnd"/>
      <w:r w:rsidR="00DC0BC2" w:rsidRPr="002E7053">
        <w:t xml:space="preserve"> Radiation Protection and Atmospheric Monitoring Program: Report for the Year ending 31 December 201</w:t>
      </w:r>
      <w:r w:rsidR="00C77F7F" w:rsidRPr="002E7053">
        <w:t>3</w:t>
      </w:r>
      <w:r w:rsidR="00DC0BC2" w:rsidRPr="002E7053">
        <w:t xml:space="preserve">. Energy Resources of Australia Ltd – Ranger Mine. </w:t>
      </w:r>
      <w:proofErr w:type="gramStart"/>
      <w:r w:rsidRPr="002E7053">
        <w:t>RSRP-1304–</w:t>
      </w:r>
      <w:r w:rsidR="00DC0BC2" w:rsidRPr="002E7053">
        <w:t>01.</w:t>
      </w:r>
      <w:proofErr w:type="gramEnd"/>
    </w:p>
    <w:p w:rsidR="00B611CE" w:rsidRPr="002E7053" w:rsidRDefault="00B611CE" w:rsidP="002E7053">
      <w:pPr>
        <w:pStyle w:val="referencelist1"/>
      </w:pPr>
      <w:proofErr w:type="gramStart"/>
      <w:r w:rsidRPr="002E7053">
        <w:t>Ene</w:t>
      </w:r>
      <w:r w:rsidR="002E7053" w:rsidRPr="002E7053">
        <w:t>rgy Resources of Australia Ltd 2013.</w:t>
      </w:r>
      <w:proofErr w:type="gramEnd"/>
      <w:r w:rsidRPr="002E7053">
        <w:t xml:space="preserve"> 6. Water Quality Monitoring. </w:t>
      </w:r>
      <w:proofErr w:type="gramStart"/>
      <w:r w:rsidRPr="002E7053">
        <w:t>ERA Ranger Water Management Plan.</w:t>
      </w:r>
      <w:proofErr w:type="gramEnd"/>
    </w:p>
    <w:p w:rsidR="00DC0BC2" w:rsidRPr="002E7053" w:rsidRDefault="00DC0BC2" w:rsidP="002E7053">
      <w:pPr>
        <w:pStyle w:val="referencelist1"/>
      </w:pPr>
      <w:proofErr w:type="spellStart"/>
      <w:proofErr w:type="gramStart"/>
      <w:r w:rsidRPr="002E7053">
        <w:t>Esparon</w:t>
      </w:r>
      <w:proofErr w:type="spellEnd"/>
      <w:r w:rsidRPr="002E7053">
        <w:t xml:space="preserve"> A &amp; </w:t>
      </w:r>
      <w:proofErr w:type="spellStart"/>
      <w:r w:rsidRPr="002E7053">
        <w:t>Pfitzner</w:t>
      </w:r>
      <w:proofErr w:type="spellEnd"/>
      <w:r w:rsidRPr="002E7053">
        <w:t xml:space="preserve"> J 2010.</w:t>
      </w:r>
      <w:proofErr w:type="gramEnd"/>
      <w:r w:rsidRPr="002E7053">
        <w:t xml:space="preserve"> Visual gamma: </w:t>
      </w:r>
      <w:proofErr w:type="spellStart"/>
      <w:r w:rsidRPr="002E7053">
        <w:t>eriss</w:t>
      </w:r>
      <w:proofErr w:type="spellEnd"/>
      <w:r w:rsidRPr="002E7053">
        <w:t xml:space="preserve"> gamma analysis technical manual. Internal Report 539, December, Supervising Scientist, Darwin.</w:t>
      </w:r>
    </w:p>
    <w:p w:rsidR="00DC0BC2" w:rsidRPr="002E7053" w:rsidRDefault="00DC0BC2" w:rsidP="002E7053">
      <w:pPr>
        <w:pStyle w:val="referencelist1"/>
      </w:pPr>
      <w:proofErr w:type="spellStart"/>
      <w:proofErr w:type="gramStart"/>
      <w:r w:rsidRPr="002E7053">
        <w:t>Gellert</w:t>
      </w:r>
      <w:proofErr w:type="spellEnd"/>
      <w:r w:rsidRPr="002E7053">
        <w:t xml:space="preserve"> C &amp; Jones C 2008.</w:t>
      </w:r>
      <w:proofErr w:type="gramEnd"/>
      <w:r w:rsidRPr="002E7053">
        <w:t xml:space="preserve"> Status of contaminates sites at the Ranger mine as of December 2007. </w:t>
      </w:r>
    </w:p>
    <w:p w:rsidR="00B611CE" w:rsidRPr="002E7053" w:rsidRDefault="002E7053" w:rsidP="002E7053">
      <w:pPr>
        <w:pStyle w:val="referencelist1"/>
      </w:pPr>
      <w:proofErr w:type="spellStart"/>
      <w:proofErr w:type="gramStart"/>
      <w:r>
        <w:t>Gellert</w:t>
      </w:r>
      <w:proofErr w:type="spellEnd"/>
      <w:r>
        <w:t xml:space="preserve"> C 2009.</w:t>
      </w:r>
      <w:proofErr w:type="gramEnd"/>
      <w:r w:rsidR="00B611CE" w:rsidRPr="002E7053">
        <w:t xml:space="preserve"> Ranger Contaminated Sites Investigation: 2008 Groundwater Sampling for ERA Ranger Mine. </w:t>
      </w:r>
      <w:proofErr w:type="gramStart"/>
      <w:r w:rsidR="00B611CE" w:rsidRPr="002E7053">
        <w:t>EWL Sciences.</w:t>
      </w:r>
      <w:proofErr w:type="gramEnd"/>
    </w:p>
    <w:p w:rsidR="00115418" w:rsidRPr="002E7053" w:rsidRDefault="002E7053" w:rsidP="002E7053">
      <w:pPr>
        <w:pStyle w:val="referencelist1"/>
      </w:pPr>
      <w:proofErr w:type="spellStart"/>
      <w:proofErr w:type="gramStart"/>
      <w:r w:rsidRPr="002E7053">
        <w:t>Gellert</w:t>
      </w:r>
      <w:proofErr w:type="spellEnd"/>
      <w:r w:rsidRPr="002E7053">
        <w:t xml:space="preserve"> C </w:t>
      </w:r>
      <w:r>
        <w:t>&amp;</w:t>
      </w:r>
      <w:r w:rsidRPr="002E7053">
        <w:t xml:space="preserve"> Jones C 2008.</w:t>
      </w:r>
      <w:proofErr w:type="gramEnd"/>
      <w:r w:rsidR="00115418" w:rsidRPr="002E7053">
        <w:t xml:space="preserve"> Status of Contaminated Sites at the Ranger Mine as of December, 2007. </w:t>
      </w:r>
      <w:proofErr w:type="gramStart"/>
      <w:r w:rsidR="00115418" w:rsidRPr="002E7053">
        <w:t>EWL Sciences.</w:t>
      </w:r>
      <w:proofErr w:type="gramEnd"/>
    </w:p>
    <w:p w:rsidR="00115418" w:rsidRPr="002E7053" w:rsidRDefault="002E7053" w:rsidP="002E7053">
      <w:pPr>
        <w:pStyle w:val="referencelist1"/>
      </w:pPr>
      <w:proofErr w:type="spellStart"/>
      <w:proofErr w:type="gramStart"/>
      <w:r w:rsidRPr="002E7053">
        <w:t>Golder</w:t>
      </w:r>
      <w:proofErr w:type="spellEnd"/>
      <w:r w:rsidRPr="002E7053">
        <w:t xml:space="preserve"> Associates Pty Ltd. 2011.</w:t>
      </w:r>
      <w:proofErr w:type="gramEnd"/>
      <w:r w:rsidR="00115418" w:rsidRPr="002E7053">
        <w:t xml:space="preserve"> </w:t>
      </w:r>
      <w:proofErr w:type="gramStart"/>
      <w:r w:rsidR="00115418" w:rsidRPr="002E7053">
        <w:t xml:space="preserve">Initial three-dimensional solute transport </w:t>
      </w:r>
      <w:proofErr w:type="spellStart"/>
      <w:r w:rsidR="00115418" w:rsidRPr="002E7053">
        <w:t>moelling</w:t>
      </w:r>
      <w:proofErr w:type="spellEnd"/>
      <w:r w:rsidR="00115418" w:rsidRPr="002E7053">
        <w:t xml:space="preserve"> of the Ranger Uranium Mine tailings dam.</w:t>
      </w:r>
      <w:proofErr w:type="gramEnd"/>
      <w:r w:rsidR="00115418" w:rsidRPr="002E7053">
        <w:t xml:space="preserve"> </w:t>
      </w:r>
      <w:proofErr w:type="spellStart"/>
      <w:r w:rsidR="00115418" w:rsidRPr="002E7053">
        <w:t>Golder</w:t>
      </w:r>
      <w:proofErr w:type="spellEnd"/>
      <w:r w:rsidR="00115418" w:rsidRPr="002E7053">
        <w:t xml:space="preserve"> Associates Pty Ltd.</w:t>
      </w:r>
    </w:p>
    <w:p w:rsidR="00115418" w:rsidRPr="002E7053" w:rsidRDefault="002E7053" w:rsidP="002E7053">
      <w:pPr>
        <w:pStyle w:val="referencelist1"/>
      </w:pPr>
      <w:proofErr w:type="gramStart"/>
      <w:r w:rsidRPr="002E7053">
        <w:t>Hollingsworth I 2006.</w:t>
      </w:r>
      <w:proofErr w:type="gramEnd"/>
      <w:r w:rsidR="00115418" w:rsidRPr="002E7053">
        <w:t xml:space="preserve"> </w:t>
      </w:r>
      <w:proofErr w:type="gramStart"/>
      <w:r w:rsidR="00115418" w:rsidRPr="002E7053">
        <w:t>Contaminated Soil Investigation Ranger mine for ERA Ranger Mine by EWL Sciences Pty Ltd. EWL Sciences Report.</w:t>
      </w:r>
      <w:proofErr w:type="gramEnd"/>
    </w:p>
    <w:p w:rsidR="00DC0BC2" w:rsidRPr="002E7053" w:rsidRDefault="00DC0BC2" w:rsidP="002E7053">
      <w:pPr>
        <w:pStyle w:val="referencelist1"/>
      </w:pPr>
      <w:proofErr w:type="gramStart"/>
      <w:r w:rsidRPr="002E7053">
        <w:t>ICRP 1994.</w:t>
      </w:r>
      <w:proofErr w:type="gramEnd"/>
      <w:r w:rsidRPr="002E7053">
        <w:t xml:space="preserve"> </w:t>
      </w:r>
      <w:proofErr w:type="gramStart"/>
      <w:r w:rsidRPr="002E7053">
        <w:t>Human respiratory tract model for radiological protection.</w:t>
      </w:r>
      <w:proofErr w:type="gramEnd"/>
      <w:r w:rsidRPr="002E7053">
        <w:t xml:space="preserve"> ICRP Publication 66, Annals of the ICRP 24(1–3).</w:t>
      </w:r>
    </w:p>
    <w:p w:rsidR="00DC0BC2" w:rsidRPr="002E7053" w:rsidRDefault="00DC0BC2" w:rsidP="002E7053">
      <w:pPr>
        <w:pStyle w:val="referencelist1"/>
      </w:pPr>
      <w:proofErr w:type="gramStart"/>
      <w:r w:rsidRPr="002E7053">
        <w:t>ICRP 1995.</w:t>
      </w:r>
      <w:proofErr w:type="gramEnd"/>
      <w:r w:rsidRPr="002E7053">
        <w:t xml:space="preserve"> Age-dependent Doses to Members of the Public from Intake of Radionuclides - Part 4 Inhalation Dose Coefficients. </w:t>
      </w:r>
      <w:proofErr w:type="gramStart"/>
      <w:r w:rsidRPr="002E7053">
        <w:t>ICRP Publicat</w:t>
      </w:r>
      <w:r w:rsidR="002E7053">
        <w:t>ion 71.</w:t>
      </w:r>
      <w:proofErr w:type="gramEnd"/>
      <w:r w:rsidR="002E7053">
        <w:t xml:space="preserve"> Annals of the ICRP 25(3–</w:t>
      </w:r>
      <w:r w:rsidRPr="002E7053">
        <w:t>4).</w:t>
      </w:r>
    </w:p>
    <w:p w:rsidR="00DC0BC2" w:rsidRPr="002E7053" w:rsidRDefault="00DC0BC2" w:rsidP="002E7053">
      <w:pPr>
        <w:pStyle w:val="referencelist1"/>
      </w:pPr>
      <w:proofErr w:type="gramStart"/>
      <w:r w:rsidRPr="002E7053">
        <w:t>ICRP 1996.</w:t>
      </w:r>
      <w:proofErr w:type="gramEnd"/>
      <w:r w:rsidRPr="002E7053">
        <w:t xml:space="preserve"> Age-dependent doses to members of the public from intake of radionuclides: Part 5 compilation of ingestion and inhalation dose coefficients. </w:t>
      </w:r>
      <w:proofErr w:type="gramStart"/>
      <w:r w:rsidRPr="002E7053">
        <w:t>ICRP Publication 72, Annals of the ICRP 26(1).</w:t>
      </w:r>
      <w:proofErr w:type="gramEnd"/>
    </w:p>
    <w:p w:rsidR="00115418" w:rsidRPr="002E7053" w:rsidRDefault="002E7053" w:rsidP="002E7053">
      <w:pPr>
        <w:pStyle w:val="referencelist1"/>
      </w:pPr>
      <w:proofErr w:type="spellStart"/>
      <w:proofErr w:type="gramStart"/>
      <w:r>
        <w:t>Klessa</w:t>
      </w:r>
      <w:proofErr w:type="spellEnd"/>
      <w:r>
        <w:t xml:space="preserve"> DA 2001.</w:t>
      </w:r>
      <w:proofErr w:type="gramEnd"/>
      <w:r w:rsidR="00115418" w:rsidRPr="002E7053">
        <w:t xml:space="preserve"> </w:t>
      </w:r>
      <w:proofErr w:type="gramStart"/>
      <w:r w:rsidR="00115418" w:rsidRPr="002E7053">
        <w:t>A review of groundwater chemistry monitoring data at Ranger.</w:t>
      </w:r>
      <w:proofErr w:type="gramEnd"/>
      <w:r w:rsidR="00115418" w:rsidRPr="002E7053">
        <w:t xml:space="preserve"> </w:t>
      </w:r>
      <w:proofErr w:type="gramStart"/>
      <w:r w:rsidR="00115418" w:rsidRPr="002E7053">
        <w:t>Supervising Scientist Internal Report 363.</w:t>
      </w:r>
      <w:proofErr w:type="gramEnd"/>
      <w:r w:rsidR="00115418" w:rsidRPr="002E7053">
        <w:t xml:space="preserve"> </w:t>
      </w:r>
      <w:proofErr w:type="gramStart"/>
      <w:r w:rsidR="00115418" w:rsidRPr="002E7053">
        <w:t>Supervising Scientist Division, Department of the Environment, Water, Heritage and the Arts, Darwin.</w:t>
      </w:r>
      <w:proofErr w:type="gramEnd"/>
    </w:p>
    <w:p w:rsidR="00DC0BC2" w:rsidRPr="002E7053" w:rsidRDefault="00DC0BC2" w:rsidP="002E7053">
      <w:pPr>
        <w:pStyle w:val="referencelist1"/>
      </w:pPr>
      <w:proofErr w:type="gramStart"/>
      <w:r w:rsidRPr="002E7053">
        <w:t>Lawrence C 2005.</w:t>
      </w:r>
      <w:proofErr w:type="gramEnd"/>
      <w:r w:rsidRPr="002E7053">
        <w:t xml:space="preserve"> </w:t>
      </w:r>
      <w:proofErr w:type="gramStart"/>
      <w:r w:rsidRPr="002E7053">
        <w:t>Measurement of 222Rn exhalation rates and 210Pb deposition rates in a tropical environment.</w:t>
      </w:r>
      <w:proofErr w:type="gramEnd"/>
      <w:r w:rsidRPr="002E7053">
        <w:t xml:space="preserve"> </w:t>
      </w:r>
      <w:proofErr w:type="gramStart"/>
      <w:r w:rsidRPr="002E7053">
        <w:t>PhD thesis, Queensland University of Technology, Brisbane.</w:t>
      </w:r>
      <w:proofErr w:type="gramEnd"/>
    </w:p>
    <w:p w:rsidR="006F62A8" w:rsidRPr="002E7053" w:rsidRDefault="002E7053" w:rsidP="002E7053">
      <w:pPr>
        <w:pStyle w:val="referencelist1"/>
      </w:pPr>
      <w:proofErr w:type="gramStart"/>
      <w:r>
        <w:t>McDonald RC &amp; Isbell RF 2009.</w:t>
      </w:r>
      <w:proofErr w:type="gramEnd"/>
      <w:r w:rsidR="006F62A8" w:rsidRPr="002E7053">
        <w:t xml:space="preserve"> </w:t>
      </w:r>
      <w:proofErr w:type="gramStart"/>
      <w:r w:rsidR="006F62A8" w:rsidRPr="002E7053">
        <w:t>Soil profile.</w:t>
      </w:r>
      <w:proofErr w:type="gramEnd"/>
      <w:r w:rsidR="006F62A8" w:rsidRPr="002E7053">
        <w:t xml:space="preserve"> In: The National Committee on Soil and Terrain, Australian Soil and Land Survey Field Handbook. Third Edition, CSI</w:t>
      </w:r>
      <w:r w:rsidR="006B255C">
        <w:t>RO Publishing, Collingwood, 147–</w:t>
      </w:r>
      <w:r w:rsidR="006F62A8" w:rsidRPr="002E7053">
        <w:t>204.</w:t>
      </w:r>
    </w:p>
    <w:p w:rsidR="00DC0BC2" w:rsidRPr="002E7053" w:rsidRDefault="00DC0BC2" w:rsidP="002E7053">
      <w:pPr>
        <w:pStyle w:val="referencelist1"/>
      </w:pPr>
      <w:proofErr w:type="gramStart"/>
      <w:r w:rsidRPr="002E7053">
        <w:t xml:space="preserve">Medley P, </w:t>
      </w:r>
      <w:proofErr w:type="spellStart"/>
      <w:r w:rsidRPr="002E7053">
        <w:t>Bollhöfer</w:t>
      </w:r>
      <w:proofErr w:type="spellEnd"/>
      <w:r w:rsidRPr="002E7053">
        <w:t xml:space="preserve"> A, Iles M, Ryan B &amp; Martin P 2005.</w:t>
      </w:r>
      <w:proofErr w:type="gramEnd"/>
      <w:r w:rsidRPr="002E7053">
        <w:t xml:space="preserve"> </w:t>
      </w:r>
      <w:proofErr w:type="gramStart"/>
      <w:r w:rsidRPr="002E7053">
        <w:t>Barium sulphate method for radium-226 analysis by alpha spectrometry.</w:t>
      </w:r>
      <w:proofErr w:type="gramEnd"/>
      <w:r w:rsidRPr="002E7053">
        <w:t xml:space="preserve"> </w:t>
      </w:r>
      <w:proofErr w:type="gramStart"/>
      <w:r w:rsidRPr="002E7053">
        <w:t>Internal Report 501, June, Supervising Scientist, Darwin.</w:t>
      </w:r>
      <w:proofErr w:type="gramEnd"/>
      <w:r w:rsidRPr="002E7053">
        <w:t xml:space="preserve"> </w:t>
      </w:r>
      <w:proofErr w:type="gramStart"/>
      <w:r w:rsidRPr="002E7053">
        <w:t>Unpublished paper.</w:t>
      </w:r>
      <w:proofErr w:type="gramEnd"/>
    </w:p>
    <w:p w:rsidR="00DC0BC2" w:rsidRPr="002E7053" w:rsidRDefault="00DC0BC2" w:rsidP="002E7053">
      <w:pPr>
        <w:pStyle w:val="referencelist1"/>
      </w:pPr>
      <w:proofErr w:type="gramStart"/>
      <w:r w:rsidRPr="002E7053">
        <w:t>Murray AS, M</w:t>
      </w:r>
      <w:r w:rsidR="002E7053">
        <w:t>arten R, Johnston A &amp; Martin P 1987</w:t>
      </w:r>
      <w:r w:rsidRPr="002E7053">
        <w:t>.</w:t>
      </w:r>
      <w:proofErr w:type="gramEnd"/>
      <w:r w:rsidRPr="002E7053">
        <w:t xml:space="preserve">  </w:t>
      </w:r>
      <w:proofErr w:type="gramStart"/>
      <w:r w:rsidRPr="002E7053">
        <w:t>Analysis for naturally occurring radionuclides at environmental concentrations by gamma spectrometry.</w:t>
      </w:r>
      <w:proofErr w:type="gramEnd"/>
      <w:r w:rsidRPr="002E7053">
        <w:t xml:space="preserve"> </w:t>
      </w:r>
      <w:r w:rsidRPr="002E7053">
        <w:rPr>
          <w:i/>
        </w:rPr>
        <w:t xml:space="preserve">Journal of </w:t>
      </w:r>
      <w:proofErr w:type="spellStart"/>
      <w:r w:rsidRPr="002E7053">
        <w:rPr>
          <w:i/>
        </w:rPr>
        <w:t>Radioanalytical</w:t>
      </w:r>
      <w:proofErr w:type="spellEnd"/>
      <w:r w:rsidRPr="002E7053">
        <w:rPr>
          <w:i/>
        </w:rPr>
        <w:t xml:space="preserve"> and Nuclear Chemistry</w:t>
      </w:r>
      <w:r w:rsidRPr="002E7053">
        <w:t>, Articles 115, 263–288.</w:t>
      </w:r>
    </w:p>
    <w:p w:rsidR="00E52E50" w:rsidRPr="002E7053" w:rsidRDefault="00E52E50" w:rsidP="002E7053">
      <w:pPr>
        <w:pStyle w:val="referencelist1"/>
      </w:pPr>
      <w:proofErr w:type="spellStart"/>
      <w:proofErr w:type="gramStart"/>
      <w:r w:rsidRPr="002E7053">
        <w:t>Noller</w:t>
      </w:r>
      <w:proofErr w:type="spellEnd"/>
      <w:r w:rsidRPr="002E7053">
        <w:t xml:space="preserve"> BN, </w:t>
      </w:r>
      <w:proofErr w:type="spellStart"/>
      <w:r w:rsidRPr="002E7053">
        <w:t>Currey</w:t>
      </w:r>
      <w:proofErr w:type="spellEnd"/>
      <w:r w:rsidRPr="002E7053">
        <w:t xml:space="preserve"> NA, Ayers GP &amp; Gillett RW 1990.</w:t>
      </w:r>
      <w:proofErr w:type="gramEnd"/>
      <w:r w:rsidRPr="002E7053">
        <w:t xml:space="preserve"> </w:t>
      </w:r>
      <w:proofErr w:type="gramStart"/>
      <w:r w:rsidRPr="002E7053">
        <w:t>Chemical composition and acidity of rainfall in the Alligator Rivers Region, Northern Territory, Australia.</w:t>
      </w:r>
      <w:proofErr w:type="gramEnd"/>
      <w:r w:rsidRPr="002E7053">
        <w:t xml:space="preserve"> </w:t>
      </w:r>
      <w:r w:rsidRPr="002E7053">
        <w:rPr>
          <w:i/>
        </w:rPr>
        <w:t xml:space="preserve">Science </w:t>
      </w:r>
      <w:r w:rsidR="002E7053" w:rsidRPr="002E7053">
        <w:rPr>
          <w:i/>
        </w:rPr>
        <w:t>of the Total Environment</w:t>
      </w:r>
      <w:r w:rsidR="002E7053">
        <w:t xml:space="preserve"> 91, 23–</w:t>
      </w:r>
      <w:r w:rsidRPr="002E7053">
        <w:t>48.</w:t>
      </w:r>
    </w:p>
    <w:p w:rsidR="00DC0BC2" w:rsidRPr="002E7053" w:rsidRDefault="00DC0BC2" w:rsidP="002E7053">
      <w:pPr>
        <w:pStyle w:val="referencelist1"/>
      </w:pPr>
      <w:proofErr w:type="spellStart"/>
      <w:proofErr w:type="gramStart"/>
      <w:r w:rsidRPr="002E7053">
        <w:t>Pfitzner</w:t>
      </w:r>
      <w:proofErr w:type="spellEnd"/>
      <w:r w:rsidRPr="002E7053">
        <w:t xml:space="preserve"> J 2010.</w:t>
      </w:r>
      <w:proofErr w:type="gramEnd"/>
      <w:r w:rsidRPr="002E7053">
        <w:t xml:space="preserve"> </w:t>
      </w:r>
      <w:proofErr w:type="spellStart"/>
      <w:proofErr w:type="gramStart"/>
      <w:r w:rsidRPr="009D5BC3">
        <w:rPr>
          <w:b/>
          <w:i/>
          <w:sz w:val="24"/>
          <w:szCs w:val="24"/>
        </w:rPr>
        <w:t>eriss</w:t>
      </w:r>
      <w:proofErr w:type="spellEnd"/>
      <w:proofErr w:type="gramEnd"/>
      <w:r w:rsidRPr="002E7053">
        <w:t xml:space="preserve"> </w:t>
      </w:r>
      <w:proofErr w:type="spellStart"/>
      <w:r w:rsidRPr="002E7053">
        <w:t>HPGe</w:t>
      </w:r>
      <w:proofErr w:type="spellEnd"/>
      <w:r w:rsidRPr="002E7053">
        <w:t xml:space="preserve"> detector calibration. Internal Report 576, October, Supervising Scientist, Darwin. </w:t>
      </w:r>
      <w:proofErr w:type="gramStart"/>
      <w:r w:rsidRPr="002E7053">
        <w:t>Unpublished paper.</w:t>
      </w:r>
      <w:proofErr w:type="gramEnd"/>
    </w:p>
    <w:p w:rsidR="00115418" w:rsidRPr="002E7053" w:rsidRDefault="002E7053" w:rsidP="002E7053">
      <w:pPr>
        <w:pStyle w:val="referencelist1"/>
      </w:pPr>
      <w:proofErr w:type="spellStart"/>
      <w:r>
        <w:t>Puhalovich</w:t>
      </w:r>
      <w:proofErr w:type="spellEnd"/>
      <w:r>
        <w:t xml:space="preserve"> A 2010.</w:t>
      </w:r>
      <w:r w:rsidR="00115418" w:rsidRPr="002E7053">
        <w:t xml:space="preserve"> </w:t>
      </w:r>
      <w:proofErr w:type="gramStart"/>
      <w:r w:rsidR="00115418" w:rsidRPr="002E7053">
        <w:t xml:space="preserve">Evolution of conceptual </w:t>
      </w:r>
      <w:proofErr w:type="spellStart"/>
      <w:r w:rsidR="00115418" w:rsidRPr="002E7053">
        <w:t>hydrogeological</w:t>
      </w:r>
      <w:proofErr w:type="spellEnd"/>
      <w:r w:rsidR="00115418" w:rsidRPr="002E7053">
        <w:t xml:space="preserve"> models, Ranger Uranium Mine, Northern Territory.</w:t>
      </w:r>
      <w:proofErr w:type="gramEnd"/>
      <w:r w:rsidR="00115418" w:rsidRPr="002E7053">
        <w:t xml:space="preserve"> Groundwater2010.</w:t>
      </w:r>
    </w:p>
    <w:p w:rsidR="00DC0BC2" w:rsidRPr="002E7053" w:rsidRDefault="00DC0BC2" w:rsidP="002E7053">
      <w:pPr>
        <w:pStyle w:val="referencelist1"/>
      </w:pPr>
      <w:proofErr w:type="gramStart"/>
      <w:r w:rsidRPr="002E7053">
        <w:t>Saito K &amp; Jacob P 1995.</w:t>
      </w:r>
      <w:proofErr w:type="gramEnd"/>
      <w:r w:rsidRPr="002E7053">
        <w:t xml:space="preserve"> Gamma ray fields in the air due to sources in the ground.</w:t>
      </w:r>
      <w:r w:rsidRPr="006B255C">
        <w:rPr>
          <w:i/>
        </w:rPr>
        <w:t xml:space="preserve"> Radiation Protection </w:t>
      </w:r>
      <w:proofErr w:type="spellStart"/>
      <w:r w:rsidRPr="006B255C">
        <w:rPr>
          <w:i/>
        </w:rPr>
        <w:t>Dosimetry</w:t>
      </w:r>
      <w:proofErr w:type="spellEnd"/>
      <w:r w:rsidRPr="006B255C">
        <w:rPr>
          <w:i/>
        </w:rPr>
        <w:t xml:space="preserve"> </w:t>
      </w:r>
      <w:r w:rsidRPr="002E7053">
        <w:t>58, 29–45.</w:t>
      </w:r>
    </w:p>
    <w:p w:rsidR="00115418" w:rsidRPr="002E7053" w:rsidRDefault="006B255C" w:rsidP="002E7053">
      <w:pPr>
        <w:pStyle w:val="referencelist1"/>
      </w:pPr>
      <w:proofErr w:type="spellStart"/>
      <w:proofErr w:type="gramStart"/>
      <w:r>
        <w:t>Salama</w:t>
      </w:r>
      <w:proofErr w:type="spellEnd"/>
      <w:r>
        <w:t xml:space="preserve"> R and Foley G 1997.</w:t>
      </w:r>
      <w:proofErr w:type="gramEnd"/>
      <w:r w:rsidR="00115418" w:rsidRPr="002E7053">
        <w:t xml:space="preserve"> </w:t>
      </w:r>
      <w:proofErr w:type="gramStart"/>
      <w:r w:rsidR="00115418" w:rsidRPr="002E7053">
        <w:t>Ranger Regional Hydrogeology Conceptual Model.</w:t>
      </w:r>
      <w:proofErr w:type="gramEnd"/>
      <w:r w:rsidR="00115418" w:rsidRPr="002E7053">
        <w:t xml:space="preserve"> Report Prepared for ERA Ranger Mine. </w:t>
      </w:r>
      <w:proofErr w:type="gramStart"/>
      <w:r w:rsidR="00115418" w:rsidRPr="002E7053">
        <w:t>CSIRO Land and Water.</w:t>
      </w:r>
      <w:proofErr w:type="gramEnd"/>
    </w:p>
    <w:p w:rsidR="00DC0BC2" w:rsidRPr="002E7053" w:rsidRDefault="00DC0BC2" w:rsidP="002E7053">
      <w:pPr>
        <w:pStyle w:val="referencelist1"/>
      </w:pPr>
      <w:proofErr w:type="gramStart"/>
      <w:r w:rsidRPr="002E7053">
        <w:t xml:space="preserve">Strong KP &amp; </w:t>
      </w:r>
      <w:proofErr w:type="spellStart"/>
      <w:r w:rsidRPr="002E7053">
        <w:t>Levins</w:t>
      </w:r>
      <w:proofErr w:type="spellEnd"/>
      <w:r w:rsidRPr="002E7053">
        <w:t xml:space="preserve"> D M 1982.</w:t>
      </w:r>
      <w:proofErr w:type="gramEnd"/>
      <w:r w:rsidRPr="002E7053">
        <w:t xml:space="preserve"> Effects of moisture content on radon emanation from uranium ore and tailing. </w:t>
      </w:r>
      <w:r w:rsidRPr="006B255C">
        <w:rPr>
          <w:i/>
        </w:rPr>
        <w:t>Health Physics</w:t>
      </w:r>
      <w:r w:rsidRPr="002E7053">
        <w:t xml:space="preserve"> 42</w:t>
      </w:r>
      <w:r w:rsidR="006B255C">
        <w:t xml:space="preserve"> (1), 27–</w:t>
      </w:r>
      <w:r w:rsidRPr="002E7053">
        <w:t>32.</w:t>
      </w:r>
    </w:p>
    <w:p w:rsidR="00DC0BC2" w:rsidRPr="002E7053" w:rsidRDefault="00DC0BC2" w:rsidP="002E7053">
      <w:pPr>
        <w:pStyle w:val="referencelist1"/>
      </w:pPr>
      <w:proofErr w:type="gramStart"/>
      <w:r w:rsidRPr="002E7053">
        <w:t>Supervising Scientist 2013.</w:t>
      </w:r>
      <w:proofErr w:type="gramEnd"/>
      <w:r w:rsidRPr="002E7053">
        <w:t xml:space="preserve"> Annual Report 2012–13. </w:t>
      </w:r>
      <w:proofErr w:type="gramStart"/>
      <w:r w:rsidRPr="002E7053">
        <w:t>Supervising Scientist, Darwin</w:t>
      </w:r>
      <w:r w:rsidR="00026F04">
        <w:t>.</w:t>
      </w:r>
      <w:proofErr w:type="gramEnd"/>
    </w:p>
    <w:p w:rsidR="00115418" w:rsidRPr="002E7053" w:rsidRDefault="006B255C" w:rsidP="002E7053">
      <w:pPr>
        <w:pStyle w:val="referencelist1"/>
      </w:pPr>
      <w:bookmarkStart w:id="278" w:name="_ENREF_4"/>
      <w:proofErr w:type="gramStart"/>
      <w:r>
        <w:t>URS 2010.</w:t>
      </w:r>
      <w:proofErr w:type="gramEnd"/>
      <w:r w:rsidR="00115418" w:rsidRPr="002E7053">
        <w:t xml:space="preserve"> </w:t>
      </w:r>
      <w:proofErr w:type="gramStart"/>
      <w:r w:rsidR="00115418" w:rsidRPr="002E7053">
        <w:t xml:space="preserve">Independent </w:t>
      </w:r>
      <w:proofErr w:type="spellStart"/>
      <w:r w:rsidR="00115418" w:rsidRPr="002E7053">
        <w:t>hydrogeological</w:t>
      </w:r>
      <w:proofErr w:type="spellEnd"/>
      <w:r w:rsidR="00115418" w:rsidRPr="002E7053">
        <w:t xml:space="preserve"> review - tailings storage facility.</w:t>
      </w:r>
      <w:proofErr w:type="gramEnd"/>
      <w:r w:rsidR="00115418" w:rsidRPr="002E7053">
        <w:t xml:space="preserve"> Prepared for Energy Resources of Australia Ltd. Report no. 43295269.</w:t>
      </w:r>
    </w:p>
    <w:p w:rsidR="00DC0BC2" w:rsidRPr="002E7053" w:rsidRDefault="00DC0BC2" w:rsidP="002E7053">
      <w:pPr>
        <w:pStyle w:val="referencelist1"/>
      </w:pPr>
      <w:r w:rsidRPr="002E7053">
        <w:t xml:space="preserve">Weaver T, O'Neill A, Makin S, </w:t>
      </w:r>
      <w:proofErr w:type="spellStart"/>
      <w:r w:rsidRPr="002E7053">
        <w:t>Murfitt</w:t>
      </w:r>
      <w:proofErr w:type="spellEnd"/>
      <w:r w:rsidRPr="002E7053">
        <w:t xml:space="preserve"> T, Berryman S &amp; McGowan P 2010. </w:t>
      </w:r>
      <w:proofErr w:type="gramStart"/>
      <w:r w:rsidRPr="002E7053">
        <w:t xml:space="preserve">Independent </w:t>
      </w:r>
      <w:proofErr w:type="spellStart"/>
      <w:r w:rsidRPr="002E7053">
        <w:t>hydrogeological</w:t>
      </w:r>
      <w:proofErr w:type="spellEnd"/>
      <w:r w:rsidRPr="002E7053">
        <w:t xml:space="preserve"> review Tailings Storage Facility Ranger uranium mine.</w:t>
      </w:r>
      <w:proofErr w:type="gramEnd"/>
      <w:r w:rsidRPr="002E7053">
        <w:t xml:space="preserve"> URS report for </w:t>
      </w:r>
      <w:bookmarkEnd w:id="278"/>
      <w:r w:rsidRPr="002E7053">
        <w:t>Energy Resources of Australia Ltd.</w:t>
      </w:r>
    </w:p>
    <w:p w:rsidR="006F62A8" w:rsidRPr="002E7053" w:rsidRDefault="006B255C" w:rsidP="002E7053">
      <w:pPr>
        <w:pStyle w:val="referencelist1"/>
      </w:pPr>
      <w:proofErr w:type="gramStart"/>
      <w:r>
        <w:t>Wells MR 1979.</w:t>
      </w:r>
      <w:proofErr w:type="gramEnd"/>
      <w:r w:rsidR="006F62A8" w:rsidRPr="002E7053">
        <w:t xml:space="preserve"> </w:t>
      </w:r>
      <w:proofErr w:type="gramStart"/>
      <w:r w:rsidR="006F62A8" w:rsidRPr="002E7053">
        <w:t>Soil Studies in the Magela Creek Catchment 1978.</w:t>
      </w:r>
      <w:proofErr w:type="gramEnd"/>
      <w:r w:rsidR="006F62A8" w:rsidRPr="002E7053">
        <w:t xml:space="preserve"> </w:t>
      </w:r>
      <w:proofErr w:type="gramStart"/>
      <w:r w:rsidR="006F62A8" w:rsidRPr="002E7053">
        <w:t>Part 1.</w:t>
      </w:r>
      <w:proofErr w:type="gramEnd"/>
      <w:r w:rsidR="006F62A8" w:rsidRPr="002E7053">
        <w:t xml:space="preserve"> Land Conservation Unit LC79/1A, Territory Parks and Wildlife Commission, Darwin.</w:t>
      </w:r>
    </w:p>
    <w:p w:rsidR="00115418" w:rsidRPr="002E7053" w:rsidRDefault="006B255C" w:rsidP="002E7053">
      <w:pPr>
        <w:pStyle w:val="referencelist1"/>
      </w:pPr>
      <w:proofErr w:type="gramStart"/>
      <w:r>
        <w:t>White LA &amp; McLeod PJ 1985.</w:t>
      </w:r>
      <w:proofErr w:type="gramEnd"/>
      <w:r w:rsidR="00115418" w:rsidRPr="002E7053">
        <w:t xml:space="preserve"> </w:t>
      </w:r>
      <w:proofErr w:type="gramStart"/>
      <w:r w:rsidR="00115418" w:rsidRPr="002E7053">
        <w:t>Soils of the Ranger Monitoring Area.</w:t>
      </w:r>
      <w:proofErr w:type="gramEnd"/>
      <w:r w:rsidR="00115418" w:rsidRPr="002E7053">
        <w:t xml:space="preserve"> </w:t>
      </w:r>
      <w:proofErr w:type="gramStart"/>
      <w:r w:rsidR="00115418" w:rsidRPr="002E7053">
        <w:t>Technical memorandum 85/4.</w:t>
      </w:r>
      <w:proofErr w:type="gramEnd"/>
      <w:r w:rsidR="00115418" w:rsidRPr="002E7053">
        <w:t xml:space="preserve"> </w:t>
      </w:r>
      <w:proofErr w:type="gramStart"/>
      <w:r w:rsidR="00115418" w:rsidRPr="002E7053">
        <w:t>Conservation Commission of the Northern Territory, Darwin.</w:t>
      </w:r>
      <w:proofErr w:type="gramEnd"/>
    </w:p>
    <w:p w:rsidR="00115418" w:rsidRDefault="00115418" w:rsidP="00DC0BC2">
      <w:pPr>
        <w:pStyle w:val="referencelist1"/>
        <w:spacing w:line="240" w:lineRule="atLeast"/>
        <w:ind w:left="357" w:hanging="357"/>
      </w:pPr>
    </w:p>
    <w:p w:rsidR="00115418" w:rsidRDefault="00115418">
      <w:pPr>
        <w:spacing w:after="0" w:line="240" w:lineRule="auto"/>
        <w:jc w:val="left"/>
        <w:rPr>
          <w:rFonts w:ascii="Arial" w:hAnsi="Arial"/>
          <w:b/>
          <w:sz w:val="36"/>
        </w:rPr>
      </w:pPr>
    </w:p>
    <w:sectPr w:rsidR="00115418" w:rsidSect="001739EB">
      <w:headerReference w:type="even" r:id="rId116"/>
      <w:footerReference w:type="even" r:id="rId117"/>
      <w:footerReference w:type="default" r:id="rId118"/>
      <w:headerReference w:type="first" r:id="rId119"/>
      <w:footerReference w:type="first" r:id="rId120"/>
      <w:pgSz w:w="11906" w:h="16838" w:code="9"/>
      <w:pgMar w:top="1440" w:right="1800" w:bottom="1440" w:left="1800" w:header="1080" w:footer="835" w:gutter="0"/>
      <w:cols w:space="36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60E61" w:rsidRDefault="00C60E61">
      <w:r>
        <w:separator/>
      </w:r>
    </w:p>
  </w:endnote>
  <w:endnote w:type="continuationSeparator" w:id="0">
    <w:p w:rsidR="00C60E61" w:rsidRDefault="00C60E6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SymbolMT">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0BE8" w:rsidRDefault="00BB0BE8">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0E61" w:rsidRDefault="00117C79">
    <w:pPr>
      <w:pStyle w:val="Footer"/>
    </w:pPr>
    <w:fldSimple w:instr="PAGE">
      <w:r w:rsidR="00C60E61">
        <w:t>1</w:t>
      </w:r>
    </w:fldSimple>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0E61" w:rsidRDefault="00117C79">
    <w:pPr>
      <w:pStyle w:val="Footer"/>
    </w:pPr>
    <w:fldSimple w:instr="PAGE">
      <w:r w:rsidR="00BB0BE8">
        <w:rPr>
          <w:noProof/>
        </w:rPr>
        <w:t>83</w:t>
      </w:r>
    </w:fldSimple>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0E61" w:rsidRDefault="00117C79">
    <w:pPr>
      <w:pStyle w:val="Footer"/>
    </w:pPr>
    <w:fldSimple w:instr="PAGE">
      <w:r w:rsidR="00C60E61">
        <w:rPr>
          <w:noProof/>
        </w:rPr>
        <w:t>1</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0BE8" w:rsidRDefault="00BB0BE8">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9169713"/>
      <w:placeholder>
        <w:docPart w:val="BF6CC515233F4F2A89A9CDDC9130FE26"/>
      </w:placeholder>
      <w:temporary/>
      <w:showingPlcHdr/>
    </w:sdtPr>
    <w:sdtContent>
      <w:p w:rsidR="00C60E61" w:rsidRDefault="00C60E61">
        <w:pPr>
          <w:pStyle w:val="Footer"/>
        </w:pPr>
        <w:r>
          <w:t>[Type text]</w:t>
        </w:r>
      </w:p>
    </w:sdtContent>
  </w:sdt>
  <w:p w:rsidR="00C60E61" w:rsidRDefault="00C60E61">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0E61" w:rsidRDefault="00117C79">
    <w:pPr>
      <w:pStyle w:val="Footer"/>
    </w:pPr>
    <w:fldSimple w:instr="PAGE">
      <w:r w:rsidR="00C60E61">
        <w:rPr>
          <w:noProof/>
        </w:rPr>
        <w:t>iv</w:t>
      </w:r>
    </w:fldSimple>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0E61" w:rsidRDefault="00C60E61">
    <w:pPr>
      <w:pStyle w:val="Footer"/>
    </w:pPr>
    <w:bookmarkStart w:id="22" w:name="_Toc513964624"/>
    <w:bookmarkEnd w:id="22"/>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0E61" w:rsidRDefault="00117C79">
    <w:pPr>
      <w:pStyle w:val="Footer"/>
    </w:pPr>
    <w:fldSimple w:instr="PAGE">
      <w:r w:rsidR="00C60E61">
        <w:t>1</w:t>
      </w:r>
    </w:fldSimple>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0E61" w:rsidRDefault="00117C79">
    <w:pPr>
      <w:pStyle w:val="Footer"/>
    </w:pPr>
    <w:r>
      <w:rPr>
        <w:rStyle w:val="PageNumber"/>
      </w:rPr>
      <w:fldChar w:fldCharType="begin"/>
    </w:r>
    <w:r w:rsidR="00C60E61">
      <w:rPr>
        <w:rStyle w:val="PageNumber"/>
      </w:rPr>
      <w:instrText xml:space="preserve"> PAGE </w:instrText>
    </w:r>
    <w:r>
      <w:rPr>
        <w:rStyle w:val="PageNumber"/>
      </w:rPr>
      <w:fldChar w:fldCharType="separate"/>
    </w:r>
    <w:r w:rsidR="00BB0BE8">
      <w:rPr>
        <w:rStyle w:val="PageNumber"/>
        <w:noProof/>
      </w:rPr>
      <w:t>viii</w:t>
    </w:r>
    <w:r>
      <w:rPr>
        <w:rStyle w:val="PageNumber"/>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0E61" w:rsidRDefault="00117C79">
    <w:pPr>
      <w:pStyle w:val="Footer"/>
    </w:pPr>
    <w:fldSimple w:instr="PAGE">
      <w:r w:rsidR="00C60E61">
        <w:rPr>
          <w:noProof/>
        </w:rPr>
        <w:t>5</w:t>
      </w:r>
    </w:fldSimple>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0E61" w:rsidRDefault="00117C79">
    <w:pPr>
      <w:pStyle w:val="Footer"/>
    </w:pPr>
    <w:r>
      <w:rPr>
        <w:rStyle w:val="PageNumber"/>
      </w:rPr>
      <w:fldChar w:fldCharType="begin"/>
    </w:r>
    <w:r w:rsidR="00C60E61">
      <w:rPr>
        <w:rStyle w:val="PageNumber"/>
      </w:rPr>
      <w:instrText xml:space="preserve"> PAGE </w:instrText>
    </w:r>
    <w:r>
      <w:rPr>
        <w:rStyle w:val="PageNumber"/>
      </w:rPr>
      <w:fldChar w:fldCharType="separate"/>
    </w:r>
    <w:r w:rsidR="009D67B3">
      <w:rPr>
        <w:rStyle w:val="PageNumber"/>
        <w:noProof/>
      </w:rPr>
      <w:t>78</w:t>
    </w:r>
    <w:r>
      <w:rPr>
        <w:rStyle w:val="PageNumber"/>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60E61" w:rsidRDefault="00C60E61">
      <w:r>
        <w:separator/>
      </w:r>
    </w:p>
  </w:footnote>
  <w:footnote w:type="continuationSeparator" w:id="0">
    <w:p w:rsidR="00C60E61" w:rsidRDefault="00C60E61">
      <w:r>
        <w:continuationSeparator/>
      </w:r>
    </w:p>
  </w:footnote>
  <w:footnote w:id="1">
    <w:p w:rsidR="00C60E61" w:rsidRDefault="00C60E61" w:rsidP="0049218A">
      <w:pPr>
        <w:pStyle w:val="FootnoteText"/>
        <w:rPr>
          <w:rFonts w:ascii="Calibri" w:hAnsi="Calibri" w:cs="Calibri"/>
          <w:sz w:val="20"/>
        </w:rPr>
      </w:pPr>
      <w:r>
        <w:rPr>
          <w:rStyle w:val="FootnoteReference"/>
        </w:rPr>
        <w:t>[1]</w:t>
      </w:r>
      <w:r>
        <w:t xml:space="preserve"> This estimate is based on the assumption that the spill was 10 cm deep over 30 m2 of the spill extent area amenable to infiltration (vegetation or unsealed and uncompacted ground) gives 3000 L of slurry. The slurry is 37% solid material, 63% liquid. This yields 1900 L of liquid at the surface which had a chance to infiltrate the soil.</w:t>
      </w:r>
    </w:p>
  </w:footnote>
  <w:footnote w:id="2">
    <w:p w:rsidR="00C60E61" w:rsidRDefault="00C60E61" w:rsidP="00027CDE">
      <w:pPr>
        <w:pStyle w:val="FootnoteText"/>
      </w:pPr>
      <w:r>
        <w:rPr>
          <w:rStyle w:val="FootnoteReference"/>
        </w:rPr>
        <w:footnoteRef/>
      </w:r>
      <w:r>
        <w:t xml:space="preserve"> The equilibrium factor for a non-equilibrium mixture of short-lived radon decay products in air is defined as the ratio of the activity concentration of radon in radioactive equilibrium with its short-lived decay products (C</w:t>
      </w:r>
      <w:proofErr w:type="spellStart"/>
      <w:r w:rsidRPr="00E82312">
        <w:rPr>
          <w:snapToGrid w:val="0"/>
          <w:color w:val="000000"/>
          <w:position w:val="-4"/>
          <w:sz w:val="12"/>
          <w:szCs w:val="0"/>
          <w:u w:color="000000"/>
        </w:rPr>
        <w:t>eq</w:t>
      </w:r>
      <w:proofErr w:type="spellEnd"/>
      <w:r>
        <w:t>) with the same potential alpha activity concentration as the non-equilibrium mixture</w:t>
      </w:r>
      <w:r w:rsidRPr="0030080B">
        <w:t xml:space="preserve"> </w:t>
      </w:r>
      <w:r>
        <w:t>of short-lived radon decay products associated with the measured</w:t>
      </w:r>
      <w:r w:rsidRPr="00C038A0">
        <w:t xml:space="preserve"> </w:t>
      </w:r>
      <w:r>
        <w:t>radon activity concentration in air (C</w:t>
      </w:r>
      <w:r w:rsidRPr="00E82312">
        <w:rPr>
          <w:snapToGrid w:val="0"/>
          <w:color w:val="000000"/>
          <w:position w:val="-4"/>
          <w:sz w:val="12"/>
          <w:szCs w:val="0"/>
          <w:u w:color="000000"/>
        </w:rPr>
        <w:t>0</w:t>
      </w:r>
      <w:r>
        <w:t>): E =  C</w:t>
      </w:r>
      <w:proofErr w:type="spellStart"/>
      <w:r w:rsidRPr="00E82312">
        <w:rPr>
          <w:snapToGrid w:val="0"/>
          <w:color w:val="000000"/>
          <w:position w:val="-4"/>
          <w:sz w:val="12"/>
          <w:szCs w:val="0"/>
          <w:u w:color="000000"/>
        </w:rPr>
        <w:t>eq</w:t>
      </w:r>
      <w:proofErr w:type="spellEnd"/>
      <w:r>
        <w:t>/C</w:t>
      </w:r>
      <w:r>
        <w:rPr>
          <w:snapToGrid w:val="0"/>
          <w:color w:val="000000"/>
          <w:position w:val="-4"/>
          <w:sz w:val="12"/>
          <w:szCs w:val="0"/>
          <w:u w:color="000000"/>
        </w:rPr>
        <w:t>0</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0BE8" w:rsidRDefault="00BB0BE8">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0BE8" w:rsidRDefault="00BB0BE8">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0BE8" w:rsidRDefault="00BB0BE8">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0E61" w:rsidRDefault="00C60E61">
    <w:pPr>
      <w:pStyle w:val="Header"/>
      <w:jc w:val="right"/>
      <w:rPr>
        <w:smallCaps/>
        <w:sz w:val="18"/>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0E61" w:rsidRDefault="00C60E61">
    <w:pPr>
      <w:pStyle w:val="Header"/>
      <w:jc w:val="right"/>
      <w:rPr>
        <w:smallCaps/>
        <w:sz w:val="18"/>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0E61" w:rsidRDefault="00117C79">
    <w:pPr>
      <w:pStyle w:val="Header"/>
      <w:jc w:val="right"/>
      <w:rPr>
        <w:rFonts w:ascii="Arial" w:hAnsi="Arial"/>
        <w:sz w:val="14"/>
      </w:rPr>
    </w:pPr>
    <w:fldSimple w:instr=" FILENAME \* Lower\p  \* MERGEFORMAT ">
      <w:r w:rsidR="00C60E61" w:rsidRPr="00BC139B">
        <w:rPr>
          <w:rFonts w:ascii="Arial" w:hAnsi="Arial"/>
          <w:noProof/>
          <w:sz w:val="14"/>
        </w:rPr>
        <w:t xml:space="preserve">\\pvnt01flpr01\user$\a18160\profile\desktop\ssr206 edited </w:t>
      </w:r>
      <w:r w:rsidR="00C60E61">
        <w:rPr>
          <w:noProof/>
        </w:rPr>
        <w:t>july14.docx</w:t>
      </w:r>
    </w:fldSimple>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0E61" w:rsidRDefault="00C60E61">
    <w:pPr>
      <w:pStyle w:val="Header"/>
      <w:jc w:val="right"/>
      <w:rPr>
        <w:smallCaps/>
        <w:sz w:val="18"/>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0E61" w:rsidRDefault="00117C79">
    <w:pPr>
      <w:pStyle w:val="Header"/>
      <w:jc w:val="right"/>
      <w:rPr>
        <w:rFonts w:ascii="Arial" w:hAnsi="Arial"/>
        <w:sz w:val="14"/>
      </w:rPr>
    </w:pPr>
    <w:fldSimple w:instr=" FILENAME \* Lower\p  \* MERGEFORMAT ">
      <w:r w:rsidR="00C60E61" w:rsidRPr="00BC139B">
        <w:rPr>
          <w:rFonts w:ascii="Arial" w:hAnsi="Arial"/>
          <w:noProof/>
          <w:sz w:val="14"/>
        </w:rPr>
        <w:t>\\pvnt01flpr01\user$\a18160</w:t>
      </w:r>
      <w:r w:rsidR="00C60E61">
        <w:rPr>
          <w:noProof/>
        </w:rPr>
        <w:t>\profile\desktop\ssr206 edited july14.docx</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045ECA42"/>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0FCA39D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9090613A"/>
    <w:lvl w:ilvl="0">
      <w:start w:val="1"/>
      <w:numFmt w:val="decimal"/>
      <w:pStyle w:val="ListNumber3"/>
      <w:lvlText w:val="%1."/>
      <w:lvlJc w:val="left"/>
      <w:pPr>
        <w:tabs>
          <w:tab w:val="num" w:pos="926"/>
        </w:tabs>
        <w:ind w:left="926" w:hanging="360"/>
      </w:pPr>
    </w:lvl>
  </w:abstractNum>
  <w:abstractNum w:abstractNumId="3">
    <w:nsid w:val="FFFFFF7F"/>
    <w:multiLevelType w:val="singleLevel"/>
    <w:tmpl w:val="FD22AC4A"/>
    <w:lvl w:ilvl="0">
      <w:start w:val="1"/>
      <w:numFmt w:val="decimal"/>
      <w:pStyle w:val="ListNumber2"/>
      <w:lvlText w:val="%1."/>
      <w:lvlJc w:val="left"/>
      <w:pPr>
        <w:tabs>
          <w:tab w:val="num" w:pos="643"/>
        </w:tabs>
        <w:ind w:left="643" w:hanging="360"/>
      </w:pPr>
    </w:lvl>
  </w:abstractNum>
  <w:abstractNum w:abstractNumId="4">
    <w:nsid w:val="FFFFFF80"/>
    <w:multiLevelType w:val="singleLevel"/>
    <w:tmpl w:val="B8C0573C"/>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DB8E6396"/>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FDAEA400"/>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AF38AE5A"/>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1B6C43EC"/>
    <w:lvl w:ilvl="0">
      <w:start w:val="1"/>
      <w:numFmt w:val="decimal"/>
      <w:pStyle w:val="ListNumber"/>
      <w:lvlText w:val="%1."/>
      <w:lvlJc w:val="left"/>
      <w:pPr>
        <w:tabs>
          <w:tab w:val="num" w:pos="360"/>
        </w:tabs>
        <w:ind w:left="360" w:hanging="360"/>
      </w:pPr>
    </w:lvl>
  </w:abstractNum>
  <w:abstractNum w:abstractNumId="9">
    <w:nsid w:val="FFFFFF89"/>
    <w:multiLevelType w:val="singleLevel"/>
    <w:tmpl w:val="1DFA554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207720D"/>
    <w:multiLevelType w:val="multilevel"/>
    <w:tmpl w:val="7C123498"/>
    <w:lvl w:ilvl="0">
      <w:start w:val="1"/>
      <w:numFmt w:val="decimal"/>
      <w:pStyle w:val="Listbulletlevel1numbered"/>
      <w:lvlText w:val="%1."/>
      <w:lvlJc w:val="left"/>
      <w:pPr>
        <w:tabs>
          <w:tab w:val="num" w:pos="709"/>
        </w:tabs>
        <w:ind w:left="709" w:hanging="425"/>
      </w:pPr>
      <w:rPr>
        <w:rFonts w:hint="default"/>
      </w:rPr>
    </w:lvl>
    <w:lvl w:ilvl="1">
      <w:start w:val="1"/>
      <w:numFmt w:val="lowerLetter"/>
      <w:pStyle w:val="Listbulletlevel2numbered"/>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1">
    <w:nsid w:val="19381C6C"/>
    <w:multiLevelType w:val="hybridMultilevel"/>
    <w:tmpl w:val="24AADB4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nsid w:val="21C24C81"/>
    <w:multiLevelType w:val="hybridMultilevel"/>
    <w:tmpl w:val="F7F63B5C"/>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nsid w:val="30A7305C"/>
    <w:multiLevelType w:val="hybridMultilevel"/>
    <w:tmpl w:val="E4FAD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38E03A9B"/>
    <w:multiLevelType w:val="hybridMultilevel"/>
    <w:tmpl w:val="07B40932"/>
    <w:lvl w:ilvl="0" w:tplc="9A7629EA">
      <w:start w:val="2"/>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7565F92"/>
    <w:multiLevelType w:val="hybridMultilevel"/>
    <w:tmpl w:val="5B9258D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nsid w:val="4B291C99"/>
    <w:multiLevelType w:val="multilevel"/>
    <w:tmpl w:val="C0B6AE8A"/>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nsid w:val="50982936"/>
    <w:multiLevelType w:val="hybridMultilevel"/>
    <w:tmpl w:val="B824CCFE"/>
    <w:lvl w:ilvl="0" w:tplc="2F704094">
      <w:start w:val="1"/>
      <w:numFmt w:val="bullet"/>
      <w:pStyle w:val="bulletlist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53A24360"/>
    <w:multiLevelType w:val="hybridMultilevel"/>
    <w:tmpl w:val="7A9403DE"/>
    <w:lvl w:ilvl="0" w:tplc="0C090011">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nsid w:val="5C6E27B3"/>
    <w:multiLevelType w:val="hybridMultilevel"/>
    <w:tmpl w:val="57360DA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0">
    <w:nsid w:val="5DF4337D"/>
    <w:multiLevelType w:val="hybridMultilevel"/>
    <w:tmpl w:val="4FAC12CC"/>
    <w:lvl w:ilvl="0" w:tplc="805E3A28">
      <w:start w:val="1"/>
      <w:numFmt w:val="bullet"/>
      <w:lvlText w:val=""/>
      <w:lvlJc w:val="left"/>
      <w:pPr>
        <w:tabs>
          <w:tab w:val="num" w:pos="360"/>
        </w:tabs>
        <w:ind w:left="357" w:hanging="357"/>
      </w:pPr>
      <w:rPr>
        <w:rFonts w:ascii="Symbol" w:hAnsi="Symbol" w:hint="default"/>
      </w:rPr>
    </w:lvl>
    <w:lvl w:ilvl="1" w:tplc="A6FCB9A4">
      <w:start w:val="1"/>
      <w:numFmt w:val="bullet"/>
      <w:pStyle w:val="bulletlist2"/>
      <w:lvlText w:val="–"/>
      <w:lvlJc w:val="left"/>
      <w:pPr>
        <w:tabs>
          <w:tab w:val="num" w:pos="717"/>
        </w:tabs>
        <w:ind w:left="357" w:firstLine="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5EB04D44"/>
    <w:multiLevelType w:val="hybridMultilevel"/>
    <w:tmpl w:val="F55443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70757706"/>
    <w:multiLevelType w:val="hybridMultilevel"/>
    <w:tmpl w:val="EE1895BA"/>
    <w:lvl w:ilvl="0" w:tplc="F2184A04">
      <w:start w:val="1"/>
      <w:numFmt w:val="decimal"/>
      <w:pStyle w:val="Normallist1"/>
      <w:lvlText w:val="%1."/>
      <w:lvlJc w:val="left"/>
      <w:pPr>
        <w:ind w:left="1077" w:hanging="360"/>
      </w:pPr>
      <w:rPr>
        <w:rFonts w:hint="default"/>
      </w:rPr>
    </w:lvl>
    <w:lvl w:ilvl="1" w:tplc="0C090019" w:tentative="1">
      <w:start w:val="1"/>
      <w:numFmt w:val="lowerLetter"/>
      <w:lvlText w:val="%2."/>
      <w:lvlJc w:val="left"/>
      <w:pPr>
        <w:ind w:left="1797" w:hanging="360"/>
      </w:pPr>
    </w:lvl>
    <w:lvl w:ilvl="2" w:tplc="0C09001B" w:tentative="1">
      <w:start w:val="1"/>
      <w:numFmt w:val="lowerRoman"/>
      <w:lvlText w:val="%3."/>
      <w:lvlJc w:val="right"/>
      <w:pPr>
        <w:ind w:left="2517" w:hanging="180"/>
      </w:pPr>
    </w:lvl>
    <w:lvl w:ilvl="3" w:tplc="0C09000F" w:tentative="1">
      <w:start w:val="1"/>
      <w:numFmt w:val="decimal"/>
      <w:lvlText w:val="%4."/>
      <w:lvlJc w:val="left"/>
      <w:pPr>
        <w:ind w:left="3237" w:hanging="360"/>
      </w:pPr>
    </w:lvl>
    <w:lvl w:ilvl="4" w:tplc="0C090019" w:tentative="1">
      <w:start w:val="1"/>
      <w:numFmt w:val="lowerLetter"/>
      <w:lvlText w:val="%5."/>
      <w:lvlJc w:val="left"/>
      <w:pPr>
        <w:ind w:left="3957" w:hanging="360"/>
      </w:pPr>
    </w:lvl>
    <w:lvl w:ilvl="5" w:tplc="0C09001B" w:tentative="1">
      <w:start w:val="1"/>
      <w:numFmt w:val="lowerRoman"/>
      <w:lvlText w:val="%6."/>
      <w:lvlJc w:val="right"/>
      <w:pPr>
        <w:ind w:left="4677" w:hanging="180"/>
      </w:pPr>
    </w:lvl>
    <w:lvl w:ilvl="6" w:tplc="0C09000F" w:tentative="1">
      <w:start w:val="1"/>
      <w:numFmt w:val="decimal"/>
      <w:lvlText w:val="%7."/>
      <w:lvlJc w:val="left"/>
      <w:pPr>
        <w:ind w:left="5397" w:hanging="360"/>
      </w:pPr>
    </w:lvl>
    <w:lvl w:ilvl="7" w:tplc="0C090019" w:tentative="1">
      <w:start w:val="1"/>
      <w:numFmt w:val="lowerLetter"/>
      <w:lvlText w:val="%8."/>
      <w:lvlJc w:val="left"/>
      <w:pPr>
        <w:ind w:left="6117" w:hanging="360"/>
      </w:pPr>
    </w:lvl>
    <w:lvl w:ilvl="8" w:tplc="0C09001B" w:tentative="1">
      <w:start w:val="1"/>
      <w:numFmt w:val="lowerRoman"/>
      <w:lvlText w:val="%9."/>
      <w:lvlJc w:val="right"/>
      <w:pPr>
        <w:ind w:left="6837" w:hanging="180"/>
      </w:pPr>
    </w:lvl>
  </w:abstractNum>
  <w:abstractNum w:abstractNumId="23">
    <w:nsid w:val="764B5B03"/>
    <w:multiLevelType w:val="hybridMultilevel"/>
    <w:tmpl w:val="0E564588"/>
    <w:lvl w:ilvl="0" w:tplc="3FF880CE">
      <w:start w:val="1"/>
      <w:numFmt w:val="decimal"/>
      <w:pStyle w:val="numberlist1"/>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788D0E6D"/>
    <w:multiLevelType w:val="hybridMultilevel"/>
    <w:tmpl w:val="302C85EA"/>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nsid w:val="7D370B71"/>
    <w:multiLevelType w:val="hybridMultilevel"/>
    <w:tmpl w:val="2670120A"/>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abstractNumId w:val="17"/>
  </w:num>
  <w:num w:numId="2">
    <w:abstractNumId w:val="20"/>
  </w:num>
  <w:num w:numId="3">
    <w:abstractNumId w:val="23"/>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4"/>
  </w:num>
  <w:num w:numId="15">
    <w:abstractNumId w:val="15"/>
  </w:num>
  <w:num w:numId="16">
    <w:abstractNumId w:val="21"/>
  </w:num>
  <w:num w:numId="17">
    <w:abstractNumId w:val="18"/>
  </w:num>
  <w:num w:numId="18">
    <w:abstractNumId w:val="24"/>
  </w:num>
  <w:num w:numId="19">
    <w:abstractNumId w:val="13"/>
  </w:num>
  <w:num w:numId="20">
    <w:abstractNumId w:val="11"/>
  </w:num>
  <w:num w:numId="21">
    <w:abstractNumId w:val="12"/>
  </w:num>
  <w:num w:numId="22">
    <w:abstractNumId w:val="10"/>
  </w:num>
  <w:num w:numId="23">
    <w:abstractNumId w:val="16"/>
  </w:num>
  <w:num w:numId="24">
    <w:abstractNumId w:val="19"/>
  </w:num>
  <w:num w:numId="25">
    <w:abstractNumId w:val="22"/>
  </w:num>
  <w:num w:numId="26">
    <w:abstractNumId w:val="25"/>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printFractionalCharacterWidth/>
  <w:proofState w:spelling="clean" w:grammar="clean"/>
  <w:stylePaneFormatFilter w:val="3F01"/>
  <w:defaultTabStop w:val="357"/>
  <w:doNotHyphenateCaps/>
  <w:displayHorizontalDrawingGridEvery w:val="0"/>
  <w:displayVerticalDrawingGridEvery w:val="0"/>
  <w:doNotUseMarginsForDrawingGridOrigin/>
  <w:doNotShadeFormData/>
  <w:noPunctuationKerning/>
  <w:characterSpacingControl w:val="doNotCompress"/>
  <w:hdrShapeDefaults>
    <o:shapedefaults v:ext="edit" spidmax="2049">
      <o:colormenu v:ext="edit" fillcolor="none [3212]" strokecolor="none"/>
    </o:shapedefaults>
  </w:hdrShapeDefaults>
  <w:footnotePr>
    <w:numRestart w:val="eachSect"/>
    <w:footnote w:id="-1"/>
    <w:footnote w:id="0"/>
  </w:footnotePr>
  <w:endnotePr>
    <w:endnote w:id="-1"/>
    <w:endnote w:id="0"/>
  </w:endnotePr>
  <w:compat/>
  <w:rsids>
    <w:rsidRoot w:val="00F14573"/>
    <w:rsid w:val="00000C98"/>
    <w:rsid w:val="00001E43"/>
    <w:rsid w:val="00006C0E"/>
    <w:rsid w:val="000149B0"/>
    <w:rsid w:val="00015700"/>
    <w:rsid w:val="0001589D"/>
    <w:rsid w:val="00015D70"/>
    <w:rsid w:val="00017603"/>
    <w:rsid w:val="00017628"/>
    <w:rsid w:val="00017B14"/>
    <w:rsid w:val="00017DB7"/>
    <w:rsid w:val="000207C1"/>
    <w:rsid w:val="000219C8"/>
    <w:rsid w:val="0002272C"/>
    <w:rsid w:val="00023399"/>
    <w:rsid w:val="0002502F"/>
    <w:rsid w:val="00025CB6"/>
    <w:rsid w:val="00025FE2"/>
    <w:rsid w:val="000264CF"/>
    <w:rsid w:val="00026F04"/>
    <w:rsid w:val="00027CDE"/>
    <w:rsid w:val="0003088A"/>
    <w:rsid w:val="00031362"/>
    <w:rsid w:val="00034419"/>
    <w:rsid w:val="00034CE0"/>
    <w:rsid w:val="00037308"/>
    <w:rsid w:val="0003782C"/>
    <w:rsid w:val="00042B76"/>
    <w:rsid w:val="00042FAE"/>
    <w:rsid w:val="00047B47"/>
    <w:rsid w:val="00050B13"/>
    <w:rsid w:val="00051840"/>
    <w:rsid w:val="000540E9"/>
    <w:rsid w:val="0005479D"/>
    <w:rsid w:val="00055874"/>
    <w:rsid w:val="00057E91"/>
    <w:rsid w:val="00061096"/>
    <w:rsid w:val="00065EDB"/>
    <w:rsid w:val="000669BE"/>
    <w:rsid w:val="00066C4E"/>
    <w:rsid w:val="000711CA"/>
    <w:rsid w:val="000713C6"/>
    <w:rsid w:val="000716B9"/>
    <w:rsid w:val="00073464"/>
    <w:rsid w:val="00074680"/>
    <w:rsid w:val="00075939"/>
    <w:rsid w:val="00076892"/>
    <w:rsid w:val="00077641"/>
    <w:rsid w:val="00080BE3"/>
    <w:rsid w:val="000845D9"/>
    <w:rsid w:val="00087931"/>
    <w:rsid w:val="00091282"/>
    <w:rsid w:val="00092638"/>
    <w:rsid w:val="00097528"/>
    <w:rsid w:val="000A2B5B"/>
    <w:rsid w:val="000A37A4"/>
    <w:rsid w:val="000A6E49"/>
    <w:rsid w:val="000B0446"/>
    <w:rsid w:val="000B0B5C"/>
    <w:rsid w:val="000B161A"/>
    <w:rsid w:val="000B279A"/>
    <w:rsid w:val="000B2922"/>
    <w:rsid w:val="000B2B38"/>
    <w:rsid w:val="000B2D97"/>
    <w:rsid w:val="000B2EEC"/>
    <w:rsid w:val="000B3732"/>
    <w:rsid w:val="000B4FEF"/>
    <w:rsid w:val="000B545B"/>
    <w:rsid w:val="000B7847"/>
    <w:rsid w:val="000B7CB6"/>
    <w:rsid w:val="000C092F"/>
    <w:rsid w:val="000C0B21"/>
    <w:rsid w:val="000C0E75"/>
    <w:rsid w:val="000C1F10"/>
    <w:rsid w:val="000C2B84"/>
    <w:rsid w:val="000C571C"/>
    <w:rsid w:val="000C5B89"/>
    <w:rsid w:val="000C72C5"/>
    <w:rsid w:val="000D0385"/>
    <w:rsid w:val="000D11B6"/>
    <w:rsid w:val="000D25DD"/>
    <w:rsid w:val="000D263B"/>
    <w:rsid w:val="000D2BF2"/>
    <w:rsid w:val="000D5050"/>
    <w:rsid w:val="000D53BA"/>
    <w:rsid w:val="000E4550"/>
    <w:rsid w:val="000E50A5"/>
    <w:rsid w:val="000E58C4"/>
    <w:rsid w:val="000E65F5"/>
    <w:rsid w:val="000E74C8"/>
    <w:rsid w:val="000E76C9"/>
    <w:rsid w:val="000E7C07"/>
    <w:rsid w:val="000F0830"/>
    <w:rsid w:val="000F4B67"/>
    <w:rsid w:val="000F5233"/>
    <w:rsid w:val="000F7087"/>
    <w:rsid w:val="00101255"/>
    <w:rsid w:val="001013D4"/>
    <w:rsid w:val="001028E4"/>
    <w:rsid w:val="00102A64"/>
    <w:rsid w:val="00107393"/>
    <w:rsid w:val="001079E7"/>
    <w:rsid w:val="00110195"/>
    <w:rsid w:val="00111997"/>
    <w:rsid w:val="0011217A"/>
    <w:rsid w:val="00112ACF"/>
    <w:rsid w:val="00113765"/>
    <w:rsid w:val="00113C0C"/>
    <w:rsid w:val="0011436C"/>
    <w:rsid w:val="00115418"/>
    <w:rsid w:val="00117C79"/>
    <w:rsid w:val="001203A2"/>
    <w:rsid w:val="001214C4"/>
    <w:rsid w:val="001235FC"/>
    <w:rsid w:val="00125327"/>
    <w:rsid w:val="00125F0A"/>
    <w:rsid w:val="00126520"/>
    <w:rsid w:val="0012678B"/>
    <w:rsid w:val="001269FC"/>
    <w:rsid w:val="001270F4"/>
    <w:rsid w:val="001311B2"/>
    <w:rsid w:val="00132C17"/>
    <w:rsid w:val="00133DC1"/>
    <w:rsid w:val="00133FE2"/>
    <w:rsid w:val="001341F8"/>
    <w:rsid w:val="0013475C"/>
    <w:rsid w:val="0013476E"/>
    <w:rsid w:val="00134D9F"/>
    <w:rsid w:val="00141BE5"/>
    <w:rsid w:val="00141F36"/>
    <w:rsid w:val="00142D27"/>
    <w:rsid w:val="00144677"/>
    <w:rsid w:val="00146851"/>
    <w:rsid w:val="00154A5E"/>
    <w:rsid w:val="001551A8"/>
    <w:rsid w:val="001601EF"/>
    <w:rsid w:val="0016124A"/>
    <w:rsid w:val="00163EEA"/>
    <w:rsid w:val="001656AC"/>
    <w:rsid w:val="00165B8A"/>
    <w:rsid w:val="00165DCC"/>
    <w:rsid w:val="001733E5"/>
    <w:rsid w:val="0017378A"/>
    <w:rsid w:val="001739EB"/>
    <w:rsid w:val="00176891"/>
    <w:rsid w:val="00177128"/>
    <w:rsid w:val="0017719D"/>
    <w:rsid w:val="0017722F"/>
    <w:rsid w:val="0017757B"/>
    <w:rsid w:val="0017791A"/>
    <w:rsid w:val="00180D27"/>
    <w:rsid w:val="00181134"/>
    <w:rsid w:val="00181DBC"/>
    <w:rsid w:val="001845BF"/>
    <w:rsid w:val="00187749"/>
    <w:rsid w:val="0019142D"/>
    <w:rsid w:val="00192612"/>
    <w:rsid w:val="00193645"/>
    <w:rsid w:val="00193C3A"/>
    <w:rsid w:val="001A036F"/>
    <w:rsid w:val="001A4E41"/>
    <w:rsid w:val="001A6AAC"/>
    <w:rsid w:val="001A7136"/>
    <w:rsid w:val="001B053F"/>
    <w:rsid w:val="001B09BD"/>
    <w:rsid w:val="001B0D95"/>
    <w:rsid w:val="001B1A06"/>
    <w:rsid w:val="001B2ED3"/>
    <w:rsid w:val="001B78A2"/>
    <w:rsid w:val="001B7E04"/>
    <w:rsid w:val="001C08F3"/>
    <w:rsid w:val="001C0E26"/>
    <w:rsid w:val="001C1173"/>
    <w:rsid w:val="001C21D3"/>
    <w:rsid w:val="001C2362"/>
    <w:rsid w:val="001C3301"/>
    <w:rsid w:val="001C3A3E"/>
    <w:rsid w:val="001C3C01"/>
    <w:rsid w:val="001C63F8"/>
    <w:rsid w:val="001C6950"/>
    <w:rsid w:val="001D7200"/>
    <w:rsid w:val="001E136C"/>
    <w:rsid w:val="001E2550"/>
    <w:rsid w:val="001E300A"/>
    <w:rsid w:val="001E357E"/>
    <w:rsid w:val="001E3632"/>
    <w:rsid w:val="001E4C03"/>
    <w:rsid w:val="001E6A03"/>
    <w:rsid w:val="001F0217"/>
    <w:rsid w:val="001F05F2"/>
    <w:rsid w:val="001F0B7D"/>
    <w:rsid w:val="001F283B"/>
    <w:rsid w:val="001F2D3D"/>
    <w:rsid w:val="001F5819"/>
    <w:rsid w:val="0020002D"/>
    <w:rsid w:val="00200993"/>
    <w:rsid w:val="00205701"/>
    <w:rsid w:val="00205E05"/>
    <w:rsid w:val="0021029D"/>
    <w:rsid w:val="00211925"/>
    <w:rsid w:val="00211FB4"/>
    <w:rsid w:val="00213B63"/>
    <w:rsid w:val="00213B6C"/>
    <w:rsid w:val="00213DD6"/>
    <w:rsid w:val="00214161"/>
    <w:rsid w:val="002142E4"/>
    <w:rsid w:val="002156A7"/>
    <w:rsid w:val="002156BC"/>
    <w:rsid w:val="00215B62"/>
    <w:rsid w:val="00216644"/>
    <w:rsid w:val="00217124"/>
    <w:rsid w:val="00220955"/>
    <w:rsid w:val="00221805"/>
    <w:rsid w:val="00222BE9"/>
    <w:rsid w:val="00223FBD"/>
    <w:rsid w:val="002245D8"/>
    <w:rsid w:val="00224C11"/>
    <w:rsid w:val="00225253"/>
    <w:rsid w:val="00226125"/>
    <w:rsid w:val="00226996"/>
    <w:rsid w:val="00226DCA"/>
    <w:rsid w:val="00226F5A"/>
    <w:rsid w:val="00227792"/>
    <w:rsid w:val="00231192"/>
    <w:rsid w:val="002318ED"/>
    <w:rsid w:val="00231B41"/>
    <w:rsid w:val="002326AF"/>
    <w:rsid w:val="00233D70"/>
    <w:rsid w:val="00233DF2"/>
    <w:rsid w:val="00235A0F"/>
    <w:rsid w:val="00235C96"/>
    <w:rsid w:val="00235E84"/>
    <w:rsid w:val="00235F26"/>
    <w:rsid w:val="00235F94"/>
    <w:rsid w:val="00236DFC"/>
    <w:rsid w:val="00237AEB"/>
    <w:rsid w:val="002409B7"/>
    <w:rsid w:val="00241479"/>
    <w:rsid w:val="00243311"/>
    <w:rsid w:val="002448D0"/>
    <w:rsid w:val="00245C83"/>
    <w:rsid w:val="002479A2"/>
    <w:rsid w:val="00247AAB"/>
    <w:rsid w:val="0025118E"/>
    <w:rsid w:val="00251430"/>
    <w:rsid w:val="00251A58"/>
    <w:rsid w:val="00252B65"/>
    <w:rsid w:val="00252D36"/>
    <w:rsid w:val="00257C20"/>
    <w:rsid w:val="00262ED9"/>
    <w:rsid w:val="002641AE"/>
    <w:rsid w:val="002649B7"/>
    <w:rsid w:val="00266E77"/>
    <w:rsid w:val="002717D5"/>
    <w:rsid w:val="00277807"/>
    <w:rsid w:val="00277B7C"/>
    <w:rsid w:val="002802B4"/>
    <w:rsid w:val="00280303"/>
    <w:rsid w:val="002834F6"/>
    <w:rsid w:val="00283621"/>
    <w:rsid w:val="00283CF2"/>
    <w:rsid w:val="00285815"/>
    <w:rsid w:val="00290883"/>
    <w:rsid w:val="00291163"/>
    <w:rsid w:val="00296941"/>
    <w:rsid w:val="0029718B"/>
    <w:rsid w:val="00297240"/>
    <w:rsid w:val="002A1216"/>
    <w:rsid w:val="002A6590"/>
    <w:rsid w:val="002A7AC6"/>
    <w:rsid w:val="002B1D3D"/>
    <w:rsid w:val="002B38F8"/>
    <w:rsid w:val="002B4431"/>
    <w:rsid w:val="002B44AF"/>
    <w:rsid w:val="002B4F85"/>
    <w:rsid w:val="002B6D7F"/>
    <w:rsid w:val="002C0284"/>
    <w:rsid w:val="002C106A"/>
    <w:rsid w:val="002C380E"/>
    <w:rsid w:val="002D23B7"/>
    <w:rsid w:val="002D35E4"/>
    <w:rsid w:val="002D447D"/>
    <w:rsid w:val="002D5A19"/>
    <w:rsid w:val="002D67D5"/>
    <w:rsid w:val="002E118C"/>
    <w:rsid w:val="002E118E"/>
    <w:rsid w:val="002E1B53"/>
    <w:rsid w:val="002E2406"/>
    <w:rsid w:val="002E2F0F"/>
    <w:rsid w:val="002E3D13"/>
    <w:rsid w:val="002E5826"/>
    <w:rsid w:val="002E7053"/>
    <w:rsid w:val="002F05B7"/>
    <w:rsid w:val="002F0BA5"/>
    <w:rsid w:val="002F2ABB"/>
    <w:rsid w:val="002F2E31"/>
    <w:rsid w:val="002F35F9"/>
    <w:rsid w:val="002F3F11"/>
    <w:rsid w:val="002F544E"/>
    <w:rsid w:val="002F707B"/>
    <w:rsid w:val="002F7654"/>
    <w:rsid w:val="002F7A6F"/>
    <w:rsid w:val="00300B2D"/>
    <w:rsid w:val="00303088"/>
    <w:rsid w:val="003036FF"/>
    <w:rsid w:val="003077AF"/>
    <w:rsid w:val="00307EB1"/>
    <w:rsid w:val="00310797"/>
    <w:rsid w:val="00311142"/>
    <w:rsid w:val="00311B98"/>
    <w:rsid w:val="00312333"/>
    <w:rsid w:val="00312E13"/>
    <w:rsid w:val="00313409"/>
    <w:rsid w:val="003149EC"/>
    <w:rsid w:val="00315F5E"/>
    <w:rsid w:val="00316617"/>
    <w:rsid w:val="0031698F"/>
    <w:rsid w:val="00317937"/>
    <w:rsid w:val="00317AF0"/>
    <w:rsid w:val="00320A4F"/>
    <w:rsid w:val="00320C74"/>
    <w:rsid w:val="00320D03"/>
    <w:rsid w:val="00321941"/>
    <w:rsid w:val="0032274C"/>
    <w:rsid w:val="00322964"/>
    <w:rsid w:val="003240A6"/>
    <w:rsid w:val="0032580B"/>
    <w:rsid w:val="00325CC8"/>
    <w:rsid w:val="003263BE"/>
    <w:rsid w:val="00326647"/>
    <w:rsid w:val="00327272"/>
    <w:rsid w:val="00327BBC"/>
    <w:rsid w:val="0033105C"/>
    <w:rsid w:val="00331506"/>
    <w:rsid w:val="00340952"/>
    <w:rsid w:val="0034332C"/>
    <w:rsid w:val="003448B8"/>
    <w:rsid w:val="00347201"/>
    <w:rsid w:val="00347F3D"/>
    <w:rsid w:val="00352EE0"/>
    <w:rsid w:val="0035350C"/>
    <w:rsid w:val="00355414"/>
    <w:rsid w:val="00356AF1"/>
    <w:rsid w:val="0035739E"/>
    <w:rsid w:val="00364BC5"/>
    <w:rsid w:val="00365883"/>
    <w:rsid w:val="00365964"/>
    <w:rsid w:val="003667F8"/>
    <w:rsid w:val="00366CA6"/>
    <w:rsid w:val="00370817"/>
    <w:rsid w:val="00371A8C"/>
    <w:rsid w:val="00371F8A"/>
    <w:rsid w:val="0037222A"/>
    <w:rsid w:val="00376E45"/>
    <w:rsid w:val="0038122C"/>
    <w:rsid w:val="00381FCC"/>
    <w:rsid w:val="003829AD"/>
    <w:rsid w:val="00383228"/>
    <w:rsid w:val="00384BD8"/>
    <w:rsid w:val="00384F32"/>
    <w:rsid w:val="0038687A"/>
    <w:rsid w:val="00386C78"/>
    <w:rsid w:val="00391051"/>
    <w:rsid w:val="003922A8"/>
    <w:rsid w:val="00394A27"/>
    <w:rsid w:val="00396106"/>
    <w:rsid w:val="003A067F"/>
    <w:rsid w:val="003A0DD0"/>
    <w:rsid w:val="003A26E8"/>
    <w:rsid w:val="003A2704"/>
    <w:rsid w:val="003A27AD"/>
    <w:rsid w:val="003A4826"/>
    <w:rsid w:val="003A71D7"/>
    <w:rsid w:val="003B1789"/>
    <w:rsid w:val="003B299C"/>
    <w:rsid w:val="003B3460"/>
    <w:rsid w:val="003B5590"/>
    <w:rsid w:val="003B68CB"/>
    <w:rsid w:val="003C0689"/>
    <w:rsid w:val="003C07A0"/>
    <w:rsid w:val="003C0E80"/>
    <w:rsid w:val="003C0F39"/>
    <w:rsid w:val="003C324D"/>
    <w:rsid w:val="003C3A1F"/>
    <w:rsid w:val="003C559D"/>
    <w:rsid w:val="003C76D0"/>
    <w:rsid w:val="003D0CA6"/>
    <w:rsid w:val="003D1712"/>
    <w:rsid w:val="003D55F8"/>
    <w:rsid w:val="003D7C88"/>
    <w:rsid w:val="003D7C8C"/>
    <w:rsid w:val="003E00EB"/>
    <w:rsid w:val="003E08F8"/>
    <w:rsid w:val="003E3716"/>
    <w:rsid w:val="003E4BFC"/>
    <w:rsid w:val="003E54C7"/>
    <w:rsid w:val="003E64BA"/>
    <w:rsid w:val="003E692B"/>
    <w:rsid w:val="003F13C7"/>
    <w:rsid w:val="003F14B2"/>
    <w:rsid w:val="003F256A"/>
    <w:rsid w:val="003F331F"/>
    <w:rsid w:val="003F3829"/>
    <w:rsid w:val="003F3E78"/>
    <w:rsid w:val="003F443A"/>
    <w:rsid w:val="003F507D"/>
    <w:rsid w:val="003F6081"/>
    <w:rsid w:val="003F6923"/>
    <w:rsid w:val="003F7F90"/>
    <w:rsid w:val="00400D67"/>
    <w:rsid w:val="00401D98"/>
    <w:rsid w:val="0040292E"/>
    <w:rsid w:val="00404DF1"/>
    <w:rsid w:val="00406518"/>
    <w:rsid w:val="004067D3"/>
    <w:rsid w:val="00406C6E"/>
    <w:rsid w:val="00407D68"/>
    <w:rsid w:val="00410137"/>
    <w:rsid w:val="00410CF9"/>
    <w:rsid w:val="0041168C"/>
    <w:rsid w:val="004117E8"/>
    <w:rsid w:val="0041207C"/>
    <w:rsid w:val="0041227E"/>
    <w:rsid w:val="00413BFC"/>
    <w:rsid w:val="00414B20"/>
    <w:rsid w:val="004207B3"/>
    <w:rsid w:val="00423FE8"/>
    <w:rsid w:val="00424801"/>
    <w:rsid w:val="00424FA5"/>
    <w:rsid w:val="00425A27"/>
    <w:rsid w:val="00432046"/>
    <w:rsid w:val="00436264"/>
    <w:rsid w:val="00437284"/>
    <w:rsid w:val="00437338"/>
    <w:rsid w:val="004437FB"/>
    <w:rsid w:val="00443C59"/>
    <w:rsid w:val="00444FCE"/>
    <w:rsid w:val="00445538"/>
    <w:rsid w:val="00445C20"/>
    <w:rsid w:val="004469E5"/>
    <w:rsid w:val="004479D5"/>
    <w:rsid w:val="00451B07"/>
    <w:rsid w:val="00454032"/>
    <w:rsid w:val="00457754"/>
    <w:rsid w:val="00460C8A"/>
    <w:rsid w:val="0046129E"/>
    <w:rsid w:val="00462247"/>
    <w:rsid w:val="00463B64"/>
    <w:rsid w:val="004640E1"/>
    <w:rsid w:val="00465089"/>
    <w:rsid w:val="004657FE"/>
    <w:rsid w:val="00467CE2"/>
    <w:rsid w:val="00467DF9"/>
    <w:rsid w:val="00467E83"/>
    <w:rsid w:val="004756D5"/>
    <w:rsid w:val="00475A5F"/>
    <w:rsid w:val="004761DC"/>
    <w:rsid w:val="004761F4"/>
    <w:rsid w:val="004767AE"/>
    <w:rsid w:val="00477C7A"/>
    <w:rsid w:val="004806FF"/>
    <w:rsid w:val="00480BD5"/>
    <w:rsid w:val="004826EE"/>
    <w:rsid w:val="0048329E"/>
    <w:rsid w:val="004839D0"/>
    <w:rsid w:val="00484E56"/>
    <w:rsid w:val="0048631C"/>
    <w:rsid w:val="004866CD"/>
    <w:rsid w:val="00486FC5"/>
    <w:rsid w:val="00487A5A"/>
    <w:rsid w:val="004910BE"/>
    <w:rsid w:val="00491EF5"/>
    <w:rsid w:val="0049218A"/>
    <w:rsid w:val="004927C9"/>
    <w:rsid w:val="00492C28"/>
    <w:rsid w:val="00494734"/>
    <w:rsid w:val="0049749E"/>
    <w:rsid w:val="004A06EA"/>
    <w:rsid w:val="004A4033"/>
    <w:rsid w:val="004A4851"/>
    <w:rsid w:val="004A579F"/>
    <w:rsid w:val="004B2F3D"/>
    <w:rsid w:val="004B3CA0"/>
    <w:rsid w:val="004B401B"/>
    <w:rsid w:val="004B716D"/>
    <w:rsid w:val="004C2842"/>
    <w:rsid w:val="004C39B1"/>
    <w:rsid w:val="004C495D"/>
    <w:rsid w:val="004C68AF"/>
    <w:rsid w:val="004C7972"/>
    <w:rsid w:val="004D0B8F"/>
    <w:rsid w:val="004D15CD"/>
    <w:rsid w:val="004D1F83"/>
    <w:rsid w:val="004D49F2"/>
    <w:rsid w:val="004D4F3C"/>
    <w:rsid w:val="004E1F27"/>
    <w:rsid w:val="004E3076"/>
    <w:rsid w:val="004E3EB0"/>
    <w:rsid w:val="004E4021"/>
    <w:rsid w:val="004E5694"/>
    <w:rsid w:val="004F1DEB"/>
    <w:rsid w:val="004F327F"/>
    <w:rsid w:val="004F5295"/>
    <w:rsid w:val="004F5F45"/>
    <w:rsid w:val="004F6802"/>
    <w:rsid w:val="004F6F50"/>
    <w:rsid w:val="004F7EEA"/>
    <w:rsid w:val="00501A10"/>
    <w:rsid w:val="00501DFA"/>
    <w:rsid w:val="0050266D"/>
    <w:rsid w:val="0050359F"/>
    <w:rsid w:val="005043A0"/>
    <w:rsid w:val="00505FD6"/>
    <w:rsid w:val="005067A9"/>
    <w:rsid w:val="005068E7"/>
    <w:rsid w:val="00510078"/>
    <w:rsid w:val="00510A24"/>
    <w:rsid w:val="00510A90"/>
    <w:rsid w:val="00510AB6"/>
    <w:rsid w:val="005110DA"/>
    <w:rsid w:val="00512C07"/>
    <w:rsid w:val="0051503C"/>
    <w:rsid w:val="00516F7C"/>
    <w:rsid w:val="005227D4"/>
    <w:rsid w:val="00522C7A"/>
    <w:rsid w:val="0052439E"/>
    <w:rsid w:val="00527D39"/>
    <w:rsid w:val="005303CA"/>
    <w:rsid w:val="00530AA8"/>
    <w:rsid w:val="005315FA"/>
    <w:rsid w:val="005321FE"/>
    <w:rsid w:val="00532B4B"/>
    <w:rsid w:val="00533656"/>
    <w:rsid w:val="00534527"/>
    <w:rsid w:val="00535DB5"/>
    <w:rsid w:val="00535F8D"/>
    <w:rsid w:val="00537199"/>
    <w:rsid w:val="005400F1"/>
    <w:rsid w:val="00541C81"/>
    <w:rsid w:val="005439C2"/>
    <w:rsid w:val="00544239"/>
    <w:rsid w:val="00544A97"/>
    <w:rsid w:val="0054641B"/>
    <w:rsid w:val="005479DC"/>
    <w:rsid w:val="00551213"/>
    <w:rsid w:val="00553D6B"/>
    <w:rsid w:val="005546B2"/>
    <w:rsid w:val="00554819"/>
    <w:rsid w:val="00554B9A"/>
    <w:rsid w:val="00555357"/>
    <w:rsid w:val="00555AFC"/>
    <w:rsid w:val="0055697D"/>
    <w:rsid w:val="005576D3"/>
    <w:rsid w:val="00557A7B"/>
    <w:rsid w:val="00561274"/>
    <w:rsid w:val="005615DB"/>
    <w:rsid w:val="0056255C"/>
    <w:rsid w:val="00566E6C"/>
    <w:rsid w:val="00571270"/>
    <w:rsid w:val="005723FA"/>
    <w:rsid w:val="005806E9"/>
    <w:rsid w:val="00581172"/>
    <w:rsid w:val="00581CF1"/>
    <w:rsid w:val="0058357D"/>
    <w:rsid w:val="00584DF8"/>
    <w:rsid w:val="005857F3"/>
    <w:rsid w:val="00586E16"/>
    <w:rsid w:val="0058737C"/>
    <w:rsid w:val="0059054A"/>
    <w:rsid w:val="00591815"/>
    <w:rsid w:val="005932EA"/>
    <w:rsid w:val="00595DA9"/>
    <w:rsid w:val="00595FA4"/>
    <w:rsid w:val="005A3FFE"/>
    <w:rsid w:val="005A4C7F"/>
    <w:rsid w:val="005A5C40"/>
    <w:rsid w:val="005A6E17"/>
    <w:rsid w:val="005B0F3A"/>
    <w:rsid w:val="005B1EF0"/>
    <w:rsid w:val="005B4208"/>
    <w:rsid w:val="005B4267"/>
    <w:rsid w:val="005B4285"/>
    <w:rsid w:val="005B5ACB"/>
    <w:rsid w:val="005C3AD4"/>
    <w:rsid w:val="005C4A1A"/>
    <w:rsid w:val="005C54F3"/>
    <w:rsid w:val="005C7833"/>
    <w:rsid w:val="005C7EE2"/>
    <w:rsid w:val="005D1AC4"/>
    <w:rsid w:val="005D2E17"/>
    <w:rsid w:val="005D407F"/>
    <w:rsid w:val="005D52DC"/>
    <w:rsid w:val="005D60E2"/>
    <w:rsid w:val="005E1AB1"/>
    <w:rsid w:val="005E23B0"/>
    <w:rsid w:val="005E354E"/>
    <w:rsid w:val="005E3E46"/>
    <w:rsid w:val="005E4AED"/>
    <w:rsid w:val="005E4AFB"/>
    <w:rsid w:val="005E68DA"/>
    <w:rsid w:val="005F07CE"/>
    <w:rsid w:val="005F327D"/>
    <w:rsid w:val="005F4A4B"/>
    <w:rsid w:val="005F5008"/>
    <w:rsid w:val="005F6096"/>
    <w:rsid w:val="005F65E6"/>
    <w:rsid w:val="005F6641"/>
    <w:rsid w:val="005F6784"/>
    <w:rsid w:val="005F7A31"/>
    <w:rsid w:val="00601C9B"/>
    <w:rsid w:val="006064B1"/>
    <w:rsid w:val="00606BEC"/>
    <w:rsid w:val="00607052"/>
    <w:rsid w:val="00607458"/>
    <w:rsid w:val="006107CE"/>
    <w:rsid w:val="00611AA1"/>
    <w:rsid w:val="0061240B"/>
    <w:rsid w:val="00614B21"/>
    <w:rsid w:val="006156D1"/>
    <w:rsid w:val="0061709F"/>
    <w:rsid w:val="00617D3B"/>
    <w:rsid w:val="00624D46"/>
    <w:rsid w:val="00624E53"/>
    <w:rsid w:val="00625C13"/>
    <w:rsid w:val="00626482"/>
    <w:rsid w:val="0062759B"/>
    <w:rsid w:val="00630609"/>
    <w:rsid w:val="006316F4"/>
    <w:rsid w:val="00632B36"/>
    <w:rsid w:val="00635B10"/>
    <w:rsid w:val="00637B59"/>
    <w:rsid w:val="0064094D"/>
    <w:rsid w:val="00640FA6"/>
    <w:rsid w:val="00642034"/>
    <w:rsid w:val="00642C45"/>
    <w:rsid w:val="00642D5F"/>
    <w:rsid w:val="006432D6"/>
    <w:rsid w:val="00644AD8"/>
    <w:rsid w:val="00645641"/>
    <w:rsid w:val="0065017E"/>
    <w:rsid w:val="00652C7F"/>
    <w:rsid w:val="00652EA0"/>
    <w:rsid w:val="00654043"/>
    <w:rsid w:val="006542DC"/>
    <w:rsid w:val="00654608"/>
    <w:rsid w:val="0065508C"/>
    <w:rsid w:val="006553B6"/>
    <w:rsid w:val="0065608E"/>
    <w:rsid w:val="006560EB"/>
    <w:rsid w:val="00656167"/>
    <w:rsid w:val="006567A3"/>
    <w:rsid w:val="0065732B"/>
    <w:rsid w:val="00657B61"/>
    <w:rsid w:val="00665B14"/>
    <w:rsid w:val="00666C63"/>
    <w:rsid w:val="00666DB4"/>
    <w:rsid w:val="00667337"/>
    <w:rsid w:val="0067122D"/>
    <w:rsid w:val="006724A4"/>
    <w:rsid w:val="00672CB5"/>
    <w:rsid w:val="00674D13"/>
    <w:rsid w:val="0067603A"/>
    <w:rsid w:val="00676BD7"/>
    <w:rsid w:val="0067722C"/>
    <w:rsid w:val="00677BB2"/>
    <w:rsid w:val="00677DF6"/>
    <w:rsid w:val="00686E10"/>
    <w:rsid w:val="00691951"/>
    <w:rsid w:val="00691D8E"/>
    <w:rsid w:val="00691E0C"/>
    <w:rsid w:val="00692CF0"/>
    <w:rsid w:val="00693019"/>
    <w:rsid w:val="00693703"/>
    <w:rsid w:val="006977F4"/>
    <w:rsid w:val="006A040F"/>
    <w:rsid w:val="006A0790"/>
    <w:rsid w:val="006A21A8"/>
    <w:rsid w:val="006A29AE"/>
    <w:rsid w:val="006A2AD3"/>
    <w:rsid w:val="006A2F31"/>
    <w:rsid w:val="006A3251"/>
    <w:rsid w:val="006A42AC"/>
    <w:rsid w:val="006A4D88"/>
    <w:rsid w:val="006A60B4"/>
    <w:rsid w:val="006B255C"/>
    <w:rsid w:val="006B44D2"/>
    <w:rsid w:val="006B4740"/>
    <w:rsid w:val="006B681E"/>
    <w:rsid w:val="006C05B6"/>
    <w:rsid w:val="006C07E1"/>
    <w:rsid w:val="006C0AB4"/>
    <w:rsid w:val="006C157F"/>
    <w:rsid w:val="006C16BC"/>
    <w:rsid w:val="006C2ABD"/>
    <w:rsid w:val="006C3035"/>
    <w:rsid w:val="006C3ADE"/>
    <w:rsid w:val="006D0E6D"/>
    <w:rsid w:val="006D14C8"/>
    <w:rsid w:val="006D2B93"/>
    <w:rsid w:val="006F01D4"/>
    <w:rsid w:val="006F157C"/>
    <w:rsid w:val="006F4A8E"/>
    <w:rsid w:val="006F62A8"/>
    <w:rsid w:val="006F6A29"/>
    <w:rsid w:val="006F77C6"/>
    <w:rsid w:val="00700977"/>
    <w:rsid w:val="00701036"/>
    <w:rsid w:val="00701E39"/>
    <w:rsid w:val="00702154"/>
    <w:rsid w:val="007024CB"/>
    <w:rsid w:val="00704EA0"/>
    <w:rsid w:val="00705E92"/>
    <w:rsid w:val="0071095D"/>
    <w:rsid w:val="007135BC"/>
    <w:rsid w:val="00715051"/>
    <w:rsid w:val="00715816"/>
    <w:rsid w:val="00715C67"/>
    <w:rsid w:val="007218F0"/>
    <w:rsid w:val="007230DA"/>
    <w:rsid w:val="00724EF8"/>
    <w:rsid w:val="00727345"/>
    <w:rsid w:val="00727DF3"/>
    <w:rsid w:val="00727F9F"/>
    <w:rsid w:val="00731396"/>
    <w:rsid w:val="00731FB0"/>
    <w:rsid w:val="00732468"/>
    <w:rsid w:val="007344E3"/>
    <w:rsid w:val="0073509E"/>
    <w:rsid w:val="00735E31"/>
    <w:rsid w:val="00735FE2"/>
    <w:rsid w:val="007361A9"/>
    <w:rsid w:val="0073672B"/>
    <w:rsid w:val="00736C89"/>
    <w:rsid w:val="007430DC"/>
    <w:rsid w:val="00743C22"/>
    <w:rsid w:val="00747309"/>
    <w:rsid w:val="00750299"/>
    <w:rsid w:val="00750E94"/>
    <w:rsid w:val="0075106E"/>
    <w:rsid w:val="00762ECD"/>
    <w:rsid w:val="00764540"/>
    <w:rsid w:val="00764710"/>
    <w:rsid w:val="00764D7C"/>
    <w:rsid w:val="00767F4F"/>
    <w:rsid w:val="007724EE"/>
    <w:rsid w:val="00772DBE"/>
    <w:rsid w:val="0077635F"/>
    <w:rsid w:val="007763AE"/>
    <w:rsid w:val="007773C1"/>
    <w:rsid w:val="00777D8D"/>
    <w:rsid w:val="0078094D"/>
    <w:rsid w:val="00780C2D"/>
    <w:rsid w:val="00781BA0"/>
    <w:rsid w:val="00781FF0"/>
    <w:rsid w:val="00790204"/>
    <w:rsid w:val="007917A4"/>
    <w:rsid w:val="007930B7"/>
    <w:rsid w:val="007934E3"/>
    <w:rsid w:val="007936D6"/>
    <w:rsid w:val="0079377D"/>
    <w:rsid w:val="00794053"/>
    <w:rsid w:val="00794775"/>
    <w:rsid w:val="00794C12"/>
    <w:rsid w:val="007A0813"/>
    <w:rsid w:val="007A15C5"/>
    <w:rsid w:val="007A3580"/>
    <w:rsid w:val="007A615F"/>
    <w:rsid w:val="007A6496"/>
    <w:rsid w:val="007A7C38"/>
    <w:rsid w:val="007B27C6"/>
    <w:rsid w:val="007B34B6"/>
    <w:rsid w:val="007B3880"/>
    <w:rsid w:val="007B4340"/>
    <w:rsid w:val="007B51C1"/>
    <w:rsid w:val="007B57C7"/>
    <w:rsid w:val="007B6D4E"/>
    <w:rsid w:val="007C1242"/>
    <w:rsid w:val="007C1C13"/>
    <w:rsid w:val="007C5726"/>
    <w:rsid w:val="007C5B39"/>
    <w:rsid w:val="007C5EC6"/>
    <w:rsid w:val="007C6C02"/>
    <w:rsid w:val="007D07BC"/>
    <w:rsid w:val="007D08F3"/>
    <w:rsid w:val="007D3A08"/>
    <w:rsid w:val="007D3D5A"/>
    <w:rsid w:val="007D5565"/>
    <w:rsid w:val="007D68EC"/>
    <w:rsid w:val="007D6F2A"/>
    <w:rsid w:val="007E0142"/>
    <w:rsid w:val="007E657E"/>
    <w:rsid w:val="007E7F00"/>
    <w:rsid w:val="007F0735"/>
    <w:rsid w:val="007F1420"/>
    <w:rsid w:val="007F3EFB"/>
    <w:rsid w:val="007F419E"/>
    <w:rsid w:val="007F458C"/>
    <w:rsid w:val="007F6CE3"/>
    <w:rsid w:val="00800D17"/>
    <w:rsid w:val="00803020"/>
    <w:rsid w:val="00805F04"/>
    <w:rsid w:val="008071A0"/>
    <w:rsid w:val="00807493"/>
    <w:rsid w:val="00810214"/>
    <w:rsid w:val="008106DF"/>
    <w:rsid w:val="0081129B"/>
    <w:rsid w:val="0081312C"/>
    <w:rsid w:val="00814880"/>
    <w:rsid w:val="00815A1F"/>
    <w:rsid w:val="008161E7"/>
    <w:rsid w:val="00817627"/>
    <w:rsid w:val="00821E45"/>
    <w:rsid w:val="00823FEA"/>
    <w:rsid w:val="00827C4B"/>
    <w:rsid w:val="0083033E"/>
    <w:rsid w:val="00831583"/>
    <w:rsid w:val="00831F5A"/>
    <w:rsid w:val="00835364"/>
    <w:rsid w:val="008402A6"/>
    <w:rsid w:val="008428E5"/>
    <w:rsid w:val="0084399C"/>
    <w:rsid w:val="0084445D"/>
    <w:rsid w:val="008453D1"/>
    <w:rsid w:val="008458E2"/>
    <w:rsid w:val="00850523"/>
    <w:rsid w:val="008513CD"/>
    <w:rsid w:val="00852E02"/>
    <w:rsid w:val="00852E88"/>
    <w:rsid w:val="00857F28"/>
    <w:rsid w:val="00862649"/>
    <w:rsid w:val="008639FD"/>
    <w:rsid w:val="00863B62"/>
    <w:rsid w:val="008641E7"/>
    <w:rsid w:val="0086447F"/>
    <w:rsid w:val="00864A6D"/>
    <w:rsid w:val="00865EB5"/>
    <w:rsid w:val="00867CC8"/>
    <w:rsid w:val="00870CCB"/>
    <w:rsid w:val="008712D9"/>
    <w:rsid w:val="00874E67"/>
    <w:rsid w:val="008769B8"/>
    <w:rsid w:val="00880D91"/>
    <w:rsid w:val="00881E0B"/>
    <w:rsid w:val="008841B1"/>
    <w:rsid w:val="008851FF"/>
    <w:rsid w:val="00885DCB"/>
    <w:rsid w:val="00886501"/>
    <w:rsid w:val="008877F9"/>
    <w:rsid w:val="008912CB"/>
    <w:rsid w:val="00892169"/>
    <w:rsid w:val="00896920"/>
    <w:rsid w:val="00897610"/>
    <w:rsid w:val="00897E0C"/>
    <w:rsid w:val="008A0FF1"/>
    <w:rsid w:val="008A14C7"/>
    <w:rsid w:val="008A34C9"/>
    <w:rsid w:val="008A3864"/>
    <w:rsid w:val="008A4767"/>
    <w:rsid w:val="008A587A"/>
    <w:rsid w:val="008A5C58"/>
    <w:rsid w:val="008A69D5"/>
    <w:rsid w:val="008A6D77"/>
    <w:rsid w:val="008A7B98"/>
    <w:rsid w:val="008A7C29"/>
    <w:rsid w:val="008B29A5"/>
    <w:rsid w:val="008B3EE9"/>
    <w:rsid w:val="008B6C59"/>
    <w:rsid w:val="008C1A00"/>
    <w:rsid w:val="008C2A7C"/>
    <w:rsid w:val="008C2C3B"/>
    <w:rsid w:val="008C3B77"/>
    <w:rsid w:val="008C458C"/>
    <w:rsid w:val="008C47C5"/>
    <w:rsid w:val="008C598B"/>
    <w:rsid w:val="008E24CB"/>
    <w:rsid w:val="008E3DBA"/>
    <w:rsid w:val="008E3E33"/>
    <w:rsid w:val="008E4325"/>
    <w:rsid w:val="008E4372"/>
    <w:rsid w:val="008E67E0"/>
    <w:rsid w:val="008F30BD"/>
    <w:rsid w:val="008F44E5"/>
    <w:rsid w:val="008F55F0"/>
    <w:rsid w:val="008F57ED"/>
    <w:rsid w:val="009005D0"/>
    <w:rsid w:val="009036E0"/>
    <w:rsid w:val="00905809"/>
    <w:rsid w:val="00906343"/>
    <w:rsid w:val="00911EB6"/>
    <w:rsid w:val="00913544"/>
    <w:rsid w:val="00914032"/>
    <w:rsid w:val="00914154"/>
    <w:rsid w:val="009142FA"/>
    <w:rsid w:val="0091446D"/>
    <w:rsid w:val="009145B4"/>
    <w:rsid w:val="00915C45"/>
    <w:rsid w:val="009178D9"/>
    <w:rsid w:val="00917EA4"/>
    <w:rsid w:val="009212C2"/>
    <w:rsid w:val="0092297C"/>
    <w:rsid w:val="00922C22"/>
    <w:rsid w:val="00922F9B"/>
    <w:rsid w:val="0092384E"/>
    <w:rsid w:val="009254DA"/>
    <w:rsid w:val="00925EDE"/>
    <w:rsid w:val="00927EA1"/>
    <w:rsid w:val="00930FF3"/>
    <w:rsid w:val="009318CE"/>
    <w:rsid w:val="00931AF5"/>
    <w:rsid w:val="00931C12"/>
    <w:rsid w:val="009330D1"/>
    <w:rsid w:val="00934DD0"/>
    <w:rsid w:val="00941A63"/>
    <w:rsid w:val="009429EF"/>
    <w:rsid w:val="00942AD5"/>
    <w:rsid w:val="00943E3A"/>
    <w:rsid w:val="00944246"/>
    <w:rsid w:val="00945766"/>
    <w:rsid w:val="009459C1"/>
    <w:rsid w:val="0094612A"/>
    <w:rsid w:val="00946376"/>
    <w:rsid w:val="00946AA7"/>
    <w:rsid w:val="00947A10"/>
    <w:rsid w:val="00947BE7"/>
    <w:rsid w:val="00953F0C"/>
    <w:rsid w:val="00954875"/>
    <w:rsid w:val="00954AD2"/>
    <w:rsid w:val="00954EE2"/>
    <w:rsid w:val="009552FD"/>
    <w:rsid w:val="00955654"/>
    <w:rsid w:val="0095701B"/>
    <w:rsid w:val="00963094"/>
    <w:rsid w:val="0096418C"/>
    <w:rsid w:val="009651C4"/>
    <w:rsid w:val="009676DA"/>
    <w:rsid w:val="009748B4"/>
    <w:rsid w:val="0097648B"/>
    <w:rsid w:val="00976D42"/>
    <w:rsid w:val="00977BB0"/>
    <w:rsid w:val="00982E1C"/>
    <w:rsid w:val="00984157"/>
    <w:rsid w:val="00986822"/>
    <w:rsid w:val="009876A4"/>
    <w:rsid w:val="00992DA0"/>
    <w:rsid w:val="00993F53"/>
    <w:rsid w:val="00995372"/>
    <w:rsid w:val="009A1F3A"/>
    <w:rsid w:val="009A2583"/>
    <w:rsid w:val="009A5751"/>
    <w:rsid w:val="009A6D5D"/>
    <w:rsid w:val="009B4167"/>
    <w:rsid w:val="009B4D2A"/>
    <w:rsid w:val="009B6317"/>
    <w:rsid w:val="009C042C"/>
    <w:rsid w:val="009C1AF7"/>
    <w:rsid w:val="009C34CC"/>
    <w:rsid w:val="009C4161"/>
    <w:rsid w:val="009C448F"/>
    <w:rsid w:val="009C491E"/>
    <w:rsid w:val="009C71FE"/>
    <w:rsid w:val="009D0577"/>
    <w:rsid w:val="009D37A2"/>
    <w:rsid w:val="009D4718"/>
    <w:rsid w:val="009D5BC3"/>
    <w:rsid w:val="009D67B3"/>
    <w:rsid w:val="009D6920"/>
    <w:rsid w:val="009E0EA3"/>
    <w:rsid w:val="009E1171"/>
    <w:rsid w:val="009E1D95"/>
    <w:rsid w:val="009E2A89"/>
    <w:rsid w:val="009E345E"/>
    <w:rsid w:val="009E7101"/>
    <w:rsid w:val="009E73D0"/>
    <w:rsid w:val="009F0803"/>
    <w:rsid w:val="009F15D6"/>
    <w:rsid w:val="009F3663"/>
    <w:rsid w:val="009F42EC"/>
    <w:rsid w:val="009F6522"/>
    <w:rsid w:val="00A022A4"/>
    <w:rsid w:val="00A0276B"/>
    <w:rsid w:val="00A03FA2"/>
    <w:rsid w:val="00A05388"/>
    <w:rsid w:val="00A057D3"/>
    <w:rsid w:val="00A072CD"/>
    <w:rsid w:val="00A1057B"/>
    <w:rsid w:val="00A15AE6"/>
    <w:rsid w:val="00A216D1"/>
    <w:rsid w:val="00A22530"/>
    <w:rsid w:val="00A22B7A"/>
    <w:rsid w:val="00A244E3"/>
    <w:rsid w:val="00A25498"/>
    <w:rsid w:val="00A25708"/>
    <w:rsid w:val="00A257E5"/>
    <w:rsid w:val="00A27F8A"/>
    <w:rsid w:val="00A321D9"/>
    <w:rsid w:val="00A32CB9"/>
    <w:rsid w:val="00A32F22"/>
    <w:rsid w:val="00A33D54"/>
    <w:rsid w:val="00A34072"/>
    <w:rsid w:val="00A346F7"/>
    <w:rsid w:val="00A34C1B"/>
    <w:rsid w:val="00A3527B"/>
    <w:rsid w:val="00A35F4C"/>
    <w:rsid w:val="00A36EA5"/>
    <w:rsid w:val="00A40AD8"/>
    <w:rsid w:val="00A41994"/>
    <w:rsid w:val="00A42088"/>
    <w:rsid w:val="00A464D5"/>
    <w:rsid w:val="00A512F1"/>
    <w:rsid w:val="00A52A02"/>
    <w:rsid w:val="00A52D6E"/>
    <w:rsid w:val="00A54A29"/>
    <w:rsid w:val="00A55C09"/>
    <w:rsid w:val="00A57542"/>
    <w:rsid w:val="00A57E97"/>
    <w:rsid w:val="00A61365"/>
    <w:rsid w:val="00A61748"/>
    <w:rsid w:val="00A61C55"/>
    <w:rsid w:val="00A62268"/>
    <w:rsid w:val="00A62C27"/>
    <w:rsid w:val="00A63362"/>
    <w:rsid w:val="00A63FD5"/>
    <w:rsid w:val="00A659F9"/>
    <w:rsid w:val="00A66B6C"/>
    <w:rsid w:val="00A70E14"/>
    <w:rsid w:val="00A716F8"/>
    <w:rsid w:val="00A71D6B"/>
    <w:rsid w:val="00A72597"/>
    <w:rsid w:val="00A72D13"/>
    <w:rsid w:val="00A74A35"/>
    <w:rsid w:val="00A74F4C"/>
    <w:rsid w:val="00A76370"/>
    <w:rsid w:val="00A76D02"/>
    <w:rsid w:val="00A80523"/>
    <w:rsid w:val="00A80D63"/>
    <w:rsid w:val="00A85B11"/>
    <w:rsid w:val="00A85E4F"/>
    <w:rsid w:val="00A9108D"/>
    <w:rsid w:val="00A918BB"/>
    <w:rsid w:val="00A94040"/>
    <w:rsid w:val="00A96778"/>
    <w:rsid w:val="00A975DA"/>
    <w:rsid w:val="00AA02D5"/>
    <w:rsid w:val="00AA34DA"/>
    <w:rsid w:val="00AA3664"/>
    <w:rsid w:val="00AA3BDE"/>
    <w:rsid w:val="00AA3D6F"/>
    <w:rsid w:val="00AA4F45"/>
    <w:rsid w:val="00AA763E"/>
    <w:rsid w:val="00AA7A0E"/>
    <w:rsid w:val="00AA7C92"/>
    <w:rsid w:val="00AA7DB0"/>
    <w:rsid w:val="00AB0C49"/>
    <w:rsid w:val="00AB3335"/>
    <w:rsid w:val="00AB3415"/>
    <w:rsid w:val="00AB3EB9"/>
    <w:rsid w:val="00AC0AEC"/>
    <w:rsid w:val="00AC0CFA"/>
    <w:rsid w:val="00AC0E34"/>
    <w:rsid w:val="00AC1686"/>
    <w:rsid w:val="00AC1BFE"/>
    <w:rsid w:val="00AC400D"/>
    <w:rsid w:val="00AC419B"/>
    <w:rsid w:val="00AC76DB"/>
    <w:rsid w:val="00AD070B"/>
    <w:rsid w:val="00AD0B6C"/>
    <w:rsid w:val="00AD0E22"/>
    <w:rsid w:val="00AD3D99"/>
    <w:rsid w:val="00AD5E82"/>
    <w:rsid w:val="00AD672C"/>
    <w:rsid w:val="00AD69F0"/>
    <w:rsid w:val="00AE00CF"/>
    <w:rsid w:val="00AE4908"/>
    <w:rsid w:val="00AE6AEC"/>
    <w:rsid w:val="00AE754D"/>
    <w:rsid w:val="00AE7696"/>
    <w:rsid w:val="00AF0824"/>
    <w:rsid w:val="00AF2ABA"/>
    <w:rsid w:val="00AF3A1D"/>
    <w:rsid w:val="00AF484B"/>
    <w:rsid w:val="00AF79F7"/>
    <w:rsid w:val="00B0177E"/>
    <w:rsid w:val="00B01AF0"/>
    <w:rsid w:val="00B02D17"/>
    <w:rsid w:val="00B048DF"/>
    <w:rsid w:val="00B05807"/>
    <w:rsid w:val="00B1003A"/>
    <w:rsid w:val="00B10967"/>
    <w:rsid w:val="00B14C89"/>
    <w:rsid w:val="00B2249C"/>
    <w:rsid w:val="00B237D4"/>
    <w:rsid w:val="00B23F79"/>
    <w:rsid w:val="00B24559"/>
    <w:rsid w:val="00B24861"/>
    <w:rsid w:val="00B310C0"/>
    <w:rsid w:val="00B32E78"/>
    <w:rsid w:val="00B368AD"/>
    <w:rsid w:val="00B3711D"/>
    <w:rsid w:val="00B37A86"/>
    <w:rsid w:val="00B40147"/>
    <w:rsid w:val="00B44480"/>
    <w:rsid w:val="00B50BDA"/>
    <w:rsid w:val="00B515EF"/>
    <w:rsid w:val="00B527A4"/>
    <w:rsid w:val="00B55093"/>
    <w:rsid w:val="00B6029B"/>
    <w:rsid w:val="00B6095B"/>
    <w:rsid w:val="00B611CE"/>
    <w:rsid w:val="00B62C88"/>
    <w:rsid w:val="00B64E71"/>
    <w:rsid w:val="00B66F58"/>
    <w:rsid w:val="00B670F1"/>
    <w:rsid w:val="00B6713A"/>
    <w:rsid w:val="00B73721"/>
    <w:rsid w:val="00B73B05"/>
    <w:rsid w:val="00B74DF3"/>
    <w:rsid w:val="00B7520C"/>
    <w:rsid w:val="00B75B5B"/>
    <w:rsid w:val="00B76697"/>
    <w:rsid w:val="00B80D5C"/>
    <w:rsid w:val="00B83178"/>
    <w:rsid w:val="00B8520E"/>
    <w:rsid w:val="00B857AA"/>
    <w:rsid w:val="00B85A5C"/>
    <w:rsid w:val="00B8630E"/>
    <w:rsid w:val="00B86674"/>
    <w:rsid w:val="00B87218"/>
    <w:rsid w:val="00B8786B"/>
    <w:rsid w:val="00B879B5"/>
    <w:rsid w:val="00B90AB1"/>
    <w:rsid w:val="00B90C92"/>
    <w:rsid w:val="00B924A2"/>
    <w:rsid w:val="00B927EB"/>
    <w:rsid w:val="00B92DD7"/>
    <w:rsid w:val="00B930CC"/>
    <w:rsid w:val="00B93D53"/>
    <w:rsid w:val="00B953DA"/>
    <w:rsid w:val="00B97C80"/>
    <w:rsid w:val="00BA02F8"/>
    <w:rsid w:val="00BA1547"/>
    <w:rsid w:val="00BA6F02"/>
    <w:rsid w:val="00BA7217"/>
    <w:rsid w:val="00BA7ED2"/>
    <w:rsid w:val="00BA7FF7"/>
    <w:rsid w:val="00BB0829"/>
    <w:rsid w:val="00BB0BE8"/>
    <w:rsid w:val="00BB0CF1"/>
    <w:rsid w:val="00BB32F7"/>
    <w:rsid w:val="00BB3AE8"/>
    <w:rsid w:val="00BB7038"/>
    <w:rsid w:val="00BB7F0E"/>
    <w:rsid w:val="00BC0B47"/>
    <w:rsid w:val="00BC139B"/>
    <w:rsid w:val="00BC2592"/>
    <w:rsid w:val="00BC2D32"/>
    <w:rsid w:val="00BC32C9"/>
    <w:rsid w:val="00BC364D"/>
    <w:rsid w:val="00BC5B18"/>
    <w:rsid w:val="00BC68E6"/>
    <w:rsid w:val="00BD0053"/>
    <w:rsid w:val="00BD074F"/>
    <w:rsid w:val="00BD25FC"/>
    <w:rsid w:val="00BD2F8C"/>
    <w:rsid w:val="00BD3423"/>
    <w:rsid w:val="00BD37E6"/>
    <w:rsid w:val="00BD42D1"/>
    <w:rsid w:val="00BD4974"/>
    <w:rsid w:val="00BD6809"/>
    <w:rsid w:val="00BD6F3E"/>
    <w:rsid w:val="00BD7D34"/>
    <w:rsid w:val="00BE0160"/>
    <w:rsid w:val="00BE026D"/>
    <w:rsid w:val="00BE05CC"/>
    <w:rsid w:val="00BE087B"/>
    <w:rsid w:val="00BE0AEE"/>
    <w:rsid w:val="00BE2324"/>
    <w:rsid w:val="00BE28B0"/>
    <w:rsid w:val="00BE6172"/>
    <w:rsid w:val="00BE6B3B"/>
    <w:rsid w:val="00BF0782"/>
    <w:rsid w:val="00BF3A98"/>
    <w:rsid w:val="00BF3E61"/>
    <w:rsid w:val="00BF4E31"/>
    <w:rsid w:val="00BF5CB3"/>
    <w:rsid w:val="00BF70D9"/>
    <w:rsid w:val="00C01C37"/>
    <w:rsid w:val="00C042ED"/>
    <w:rsid w:val="00C0482E"/>
    <w:rsid w:val="00C104ED"/>
    <w:rsid w:val="00C120F3"/>
    <w:rsid w:val="00C132A2"/>
    <w:rsid w:val="00C1499E"/>
    <w:rsid w:val="00C155F7"/>
    <w:rsid w:val="00C1660F"/>
    <w:rsid w:val="00C16CE7"/>
    <w:rsid w:val="00C16FB6"/>
    <w:rsid w:val="00C21374"/>
    <w:rsid w:val="00C220C5"/>
    <w:rsid w:val="00C2224D"/>
    <w:rsid w:val="00C23D91"/>
    <w:rsid w:val="00C253C3"/>
    <w:rsid w:val="00C25571"/>
    <w:rsid w:val="00C25909"/>
    <w:rsid w:val="00C3004F"/>
    <w:rsid w:val="00C308F0"/>
    <w:rsid w:val="00C31720"/>
    <w:rsid w:val="00C33C2E"/>
    <w:rsid w:val="00C356D3"/>
    <w:rsid w:val="00C35BF3"/>
    <w:rsid w:val="00C35DFA"/>
    <w:rsid w:val="00C36B1E"/>
    <w:rsid w:val="00C36F05"/>
    <w:rsid w:val="00C3775D"/>
    <w:rsid w:val="00C37DF0"/>
    <w:rsid w:val="00C42007"/>
    <w:rsid w:val="00C4297B"/>
    <w:rsid w:val="00C42F23"/>
    <w:rsid w:val="00C45B6B"/>
    <w:rsid w:val="00C53BB4"/>
    <w:rsid w:val="00C55B73"/>
    <w:rsid w:val="00C60E61"/>
    <w:rsid w:val="00C61C5E"/>
    <w:rsid w:val="00C620C4"/>
    <w:rsid w:val="00C6304A"/>
    <w:rsid w:val="00C63BD7"/>
    <w:rsid w:val="00C669A4"/>
    <w:rsid w:val="00C6779C"/>
    <w:rsid w:val="00C7221B"/>
    <w:rsid w:val="00C72ACD"/>
    <w:rsid w:val="00C74F64"/>
    <w:rsid w:val="00C75056"/>
    <w:rsid w:val="00C75116"/>
    <w:rsid w:val="00C757AA"/>
    <w:rsid w:val="00C76EDA"/>
    <w:rsid w:val="00C77F7F"/>
    <w:rsid w:val="00C812FB"/>
    <w:rsid w:val="00C81841"/>
    <w:rsid w:val="00C84273"/>
    <w:rsid w:val="00C84976"/>
    <w:rsid w:val="00C9034D"/>
    <w:rsid w:val="00C94759"/>
    <w:rsid w:val="00C94FB9"/>
    <w:rsid w:val="00C95117"/>
    <w:rsid w:val="00C9521C"/>
    <w:rsid w:val="00C96117"/>
    <w:rsid w:val="00C975C9"/>
    <w:rsid w:val="00CA0335"/>
    <w:rsid w:val="00CA0D54"/>
    <w:rsid w:val="00CA2C35"/>
    <w:rsid w:val="00CA5784"/>
    <w:rsid w:val="00CA6136"/>
    <w:rsid w:val="00CA6FAA"/>
    <w:rsid w:val="00CB10F3"/>
    <w:rsid w:val="00CB1777"/>
    <w:rsid w:val="00CB17F9"/>
    <w:rsid w:val="00CB33D8"/>
    <w:rsid w:val="00CB3C73"/>
    <w:rsid w:val="00CB791F"/>
    <w:rsid w:val="00CC0949"/>
    <w:rsid w:val="00CC1B24"/>
    <w:rsid w:val="00CC5FB9"/>
    <w:rsid w:val="00CC65C9"/>
    <w:rsid w:val="00CD2B10"/>
    <w:rsid w:val="00CD35DC"/>
    <w:rsid w:val="00CD366A"/>
    <w:rsid w:val="00CD3A88"/>
    <w:rsid w:val="00CD6922"/>
    <w:rsid w:val="00CD6C23"/>
    <w:rsid w:val="00CE0531"/>
    <w:rsid w:val="00CE085D"/>
    <w:rsid w:val="00CE200E"/>
    <w:rsid w:val="00CE248E"/>
    <w:rsid w:val="00CE252F"/>
    <w:rsid w:val="00CE494A"/>
    <w:rsid w:val="00CE5DC5"/>
    <w:rsid w:val="00CE6A07"/>
    <w:rsid w:val="00CE7036"/>
    <w:rsid w:val="00CE7F6D"/>
    <w:rsid w:val="00CF3120"/>
    <w:rsid w:val="00CF5145"/>
    <w:rsid w:val="00CF57D1"/>
    <w:rsid w:val="00D008CB"/>
    <w:rsid w:val="00D016A4"/>
    <w:rsid w:val="00D01FDF"/>
    <w:rsid w:val="00D02321"/>
    <w:rsid w:val="00D0466E"/>
    <w:rsid w:val="00D05087"/>
    <w:rsid w:val="00D072A7"/>
    <w:rsid w:val="00D078DD"/>
    <w:rsid w:val="00D1171C"/>
    <w:rsid w:val="00D14825"/>
    <w:rsid w:val="00D164FB"/>
    <w:rsid w:val="00D213B1"/>
    <w:rsid w:val="00D3065D"/>
    <w:rsid w:val="00D31101"/>
    <w:rsid w:val="00D337E7"/>
    <w:rsid w:val="00D3455A"/>
    <w:rsid w:val="00D34E06"/>
    <w:rsid w:val="00D41D04"/>
    <w:rsid w:val="00D42073"/>
    <w:rsid w:val="00D4231A"/>
    <w:rsid w:val="00D444BD"/>
    <w:rsid w:val="00D44924"/>
    <w:rsid w:val="00D46CBF"/>
    <w:rsid w:val="00D4773B"/>
    <w:rsid w:val="00D52BA8"/>
    <w:rsid w:val="00D55017"/>
    <w:rsid w:val="00D55CEB"/>
    <w:rsid w:val="00D56FD0"/>
    <w:rsid w:val="00D5773F"/>
    <w:rsid w:val="00D60ED8"/>
    <w:rsid w:val="00D61DB6"/>
    <w:rsid w:val="00D6281C"/>
    <w:rsid w:val="00D634AA"/>
    <w:rsid w:val="00D63FD9"/>
    <w:rsid w:val="00D66023"/>
    <w:rsid w:val="00D70780"/>
    <w:rsid w:val="00D70BED"/>
    <w:rsid w:val="00D716AC"/>
    <w:rsid w:val="00D743F8"/>
    <w:rsid w:val="00D778D1"/>
    <w:rsid w:val="00D806B0"/>
    <w:rsid w:val="00D81740"/>
    <w:rsid w:val="00D82393"/>
    <w:rsid w:val="00D830E7"/>
    <w:rsid w:val="00D83FF2"/>
    <w:rsid w:val="00D855F7"/>
    <w:rsid w:val="00D86096"/>
    <w:rsid w:val="00D9042A"/>
    <w:rsid w:val="00D91B75"/>
    <w:rsid w:val="00D9241B"/>
    <w:rsid w:val="00D93535"/>
    <w:rsid w:val="00DA0BA8"/>
    <w:rsid w:val="00DA1E1D"/>
    <w:rsid w:val="00DA240F"/>
    <w:rsid w:val="00DA41A4"/>
    <w:rsid w:val="00DA5708"/>
    <w:rsid w:val="00DA5E0F"/>
    <w:rsid w:val="00DA7E32"/>
    <w:rsid w:val="00DB01F7"/>
    <w:rsid w:val="00DB41D8"/>
    <w:rsid w:val="00DB4363"/>
    <w:rsid w:val="00DB43A6"/>
    <w:rsid w:val="00DB7C02"/>
    <w:rsid w:val="00DC0BC2"/>
    <w:rsid w:val="00DC353E"/>
    <w:rsid w:val="00DC4DA7"/>
    <w:rsid w:val="00DC7A0E"/>
    <w:rsid w:val="00DD0076"/>
    <w:rsid w:val="00DD0659"/>
    <w:rsid w:val="00DD0A7D"/>
    <w:rsid w:val="00DD0D7B"/>
    <w:rsid w:val="00DD21CD"/>
    <w:rsid w:val="00DD456F"/>
    <w:rsid w:val="00DD4F41"/>
    <w:rsid w:val="00DD528A"/>
    <w:rsid w:val="00DE3D89"/>
    <w:rsid w:val="00DE4192"/>
    <w:rsid w:val="00DE513B"/>
    <w:rsid w:val="00DE558B"/>
    <w:rsid w:val="00DE60B1"/>
    <w:rsid w:val="00DF08F1"/>
    <w:rsid w:val="00DF1F6B"/>
    <w:rsid w:val="00DF3E74"/>
    <w:rsid w:val="00DF524D"/>
    <w:rsid w:val="00DF7EC1"/>
    <w:rsid w:val="00E01296"/>
    <w:rsid w:val="00E10FFA"/>
    <w:rsid w:val="00E11374"/>
    <w:rsid w:val="00E122A4"/>
    <w:rsid w:val="00E1324A"/>
    <w:rsid w:val="00E1621C"/>
    <w:rsid w:val="00E16763"/>
    <w:rsid w:val="00E17DB4"/>
    <w:rsid w:val="00E2354F"/>
    <w:rsid w:val="00E263B9"/>
    <w:rsid w:val="00E27557"/>
    <w:rsid w:val="00E30C70"/>
    <w:rsid w:val="00E32EB8"/>
    <w:rsid w:val="00E34BA6"/>
    <w:rsid w:val="00E36CA9"/>
    <w:rsid w:val="00E36FAF"/>
    <w:rsid w:val="00E408D3"/>
    <w:rsid w:val="00E40E6A"/>
    <w:rsid w:val="00E42D12"/>
    <w:rsid w:val="00E42D27"/>
    <w:rsid w:val="00E4345E"/>
    <w:rsid w:val="00E436B4"/>
    <w:rsid w:val="00E43C18"/>
    <w:rsid w:val="00E4477B"/>
    <w:rsid w:val="00E45211"/>
    <w:rsid w:val="00E463A5"/>
    <w:rsid w:val="00E47A85"/>
    <w:rsid w:val="00E513FB"/>
    <w:rsid w:val="00E52E50"/>
    <w:rsid w:val="00E53C0F"/>
    <w:rsid w:val="00E56C72"/>
    <w:rsid w:val="00E57C7E"/>
    <w:rsid w:val="00E60560"/>
    <w:rsid w:val="00E60B2C"/>
    <w:rsid w:val="00E60D7B"/>
    <w:rsid w:val="00E614E0"/>
    <w:rsid w:val="00E61FFD"/>
    <w:rsid w:val="00E636A4"/>
    <w:rsid w:val="00E63B34"/>
    <w:rsid w:val="00E63E7C"/>
    <w:rsid w:val="00E666F1"/>
    <w:rsid w:val="00E725F4"/>
    <w:rsid w:val="00E76583"/>
    <w:rsid w:val="00E76AF1"/>
    <w:rsid w:val="00E7741E"/>
    <w:rsid w:val="00E83DBF"/>
    <w:rsid w:val="00E858BF"/>
    <w:rsid w:val="00E86865"/>
    <w:rsid w:val="00E86FE8"/>
    <w:rsid w:val="00E873EC"/>
    <w:rsid w:val="00E878C2"/>
    <w:rsid w:val="00E90067"/>
    <w:rsid w:val="00E90F21"/>
    <w:rsid w:val="00E93632"/>
    <w:rsid w:val="00E93AB9"/>
    <w:rsid w:val="00E97E5A"/>
    <w:rsid w:val="00EA142C"/>
    <w:rsid w:val="00EA2EB1"/>
    <w:rsid w:val="00EA37E8"/>
    <w:rsid w:val="00EA400E"/>
    <w:rsid w:val="00EA43B5"/>
    <w:rsid w:val="00EA54C5"/>
    <w:rsid w:val="00EA5D35"/>
    <w:rsid w:val="00EA6A34"/>
    <w:rsid w:val="00EB07F3"/>
    <w:rsid w:val="00EB2251"/>
    <w:rsid w:val="00EB2E33"/>
    <w:rsid w:val="00EB49EA"/>
    <w:rsid w:val="00EB4E2E"/>
    <w:rsid w:val="00EB4F5C"/>
    <w:rsid w:val="00EC033C"/>
    <w:rsid w:val="00EC0787"/>
    <w:rsid w:val="00EC0F81"/>
    <w:rsid w:val="00EC1A7A"/>
    <w:rsid w:val="00EC3042"/>
    <w:rsid w:val="00EC58B1"/>
    <w:rsid w:val="00EC7E08"/>
    <w:rsid w:val="00ED5F94"/>
    <w:rsid w:val="00ED7A73"/>
    <w:rsid w:val="00ED7CE4"/>
    <w:rsid w:val="00EE11DE"/>
    <w:rsid w:val="00EE2606"/>
    <w:rsid w:val="00EE319D"/>
    <w:rsid w:val="00EE509B"/>
    <w:rsid w:val="00EE50BD"/>
    <w:rsid w:val="00EE70A1"/>
    <w:rsid w:val="00EF0C63"/>
    <w:rsid w:val="00EF4667"/>
    <w:rsid w:val="00EF4B60"/>
    <w:rsid w:val="00EF4E49"/>
    <w:rsid w:val="00EF6730"/>
    <w:rsid w:val="00F00AF0"/>
    <w:rsid w:val="00F01303"/>
    <w:rsid w:val="00F01C02"/>
    <w:rsid w:val="00F028C0"/>
    <w:rsid w:val="00F0423E"/>
    <w:rsid w:val="00F04DF4"/>
    <w:rsid w:val="00F103EA"/>
    <w:rsid w:val="00F14573"/>
    <w:rsid w:val="00F15B30"/>
    <w:rsid w:val="00F15B3B"/>
    <w:rsid w:val="00F167CB"/>
    <w:rsid w:val="00F202E7"/>
    <w:rsid w:val="00F23506"/>
    <w:rsid w:val="00F25869"/>
    <w:rsid w:val="00F274D2"/>
    <w:rsid w:val="00F30621"/>
    <w:rsid w:val="00F33306"/>
    <w:rsid w:val="00F342EE"/>
    <w:rsid w:val="00F344E8"/>
    <w:rsid w:val="00F4009A"/>
    <w:rsid w:val="00F41B85"/>
    <w:rsid w:val="00F41E45"/>
    <w:rsid w:val="00F43E70"/>
    <w:rsid w:val="00F44E26"/>
    <w:rsid w:val="00F466E3"/>
    <w:rsid w:val="00F478B6"/>
    <w:rsid w:val="00F521AD"/>
    <w:rsid w:val="00F53028"/>
    <w:rsid w:val="00F54183"/>
    <w:rsid w:val="00F55B62"/>
    <w:rsid w:val="00F57D8F"/>
    <w:rsid w:val="00F61A5A"/>
    <w:rsid w:val="00F622EB"/>
    <w:rsid w:val="00F652AE"/>
    <w:rsid w:val="00F6647C"/>
    <w:rsid w:val="00F6658F"/>
    <w:rsid w:val="00F676ED"/>
    <w:rsid w:val="00F70381"/>
    <w:rsid w:val="00F71F1C"/>
    <w:rsid w:val="00F72984"/>
    <w:rsid w:val="00F72BD9"/>
    <w:rsid w:val="00F76205"/>
    <w:rsid w:val="00F77719"/>
    <w:rsid w:val="00F812F8"/>
    <w:rsid w:val="00F83723"/>
    <w:rsid w:val="00F90114"/>
    <w:rsid w:val="00F903BD"/>
    <w:rsid w:val="00F9170D"/>
    <w:rsid w:val="00F91862"/>
    <w:rsid w:val="00F92BC1"/>
    <w:rsid w:val="00F935E5"/>
    <w:rsid w:val="00F97926"/>
    <w:rsid w:val="00FA0740"/>
    <w:rsid w:val="00FA1789"/>
    <w:rsid w:val="00FA18C0"/>
    <w:rsid w:val="00FA29AC"/>
    <w:rsid w:val="00FA2BDF"/>
    <w:rsid w:val="00FA512A"/>
    <w:rsid w:val="00FA544A"/>
    <w:rsid w:val="00FA63AF"/>
    <w:rsid w:val="00FA7806"/>
    <w:rsid w:val="00FA7896"/>
    <w:rsid w:val="00FB30A7"/>
    <w:rsid w:val="00FB31EC"/>
    <w:rsid w:val="00FB63F8"/>
    <w:rsid w:val="00FB6429"/>
    <w:rsid w:val="00FB7011"/>
    <w:rsid w:val="00FB782D"/>
    <w:rsid w:val="00FB7DA6"/>
    <w:rsid w:val="00FC0015"/>
    <w:rsid w:val="00FC229A"/>
    <w:rsid w:val="00FC232E"/>
    <w:rsid w:val="00FC4C3D"/>
    <w:rsid w:val="00FC55EF"/>
    <w:rsid w:val="00FD3806"/>
    <w:rsid w:val="00FD3C73"/>
    <w:rsid w:val="00FD3FBB"/>
    <w:rsid w:val="00FD41EE"/>
    <w:rsid w:val="00FD4A73"/>
    <w:rsid w:val="00FE7BFC"/>
    <w:rsid w:val="00FF1A8F"/>
    <w:rsid w:val="00FF1D60"/>
    <w:rsid w:val="00FF454D"/>
    <w:rsid w:val="00FF49FA"/>
    <w:rsid w:val="00FF625F"/>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enu v:ext="edit" fillcolor="none [3212]" strokecolor="none"/>
    </o:shapedefaults>
    <o:shapelayout v:ext="edit">
      <o:idmap v:ext="edit" data="1"/>
      <o:rules v:ext="edit">
        <o:r id="V:Rule9" type="connector" idref="#Straight Arrow Connector 41"/>
        <o:r id="V:Rule10" type="connector" idref="#Straight Arrow Connector 44"/>
        <o:r id="V:Rule11" type="connector" idref="#Straight Arrow Connector 40"/>
        <o:r id="V:Rule12" type="connector" idref="#Straight Arrow Connector 53"/>
        <o:r id="V:Rule13" type="connector" idref="#Straight Arrow Connector 45"/>
        <o:r id="V:Rule14" type="connector" idref="#Straight Arrow Connector 49"/>
        <o:r id="V:Rule15" type="connector" idref="#Straight Arrow Connector 52"/>
        <o:r id="V:Rule16" type="connector" idref="#Straight Arrow Connector 5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qFormat="1"/>
    <w:lsdException w:name="heading 7" w:qFormat="1"/>
    <w:lsdException w:name="heading 8" w:uiPriority="1" w:qFormat="1"/>
    <w:lsdException w:name="heading 9" w:uiPriority="1" w:qFormat="1"/>
    <w:lsdException w:name="toc 1" w:uiPriority="39"/>
    <w:lsdException w:name="toc 2" w:uiPriority="39"/>
    <w:lsdException w:name="toc 3" w:uiPriority="39"/>
    <w:lsdException w:name="toc 5" w:uiPriority="39"/>
    <w:lsdException w:name="toc 6" w:uiPriority="39"/>
    <w:lsdException w:name="toc 7" w:uiPriority="39"/>
    <w:lsdException w:name="toc 8" w:uiPriority="39"/>
    <w:lsdException w:name="toc 9" w:uiPriority="39"/>
    <w:lsdException w:name="Normal Indent" w:uiPriority="2"/>
    <w:lsdException w:name="footnote text" w:uiPriority="99"/>
    <w:lsdException w:name="annotation text" w:uiPriority="2"/>
    <w:lsdException w:name="header" w:uiPriority="2"/>
    <w:lsdException w:name="footer" w:uiPriority="2"/>
    <w:lsdException w:name="caption" w:semiHidden="1" w:unhideWhenUsed="1" w:qFormat="1"/>
    <w:lsdException w:name="footnote reference" w:uiPriority="99"/>
    <w:lsdException w:name="annotation reference" w:uiPriority="2"/>
    <w:lsdException w:name="line number" w:uiPriority="2"/>
    <w:lsdException w:name="endnote reference" w:uiPriority="2"/>
    <w:lsdException w:name="Title" w:uiPriority="2" w:qFormat="1"/>
    <w:lsdException w:name="Default Paragraph Font" w:uiPriority="2"/>
    <w:lsdException w:name="Subtitle" w:uiPriority="2" w:qFormat="1"/>
    <w:lsdException w:name="Hyperlink" w:uiPriority="2"/>
    <w:lsdException w:name="Strong" w:uiPriority="2" w:qFormat="1"/>
    <w:lsdException w:name="Emphasis" w:uiPriority="2" w:qFormat="1"/>
    <w:lsdException w:name="HTML Acronym" w:uiPriority="2"/>
    <w:lsdException w:name="HTML Cite" w:uiPriority="2"/>
    <w:lsdException w:name="HTML Code" w:uiPriority="2"/>
    <w:lsdException w:name="HTML Definition" w:uiPriority="2"/>
    <w:lsdException w:name="HTML Keyboard" w:uiPriority="2"/>
    <w:lsdException w:name="HTML Sample" w:uiPriority="2"/>
    <w:lsdException w:name="HTML Typewriter" w:uiPriority="2"/>
    <w:lsdException w:name="HTML Variable" w:uiPriority="2"/>
    <w:lsdException w:name="annotation subject" w:uiPriority="2"/>
    <w:lsdException w:name="No List" w:uiPriority="99"/>
    <w:lsdException w:name="Balloon Text" w:uiPriority="2"/>
    <w:lsdException w:name="Placeholder Text" w:semiHidden="1" w:uiPriority="2"/>
    <w:lsdException w:name="No Spacing"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2" w:qFormat="1"/>
    <w:lsdException w:name="Quote" w:uiPriority="2" w:qFormat="1"/>
    <w:lsdException w:name="Intense Quote" w:uiPriority="2"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2" w:qFormat="1"/>
    <w:lsdException w:name="Intense Emphasis" w:uiPriority="2" w:qFormat="1"/>
    <w:lsdException w:name="Subtle Reference" w:uiPriority="2" w:qFormat="1"/>
    <w:lsdException w:name="Intense Reference" w:uiPriority="2" w:qFormat="1"/>
    <w:lsdException w:name="Book Title" w:uiPriority="2" w:qFormat="1"/>
    <w:lsdException w:name="Bibliography" w:semiHidden="1" w:uiPriority="2" w:unhideWhenUsed="1"/>
    <w:lsdException w:name="TOC Heading" w:semiHidden="1" w:uiPriority="39" w:unhideWhenUsed="1" w:qFormat="1"/>
  </w:latentStyles>
  <w:style w:type="paragraph" w:default="1" w:styleId="Normal">
    <w:name w:val="Normal"/>
    <w:qFormat/>
    <w:rsid w:val="000D0385"/>
    <w:pPr>
      <w:spacing w:after="120" w:line="280" w:lineRule="atLeast"/>
      <w:jc w:val="both"/>
    </w:pPr>
    <w:rPr>
      <w:sz w:val="22"/>
      <w:lang w:eastAsia="en-US"/>
    </w:rPr>
  </w:style>
  <w:style w:type="paragraph" w:styleId="Heading1">
    <w:name w:val="heading 1"/>
    <w:next w:val="Normal"/>
    <w:link w:val="Heading1Char"/>
    <w:uiPriority w:val="1"/>
    <w:qFormat/>
    <w:rsid w:val="00322964"/>
    <w:pPr>
      <w:keepNext/>
      <w:spacing w:after="240" w:line="470" w:lineRule="exact"/>
      <w:jc w:val="center"/>
      <w:outlineLvl w:val="0"/>
    </w:pPr>
    <w:rPr>
      <w:rFonts w:ascii="Arial" w:hAnsi="Arial"/>
      <w:b/>
      <w:sz w:val="36"/>
      <w:lang w:eastAsia="en-US"/>
    </w:rPr>
  </w:style>
  <w:style w:type="paragraph" w:styleId="Heading2">
    <w:name w:val="heading 2"/>
    <w:next w:val="Normal"/>
    <w:link w:val="Heading2Char"/>
    <w:uiPriority w:val="1"/>
    <w:qFormat/>
    <w:rsid w:val="00266E77"/>
    <w:pPr>
      <w:keepNext/>
      <w:spacing w:before="240" w:after="140" w:line="350" w:lineRule="exact"/>
      <w:outlineLvl w:val="1"/>
    </w:pPr>
    <w:rPr>
      <w:rFonts w:ascii="Arial" w:hAnsi="Arial"/>
      <w:b/>
      <w:sz w:val="28"/>
      <w:lang w:eastAsia="en-US"/>
    </w:rPr>
  </w:style>
  <w:style w:type="paragraph" w:styleId="Heading3">
    <w:name w:val="heading 3"/>
    <w:next w:val="Normal"/>
    <w:uiPriority w:val="1"/>
    <w:qFormat/>
    <w:rsid w:val="00266E77"/>
    <w:pPr>
      <w:keepNext/>
      <w:spacing w:before="180" w:after="100" w:line="300" w:lineRule="exact"/>
      <w:outlineLvl w:val="2"/>
    </w:pPr>
    <w:rPr>
      <w:rFonts w:ascii="Arial" w:hAnsi="Arial"/>
      <w:b/>
      <w:sz w:val="24"/>
      <w:lang w:eastAsia="en-US"/>
    </w:rPr>
  </w:style>
  <w:style w:type="paragraph" w:styleId="Heading4">
    <w:name w:val="heading 4"/>
    <w:next w:val="Normal"/>
    <w:link w:val="Heading4Char"/>
    <w:uiPriority w:val="1"/>
    <w:qFormat/>
    <w:rsid w:val="00266E77"/>
    <w:pPr>
      <w:keepNext/>
      <w:spacing w:before="100" w:after="20" w:line="250" w:lineRule="exact"/>
      <w:outlineLvl w:val="3"/>
    </w:pPr>
    <w:rPr>
      <w:rFonts w:ascii="Arial" w:hAnsi="Arial"/>
      <w:b/>
      <w:lang w:eastAsia="en-US"/>
    </w:rPr>
  </w:style>
  <w:style w:type="paragraph" w:styleId="Heading5">
    <w:name w:val="heading 5"/>
    <w:next w:val="Normal"/>
    <w:link w:val="Heading5Char"/>
    <w:uiPriority w:val="1"/>
    <w:qFormat/>
    <w:rsid w:val="00FF625F"/>
    <w:pPr>
      <w:keepNext/>
      <w:spacing w:before="60" w:after="120" w:line="250" w:lineRule="exact"/>
      <w:outlineLvl w:val="4"/>
    </w:pPr>
    <w:rPr>
      <w:rFonts w:ascii="Arial" w:hAnsi="Arial" w:cs="Arial"/>
      <w:sz w:val="22"/>
      <w:szCs w:val="22"/>
      <w:u w:val="single"/>
      <w:lang w:eastAsia="en-US"/>
    </w:rPr>
  </w:style>
  <w:style w:type="paragraph" w:styleId="Heading6">
    <w:name w:val="heading 6"/>
    <w:basedOn w:val="Normal"/>
    <w:next w:val="Normal"/>
    <w:link w:val="Heading6Char"/>
    <w:qFormat/>
    <w:rsid w:val="00322964"/>
    <w:pPr>
      <w:keepNext/>
      <w:spacing w:before="60" w:after="20" w:line="250" w:lineRule="atLeast"/>
      <w:jc w:val="left"/>
      <w:outlineLvl w:val="5"/>
    </w:pPr>
    <w:rPr>
      <w:b/>
      <w:sz w:val="20"/>
    </w:rPr>
  </w:style>
  <w:style w:type="paragraph" w:styleId="Heading7">
    <w:name w:val="heading 7"/>
    <w:basedOn w:val="Normal"/>
    <w:next w:val="Normal"/>
    <w:qFormat/>
    <w:rsid w:val="00322964"/>
    <w:pPr>
      <w:spacing w:before="60" w:after="40" w:line="240" w:lineRule="atLeast"/>
      <w:jc w:val="left"/>
      <w:outlineLvl w:val="6"/>
    </w:pPr>
    <w:rPr>
      <w:i/>
      <w:sz w:val="20"/>
    </w:rPr>
  </w:style>
  <w:style w:type="paragraph" w:styleId="Heading8">
    <w:name w:val="heading 8"/>
    <w:uiPriority w:val="1"/>
    <w:qFormat/>
    <w:rsid w:val="00322964"/>
    <w:pPr>
      <w:spacing w:after="240" w:line="260" w:lineRule="atLeast"/>
      <w:jc w:val="center"/>
      <w:outlineLvl w:val="7"/>
    </w:pPr>
    <w:rPr>
      <w:rFonts w:ascii="Arial" w:hAnsi="Arial"/>
      <w:lang w:eastAsia="en-US"/>
    </w:rPr>
  </w:style>
  <w:style w:type="paragraph" w:styleId="Heading9">
    <w:name w:val="heading 9"/>
    <w:uiPriority w:val="1"/>
    <w:qFormat/>
    <w:rsid w:val="00322964"/>
    <w:pPr>
      <w:keepNext/>
      <w:spacing w:before="120" w:after="120" w:line="260" w:lineRule="atLeast"/>
      <w:outlineLvl w:val="8"/>
    </w:pPr>
    <w:rPr>
      <w:rFonts w:ascii="Arial"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uiPriority w:val="39"/>
    <w:rsid w:val="00322964"/>
    <w:pPr>
      <w:tabs>
        <w:tab w:val="left" w:pos="360"/>
        <w:tab w:val="right" w:pos="8306"/>
      </w:tabs>
      <w:spacing w:before="240" w:after="60" w:line="300" w:lineRule="atLeast"/>
      <w:ind w:left="360" w:right="1080" w:hanging="360"/>
    </w:pPr>
    <w:rPr>
      <w:rFonts w:ascii="Arial" w:hAnsi="Arial"/>
      <w:b/>
      <w:sz w:val="24"/>
      <w:lang w:eastAsia="en-US"/>
    </w:rPr>
  </w:style>
  <w:style w:type="paragraph" w:styleId="TOC4">
    <w:name w:val="toc 4"/>
    <w:basedOn w:val="TOC1"/>
    <w:rsid w:val="00322964"/>
    <w:pPr>
      <w:spacing w:before="60" w:line="260" w:lineRule="atLeast"/>
      <w:ind w:left="1440" w:firstLine="0"/>
    </w:pPr>
    <w:rPr>
      <w:b w:val="0"/>
      <w:i/>
      <w:sz w:val="20"/>
    </w:rPr>
  </w:style>
  <w:style w:type="paragraph" w:styleId="TOC3">
    <w:name w:val="toc 3"/>
    <w:basedOn w:val="TOC1"/>
    <w:uiPriority w:val="39"/>
    <w:rsid w:val="00322964"/>
    <w:pPr>
      <w:tabs>
        <w:tab w:val="left" w:pos="1500"/>
      </w:tabs>
      <w:spacing w:before="60" w:line="280" w:lineRule="atLeast"/>
      <w:ind w:left="1500" w:hanging="660"/>
    </w:pPr>
    <w:rPr>
      <w:b w:val="0"/>
      <w:sz w:val="20"/>
    </w:rPr>
  </w:style>
  <w:style w:type="paragraph" w:styleId="TOC2">
    <w:name w:val="toc 2"/>
    <w:basedOn w:val="TOC1"/>
    <w:uiPriority w:val="39"/>
    <w:rsid w:val="00322964"/>
    <w:pPr>
      <w:spacing w:before="60" w:line="280" w:lineRule="atLeast"/>
      <w:ind w:left="840" w:hanging="480"/>
    </w:pPr>
    <w:rPr>
      <w:b w:val="0"/>
      <w:sz w:val="22"/>
    </w:rPr>
  </w:style>
  <w:style w:type="paragraph" w:styleId="Footer">
    <w:name w:val="footer"/>
    <w:link w:val="FooterChar"/>
    <w:uiPriority w:val="2"/>
    <w:rsid w:val="00322964"/>
    <w:pPr>
      <w:jc w:val="center"/>
    </w:pPr>
    <w:rPr>
      <w:rFonts w:ascii="Arial" w:hAnsi="Arial"/>
      <w:lang w:eastAsia="en-US"/>
    </w:rPr>
  </w:style>
  <w:style w:type="paragraph" w:styleId="Header">
    <w:name w:val="header"/>
    <w:uiPriority w:val="2"/>
    <w:rsid w:val="00322964"/>
    <w:rPr>
      <w:lang w:eastAsia="en-US"/>
    </w:rPr>
  </w:style>
  <w:style w:type="paragraph" w:styleId="NormalIndent">
    <w:name w:val="Normal Indent"/>
    <w:basedOn w:val="Normal"/>
    <w:link w:val="NormalIndentChar"/>
    <w:uiPriority w:val="2"/>
    <w:rsid w:val="00322964"/>
    <w:pPr>
      <w:ind w:firstLine="360"/>
    </w:pPr>
  </w:style>
  <w:style w:type="paragraph" w:customStyle="1" w:styleId="Normallist1">
    <w:name w:val="Normal list 1"/>
    <w:basedOn w:val="Normal"/>
    <w:uiPriority w:val="2"/>
    <w:qFormat/>
    <w:rsid w:val="00A80523"/>
    <w:pPr>
      <w:numPr>
        <w:numId w:val="25"/>
      </w:numPr>
      <w:ind w:left="357" w:hanging="357"/>
    </w:pPr>
  </w:style>
  <w:style w:type="paragraph" w:customStyle="1" w:styleId="Normalno">
    <w:name w:val="Normal no #"/>
    <w:basedOn w:val="Normal"/>
    <w:uiPriority w:val="2"/>
    <w:rsid w:val="00322964"/>
    <w:pPr>
      <w:spacing w:after="0"/>
    </w:pPr>
  </w:style>
  <w:style w:type="paragraph" w:customStyle="1" w:styleId="byline">
    <w:name w:val="byline"/>
    <w:next w:val="Normal"/>
    <w:uiPriority w:val="2"/>
    <w:rsid w:val="00322964"/>
    <w:pPr>
      <w:spacing w:before="240" w:after="60"/>
    </w:pPr>
    <w:rPr>
      <w:rFonts w:ascii="Arial" w:hAnsi="Arial"/>
      <w:b/>
      <w:lang w:eastAsia="en-US"/>
    </w:rPr>
  </w:style>
  <w:style w:type="paragraph" w:customStyle="1" w:styleId="Normallist2">
    <w:name w:val="Normal list 2"/>
    <w:basedOn w:val="Normal"/>
    <w:uiPriority w:val="2"/>
    <w:qFormat/>
    <w:rsid w:val="00322964"/>
    <w:pPr>
      <w:ind w:left="720" w:hanging="360"/>
    </w:pPr>
  </w:style>
  <w:style w:type="paragraph" w:customStyle="1" w:styleId="subhead">
    <w:name w:val="subhead"/>
    <w:next w:val="Normal"/>
    <w:uiPriority w:val="2"/>
    <w:rsid w:val="00322964"/>
    <w:pPr>
      <w:spacing w:before="140" w:after="300"/>
      <w:jc w:val="center"/>
    </w:pPr>
    <w:rPr>
      <w:rFonts w:ascii="Arial" w:hAnsi="Arial"/>
      <w:sz w:val="30"/>
      <w:lang w:eastAsia="en-US"/>
    </w:rPr>
  </w:style>
  <w:style w:type="paragraph" w:customStyle="1" w:styleId="figurecaption">
    <w:name w:val="figure caption"/>
    <w:next w:val="Normal"/>
    <w:link w:val="figurecaptionChar"/>
    <w:qFormat/>
    <w:rsid w:val="00322964"/>
    <w:pPr>
      <w:spacing w:after="240" w:line="240" w:lineRule="atLeast"/>
      <w:jc w:val="center"/>
    </w:pPr>
    <w:rPr>
      <w:rFonts w:ascii="Arial" w:hAnsi="Arial"/>
      <w:sz w:val="18"/>
      <w:lang w:eastAsia="en-US"/>
    </w:rPr>
  </w:style>
  <w:style w:type="paragraph" w:customStyle="1" w:styleId="tablecaption">
    <w:name w:val="table caption"/>
    <w:next w:val="Normal"/>
    <w:link w:val="tablecaptionChar"/>
    <w:uiPriority w:val="2"/>
    <w:qFormat/>
    <w:rsid w:val="00322964"/>
    <w:pPr>
      <w:keepNext/>
      <w:spacing w:before="120" w:after="120" w:line="240" w:lineRule="atLeast"/>
    </w:pPr>
    <w:rPr>
      <w:rFonts w:ascii="Arial" w:hAnsi="Arial"/>
      <w:sz w:val="18"/>
      <w:lang w:eastAsia="en-US"/>
    </w:rPr>
  </w:style>
  <w:style w:type="paragraph" w:customStyle="1" w:styleId="table1">
    <w:name w:val="table 1"/>
    <w:link w:val="table1Char"/>
    <w:uiPriority w:val="2"/>
    <w:qFormat/>
    <w:rsid w:val="00322964"/>
    <w:pPr>
      <w:spacing w:before="60" w:after="60" w:line="200" w:lineRule="atLeast"/>
    </w:pPr>
    <w:rPr>
      <w:rFonts w:ascii="Arial" w:hAnsi="Arial"/>
      <w:sz w:val="16"/>
      <w:lang w:eastAsia="en-US"/>
    </w:rPr>
  </w:style>
  <w:style w:type="paragraph" w:customStyle="1" w:styleId="table1list">
    <w:name w:val="table 1 list"/>
    <w:basedOn w:val="table1"/>
    <w:uiPriority w:val="2"/>
    <w:rsid w:val="00322964"/>
    <w:pPr>
      <w:ind w:left="240" w:hanging="240"/>
    </w:pPr>
  </w:style>
  <w:style w:type="paragraph" w:customStyle="1" w:styleId="tablenote">
    <w:name w:val="table note"/>
    <w:basedOn w:val="table1"/>
    <w:uiPriority w:val="2"/>
    <w:qFormat/>
    <w:rsid w:val="00322964"/>
    <w:pPr>
      <w:tabs>
        <w:tab w:val="left" w:pos="240"/>
      </w:tabs>
      <w:spacing w:after="180" w:line="180" w:lineRule="atLeast"/>
      <w:ind w:left="238" w:hanging="238"/>
    </w:pPr>
    <w:rPr>
      <w:sz w:val="14"/>
    </w:rPr>
  </w:style>
  <w:style w:type="paragraph" w:customStyle="1" w:styleId="bulletlist1">
    <w:name w:val="bullet list 1"/>
    <w:basedOn w:val="Normal"/>
    <w:uiPriority w:val="2"/>
    <w:qFormat/>
    <w:rsid w:val="00322964"/>
    <w:pPr>
      <w:numPr>
        <w:numId w:val="1"/>
      </w:numPr>
    </w:pPr>
  </w:style>
  <w:style w:type="paragraph" w:customStyle="1" w:styleId="4point">
    <w:name w:val="4 point #"/>
    <w:uiPriority w:val="2"/>
    <w:qFormat/>
    <w:rsid w:val="00322964"/>
    <w:rPr>
      <w:sz w:val="8"/>
      <w:lang w:eastAsia="en-US"/>
    </w:rPr>
  </w:style>
  <w:style w:type="paragraph" w:customStyle="1" w:styleId="referencelist1">
    <w:name w:val="reference list 1"/>
    <w:uiPriority w:val="2"/>
    <w:qFormat/>
    <w:rsid w:val="00322964"/>
    <w:pPr>
      <w:spacing w:after="120" w:line="280" w:lineRule="atLeast"/>
      <w:ind w:left="360" w:hanging="360"/>
      <w:jc w:val="both"/>
    </w:pPr>
    <w:rPr>
      <w:sz w:val="22"/>
      <w:lang w:eastAsia="en-US"/>
    </w:rPr>
  </w:style>
  <w:style w:type="paragraph" w:customStyle="1" w:styleId="table2">
    <w:name w:val="table 2"/>
    <w:basedOn w:val="table1"/>
    <w:uiPriority w:val="2"/>
    <w:qFormat/>
    <w:rsid w:val="00322964"/>
    <w:pPr>
      <w:spacing w:before="20" w:after="20"/>
    </w:pPr>
  </w:style>
  <w:style w:type="paragraph" w:customStyle="1" w:styleId="equation1">
    <w:name w:val="equation 1"/>
    <w:basedOn w:val="Normal"/>
    <w:uiPriority w:val="2"/>
    <w:rsid w:val="00322964"/>
    <w:pPr>
      <w:tabs>
        <w:tab w:val="right" w:pos="5280"/>
      </w:tabs>
      <w:spacing w:before="40" w:after="140"/>
      <w:ind w:left="360"/>
      <w:jc w:val="left"/>
    </w:pPr>
    <w:rPr>
      <w:rFonts w:ascii="Arial" w:hAnsi="Arial"/>
      <w:sz w:val="20"/>
    </w:rPr>
  </w:style>
  <w:style w:type="paragraph" w:customStyle="1" w:styleId="verso1">
    <w:name w:val="verso 1"/>
    <w:uiPriority w:val="2"/>
    <w:rsid w:val="00322964"/>
    <w:pPr>
      <w:spacing w:after="80" w:line="220" w:lineRule="atLeast"/>
      <w:ind w:left="240" w:right="720"/>
    </w:pPr>
    <w:rPr>
      <w:rFonts w:ascii="Arial" w:hAnsi="Arial"/>
      <w:sz w:val="18"/>
      <w:lang w:eastAsia="en-US"/>
    </w:rPr>
  </w:style>
  <w:style w:type="paragraph" w:styleId="FootnoteText">
    <w:name w:val="footnote text"/>
    <w:basedOn w:val="Normal"/>
    <w:link w:val="FootnoteTextChar"/>
    <w:uiPriority w:val="99"/>
    <w:rsid w:val="00322964"/>
    <w:pPr>
      <w:tabs>
        <w:tab w:val="left" w:pos="240"/>
      </w:tabs>
      <w:spacing w:after="80" w:line="240" w:lineRule="atLeast"/>
      <w:ind w:left="240" w:hanging="240"/>
    </w:pPr>
    <w:rPr>
      <w:sz w:val="18"/>
    </w:rPr>
  </w:style>
  <w:style w:type="paragraph" w:styleId="Bibliography">
    <w:name w:val="Bibliography"/>
    <w:basedOn w:val="referencelist1"/>
    <w:uiPriority w:val="2"/>
    <w:rsid w:val="00322964"/>
  </w:style>
  <w:style w:type="paragraph" w:customStyle="1" w:styleId="address">
    <w:name w:val="address"/>
    <w:basedOn w:val="Heading4"/>
    <w:uiPriority w:val="2"/>
    <w:qFormat/>
    <w:rsid w:val="00322964"/>
    <w:pPr>
      <w:spacing w:after="800"/>
      <w:jc w:val="center"/>
    </w:pPr>
    <w:rPr>
      <w:b w:val="0"/>
    </w:rPr>
  </w:style>
  <w:style w:type="paragraph" w:customStyle="1" w:styleId="Normallist3">
    <w:name w:val="Normal list 3"/>
    <w:basedOn w:val="Normallist2"/>
    <w:uiPriority w:val="2"/>
    <w:rsid w:val="00322964"/>
    <w:pPr>
      <w:ind w:left="1320"/>
    </w:pPr>
  </w:style>
  <w:style w:type="paragraph" w:customStyle="1" w:styleId="quote">
    <w:name w:val="quote"/>
    <w:basedOn w:val="Normal"/>
    <w:uiPriority w:val="2"/>
    <w:qFormat/>
    <w:rsid w:val="00322964"/>
    <w:pPr>
      <w:spacing w:line="260" w:lineRule="atLeast"/>
      <w:ind w:left="360"/>
    </w:pPr>
    <w:rPr>
      <w:sz w:val="20"/>
    </w:rPr>
  </w:style>
  <w:style w:type="paragraph" w:customStyle="1" w:styleId="bulletlist2">
    <w:name w:val="bullet list 2"/>
    <w:basedOn w:val="bulletlist1"/>
    <w:uiPriority w:val="2"/>
    <w:qFormat/>
    <w:rsid w:val="00322964"/>
    <w:pPr>
      <w:numPr>
        <w:ilvl w:val="1"/>
        <w:numId w:val="2"/>
      </w:numPr>
    </w:pPr>
  </w:style>
  <w:style w:type="paragraph" w:customStyle="1" w:styleId="landscape">
    <w:name w:val="landscape#"/>
    <w:basedOn w:val="Normal"/>
    <w:uiPriority w:val="2"/>
    <w:qFormat/>
    <w:rsid w:val="00322964"/>
    <w:pPr>
      <w:framePr w:w="567" w:h="1134" w:hSpace="181" w:wrap="around" w:vAnchor="page" w:hAnchor="page" w:x="568" w:yAlign="center"/>
      <w:shd w:val="solid" w:color="FFFFFF" w:fill="FFFFFF"/>
      <w:jc w:val="center"/>
      <w:textDirection w:val="tbRl"/>
    </w:pPr>
    <w:rPr>
      <w:rFonts w:ascii="Arial" w:hAnsi="Arial"/>
      <w:sz w:val="20"/>
    </w:rPr>
  </w:style>
  <w:style w:type="paragraph" w:customStyle="1" w:styleId="authors">
    <w:name w:val="authors"/>
    <w:basedOn w:val="Heading3"/>
    <w:uiPriority w:val="2"/>
    <w:rsid w:val="00322964"/>
    <w:pPr>
      <w:spacing w:after="400"/>
      <w:jc w:val="center"/>
    </w:pPr>
  </w:style>
  <w:style w:type="paragraph" w:customStyle="1" w:styleId="numberlist1">
    <w:name w:val="number list 1"/>
    <w:basedOn w:val="Normal"/>
    <w:uiPriority w:val="2"/>
    <w:qFormat/>
    <w:rsid w:val="00322964"/>
    <w:pPr>
      <w:numPr>
        <w:numId w:val="3"/>
      </w:numPr>
    </w:pPr>
    <w:rPr>
      <w:snapToGrid w:val="0"/>
    </w:rPr>
  </w:style>
  <w:style w:type="paragraph" w:customStyle="1" w:styleId="platecaption">
    <w:name w:val="plate caption"/>
    <w:basedOn w:val="figurecaption"/>
    <w:uiPriority w:val="2"/>
    <w:qFormat/>
    <w:rsid w:val="00322964"/>
  </w:style>
  <w:style w:type="character" w:styleId="Emphasis">
    <w:name w:val="Emphasis"/>
    <w:basedOn w:val="DefaultParagraphFont"/>
    <w:uiPriority w:val="2"/>
    <w:qFormat/>
    <w:rsid w:val="00322964"/>
    <w:rPr>
      <w:i/>
      <w:iCs/>
    </w:rPr>
  </w:style>
  <w:style w:type="paragraph" w:styleId="Quote0">
    <w:name w:val="Quote"/>
    <w:basedOn w:val="Normal"/>
    <w:next w:val="Normal"/>
    <w:link w:val="QuoteChar"/>
    <w:uiPriority w:val="2"/>
    <w:rsid w:val="00322964"/>
    <w:rPr>
      <w:i/>
      <w:iCs/>
      <w:color w:val="000000" w:themeColor="text1"/>
    </w:rPr>
  </w:style>
  <w:style w:type="character" w:customStyle="1" w:styleId="QuoteChar">
    <w:name w:val="Quote Char"/>
    <w:basedOn w:val="DefaultParagraphFont"/>
    <w:link w:val="Quote0"/>
    <w:uiPriority w:val="2"/>
    <w:rsid w:val="00322964"/>
    <w:rPr>
      <w:i/>
      <w:iCs/>
      <w:color w:val="000000" w:themeColor="text1"/>
      <w:sz w:val="22"/>
      <w:lang w:eastAsia="en-US"/>
    </w:rPr>
  </w:style>
  <w:style w:type="paragraph" w:styleId="NoSpacing">
    <w:name w:val="No Spacing"/>
    <w:uiPriority w:val="2"/>
    <w:rsid w:val="00322964"/>
    <w:pPr>
      <w:jc w:val="both"/>
    </w:pPr>
    <w:rPr>
      <w:sz w:val="22"/>
      <w:lang w:eastAsia="en-US"/>
    </w:rPr>
  </w:style>
  <w:style w:type="paragraph" w:styleId="Title">
    <w:name w:val="Title"/>
    <w:basedOn w:val="Normal"/>
    <w:next w:val="Normal"/>
    <w:link w:val="TitleChar"/>
    <w:uiPriority w:val="2"/>
    <w:qFormat/>
    <w:rsid w:val="0032296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2"/>
    <w:rsid w:val="00322964"/>
    <w:rPr>
      <w:rFonts w:asciiTheme="majorHAnsi" w:eastAsiaTheme="majorEastAsia" w:hAnsiTheme="majorHAnsi" w:cstheme="majorBidi"/>
      <w:color w:val="17365D" w:themeColor="text2" w:themeShade="BF"/>
      <w:spacing w:val="5"/>
      <w:kern w:val="28"/>
      <w:sz w:val="52"/>
      <w:szCs w:val="52"/>
      <w:lang w:eastAsia="en-US"/>
    </w:rPr>
  </w:style>
  <w:style w:type="character" w:styleId="SubtleEmphasis">
    <w:name w:val="Subtle Emphasis"/>
    <w:basedOn w:val="DefaultParagraphFont"/>
    <w:uiPriority w:val="2"/>
    <w:rsid w:val="00322964"/>
    <w:rPr>
      <w:i/>
      <w:iCs/>
      <w:color w:val="808080" w:themeColor="text1" w:themeTint="7F"/>
    </w:rPr>
  </w:style>
  <w:style w:type="character" w:styleId="IntenseEmphasis">
    <w:name w:val="Intense Emphasis"/>
    <w:basedOn w:val="DefaultParagraphFont"/>
    <w:uiPriority w:val="2"/>
    <w:rsid w:val="00322964"/>
    <w:rPr>
      <w:b/>
      <w:bCs/>
      <w:i/>
      <w:iCs/>
      <w:color w:val="4F81BD" w:themeColor="accent1"/>
    </w:rPr>
  </w:style>
  <w:style w:type="paragraph" w:styleId="IntenseQuote">
    <w:name w:val="Intense Quote"/>
    <w:basedOn w:val="Normal"/>
    <w:next w:val="Normal"/>
    <w:link w:val="IntenseQuoteChar"/>
    <w:uiPriority w:val="2"/>
    <w:rsid w:val="0032296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2"/>
    <w:rsid w:val="00322964"/>
    <w:rPr>
      <w:b/>
      <w:bCs/>
      <w:i/>
      <w:iCs/>
      <w:color w:val="4F81BD" w:themeColor="accent1"/>
      <w:sz w:val="22"/>
      <w:lang w:eastAsia="en-US"/>
    </w:rPr>
  </w:style>
  <w:style w:type="character" w:styleId="SubtleReference">
    <w:name w:val="Subtle Reference"/>
    <w:basedOn w:val="DefaultParagraphFont"/>
    <w:uiPriority w:val="2"/>
    <w:rsid w:val="00322964"/>
    <w:rPr>
      <w:smallCaps/>
      <w:color w:val="C0504D" w:themeColor="accent2"/>
      <w:u w:val="single"/>
    </w:rPr>
  </w:style>
  <w:style w:type="character" w:styleId="IntenseReference">
    <w:name w:val="Intense Reference"/>
    <w:basedOn w:val="DefaultParagraphFont"/>
    <w:uiPriority w:val="2"/>
    <w:rsid w:val="00322964"/>
    <w:rPr>
      <w:b/>
      <w:bCs/>
      <w:smallCaps/>
      <w:color w:val="C0504D" w:themeColor="accent2"/>
      <w:spacing w:val="5"/>
      <w:u w:val="single"/>
    </w:rPr>
  </w:style>
  <w:style w:type="paragraph" w:styleId="ListParagraph">
    <w:name w:val="List Paragraph"/>
    <w:basedOn w:val="Normal"/>
    <w:uiPriority w:val="2"/>
    <w:qFormat/>
    <w:rsid w:val="00322964"/>
    <w:pPr>
      <w:ind w:left="720"/>
      <w:contextualSpacing/>
    </w:pPr>
  </w:style>
  <w:style w:type="character" w:styleId="Strong">
    <w:name w:val="Strong"/>
    <w:basedOn w:val="DefaultParagraphFont"/>
    <w:uiPriority w:val="2"/>
    <w:qFormat/>
    <w:rsid w:val="00322964"/>
    <w:rPr>
      <w:b/>
      <w:bCs/>
    </w:rPr>
  </w:style>
  <w:style w:type="paragraph" w:styleId="Subtitle">
    <w:name w:val="Subtitle"/>
    <w:basedOn w:val="Normal"/>
    <w:next w:val="Normal"/>
    <w:link w:val="SubtitleChar"/>
    <w:uiPriority w:val="2"/>
    <w:qFormat/>
    <w:rsid w:val="0032296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2"/>
    <w:rsid w:val="00322964"/>
    <w:rPr>
      <w:rFonts w:asciiTheme="majorHAnsi" w:eastAsiaTheme="majorEastAsia" w:hAnsiTheme="majorHAnsi" w:cstheme="majorBidi"/>
      <w:i/>
      <w:iCs/>
      <w:color w:val="4F81BD" w:themeColor="accent1"/>
      <w:spacing w:val="15"/>
      <w:sz w:val="24"/>
      <w:szCs w:val="24"/>
      <w:lang w:eastAsia="en-US"/>
    </w:rPr>
  </w:style>
  <w:style w:type="character" w:styleId="BookTitle">
    <w:name w:val="Book Title"/>
    <w:basedOn w:val="DefaultParagraphFont"/>
    <w:uiPriority w:val="2"/>
    <w:rsid w:val="00322964"/>
    <w:rPr>
      <w:b/>
      <w:bCs/>
      <w:smallCaps/>
      <w:spacing w:val="5"/>
    </w:rPr>
  </w:style>
  <w:style w:type="paragraph" w:customStyle="1" w:styleId="figcapfullpage">
    <w:name w:val="figcap fullpage"/>
    <w:basedOn w:val="figurecaption"/>
    <w:rsid w:val="000D0385"/>
    <w:pPr>
      <w:framePr w:w="8400" w:wrap="notBeside" w:hAnchor="page" w:xAlign="center" w:yAlign="bottom"/>
      <w:spacing w:before="240" w:after="80"/>
    </w:pPr>
  </w:style>
  <w:style w:type="paragraph" w:customStyle="1" w:styleId="division">
    <w:name w:val="division"/>
    <w:basedOn w:val="Caption"/>
    <w:rsid w:val="000D0385"/>
    <w:pPr>
      <w:spacing w:line="240" w:lineRule="auto"/>
      <w:ind w:left="2160"/>
    </w:pPr>
    <w:rPr>
      <w:b w:val="0"/>
      <w:bCs w:val="0"/>
      <w:sz w:val="30"/>
      <w:u w:val="none"/>
    </w:rPr>
  </w:style>
  <w:style w:type="paragraph" w:styleId="Caption">
    <w:name w:val="caption"/>
    <w:basedOn w:val="Normal"/>
    <w:next w:val="Normal"/>
    <w:qFormat/>
    <w:rsid w:val="000D0385"/>
    <w:rPr>
      <w:b/>
      <w:bCs/>
      <w:u w:val="single"/>
    </w:rPr>
  </w:style>
  <w:style w:type="paragraph" w:styleId="BodyText">
    <w:name w:val="Body Text"/>
    <w:basedOn w:val="Normal"/>
    <w:link w:val="BodyTextChar"/>
    <w:rsid w:val="000D0385"/>
    <w:pPr>
      <w:spacing w:after="0" w:line="240" w:lineRule="auto"/>
      <w:jc w:val="center"/>
    </w:pPr>
    <w:rPr>
      <w:rFonts w:cs="Arial"/>
      <w:b/>
      <w:sz w:val="24"/>
      <w:szCs w:val="28"/>
    </w:rPr>
  </w:style>
  <w:style w:type="character" w:customStyle="1" w:styleId="BodyTextChar">
    <w:name w:val="Body Text Char"/>
    <w:basedOn w:val="DefaultParagraphFont"/>
    <w:link w:val="BodyText"/>
    <w:rsid w:val="000D0385"/>
    <w:rPr>
      <w:rFonts w:cs="Arial"/>
      <w:b/>
      <w:sz w:val="24"/>
      <w:szCs w:val="28"/>
      <w:lang w:eastAsia="en-US"/>
    </w:rPr>
  </w:style>
  <w:style w:type="paragraph" w:styleId="BodyText2">
    <w:name w:val="Body Text 2"/>
    <w:basedOn w:val="Normal"/>
    <w:link w:val="BodyText2Char"/>
    <w:rsid w:val="000D0385"/>
    <w:pPr>
      <w:spacing w:after="0" w:line="240" w:lineRule="auto"/>
      <w:jc w:val="left"/>
    </w:pPr>
    <w:rPr>
      <w:szCs w:val="24"/>
      <w:lang w:val="en-US"/>
    </w:rPr>
  </w:style>
  <w:style w:type="character" w:customStyle="1" w:styleId="BodyText2Char">
    <w:name w:val="Body Text 2 Char"/>
    <w:basedOn w:val="DefaultParagraphFont"/>
    <w:link w:val="BodyText2"/>
    <w:rsid w:val="000D0385"/>
    <w:rPr>
      <w:sz w:val="22"/>
      <w:szCs w:val="24"/>
      <w:lang w:val="en-US" w:eastAsia="en-US"/>
    </w:rPr>
  </w:style>
  <w:style w:type="paragraph" w:styleId="BodyText3">
    <w:name w:val="Body Text 3"/>
    <w:basedOn w:val="Normal"/>
    <w:link w:val="BodyText3Char"/>
    <w:rsid w:val="000D0385"/>
    <w:pPr>
      <w:jc w:val="center"/>
    </w:pPr>
  </w:style>
  <w:style w:type="character" w:customStyle="1" w:styleId="BodyText3Char">
    <w:name w:val="Body Text 3 Char"/>
    <w:basedOn w:val="DefaultParagraphFont"/>
    <w:link w:val="BodyText3"/>
    <w:rsid w:val="000D0385"/>
    <w:rPr>
      <w:sz w:val="22"/>
      <w:lang w:eastAsia="en-US"/>
    </w:rPr>
  </w:style>
  <w:style w:type="paragraph" w:styleId="TOC5">
    <w:name w:val="toc 5"/>
    <w:basedOn w:val="Normal"/>
    <w:next w:val="Normal"/>
    <w:autoRedefine/>
    <w:uiPriority w:val="39"/>
    <w:rsid w:val="000D0385"/>
    <w:pPr>
      <w:ind w:left="880"/>
    </w:pPr>
  </w:style>
  <w:style w:type="paragraph" w:styleId="TOC6">
    <w:name w:val="toc 6"/>
    <w:basedOn w:val="Normal"/>
    <w:next w:val="Normal"/>
    <w:autoRedefine/>
    <w:uiPriority w:val="39"/>
    <w:rsid w:val="000D0385"/>
    <w:pPr>
      <w:ind w:left="1100"/>
    </w:pPr>
  </w:style>
  <w:style w:type="paragraph" w:styleId="TOC7">
    <w:name w:val="toc 7"/>
    <w:basedOn w:val="Normal"/>
    <w:next w:val="Normal"/>
    <w:autoRedefine/>
    <w:uiPriority w:val="39"/>
    <w:rsid w:val="000D0385"/>
    <w:pPr>
      <w:ind w:left="1320"/>
    </w:pPr>
  </w:style>
  <w:style w:type="paragraph" w:styleId="TOC8">
    <w:name w:val="toc 8"/>
    <w:basedOn w:val="Normal"/>
    <w:next w:val="Normal"/>
    <w:autoRedefine/>
    <w:uiPriority w:val="39"/>
    <w:rsid w:val="000D0385"/>
    <w:pPr>
      <w:ind w:left="1540"/>
    </w:pPr>
  </w:style>
  <w:style w:type="paragraph" w:styleId="TOC9">
    <w:name w:val="toc 9"/>
    <w:basedOn w:val="Normal"/>
    <w:next w:val="Normal"/>
    <w:autoRedefine/>
    <w:uiPriority w:val="39"/>
    <w:rsid w:val="000D0385"/>
    <w:pPr>
      <w:ind w:left="1760"/>
    </w:pPr>
  </w:style>
  <w:style w:type="character" w:styleId="Hyperlink">
    <w:name w:val="Hyperlink"/>
    <w:basedOn w:val="DefaultParagraphFont"/>
    <w:uiPriority w:val="2"/>
    <w:rsid w:val="000D0385"/>
    <w:rPr>
      <w:color w:val="0000FF"/>
      <w:u w:val="single"/>
    </w:rPr>
  </w:style>
  <w:style w:type="paragraph" w:styleId="BlockText">
    <w:name w:val="Block Text"/>
    <w:basedOn w:val="Normal"/>
    <w:rsid w:val="000D0385"/>
    <w:pPr>
      <w:ind w:left="1440" w:right="1440"/>
    </w:pPr>
  </w:style>
  <w:style w:type="paragraph" w:styleId="BodyTextFirstIndent">
    <w:name w:val="Body Text First Indent"/>
    <w:basedOn w:val="BodyText"/>
    <w:link w:val="BodyTextFirstIndentChar"/>
    <w:rsid w:val="000D0385"/>
    <w:pPr>
      <w:spacing w:after="120" w:line="280" w:lineRule="atLeast"/>
      <w:ind w:firstLine="210"/>
      <w:jc w:val="both"/>
    </w:pPr>
    <w:rPr>
      <w:rFonts w:cs="Times New Roman"/>
      <w:b w:val="0"/>
      <w:sz w:val="22"/>
      <w:szCs w:val="20"/>
    </w:rPr>
  </w:style>
  <w:style w:type="character" w:customStyle="1" w:styleId="BodyTextFirstIndentChar">
    <w:name w:val="Body Text First Indent Char"/>
    <w:basedOn w:val="BodyTextChar"/>
    <w:link w:val="BodyTextFirstIndent"/>
    <w:rsid w:val="000D0385"/>
    <w:rPr>
      <w:sz w:val="22"/>
    </w:rPr>
  </w:style>
  <w:style w:type="paragraph" w:styleId="BodyTextIndent">
    <w:name w:val="Body Text Indent"/>
    <w:basedOn w:val="Normal"/>
    <w:link w:val="BodyTextIndentChar"/>
    <w:rsid w:val="000D0385"/>
    <w:pPr>
      <w:ind w:left="283"/>
    </w:pPr>
  </w:style>
  <w:style w:type="character" w:customStyle="1" w:styleId="BodyTextIndentChar">
    <w:name w:val="Body Text Indent Char"/>
    <w:basedOn w:val="DefaultParagraphFont"/>
    <w:link w:val="BodyTextIndent"/>
    <w:rsid w:val="000D0385"/>
    <w:rPr>
      <w:sz w:val="22"/>
      <w:lang w:eastAsia="en-US"/>
    </w:rPr>
  </w:style>
  <w:style w:type="paragraph" w:styleId="BodyTextFirstIndent2">
    <w:name w:val="Body Text First Indent 2"/>
    <w:basedOn w:val="BodyTextIndent"/>
    <w:link w:val="BodyTextFirstIndent2Char"/>
    <w:rsid w:val="000D0385"/>
    <w:pPr>
      <w:ind w:firstLine="210"/>
    </w:pPr>
  </w:style>
  <w:style w:type="character" w:customStyle="1" w:styleId="BodyTextFirstIndent2Char">
    <w:name w:val="Body Text First Indent 2 Char"/>
    <w:basedOn w:val="BodyTextIndentChar"/>
    <w:link w:val="BodyTextFirstIndent2"/>
    <w:rsid w:val="000D0385"/>
  </w:style>
  <w:style w:type="paragraph" w:styleId="BodyTextIndent2">
    <w:name w:val="Body Text Indent 2"/>
    <w:basedOn w:val="Normal"/>
    <w:link w:val="BodyTextIndent2Char"/>
    <w:rsid w:val="000D0385"/>
    <w:pPr>
      <w:spacing w:line="480" w:lineRule="auto"/>
      <w:ind w:left="283"/>
    </w:pPr>
  </w:style>
  <w:style w:type="character" w:customStyle="1" w:styleId="BodyTextIndent2Char">
    <w:name w:val="Body Text Indent 2 Char"/>
    <w:basedOn w:val="DefaultParagraphFont"/>
    <w:link w:val="BodyTextIndent2"/>
    <w:rsid w:val="000D0385"/>
    <w:rPr>
      <w:sz w:val="22"/>
      <w:lang w:eastAsia="en-US"/>
    </w:rPr>
  </w:style>
  <w:style w:type="paragraph" w:styleId="BodyTextIndent3">
    <w:name w:val="Body Text Indent 3"/>
    <w:basedOn w:val="Normal"/>
    <w:link w:val="BodyTextIndent3Char"/>
    <w:rsid w:val="000D0385"/>
    <w:pPr>
      <w:ind w:left="283"/>
    </w:pPr>
    <w:rPr>
      <w:sz w:val="16"/>
      <w:szCs w:val="16"/>
    </w:rPr>
  </w:style>
  <w:style w:type="character" w:customStyle="1" w:styleId="BodyTextIndent3Char">
    <w:name w:val="Body Text Indent 3 Char"/>
    <w:basedOn w:val="DefaultParagraphFont"/>
    <w:link w:val="BodyTextIndent3"/>
    <w:rsid w:val="000D0385"/>
    <w:rPr>
      <w:sz w:val="16"/>
      <w:szCs w:val="16"/>
      <w:lang w:eastAsia="en-US"/>
    </w:rPr>
  </w:style>
  <w:style w:type="paragraph" w:styleId="Closing">
    <w:name w:val="Closing"/>
    <w:basedOn w:val="Normal"/>
    <w:link w:val="ClosingChar"/>
    <w:rsid w:val="000D0385"/>
    <w:pPr>
      <w:ind w:left="4252"/>
    </w:pPr>
  </w:style>
  <w:style w:type="character" w:customStyle="1" w:styleId="ClosingChar">
    <w:name w:val="Closing Char"/>
    <w:basedOn w:val="DefaultParagraphFont"/>
    <w:link w:val="Closing"/>
    <w:rsid w:val="000D0385"/>
    <w:rPr>
      <w:sz w:val="22"/>
      <w:lang w:eastAsia="en-US"/>
    </w:rPr>
  </w:style>
  <w:style w:type="paragraph" w:styleId="CommentText">
    <w:name w:val="annotation text"/>
    <w:basedOn w:val="Normal"/>
    <w:link w:val="CommentTextChar"/>
    <w:uiPriority w:val="2"/>
    <w:rsid w:val="000D0385"/>
    <w:rPr>
      <w:sz w:val="20"/>
    </w:rPr>
  </w:style>
  <w:style w:type="character" w:customStyle="1" w:styleId="CommentTextChar">
    <w:name w:val="Comment Text Char"/>
    <w:basedOn w:val="DefaultParagraphFont"/>
    <w:link w:val="CommentText"/>
    <w:uiPriority w:val="2"/>
    <w:rsid w:val="000D0385"/>
    <w:rPr>
      <w:lang w:eastAsia="en-US"/>
    </w:rPr>
  </w:style>
  <w:style w:type="paragraph" w:styleId="Date">
    <w:name w:val="Date"/>
    <w:basedOn w:val="Normal"/>
    <w:next w:val="Normal"/>
    <w:link w:val="DateChar"/>
    <w:rsid w:val="000D0385"/>
  </w:style>
  <w:style w:type="character" w:customStyle="1" w:styleId="DateChar">
    <w:name w:val="Date Char"/>
    <w:basedOn w:val="DefaultParagraphFont"/>
    <w:link w:val="Date"/>
    <w:rsid w:val="000D0385"/>
    <w:rPr>
      <w:sz w:val="22"/>
      <w:lang w:eastAsia="en-US"/>
    </w:rPr>
  </w:style>
  <w:style w:type="paragraph" w:styleId="DocumentMap">
    <w:name w:val="Document Map"/>
    <w:basedOn w:val="Normal"/>
    <w:link w:val="DocumentMapChar"/>
    <w:rsid w:val="000D0385"/>
    <w:pPr>
      <w:shd w:val="clear" w:color="auto" w:fill="000080"/>
    </w:pPr>
    <w:rPr>
      <w:rFonts w:ascii="Tahoma" w:hAnsi="Tahoma" w:cs="Tahoma"/>
    </w:rPr>
  </w:style>
  <w:style w:type="character" w:customStyle="1" w:styleId="DocumentMapChar">
    <w:name w:val="Document Map Char"/>
    <w:basedOn w:val="DefaultParagraphFont"/>
    <w:link w:val="DocumentMap"/>
    <w:rsid w:val="000D0385"/>
    <w:rPr>
      <w:rFonts w:ascii="Tahoma" w:hAnsi="Tahoma" w:cs="Tahoma"/>
      <w:sz w:val="22"/>
      <w:shd w:val="clear" w:color="auto" w:fill="000080"/>
      <w:lang w:eastAsia="en-US"/>
    </w:rPr>
  </w:style>
  <w:style w:type="paragraph" w:styleId="E-mailSignature">
    <w:name w:val="E-mail Signature"/>
    <w:basedOn w:val="Normal"/>
    <w:link w:val="E-mailSignatureChar"/>
    <w:rsid w:val="000D0385"/>
  </w:style>
  <w:style w:type="character" w:customStyle="1" w:styleId="E-mailSignatureChar">
    <w:name w:val="E-mail Signature Char"/>
    <w:basedOn w:val="DefaultParagraphFont"/>
    <w:link w:val="E-mailSignature"/>
    <w:rsid w:val="000D0385"/>
    <w:rPr>
      <w:sz w:val="22"/>
      <w:lang w:eastAsia="en-US"/>
    </w:rPr>
  </w:style>
  <w:style w:type="paragraph" w:styleId="EndnoteText">
    <w:name w:val="endnote text"/>
    <w:basedOn w:val="Normal"/>
    <w:link w:val="EndnoteTextChar"/>
    <w:rsid w:val="000D0385"/>
    <w:rPr>
      <w:sz w:val="20"/>
    </w:rPr>
  </w:style>
  <w:style w:type="character" w:customStyle="1" w:styleId="EndnoteTextChar">
    <w:name w:val="Endnote Text Char"/>
    <w:basedOn w:val="DefaultParagraphFont"/>
    <w:link w:val="EndnoteText"/>
    <w:rsid w:val="000D0385"/>
    <w:rPr>
      <w:lang w:eastAsia="en-US"/>
    </w:rPr>
  </w:style>
  <w:style w:type="paragraph" w:styleId="EnvelopeAddress">
    <w:name w:val="envelope address"/>
    <w:basedOn w:val="Normal"/>
    <w:rsid w:val="000D0385"/>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0D0385"/>
    <w:rPr>
      <w:rFonts w:ascii="Arial" w:hAnsi="Arial" w:cs="Arial"/>
      <w:sz w:val="20"/>
    </w:rPr>
  </w:style>
  <w:style w:type="paragraph" w:styleId="HTMLAddress">
    <w:name w:val="HTML Address"/>
    <w:basedOn w:val="Normal"/>
    <w:link w:val="HTMLAddressChar"/>
    <w:rsid w:val="000D0385"/>
    <w:rPr>
      <w:i/>
      <w:iCs/>
    </w:rPr>
  </w:style>
  <w:style w:type="character" w:customStyle="1" w:styleId="HTMLAddressChar">
    <w:name w:val="HTML Address Char"/>
    <w:basedOn w:val="DefaultParagraphFont"/>
    <w:link w:val="HTMLAddress"/>
    <w:rsid w:val="000D0385"/>
    <w:rPr>
      <w:i/>
      <w:iCs/>
      <w:sz w:val="22"/>
      <w:lang w:eastAsia="en-US"/>
    </w:rPr>
  </w:style>
  <w:style w:type="paragraph" w:styleId="HTMLPreformatted">
    <w:name w:val="HTML Preformatted"/>
    <w:basedOn w:val="Normal"/>
    <w:link w:val="HTMLPreformattedChar"/>
    <w:rsid w:val="000D0385"/>
    <w:rPr>
      <w:rFonts w:ascii="Courier New" w:hAnsi="Courier New" w:cs="Courier New"/>
      <w:sz w:val="20"/>
    </w:rPr>
  </w:style>
  <w:style w:type="character" w:customStyle="1" w:styleId="HTMLPreformattedChar">
    <w:name w:val="HTML Preformatted Char"/>
    <w:basedOn w:val="DefaultParagraphFont"/>
    <w:link w:val="HTMLPreformatted"/>
    <w:rsid w:val="000D0385"/>
    <w:rPr>
      <w:rFonts w:ascii="Courier New" w:hAnsi="Courier New" w:cs="Courier New"/>
      <w:lang w:eastAsia="en-US"/>
    </w:rPr>
  </w:style>
  <w:style w:type="paragraph" w:styleId="Index1">
    <w:name w:val="index 1"/>
    <w:basedOn w:val="Normal"/>
    <w:next w:val="Normal"/>
    <w:autoRedefine/>
    <w:rsid w:val="000D0385"/>
    <w:pPr>
      <w:ind w:left="220" w:hanging="220"/>
    </w:pPr>
  </w:style>
  <w:style w:type="paragraph" w:styleId="Index2">
    <w:name w:val="index 2"/>
    <w:basedOn w:val="Normal"/>
    <w:next w:val="Normal"/>
    <w:autoRedefine/>
    <w:rsid w:val="000D0385"/>
    <w:pPr>
      <w:ind w:left="440" w:hanging="220"/>
    </w:pPr>
  </w:style>
  <w:style w:type="paragraph" w:styleId="Index3">
    <w:name w:val="index 3"/>
    <w:basedOn w:val="Normal"/>
    <w:next w:val="Normal"/>
    <w:autoRedefine/>
    <w:rsid w:val="000D0385"/>
    <w:pPr>
      <w:ind w:left="660" w:hanging="220"/>
    </w:pPr>
  </w:style>
  <w:style w:type="paragraph" w:styleId="Index4">
    <w:name w:val="index 4"/>
    <w:basedOn w:val="Normal"/>
    <w:next w:val="Normal"/>
    <w:autoRedefine/>
    <w:rsid w:val="000D0385"/>
    <w:pPr>
      <w:ind w:left="880" w:hanging="220"/>
    </w:pPr>
  </w:style>
  <w:style w:type="paragraph" w:styleId="Index5">
    <w:name w:val="index 5"/>
    <w:basedOn w:val="Normal"/>
    <w:next w:val="Normal"/>
    <w:autoRedefine/>
    <w:rsid w:val="000D0385"/>
    <w:pPr>
      <w:ind w:left="1100" w:hanging="220"/>
    </w:pPr>
  </w:style>
  <w:style w:type="paragraph" w:styleId="Index6">
    <w:name w:val="index 6"/>
    <w:basedOn w:val="Normal"/>
    <w:next w:val="Normal"/>
    <w:autoRedefine/>
    <w:rsid w:val="000D0385"/>
    <w:pPr>
      <w:ind w:left="1320" w:hanging="220"/>
    </w:pPr>
  </w:style>
  <w:style w:type="paragraph" w:styleId="Index7">
    <w:name w:val="index 7"/>
    <w:basedOn w:val="Normal"/>
    <w:next w:val="Normal"/>
    <w:autoRedefine/>
    <w:rsid w:val="000D0385"/>
    <w:pPr>
      <w:ind w:left="1540" w:hanging="220"/>
    </w:pPr>
  </w:style>
  <w:style w:type="paragraph" w:styleId="Index8">
    <w:name w:val="index 8"/>
    <w:basedOn w:val="Normal"/>
    <w:next w:val="Normal"/>
    <w:autoRedefine/>
    <w:rsid w:val="000D0385"/>
    <w:pPr>
      <w:ind w:left="1760" w:hanging="220"/>
    </w:pPr>
  </w:style>
  <w:style w:type="paragraph" w:styleId="Index9">
    <w:name w:val="index 9"/>
    <w:basedOn w:val="Normal"/>
    <w:next w:val="Normal"/>
    <w:autoRedefine/>
    <w:rsid w:val="000D0385"/>
    <w:pPr>
      <w:ind w:left="1980" w:hanging="220"/>
    </w:pPr>
  </w:style>
  <w:style w:type="paragraph" w:styleId="IndexHeading">
    <w:name w:val="index heading"/>
    <w:basedOn w:val="Normal"/>
    <w:next w:val="Index1"/>
    <w:rsid w:val="000D0385"/>
    <w:rPr>
      <w:rFonts w:ascii="Arial" w:hAnsi="Arial" w:cs="Arial"/>
      <w:b/>
      <w:bCs/>
    </w:rPr>
  </w:style>
  <w:style w:type="paragraph" w:styleId="List">
    <w:name w:val="List"/>
    <w:basedOn w:val="Normal"/>
    <w:rsid w:val="000D0385"/>
    <w:pPr>
      <w:ind w:left="283" w:hanging="283"/>
    </w:pPr>
  </w:style>
  <w:style w:type="paragraph" w:styleId="List2">
    <w:name w:val="List 2"/>
    <w:basedOn w:val="Normal"/>
    <w:rsid w:val="000D0385"/>
    <w:pPr>
      <w:ind w:left="566" w:hanging="283"/>
    </w:pPr>
  </w:style>
  <w:style w:type="paragraph" w:styleId="List3">
    <w:name w:val="List 3"/>
    <w:basedOn w:val="Normal"/>
    <w:rsid w:val="000D0385"/>
    <w:pPr>
      <w:ind w:left="849" w:hanging="283"/>
    </w:pPr>
  </w:style>
  <w:style w:type="paragraph" w:styleId="List4">
    <w:name w:val="List 4"/>
    <w:basedOn w:val="Normal"/>
    <w:rsid w:val="000D0385"/>
    <w:pPr>
      <w:ind w:left="1132" w:hanging="283"/>
    </w:pPr>
  </w:style>
  <w:style w:type="paragraph" w:styleId="List5">
    <w:name w:val="List 5"/>
    <w:basedOn w:val="Normal"/>
    <w:rsid w:val="000D0385"/>
    <w:pPr>
      <w:ind w:left="1415" w:hanging="283"/>
    </w:pPr>
  </w:style>
  <w:style w:type="paragraph" w:styleId="ListBullet">
    <w:name w:val="List Bullet"/>
    <w:basedOn w:val="Normal"/>
    <w:autoRedefine/>
    <w:rsid w:val="000D0385"/>
    <w:pPr>
      <w:numPr>
        <w:numId w:val="4"/>
      </w:numPr>
    </w:pPr>
  </w:style>
  <w:style w:type="paragraph" w:styleId="ListBullet2">
    <w:name w:val="List Bullet 2"/>
    <w:basedOn w:val="Normal"/>
    <w:autoRedefine/>
    <w:rsid w:val="000D0385"/>
    <w:pPr>
      <w:numPr>
        <w:numId w:val="5"/>
      </w:numPr>
    </w:pPr>
  </w:style>
  <w:style w:type="paragraph" w:styleId="ListBullet3">
    <w:name w:val="List Bullet 3"/>
    <w:basedOn w:val="Normal"/>
    <w:autoRedefine/>
    <w:rsid w:val="000D0385"/>
    <w:pPr>
      <w:numPr>
        <w:numId w:val="6"/>
      </w:numPr>
    </w:pPr>
  </w:style>
  <w:style w:type="paragraph" w:styleId="ListBullet4">
    <w:name w:val="List Bullet 4"/>
    <w:basedOn w:val="Normal"/>
    <w:autoRedefine/>
    <w:rsid w:val="000D0385"/>
    <w:pPr>
      <w:numPr>
        <w:numId w:val="7"/>
      </w:numPr>
    </w:pPr>
  </w:style>
  <w:style w:type="paragraph" w:styleId="ListBullet5">
    <w:name w:val="List Bullet 5"/>
    <w:basedOn w:val="Normal"/>
    <w:autoRedefine/>
    <w:rsid w:val="000D0385"/>
    <w:pPr>
      <w:numPr>
        <w:numId w:val="8"/>
      </w:numPr>
    </w:pPr>
  </w:style>
  <w:style w:type="paragraph" w:styleId="ListContinue">
    <w:name w:val="List Continue"/>
    <w:basedOn w:val="Normal"/>
    <w:rsid w:val="000D0385"/>
    <w:pPr>
      <w:ind w:left="283"/>
    </w:pPr>
  </w:style>
  <w:style w:type="paragraph" w:styleId="ListContinue2">
    <w:name w:val="List Continue 2"/>
    <w:basedOn w:val="Normal"/>
    <w:rsid w:val="000D0385"/>
    <w:pPr>
      <w:ind w:left="566"/>
    </w:pPr>
  </w:style>
  <w:style w:type="paragraph" w:styleId="ListContinue3">
    <w:name w:val="List Continue 3"/>
    <w:basedOn w:val="Normal"/>
    <w:rsid w:val="000D0385"/>
    <w:pPr>
      <w:ind w:left="849"/>
    </w:pPr>
  </w:style>
  <w:style w:type="paragraph" w:styleId="ListContinue4">
    <w:name w:val="List Continue 4"/>
    <w:basedOn w:val="Normal"/>
    <w:rsid w:val="000D0385"/>
    <w:pPr>
      <w:ind w:left="1132"/>
    </w:pPr>
  </w:style>
  <w:style w:type="paragraph" w:styleId="ListContinue5">
    <w:name w:val="List Continue 5"/>
    <w:basedOn w:val="Normal"/>
    <w:rsid w:val="000D0385"/>
    <w:pPr>
      <w:ind w:left="1415"/>
    </w:pPr>
  </w:style>
  <w:style w:type="paragraph" w:styleId="ListNumber">
    <w:name w:val="List Number"/>
    <w:basedOn w:val="Normal"/>
    <w:rsid w:val="000D0385"/>
    <w:pPr>
      <w:numPr>
        <w:numId w:val="9"/>
      </w:numPr>
    </w:pPr>
  </w:style>
  <w:style w:type="paragraph" w:styleId="ListNumber2">
    <w:name w:val="List Number 2"/>
    <w:basedOn w:val="Normal"/>
    <w:rsid w:val="000D0385"/>
    <w:pPr>
      <w:numPr>
        <w:numId w:val="10"/>
      </w:numPr>
    </w:pPr>
  </w:style>
  <w:style w:type="paragraph" w:styleId="ListNumber3">
    <w:name w:val="List Number 3"/>
    <w:basedOn w:val="Normal"/>
    <w:rsid w:val="000D0385"/>
    <w:pPr>
      <w:numPr>
        <w:numId w:val="11"/>
      </w:numPr>
    </w:pPr>
  </w:style>
  <w:style w:type="paragraph" w:styleId="ListNumber4">
    <w:name w:val="List Number 4"/>
    <w:basedOn w:val="Normal"/>
    <w:rsid w:val="000D0385"/>
    <w:pPr>
      <w:numPr>
        <w:numId w:val="12"/>
      </w:numPr>
    </w:pPr>
  </w:style>
  <w:style w:type="paragraph" w:styleId="ListNumber5">
    <w:name w:val="List Number 5"/>
    <w:basedOn w:val="Normal"/>
    <w:rsid w:val="000D0385"/>
    <w:pPr>
      <w:numPr>
        <w:numId w:val="13"/>
      </w:numPr>
    </w:pPr>
  </w:style>
  <w:style w:type="paragraph" w:styleId="MacroText">
    <w:name w:val="macro"/>
    <w:link w:val="MacroTextChar"/>
    <w:rsid w:val="000D0385"/>
    <w:pPr>
      <w:tabs>
        <w:tab w:val="left" w:pos="480"/>
        <w:tab w:val="left" w:pos="960"/>
        <w:tab w:val="left" w:pos="1440"/>
        <w:tab w:val="left" w:pos="1920"/>
        <w:tab w:val="left" w:pos="2400"/>
        <w:tab w:val="left" w:pos="2880"/>
        <w:tab w:val="left" w:pos="3360"/>
        <w:tab w:val="left" w:pos="3840"/>
        <w:tab w:val="left" w:pos="4320"/>
      </w:tabs>
      <w:spacing w:after="120" w:line="280" w:lineRule="atLeast"/>
      <w:jc w:val="both"/>
    </w:pPr>
    <w:rPr>
      <w:rFonts w:ascii="Courier New" w:hAnsi="Courier New" w:cs="Courier New"/>
      <w:lang w:eastAsia="en-US"/>
    </w:rPr>
  </w:style>
  <w:style w:type="character" w:customStyle="1" w:styleId="MacroTextChar">
    <w:name w:val="Macro Text Char"/>
    <w:basedOn w:val="DefaultParagraphFont"/>
    <w:link w:val="MacroText"/>
    <w:rsid w:val="000D0385"/>
    <w:rPr>
      <w:rFonts w:ascii="Courier New" w:hAnsi="Courier New" w:cs="Courier New"/>
      <w:lang w:eastAsia="en-US"/>
    </w:rPr>
  </w:style>
  <w:style w:type="paragraph" w:styleId="MessageHeader">
    <w:name w:val="Message Header"/>
    <w:basedOn w:val="Normal"/>
    <w:link w:val="MessageHeaderChar"/>
    <w:rsid w:val="000D038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rsid w:val="000D0385"/>
    <w:rPr>
      <w:rFonts w:ascii="Arial" w:hAnsi="Arial" w:cs="Arial"/>
      <w:sz w:val="24"/>
      <w:szCs w:val="24"/>
      <w:shd w:val="pct20" w:color="auto" w:fill="auto"/>
      <w:lang w:eastAsia="en-US"/>
    </w:rPr>
  </w:style>
  <w:style w:type="paragraph" w:styleId="NormalWeb">
    <w:name w:val="Normal (Web)"/>
    <w:basedOn w:val="Normal"/>
    <w:rsid w:val="000D0385"/>
    <w:rPr>
      <w:sz w:val="24"/>
      <w:szCs w:val="24"/>
    </w:rPr>
  </w:style>
  <w:style w:type="paragraph" w:styleId="NoteHeading">
    <w:name w:val="Note Heading"/>
    <w:basedOn w:val="Normal"/>
    <w:next w:val="Normal"/>
    <w:link w:val="NoteHeadingChar"/>
    <w:rsid w:val="000D0385"/>
  </w:style>
  <w:style w:type="character" w:customStyle="1" w:styleId="NoteHeadingChar">
    <w:name w:val="Note Heading Char"/>
    <w:basedOn w:val="DefaultParagraphFont"/>
    <w:link w:val="NoteHeading"/>
    <w:rsid w:val="000D0385"/>
    <w:rPr>
      <w:sz w:val="22"/>
      <w:lang w:eastAsia="en-US"/>
    </w:rPr>
  </w:style>
  <w:style w:type="paragraph" w:styleId="PlainText">
    <w:name w:val="Plain Text"/>
    <w:basedOn w:val="Normal"/>
    <w:link w:val="PlainTextChar"/>
    <w:rsid w:val="000D0385"/>
    <w:rPr>
      <w:rFonts w:ascii="Courier New" w:hAnsi="Courier New" w:cs="Courier New"/>
      <w:sz w:val="20"/>
    </w:rPr>
  </w:style>
  <w:style w:type="character" w:customStyle="1" w:styleId="PlainTextChar">
    <w:name w:val="Plain Text Char"/>
    <w:basedOn w:val="DefaultParagraphFont"/>
    <w:link w:val="PlainText"/>
    <w:rsid w:val="000D0385"/>
    <w:rPr>
      <w:rFonts w:ascii="Courier New" w:hAnsi="Courier New" w:cs="Courier New"/>
      <w:lang w:eastAsia="en-US"/>
    </w:rPr>
  </w:style>
  <w:style w:type="paragraph" w:styleId="Salutation">
    <w:name w:val="Salutation"/>
    <w:basedOn w:val="Normal"/>
    <w:next w:val="Normal"/>
    <w:link w:val="SalutationChar"/>
    <w:rsid w:val="000D0385"/>
  </w:style>
  <w:style w:type="character" w:customStyle="1" w:styleId="SalutationChar">
    <w:name w:val="Salutation Char"/>
    <w:basedOn w:val="DefaultParagraphFont"/>
    <w:link w:val="Salutation"/>
    <w:rsid w:val="000D0385"/>
    <w:rPr>
      <w:sz w:val="22"/>
      <w:lang w:eastAsia="en-US"/>
    </w:rPr>
  </w:style>
  <w:style w:type="paragraph" w:styleId="Signature">
    <w:name w:val="Signature"/>
    <w:basedOn w:val="Normal"/>
    <w:link w:val="SignatureChar"/>
    <w:rsid w:val="000D0385"/>
    <w:pPr>
      <w:ind w:left="4252"/>
    </w:pPr>
  </w:style>
  <w:style w:type="character" w:customStyle="1" w:styleId="SignatureChar">
    <w:name w:val="Signature Char"/>
    <w:basedOn w:val="DefaultParagraphFont"/>
    <w:link w:val="Signature"/>
    <w:rsid w:val="000D0385"/>
    <w:rPr>
      <w:sz w:val="22"/>
      <w:lang w:eastAsia="en-US"/>
    </w:rPr>
  </w:style>
  <w:style w:type="paragraph" w:styleId="TableofAuthorities">
    <w:name w:val="table of authorities"/>
    <w:basedOn w:val="Normal"/>
    <w:next w:val="Normal"/>
    <w:rsid w:val="000D0385"/>
    <w:pPr>
      <w:ind w:left="220" w:hanging="220"/>
    </w:pPr>
  </w:style>
  <w:style w:type="paragraph" w:styleId="TableofFigures">
    <w:name w:val="table of figures"/>
    <w:basedOn w:val="Normal"/>
    <w:next w:val="Normal"/>
    <w:rsid w:val="000D0385"/>
    <w:pPr>
      <w:ind w:left="440" w:hanging="440"/>
    </w:pPr>
  </w:style>
  <w:style w:type="paragraph" w:styleId="TOAHeading">
    <w:name w:val="toa heading"/>
    <w:basedOn w:val="Normal"/>
    <w:next w:val="Normal"/>
    <w:rsid w:val="000D0385"/>
    <w:pPr>
      <w:spacing w:before="120"/>
    </w:pPr>
    <w:rPr>
      <w:rFonts w:ascii="Arial" w:hAnsi="Arial" w:cs="Arial"/>
      <w:b/>
      <w:bCs/>
      <w:sz w:val="24"/>
      <w:szCs w:val="24"/>
    </w:rPr>
  </w:style>
  <w:style w:type="table" w:styleId="TableGrid">
    <w:name w:val="Table Grid"/>
    <w:basedOn w:val="TableNormal"/>
    <w:rsid w:val="000D0385"/>
    <w:pPr>
      <w:spacing w:after="120" w:line="280" w:lineRule="atLeast"/>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2"/>
    <w:rsid w:val="000D0385"/>
    <w:rPr>
      <w:rFonts w:ascii="Tahoma" w:hAnsi="Tahoma" w:cs="Tahoma"/>
      <w:sz w:val="16"/>
      <w:szCs w:val="16"/>
    </w:rPr>
  </w:style>
  <w:style w:type="character" w:customStyle="1" w:styleId="BalloonTextChar">
    <w:name w:val="Balloon Text Char"/>
    <w:basedOn w:val="DefaultParagraphFont"/>
    <w:link w:val="BalloonText"/>
    <w:uiPriority w:val="2"/>
    <w:rsid w:val="000D0385"/>
    <w:rPr>
      <w:rFonts w:ascii="Tahoma" w:hAnsi="Tahoma" w:cs="Tahoma"/>
      <w:sz w:val="16"/>
      <w:szCs w:val="16"/>
      <w:lang w:eastAsia="en-US"/>
    </w:rPr>
  </w:style>
  <w:style w:type="character" w:customStyle="1" w:styleId="referencelist1Char">
    <w:name w:val="reference list 1 Char"/>
    <w:basedOn w:val="DefaultParagraphFont"/>
    <w:uiPriority w:val="2"/>
    <w:rsid w:val="000D0385"/>
    <w:rPr>
      <w:sz w:val="22"/>
      <w:lang w:val="en-AU" w:eastAsia="en-US" w:bidi="ar-SA"/>
    </w:rPr>
  </w:style>
  <w:style w:type="character" w:styleId="PageNumber">
    <w:name w:val="page number"/>
    <w:basedOn w:val="DefaultParagraphFont"/>
    <w:rsid w:val="000D0385"/>
  </w:style>
  <w:style w:type="character" w:styleId="FollowedHyperlink">
    <w:name w:val="FollowedHyperlink"/>
    <w:basedOn w:val="DefaultParagraphFont"/>
    <w:rsid w:val="000D0385"/>
    <w:rPr>
      <w:color w:val="800080"/>
      <w:u w:val="single"/>
    </w:rPr>
  </w:style>
  <w:style w:type="character" w:styleId="CommentReference">
    <w:name w:val="annotation reference"/>
    <w:basedOn w:val="DefaultParagraphFont"/>
    <w:uiPriority w:val="2"/>
    <w:rsid w:val="000D0385"/>
    <w:rPr>
      <w:sz w:val="16"/>
      <w:szCs w:val="16"/>
    </w:rPr>
  </w:style>
  <w:style w:type="paragraph" w:styleId="CommentSubject">
    <w:name w:val="annotation subject"/>
    <w:basedOn w:val="CommentText"/>
    <w:next w:val="CommentText"/>
    <w:link w:val="CommentSubjectChar"/>
    <w:uiPriority w:val="2"/>
    <w:rsid w:val="000D0385"/>
    <w:rPr>
      <w:b/>
      <w:bCs/>
    </w:rPr>
  </w:style>
  <w:style w:type="character" w:customStyle="1" w:styleId="CommentSubjectChar">
    <w:name w:val="Comment Subject Char"/>
    <w:basedOn w:val="CommentTextChar"/>
    <w:link w:val="CommentSubject"/>
    <w:uiPriority w:val="2"/>
    <w:rsid w:val="000D0385"/>
    <w:rPr>
      <w:b/>
      <w:bCs/>
    </w:rPr>
  </w:style>
  <w:style w:type="character" w:customStyle="1" w:styleId="fronttext">
    <w:name w:val="fronttext"/>
    <w:basedOn w:val="DefaultParagraphFont"/>
    <w:rsid w:val="000D0385"/>
  </w:style>
  <w:style w:type="character" w:styleId="FootnoteReference">
    <w:name w:val="footnote reference"/>
    <w:basedOn w:val="DefaultParagraphFont"/>
    <w:uiPriority w:val="99"/>
    <w:rsid w:val="000D0385"/>
    <w:rPr>
      <w:vertAlign w:val="superscript"/>
    </w:rPr>
  </w:style>
  <w:style w:type="paragraph" w:customStyle="1" w:styleId="anchortop">
    <w:name w:val="anchortop"/>
    <w:basedOn w:val="Normal"/>
    <w:rsid w:val="000D0385"/>
    <w:pPr>
      <w:spacing w:before="120" w:line="240" w:lineRule="auto"/>
      <w:jc w:val="right"/>
    </w:pPr>
    <w:rPr>
      <w:sz w:val="18"/>
      <w:szCs w:val="18"/>
      <w:lang w:eastAsia="en-AU"/>
    </w:rPr>
  </w:style>
  <w:style w:type="character" w:customStyle="1" w:styleId="textplainsmall">
    <w:name w:val="textplainsmall"/>
    <w:basedOn w:val="DefaultParagraphFont"/>
    <w:rsid w:val="000D0385"/>
  </w:style>
  <w:style w:type="character" w:customStyle="1" w:styleId="Heading6Char">
    <w:name w:val="Heading 6 Char"/>
    <w:basedOn w:val="DefaultParagraphFont"/>
    <w:link w:val="Heading6"/>
    <w:rsid w:val="000D0385"/>
    <w:rPr>
      <w:b/>
      <w:lang w:eastAsia="en-US"/>
    </w:rPr>
  </w:style>
  <w:style w:type="character" w:customStyle="1" w:styleId="NormalIndentChar">
    <w:name w:val="Normal Indent Char"/>
    <w:basedOn w:val="DefaultParagraphFont"/>
    <w:link w:val="NormalIndent"/>
    <w:rsid w:val="000D0385"/>
    <w:rPr>
      <w:sz w:val="22"/>
      <w:lang w:eastAsia="en-US"/>
    </w:rPr>
  </w:style>
  <w:style w:type="character" w:customStyle="1" w:styleId="tablecaptionChar">
    <w:name w:val="table caption Char"/>
    <w:basedOn w:val="DefaultParagraphFont"/>
    <w:link w:val="tablecaption"/>
    <w:uiPriority w:val="2"/>
    <w:rsid w:val="000D0385"/>
    <w:rPr>
      <w:rFonts w:ascii="Arial" w:hAnsi="Arial"/>
      <w:sz w:val="18"/>
      <w:lang w:eastAsia="en-US"/>
    </w:rPr>
  </w:style>
  <w:style w:type="character" w:customStyle="1" w:styleId="figurecaptionChar">
    <w:name w:val="figure caption Char"/>
    <w:basedOn w:val="DefaultParagraphFont"/>
    <w:link w:val="figurecaption"/>
    <w:rsid w:val="000D0385"/>
    <w:rPr>
      <w:rFonts w:ascii="Arial" w:hAnsi="Arial"/>
      <w:sz w:val="18"/>
      <w:lang w:eastAsia="en-US"/>
    </w:rPr>
  </w:style>
  <w:style w:type="character" w:customStyle="1" w:styleId="Heading4Char">
    <w:name w:val="Heading 4 Char"/>
    <w:basedOn w:val="DefaultParagraphFont"/>
    <w:link w:val="Heading4"/>
    <w:uiPriority w:val="1"/>
    <w:rsid w:val="00266E77"/>
    <w:rPr>
      <w:rFonts w:ascii="Arial" w:hAnsi="Arial"/>
      <w:b/>
      <w:lang w:eastAsia="en-US"/>
    </w:rPr>
  </w:style>
  <w:style w:type="character" w:customStyle="1" w:styleId="Heading5Char">
    <w:name w:val="Heading 5 Char"/>
    <w:basedOn w:val="DefaultParagraphFont"/>
    <w:link w:val="Heading5"/>
    <w:uiPriority w:val="1"/>
    <w:rsid w:val="00FF625F"/>
    <w:rPr>
      <w:rFonts w:ascii="Arial" w:hAnsi="Arial" w:cs="Arial"/>
      <w:sz w:val="22"/>
      <w:szCs w:val="22"/>
      <w:u w:val="single"/>
      <w:lang w:eastAsia="en-US"/>
    </w:rPr>
  </w:style>
  <w:style w:type="paragraph" w:customStyle="1" w:styleId="Author">
    <w:name w:val="Author"/>
    <w:basedOn w:val="Heading3"/>
    <w:rsid w:val="000D0385"/>
    <w:pPr>
      <w:spacing w:before="120" w:after="60" w:line="240" w:lineRule="auto"/>
      <w:jc w:val="center"/>
      <w:outlineLvl w:val="9"/>
    </w:pPr>
    <w:rPr>
      <w:sz w:val="20"/>
      <w:lang w:eastAsia="en-AU"/>
    </w:rPr>
  </w:style>
  <w:style w:type="character" w:customStyle="1" w:styleId="Heading1Char">
    <w:name w:val="Heading 1 Char"/>
    <w:basedOn w:val="DefaultParagraphFont"/>
    <w:link w:val="Heading1"/>
    <w:uiPriority w:val="1"/>
    <w:rsid w:val="00FF1D60"/>
    <w:rPr>
      <w:rFonts w:ascii="Arial" w:hAnsi="Arial"/>
      <w:b/>
      <w:sz w:val="36"/>
      <w:lang w:eastAsia="en-US"/>
    </w:rPr>
  </w:style>
  <w:style w:type="paragraph" w:customStyle="1" w:styleId="Newsbrief-figcap">
    <w:name w:val="Newsbrief-figcap"/>
    <w:basedOn w:val="Normal"/>
    <w:next w:val="Normal"/>
    <w:link w:val="Newsbrief-figcapChar"/>
    <w:rsid w:val="009B4167"/>
    <w:pPr>
      <w:spacing w:after="240" w:line="240" w:lineRule="atLeast"/>
      <w:jc w:val="center"/>
    </w:pPr>
    <w:rPr>
      <w:rFonts w:ascii="Arial" w:eastAsia="MS Mincho" w:hAnsi="Arial"/>
      <w:color w:val="333399"/>
      <w:spacing w:val="-2"/>
      <w:sz w:val="18"/>
      <w:lang w:val="en-US" w:eastAsia="ja-JP"/>
    </w:rPr>
  </w:style>
  <w:style w:type="character" w:customStyle="1" w:styleId="Newsbrief-figcapChar">
    <w:name w:val="Newsbrief-figcap Char"/>
    <w:basedOn w:val="DefaultParagraphFont"/>
    <w:link w:val="Newsbrief-figcap"/>
    <w:rsid w:val="009B4167"/>
    <w:rPr>
      <w:rFonts w:ascii="Arial" w:eastAsia="MS Mincho" w:hAnsi="Arial"/>
      <w:color w:val="333399"/>
      <w:spacing w:val="-2"/>
      <w:sz w:val="18"/>
      <w:lang w:val="en-US" w:eastAsia="ja-JP"/>
    </w:rPr>
  </w:style>
  <w:style w:type="paragraph" w:styleId="Revision">
    <w:name w:val="Revision"/>
    <w:hidden/>
    <w:uiPriority w:val="99"/>
    <w:semiHidden/>
    <w:rsid w:val="00942AD5"/>
    <w:rPr>
      <w:sz w:val="22"/>
      <w:lang w:eastAsia="en-US"/>
    </w:rPr>
  </w:style>
  <w:style w:type="paragraph" w:styleId="TOCHeading">
    <w:name w:val="TOC Heading"/>
    <w:basedOn w:val="Heading1"/>
    <w:next w:val="Normal"/>
    <w:uiPriority w:val="39"/>
    <w:semiHidden/>
    <w:unhideWhenUsed/>
    <w:qFormat/>
    <w:rsid w:val="00D82393"/>
    <w:pPr>
      <w:keepLines/>
      <w:spacing w:before="480" w:after="0" w:line="276" w:lineRule="auto"/>
      <w:jc w:val="left"/>
      <w:outlineLvl w:val="9"/>
    </w:pPr>
    <w:rPr>
      <w:rFonts w:asciiTheme="majorHAnsi" w:eastAsiaTheme="majorEastAsia" w:hAnsiTheme="majorHAnsi" w:cstheme="majorBidi"/>
      <w:bCs/>
      <w:color w:val="365F91" w:themeColor="accent1" w:themeShade="BF"/>
      <w:sz w:val="28"/>
      <w:szCs w:val="28"/>
      <w:lang w:val="en-US"/>
    </w:rPr>
  </w:style>
  <w:style w:type="character" w:customStyle="1" w:styleId="FooterChar">
    <w:name w:val="Footer Char"/>
    <w:basedOn w:val="DefaultParagraphFont"/>
    <w:link w:val="Footer"/>
    <w:uiPriority w:val="99"/>
    <w:rsid w:val="001C08F3"/>
    <w:rPr>
      <w:rFonts w:ascii="Arial" w:hAnsi="Arial"/>
      <w:lang w:eastAsia="en-US"/>
    </w:rPr>
  </w:style>
  <w:style w:type="character" w:styleId="PlaceholderText">
    <w:name w:val="Placeholder Text"/>
    <w:basedOn w:val="DefaultParagraphFont"/>
    <w:uiPriority w:val="2"/>
    <w:semiHidden/>
    <w:rsid w:val="00C01C37"/>
    <w:rPr>
      <w:color w:val="808080"/>
    </w:rPr>
  </w:style>
  <w:style w:type="paragraph" w:customStyle="1" w:styleId="Style1">
    <w:name w:val="Style1"/>
    <w:basedOn w:val="tablecaption"/>
    <w:qFormat/>
    <w:rsid w:val="00C01C37"/>
  </w:style>
  <w:style w:type="paragraph" w:customStyle="1" w:styleId="Default">
    <w:name w:val="Default"/>
    <w:rsid w:val="00C01C37"/>
    <w:pPr>
      <w:autoSpaceDE w:val="0"/>
      <w:autoSpaceDN w:val="0"/>
      <w:adjustRightInd w:val="0"/>
    </w:pPr>
    <w:rPr>
      <w:rFonts w:ascii="Arial" w:hAnsi="Arial" w:cs="Arial"/>
      <w:color w:val="000000"/>
      <w:sz w:val="24"/>
      <w:szCs w:val="24"/>
    </w:rPr>
  </w:style>
  <w:style w:type="character" w:customStyle="1" w:styleId="table1Char">
    <w:name w:val="table 1 Char"/>
    <w:basedOn w:val="DefaultParagraphFont"/>
    <w:link w:val="table1"/>
    <w:uiPriority w:val="2"/>
    <w:rsid w:val="0097648B"/>
    <w:rPr>
      <w:rFonts w:ascii="Arial" w:hAnsi="Arial"/>
      <w:sz w:val="16"/>
      <w:lang w:eastAsia="en-US"/>
    </w:rPr>
  </w:style>
  <w:style w:type="character" w:customStyle="1" w:styleId="caps">
    <w:name w:val="caps"/>
    <w:basedOn w:val="DefaultParagraphFont"/>
    <w:rsid w:val="00F676ED"/>
    <w:rPr>
      <w:rFonts w:cs="Times New Roman"/>
    </w:rPr>
  </w:style>
  <w:style w:type="character" w:customStyle="1" w:styleId="Subscript">
    <w:name w:val="Subscript"/>
    <w:basedOn w:val="DefaultParagraphFont"/>
    <w:qFormat/>
    <w:rsid w:val="0081312C"/>
    <w:rPr>
      <w:position w:val="-2"/>
      <w:vertAlign w:val="subscript"/>
    </w:rPr>
  </w:style>
  <w:style w:type="character" w:customStyle="1" w:styleId="Italic">
    <w:name w:val="Italic"/>
    <w:basedOn w:val="DefaultParagraphFont"/>
    <w:qFormat/>
    <w:rsid w:val="0081312C"/>
    <w:rPr>
      <w:i/>
    </w:rPr>
  </w:style>
  <w:style w:type="character" w:customStyle="1" w:styleId="Superscript">
    <w:name w:val="Superscript"/>
    <w:basedOn w:val="DefaultParagraphFont"/>
    <w:qFormat/>
    <w:rsid w:val="0081312C"/>
    <w:rPr>
      <w:position w:val="0"/>
      <w:vertAlign w:val="superscript"/>
    </w:rPr>
  </w:style>
  <w:style w:type="paragraph" w:customStyle="1" w:styleId="Listbulletlevel1numbered">
    <w:name w:val="List bullet level 1 numbered"/>
    <w:basedOn w:val="BodyText"/>
    <w:next w:val="BodyText"/>
    <w:link w:val="Listbulletlevel1numberedChar"/>
    <w:qFormat/>
    <w:rsid w:val="0081312C"/>
    <w:pPr>
      <w:numPr>
        <w:numId w:val="22"/>
      </w:numPr>
      <w:spacing w:before="60" w:after="60" w:line="280" w:lineRule="atLeast"/>
      <w:jc w:val="left"/>
    </w:pPr>
    <w:rPr>
      <w:rFonts w:ascii="Arial" w:hAnsi="Arial"/>
      <w:b w:val="0"/>
      <w:sz w:val="20"/>
      <w:szCs w:val="20"/>
      <w:lang w:eastAsia="en-AU"/>
    </w:rPr>
  </w:style>
  <w:style w:type="character" w:customStyle="1" w:styleId="Listbulletlevel1numberedChar">
    <w:name w:val="List bullet level 1 numbered Char"/>
    <w:basedOn w:val="DefaultParagraphFont"/>
    <w:link w:val="Listbulletlevel1numbered"/>
    <w:rsid w:val="0081312C"/>
    <w:rPr>
      <w:rFonts w:ascii="Arial" w:hAnsi="Arial" w:cs="Arial"/>
    </w:rPr>
  </w:style>
  <w:style w:type="paragraph" w:customStyle="1" w:styleId="Listbulletlevel2numbered">
    <w:name w:val="List bullet level 2 numbered"/>
    <w:basedOn w:val="Listbulletlevel1numbered"/>
    <w:qFormat/>
    <w:rsid w:val="0081312C"/>
    <w:pPr>
      <w:numPr>
        <w:ilvl w:val="1"/>
      </w:numPr>
      <w:tabs>
        <w:tab w:val="clear" w:pos="1276"/>
        <w:tab w:val="num" w:pos="360"/>
        <w:tab w:val="num" w:pos="717"/>
      </w:tabs>
      <w:ind w:left="357" w:firstLine="0"/>
    </w:pPr>
    <w:rPr>
      <w:rFonts w:eastAsia="Times"/>
    </w:rPr>
  </w:style>
  <w:style w:type="character" w:customStyle="1" w:styleId="FootnoteTextChar">
    <w:name w:val="Footnote Text Char"/>
    <w:basedOn w:val="DefaultParagraphFont"/>
    <w:link w:val="FootnoteText"/>
    <w:uiPriority w:val="99"/>
    <w:rsid w:val="0081312C"/>
    <w:rPr>
      <w:sz w:val="18"/>
      <w:lang w:eastAsia="en-US"/>
    </w:rPr>
  </w:style>
  <w:style w:type="paragraph" w:customStyle="1" w:styleId="References">
    <w:name w:val="References"/>
    <w:basedOn w:val="Normal"/>
    <w:rsid w:val="00B611CE"/>
    <w:pPr>
      <w:spacing w:before="60" w:after="60" w:line="240" w:lineRule="atLeast"/>
      <w:ind w:left="284" w:hanging="284"/>
      <w:jc w:val="left"/>
    </w:pPr>
    <w:rPr>
      <w:rFonts w:ascii="Arial" w:eastAsiaTheme="minorHAnsi" w:hAnsi="Arial" w:cs="Arial"/>
      <w:sz w:val="20"/>
      <w:lang w:eastAsia="en-AU"/>
    </w:rPr>
  </w:style>
  <w:style w:type="character" w:customStyle="1" w:styleId="Heading2Char">
    <w:name w:val="Heading 2 Char"/>
    <w:basedOn w:val="DefaultParagraphFont"/>
    <w:link w:val="Heading2"/>
    <w:uiPriority w:val="1"/>
    <w:rsid w:val="00231B41"/>
    <w:rPr>
      <w:rFonts w:ascii="Arial" w:hAnsi="Arial"/>
      <w:b/>
      <w:sz w:val="28"/>
      <w:lang w:eastAsia="en-US"/>
    </w:rPr>
  </w:style>
</w:styles>
</file>

<file path=word/webSettings.xml><?xml version="1.0" encoding="utf-8"?>
<w:webSettings xmlns:r="http://schemas.openxmlformats.org/officeDocument/2006/relationships" xmlns:w="http://schemas.openxmlformats.org/wordprocessingml/2006/main">
  <w:divs>
    <w:div w:id="127822024">
      <w:bodyDiv w:val="1"/>
      <w:marLeft w:val="0"/>
      <w:marRight w:val="0"/>
      <w:marTop w:val="0"/>
      <w:marBottom w:val="0"/>
      <w:divBdr>
        <w:top w:val="none" w:sz="0" w:space="0" w:color="auto"/>
        <w:left w:val="none" w:sz="0" w:space="0" w:color="auto"/>
        <w:bottom w:val="none" w:sz="0" w:space="0" w:color="auto"/>
        <w:right w:val="none" w:sz="0" w:space="0" w:color="auto"/>
      </w:divBdr>
    </w:div>
    <w:div w:id="624772918">
      <w:bodyDiv w:val="1"/>
      <w:marLeft w:val="0"/>
      <w:marRight w:val="0"/>
      <w:marTop w:val="0"/>
      <w:marBottom w:val="0"/>
      <w:divBdr>
        <w:top w:val="none" w:sz="0" w:space="0" w:color="auto"/>
        <w:left w:val="none" w:sz="0" w:space="0" w:color="auto"/>
        <w:bottom w:val="none" w:sz="0" w:space="0" w:color="auto"/>
        <w:right w:val="none" w:sz="0" w:space="0" w:color="auto"/>
      </w:divBdr>
    </w:div>
    <w:div w:id="1689214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environment.gov.au/SSD" TargetMode="External"/><Relationship Id="rId117" Type="http://schemas.openxmlformats.org/officeDocument/2006/relationships/footer" Target="footer10.xml"/><Relationship Id="rId21" Type="http://schemas.openxmlformats.org/officeDocument/2006/relationships/footer" Target="footer6.xm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40.emf"/><Relationship Id="rId68" Type="http://schemas.openxmlformats.org/officeDocument/2006/relationships/image" Target="media/image45.emf"/><Relationship Id="rId84" Type="http://schemas.openxmlformats.org/officeDocument/2006/relationships/image" Target="media/image61.jpeg"/><Relationship Id="rId89" Type="http://schemas.openxmlformats.org/officeDocument/2006/relationships/image" Target="media/image66.jpeg"/><Relationship Id="rId112" Type="http://schemas.openxmlformats.org/officeDocument/2006/relationships/image" Target="media/image88.emf"/><Relationship Id="rId16" Type="http://schemas.openxmlformats.org/officeDocument/2006/relationships/image" Target="media/image3.tiff"/><Relationship Id="rId107" Type="http://schemas.openxmlformats.org/officeDocument/2006/relationships/image" Target="media/image83.emf"/><Relationship Id="rId11" Type="http://schemas.openxmlformats.org/officeDocument/2006/relationships/footer" Target="footer2.xml"/><Relationship Id="rId32" Type="http://schemas.openxmlformats.org/officeDocument/2006/relationships/image" Target="media/image9.png"/><Relationship Id="rId37" Type="http://schemas.openxmlformats.org/officeDocument/2006/relationships/image" Target="media/image14.jpeg"/><Relationship Id="rId53" Type="http://schemas.openxmlformats.org/officeDocument/2006/relationships/image" Target="media/image30.emf"/><Relationship Id="rId58" Type="http://schemas.openxmlformats.org/officeDocument/2006/relationships/image" Target="media/image35.emf"/><Relationship Id="rId74" Type="http://schemas.openxmlformats.org/officeDocument/2006/relationships/image" Target="media/image51.emf"/><Relationship Id="rId79" Type="http://schemas.openxmlformats.org/officeDocument/2006/relationships/image" Target="media/image56.emf"/><Relationship Id="rId102" Type="http://schemas.openxmlformats.org/officeDocument/2006/relationships/image" Target="media/image78.pn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8.emf"/><Relationship Id="rId82" Type="http://schemas.openxmlformats.org/officeDocument/2006/relationships/image" Target="media/image59.jpeg"/><Relationship Id="rId90" Type="http://schemas.openxmlformats.org/officeDocument/2006/relationships/image" Target="media/image67.jpeg"/><Relationship Id="rId95" Type="http://schemas.openxmlformats.org/officeDocument/2006/relationships/image" Target="media/image72.jpeg"/><Relationship Id="rId19" Type="http://schemas.openxmlformats.org/officeDocument/2006/relationships/footer" Target="footer5.xml"/><Relationship Id="rId14" Type="http://schemas.openxmlformats.org/officeDocument/2006/relationships/image" Target="media/image1.jpeg"/><Relationship Id="rId22" Type="http://schemas.openxmlformats.org/officeDocument/2006/relationships/footer" Target="footer7.xml"/><Relationship Id="rId27" Type="http://schemas.openxmlformats.org/officeDocument/2006/relationships/image" Target="media/image5.jpeg"/><Relationship Id="rId30" Type="http://schemas.openxmlformats.org/officeDocument/2006/relationships/image" Target="media/image7.jpeg"/><Relationship Id="rId35"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emf"/><Relationship Id="rId64" Type="http://schemas.openxmlformats.org/officeDocument/2006/relationships/image" Target="media/image41.emf"/><Relationship Id="rId69" Type="http://schemas.openxmlformats.org/officeDocument/2006/relationships/image" Target="media/image46.emf"/><Relationship Id="rId77" Type="http://schemas.openxmlformats.org/officeDocument/2006/relationships/image" Target="media/image54.emf"/><Relationship Id="rId100" Type="http://schemas.openxmlformats.org/officeDocument/2006/relationships/image" Target="media/image76.jpeg"/><Relationship Id="rId105" Type="http://schemas.openxmlformats.org/officeDocument/2006/relationships/image" Target="media/image81.emf"/><Relationship Id="rId113" Type="http://schemas.openxmlformats.org/officeDocument/2006/relationships/image" Target="media/image89.emf"/><Relationship Id="rId118" Type="http://schemas.openxmlformats.org/officeDocument/2006/relationships/footer" Target="footer11.xml"/><Relationship Id="rId8" Type="http://schemas.openxmlformats.org/officeDocument/2006/relationships/header" Target="header1.xml"/><Relationship Id="rId51" Type="http://schemas.openxmlformats.org/officeDocument/2006/relationships/image" Target="media/image28.emf"/><Relationship Id="rId72" Type="http://schemas.openxmlformats.org/officeDocument/2006/relationships/image" Target="media/image49.emf"/><Relationship Id="rId80" Type="http://schemas.openxmlformats.org/officeDocument/2006/relationships/image" Target="media/image57.emf"/><Relationship Id="rId85" Type="http://schemas.openxmlformats.org/officeDocument/2006/relationships/image" Target="media/image62.jpe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4.xml"/><Relationship Id="rId25" Type="http://schemas.openxmlformats.org/officeDocument/2006/relationships/image" Target="media/image4.png"/><Relationship Id="rId33" Type="http://schemas.openxmlformats.org/officeDocument/2006/relationships/image" Target="media/image10.emf"/><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emf"/><Relationship Id="rId67" Type="http://schemas.openxmlformats.org/officeDocument/2006/relationships/image" Target="media/image44.emf"/><Relationship Id="rId103" Type="http://schemas.openxmlformats.org/officeDocument/2006/relationships/image" Target="media/image79.png"/><Relationship Id="rId108" Type="http://schemas.openxmlformats.org/officeDocument/2006/relationships/image" Target="media/image84.png"/><Relationship Id="rId116" Type="http://schemas.openxmlformats.org/officeDocument/2006/relationships/header" Target="header7.xml"/><Relationship Id="rId20" Type="http://schemas.openxmlformats.org/officeDocument/2006/relationships/header" Target="header5.xml"/><Relationship Id="rId41" Type="http://schemas.openxmlformats.org/officeDocument/2006/relationships/image" Target="media/image18.jpeg"/><Relationship Id="rId54" Type="http://schemas.openxmlformats.org/officeDocument/2006/relationships/image" Target="media/image31.emf"/><Relationship Id="rId62" Type="http://schemas.openxmlformats.org/officeDocument/2006/relationships/image" Target="media/image39.emf"/><Relationship Id="rId70" Type="http://schemas.openxmlformats.org/officeDocument/2006/relationships/image" Target="media/image47.emf"/><Relationship Id="rId75" Type="http://schemas.openxmlformats.org/officeDocument/2006/relationships/image" Target="media/image52.emf"/><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jpeg"/><Relationship Id="rId111" Type="http://schemas.openxmlformats.org/officeDocument/2006/relationships/image" Target="media/image87.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header" Target="header6.xml"/><Relationship Id="rId28" Type="http://schemas.openxmlformats.org/officeDocument/2006/relationships/image" Target="media/image6.png"/><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4.emf"/><Relationship Id="rId106" Type="http://schemas.openxmlformats.org/officeDocument/2006/relationships/image" Target="media/image82.emf"/><Relationship Id="rId114" Type="http://schemas.openxmlformats.org/officeDocument/2006/relationships/image" Target="media/image90.emf"/><Relationship Id="rId119" Type="http://schemas.openxmlformats.org/officeDocument/2006/relationships/header" Target="header8.xml"/><Relationship Id="rId10" Type="http://schemas.openxmlformats.org/officeDocument/2006/relationships/footer" Target="footer1.xml"/><Relationship Id="rId31" Type="http://schemas.openxmlformats.org/officeDocument/2006/relationships/image" Target="media/image8.png"/><Relationship Id="rId44" Type="http://schemas.openxmlformats.org/officeDocument/2006/relationships/image" Target="media/image21.jpeg"/><Relationship Id="rId52" Type="http://schemas.openxmlformats.org/officeDocument/2006/relationships/image" Target="media/image29.emf"/><Relationship Id="rId60" Type="http://schemas.openxmlformats.org/officeDocument/2006/relationships/image" Target="media/image37.emf"/><Relationship Id="rId65" Type="http://schemas.openxmlformats.org/officeDocument/2006/relationships/image" Target="media/image42.emf"/><Relationship Id="rId73" Type="http://schemas.openxmlformats.org/officeDocument/2006/relationships/image" Target="media/image50.emf"/><Relationship Id="rId78" Type="http://schemas.openxmlformats.org/officeDocument/2006/relationships/image" Target="media/image55.emf"/><Relationship Id="rId81" Type="http://schemas.openxmlformats.org/officeDocument/2006/relationships/image" Target="media/image58.emf"/><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chart" Target="charts/chart1.xml"/><Relationship Id="rId101" Type="http://schemas.openxmlformats.org/officeDocument/2006/relationships/image" Target="media/image77.png"/><Relationship Id="rId12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footer" Target="footer4.xml"/><Relationship Id="rId39" Type="http://schemas.openxmlformats.org/officeDocument/2006/relationships/image" Target="media/image16.png"/><Relationship Id="rId109" Type="http://schemas.openxmlformats.org/officeDocument/2006/relationships/image" Target="media/image85.emf"/><Relationship Id="rId34" Type="http://schemas.openxmlformats.org/officeDocument/2006/relationships/image" Target="media/image11.jpeg"/><Relationship Id="rId50" Type="http://schemas.openxmlformats.org/officeDocument/2006/relationships/image" Target="media/image27.emf"/><Relationship Id="rId55" Type="http://schemas.openxmlformats.org/officeDocument/2006/relationships/image" Target="media/image32.emf"/><Relationship Id="rId76" Type="http://schemas.openxmlformats.org/officeDocument/2006/relationships/image" Target="media/image53.emf"/><Relationship Id="rId97" Type="http://schemas.openxmlformats.org/officeDocument/2006/relationships/image" Target="media/image74.jpeg"/><Relationship Id="rId104" Type="http://schemas.openxmlformats.org/officeDocument/2006/relationships/image" Target="media/image80.emf"/><Relationship Id="rId120" Type="http://schemas.openxmlformats.org/officeDocument/2006/relationships/footer" Target="footer12.xml"/><Relationship Id="rId7" Type="http://schemas.openxmlformats.org/officeDocument/2006/relationships/endnotes" Target="endnotes.xml"/><Relationship Id="rId71" Type="http://schemas.openxmlformats.org/officeDocument/2006/relationships/image" Target="media/image48.emf"/><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footer" Target="footer9.xml"/><Relationship Id="rId24" Type="http://schemas.openxmlformats.org/officeDocument/2006/relationships/footer" Target="footer8.xml"/><Relationship Id="rId40" Type="http://schemas.openxmlformats.org/officeDocument/2006/relationships/image" Target="media/image17.png"/><Relationship Id="rId45" Type="http://schemas.openxmlformats.org/officeDocument/2006/relationships/image" Target="media/image22.jpeg"/><Relationship Id="rId66" Type="http://schemas.openxmlformats.org/officeDocument/2006/relationships/image" Target="media/image43.emf"/><Relationship Id="rId87" Type="http://schemas.openxmlformats.org/officeDocument/2006/relationships/image" Target="media/image64.jpeg"/><Relationship Id="rId110" Type="http://schemas.openxmlformats.org/officeDocument/2006/relationships/image" Target="media/image86.emf"/><Relationship Id="rId115" Type="http://schemas.openxmlformats.org/officeDocument/2006/relationships/image" Target="media/image91.emf"/></Relationships>
</file>

<file path=word/charts/_rels/chart1.xml.rels><?xml version="1.0" encoding="UTF-8" standalone="yes"?>
<Relationships xmlns="http://schemas.openxmlformats.org/package/2006/relationships"><Relationship Id="rId1" Type="http://schemas.openxmlformats.org/officeDocument/2006/relationships/oleObject" Target="file:///\\nas\GEMD\water\Advice\Projects\Uranium\Ranger%20Mine\SSD%20Work%202014\Data\ERA\GC2\Flow_qualit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AU"/>
  <c:style val="3"/>
  <c:chart>
    <c:autoTitleDeleted val="1"/>
    <c:plotArea>
      <c:layout/>
      <c:barChart>
        <c:barDir val="col"/>
        <c:grouping val="clustered"/>
        <c:ser>
          <c:idx val="0"/>
          <c:order val="1"/>
          <c:tx>
            <c:strRef>
              <c:f>Sheet1!$C$1</c:f>
              <c:strCache>
                <c:ptCount val="1"/>
                <c:pt idx="0">
                  <c:v>Rainfall</c:v>
                </c:pt>
              </c:strCache>
            </c:strRef>
          </c:tx>
          <c:spPr>
            <a:solidFill>
              <a:schemeClr val="accent3"/>
            </a:solidFill>
          </c:spPr>
          <c:cat>
            <c:numRef>
              <c:f>Sheet1!$A$2:$A$1338</c:f>
              <c:numCache>
                <c:formatCode>m/d/yyyy</c:formatCode>
                <c:ptCount val="1337"/>
                <c:pt idx="0">
                  <c:v>40361</c:v>
                </c:pt>
                <c:pt idx="1">
                  <c:v>40362</c:v>
                </c:pt>
                <c:pt idx="2">
                  <c:v>40363</c:v>
                </c:pt>
                <c:pt idx="3">
                  <c:v>40364</c:v>
                </c:pt>
                <c:pt idx="4">
                  <c:v>40365</c:v>
                </c:pt>
                <c:pt idx="5">
                  <c:v>40366</c:v>
                </c:pt>
                <c:pt idx="6">
                  <c:v>40367</c:v>
                </c:pt>
                <c:pt idx="7">
                  <c:v>40368</c:v>
                </c:pt>
                <c:pt idx="8">
                  <c:v>40369</c:v>
                </c:pt>
                <c:pt idx="9">
                  <c:v>40370</c:v>
                </c:pt>
                <c:pt idx="10">
                  <c:v>40371</c:v>
                </c:pt>
                <c:pt idx="11">
                  <c:v>40372</c:v>
                </c:pt>
                <c:pt idx="12">
                  <c:v>40373</c:v>
                </c:pt>
                <c:pt idx="13">
                  <c:v>40374</c:v>
                </c:pt>
                <c:pt idx="14">
                  <c:v>40375</c:v>
                </c:pt>
                <c:pt idx="15">
                  <c:v>40376</c:v>
                </c:pt>
                <c:pt idx="16">
                  <c:v>40377</c:v>
                </c:pt>
                <c:pt idx="17">
                  <c:v>40378</c:v>
                </c:pt>
                <c:pt idx="18">
                  <c:v>40379</c:v>
                </c:pt>
                <c:pt idx="19">
                  <c:v>40380</c:v>
                </c:pt>
                <c:pt idx="20">
                  <c:v>40381</c:v>
                </c:pt>
                <c:pt idx="21">
                  <c:v>40382</c:v>
                </c:pt>
                <c:pt idx="22">
                  <c:v>40383</c:v>
                </c:pt>
                <c:pt idx="23">
                  <c:v>40384</c:v>
                </c:pt>
                <c:pt idx="24">
                  <c:v>40385</c:v>
                </c:pt>
                <c:pt idx="25">
                  <c:v>40386</c:v>
                </c:pt>
                <c:pt idx="26">
                  <c:v>40387</c:v>
                </c:pt>
                <c:pt idx="27">
                  <c:v>40388</c:v>
                </c:pt>
                <c:pt idx="28">
                  <c:v>40389</c:v>
                </c:pt>
                <c:pt idx="29">
                  <c:v>40390</c:v>
                </c:pt>
                <c:pt idx="30">
                  <c:v>40391</c:v>
                </c:pt>
                <c:pt idx="31">
                  <c:v>40392</c:v>
                </c:pt>
                <c:pt idx="32">
                  <c:v>40393</c:v>
                </c:pt>
                <c:pt idx="33">
                  <c:v>40394</c:v>
                </c:pt>
                <c:pt idx="34">
                  <c:v>40395</c:v>
                </c:pt>
                <c:pt idx="35">
                  <c:v>40396</c:v>
                </c:pt>
                <c:pt idx="36">
                  <c:v>40397</c:v>
                </c:pt>
                <c:pt idx="37">
                  <c:v>40398</c:v>
                </c:pt>
                <c:pt idx="38">
                  <c:v>40399</c:v>
                </c:pt>
                <c:pt idx="39">
                  <c:v>40400</c:v>
                </c:pt>
                <c:pt idx="40">
                  <c:v>40401</c:v>
                </c:pt>
                <c:pt idx="41">
                  <c:v>40402</c:v>
                </c:pt>
                <c:pt idx="42">
                  <c:v>40403</c:v>
                </c:pt>
                <c:pt idx="43">
                  <c:v>40404</c:v>
                </c:pt>
                <c:pt idx="44">
                  <c:v>40405</c:v>
                </c:pt>
                <c:pt idx="45">
                  <c:v>40406</c:v>
                </c:pt>
                <c:pt idx="46">
                  <c:v>40407</c:v>
                </c:pt>
                <c:pt idx="47">
                  <c:v>40408</c:v>
                </c:pt>
                <c:pt idx="48">
                  <c:v>40409</c:v>
                </c:pt>
                <c:pt idx="49">
                  <c:v>40410</c:v>
                </c:pt>
                <c:pt idx="50">
                  <c:v>40411</c:v>
                </c:pt>
                <c:pt idx="51">
                  <c:v>40412</c:v>
                </c:pt>
                <c:pt idx="52">
                  <c:v>40413</c:v>
                </c:pt>
                <c:pt idx="53">
                  <c:v>40414</c:v>
                </c:pt>
                <c:pt idx="54">
                  <c:v>40415</c:v>
                </c:pt>
                <c:pt idx="55">
                  <c:v>40416</c:v>
                </c:pt>
                <c:pt idx="56">
                  <c:v>40417</c:v>
                </c:pt>
                <c:pt idx="57">
                  <c:v>40418</c:v>
                </c:pt>
                <c:pt idx="58">
                  <c:v>40419</c:v>
                </c:pt>
                <c:pt idx="59">
                  <c:v>40420</c:v>
                </c:pt>
                <c:pt idx="60">
                  <c:v>40421</c:v>
                </c:pt>
                <c:pt idx="61">
                  <c:v>40422</c:v>
                </c:pt>
                <c:pt idx="62">
                  <c:v>40423</c:v>
                </c:pt>
                <c:pt idx="63">
                  <c:v>40424</c:v>
                </c:pt>
                <c:pt idx="64">
                  <c:v>40425</c:v>
                </c:pt>
                <c:pt idx="65">
                  <c:v>40426</c:v>
                </c:pt>
                <c:pt idx="66">
                  <c:v>40427</c:v>
                </c:pt>
                <c:pt idx="67">
                  <c:v>40428</c:v>
                </c:pt>
                <c:pt idx="68">
                  <c:v>40429</c:v>
                </c:pt>
                <c:pt idx="69">
                  <c:v>40430</c:v>
                </c:pt>
                <c:pt idx="70">
                  <c:v>40431</c:v>
                </c:pt>
                <c:pt idx="71">
                  <c:v>40432</c:v>
                </c:pt>
                <c:pt idx="72">
                  <c:v>40433</c:v>
                </c:pt>
                <c:pt idx="73">
                  <c:v>40434</c:v>
                </c:pt>
                <c:pt idx="74">
                  <c:v>40435</c:v>
                </c:pt>
                <c:pt idx="75">
                  <c:v>40436</c:v>
                </c:pt>
                <c:pt idx="76">
                  <c:v>40437</c:v>
                </c:pt>
                <c:pt idx="77">
                  <c:v>40438</c:v>
                </c:pt>
                <c:pt idx="78">
                  <c:v>40439</c:v>
                </c:pt>
                <c:pt idx="79">
                  <c:v>40440</c:v>
                </c:pt>
                <c:pt idx="80">
                  <c:v>40441</c:v>
                </c:pt>
                <c:pt idx="81">
                  <c:v>40442</c:v>
                </c:pt>
                <c:pt idx="82">
                  <c:v>40443</c:v>
                </c:pt>
                <c:pt idx="83">
                  <c:v>40444</c:v>
                </c:pt>
                <c:pt idx="84">
                  <c:v>40445</c:v>
                </c:pt>
                <c:pt idx="85">
                  <c:v>40446</c:v>
                </c:pt>
                <c:pt idx="86">
                  <c:v>40447</c:v>
                </c:pt>
                <c:pt idx="87">
                  <c:v>40448</c:v>
                </c:pt>
                <c:pt idx="88">
                  <c:v>40449</c:v>
                </c:pt>
                <c:pt idx="89">
                  <c:v>40450</c:v>
                </c:pt>
                <c:pt idx="90">
                  <c:v>40451</c:v>
                </c:pt>
                <c:pt idx="91">
                  <c:v>40452</c:v>
                </c:pt>
                <c:pt idx="92">
                  <c:v>40453</c:v>
                </c:pt>
                <c:pt idx="93">
                  <c:v>40454</c:v>
                </c:pt>
                <c:pt idx="94">
                  <c:v>40455</c:v>
                </c:pt>
                <c:pt idx="95">
                  <c:v>40456</c:v>
                </c:pt>
                <c:pt idx="96">
                  <c:v>40457</c:v>
                </c:pt>
                <c:pt idx="97">
                  <c:v>40458</c:v>
                </c:pt>
                <c:pt idx="98">
                  <c:v>40459</c:v>
                </c:pt>
                <c:pt idx="99">
                  <c:v>40460</c:v>
                </c:pt>
                <c:pt idx="100">
                  <c:v>40461</c:v>
                </c:pt>
                <c:pt idx="101">
                  <c:v>40462</c:v>
                </c:pt>
                <c:pt idx="102">
                  <c:v>40463</c:v>
                </c:pt>
                <c:pt idx="103">
                  <c:v>40464</c:v>
                </c:pt>
                <c:pt idx="104">
                  <c:v>40465</c:v>
                </c:pt>
                <c:pt idx="105">
                  <c:v>40466</c:v>
                </c:pt>
                <c:pt idx="106">
                  <c:v>40467</c:v>
                </c:pt>
                <c:pt idx="107">
                  <c:v>40468</c:v>
                </c:pt>
                <c:pt idx="108">
                  <c:v>40469</c:v>
                </c:pt>
                <c:pt idx="109">
                  <c:v>40470</c:v>
                </c:pt>
                <c:pt idx="110">
                  <c:v>40471</c:v>
                </c:pt>
                <c:pt idx="111">
                  <c:v>40472</c:v>
                </c:pt>
                <c:pt idx="112">
                  <c:v>40473</c:v>
                </c:pt>
                <c:pt idx="113">
                  <c:v>40474</c:v>
                </c:pt>
                <c:pt idx="114">
                  <c:v>40475</c:v>
                </c:pt>
                <c:pt idx="115">
                  <c:v>40476</c:v>
                </c:pt>
                <c:pt idx="116">
                  <c:v>40477</c:v>
                </c:pt>
                <c:pt idx="117">
                  <c:v>40478</c:v>
                </c:pt>
                <c:pt idx="118">
                  <c:v>40479</c:v>
                </c:pt>
                <c:pt idx="119">
                  <c:v>40480</c:v>
                </c:pt>
                <c:pt idx="120">
                  <c:v>40481</c:v>
                </c:pt>
                <c:pt idx="121">
                  <c:v>40482</c:v>
                </c:pt>
                <c:pt idx="122">
                  <c:v>40483</c:v>
                </c:pt>
                <c:pt idx="123">
                  <c:v>40484</c:v>
                </c:pt>
                <c:pt idx="124">
                  <c:v>40485</c:v>
                </c:pt>
                <c:pt idx="125">
                  <c:v>40486</c:v>
                </c:pt>
                <c:pt idx="126">
                  <c:v>40487</c:v>
                </c:pt>
                <c:pt idx="127">
                  <c:v>40488</c:v>
                </c:pt>
                <c:pt idx="128">
                  <c:v>40489</c:v>
                </c:pt>
                <c:pt idx="129">
                  <c:v>40490</c:v>
                </c:pt>
                <c:pt idx="130">
                  <c:v>40491</c:v>
                </c:pt>
                <c:pt idx="131">
                  <c:v>40492</c:v>
                </c:pt>
                <c:pt idx="132">
                  <c:v>40493</c:v>
                </c:pt>
                <c:pt idx="133">
                  <c:v>40494</c:v>
                </c:pt>
                <c:pt idx="134">
                  <c:v>40495</c:v>
                </c:pt>
                <c:pt idx="135">
                  <c:v>40496</c:v>
                </c:pt>
                <c:pt idx="136">
                  <c:v>40497</c:v>
                </c:pt>
                <c:pt idx="137">
                  <c:v>40498</c:v>
                </c:pt>
                <c:pt idx="138">
                  <c:v>40499</c:v>
                </c:pt>
                <c:pt idx="139">
                  <c:v>40500</c:v>
                </c:pt>
                <c:pt idx="140">
                  <c:v>40501</c:v>
                </c:pt>
                <c:pt idx="141">
                  <c:v>40502</c:v>
                </c:pt>
                <c:pt idx="142">
                  <c:v>40503</c:v>
                </c:pt>
                <c:pt idx="143">
                  <c:v>40504</c:v>
                </c:pt>
                <c:pt idx="144">
                  <c:v>40505</c:v>
                </c:pt>
                <c:pt idx="145">
                  <c:v>40506</c:v>
                </c:pt>
                <c:pt idx="146">
                  <c:v>40507</c:v>
                </c:pt>
                <c:pt idx="147">
                  <c:v>40508</c:v>
                </c:pt>
                <c:pt idx="148">
                  <c:v>40509</c:v>
                </c:pt>
                <c:pt idx="149">
                  <c:v>40510</c:v>
                </c:pt>
                <c:pt idx="150">
                  <c:v>40511</c:v>
                </c:pt>
                <c:pt idx="151">
                  <c:v>40512</c:v>
                </c:pt>
                <c:pt idx="152">
                  <c:v>40513</c:v>
                </c:pt>
                <c:pt idx="153">
                  <c:v>40514</c:v>
                </c:pt>
                <c:pt idx="154">
                  <c:v>40515</c:v>
                </c:pt>
                <c:pt idx="155">
                  <c:v>40516</c:v>
                </c:pt>
                <c:pt idx="156">
                  <c:v>40517</c:v>
                </c:pt>
                <c:pt idx="157">
                  <c:v>40518</c:v>
                </c:pt>
                <c:pt idx="158">
                  <c:v>40519</c:v>
                </c:pt>
                <c:pt idx="159">
                  <c:v>40520</c:v>
                </c:pt>
                <c:pt idx="160">
                  <c:v>40521</c:v>
                </c:pt>
                <c:pt idx="161">
                  <c:v>40522</c:v>
                </c:pt>
                <c:pt idx="162">
                  <c:v>40523</c:v>
                </c:pt>
                <c:pt idx="163">
                  <c:v>40524</c:v>
                </c:pt>
                <c:pt idx="164">
                  <c:v>40525</c:v>
                </c:pt>
                <c:pt idx="165">
                  <c:v>40526</c:v>
                </c:pt>
                <c:pt idx="166">
                  <c:v>40527</c:v>
                </c:pt>
                <c:pt idx="167">
                  <c:v>40528</c:v>
                </c:pt>
                <c:pt idx="168">
                  <c:v>40529</c:v>
                </c:pt>
                <c:pt idx="169">
                  <c:v>40530</c:v>
                </c:pt>
                <c:pt idx="170">
                  <c:v>40531</c:v>
                </c:pt>
                <c:pt idx="171">
                  <c:v>40532</c:v>
                </c:pt>
                <c:pt idx="172">
                  <c:v>40533</c:v>
                </c:pt>
                <c:pt idx="173">
                  <c:v>40534</c:v>
                </c:pt>
                <c:pt idx="174">
                  <c:v>40535</c:v>
                </c:pt>
                <c:pt idx="175">
                  <c:v>40536</c:v>
                </c:pt>
                <c:pt idx="176">
                  <c:v>40537</c:v>
                </c:pt>
                <c:pt idx="177">
                  <c:v>40538</c:v>
                </c:pt>
                <c:pt idx="178">
                  <c:v>40539</c:v>
                </c:pt>
                <c:pt idx="179">
                  <c:v>40540</c:v>
                </c:pt>
                <c:pt idx="180">
                  <c:v>40541</c:v>
                </c:pt>
                <c:pt idx="181">
                  <c:v>40542</c:v>
                </c:pt>
                <c:pt idx="182">
                  <c:v>40543</c:v>
                </c:pt>
                <c:pt idx="183">
                  <c:v>40544</c:v>
                </c:pt>
                <c:pt idx="184">
                  <c:v>40545</c:v>
                </c:pt>
                <c:pt idx="185">
                  <c:v>40546</c:v>
                </c:pt>
                <c:pt idx="186">
                  <c:v>40547</c:v>
                </c:pt>
                <c:pt idx="187">
                  <c:v>40548</c:v>
                </c:pt>
                <c:pt idx="188">
                  <c:v>40549</c:v>
                </c:pt>
                <c:pt idx="189">
                  <c:v>40550</c:v>
                </c:pt>
                <c:pt idx="190">
                  <c:v>40551</c:v>
                </c:pt>
                <c:pt idx="191">
                  <c:v>40552</c:v>
                </c:pt>
                <c:pt idx="192">
                  <c:v>40553</c:v>
                </c:pt>
                <c:pt idx="193">
                  <c:v>40554</c:v>
                </c:pt>
                <c:pt idx="194">
                  <c:v>40555</c:v>
                </c:pt>
                <c:pt idx="195">
                  <c:v>40556</c:v>
                </c:pt>
                <c:pt idx="196">
                  <c:v>40557</c:v>
                </c:pt>
                <c:pt idx="197">
                  <c:v>40558</c:v>
                </c:pt>
                <c:pt idx="198">
                  <c:v>40559</c:v>
                </c:pt>
                <c:pt idx="199">
                  <c:v>40560</c:v>
                </c:pt>
                <c:pt idx="200">
                  <c:v>40561</c:v>
                </c:pt>
                <c:pt idx="201">
                  <c:v>40562</c:v>
                </c:pt>
                <c:pt idx="202">
                  <c:v>40563</c:v>
                </c:pt>
                <c:pt idx="203">
                  <c:v>40564</c:v>
                </c:pt>
                <c:pt idx="204">
                  <c:v>40565</c:v>
                </c:pt>
                <c:pt idx="205">
                  <c:v>40566</c:v>
                </c:pt>
                <c:pt idx="206">
                  <c:v>40567</c:v>
                </c:pt>
                <c:pt idx="207">
                  <c:v>40568</c:v>
                </c:pt>
                <c:pt idx="208">
                  <c:v>40569</c:v>
                </c:pt>
                <c:pt idx="209">
                  <c:v>40570</c:v>
                </c:pt>
                <c:pt idx="210">
                  <c:v>40571</c:v>
                </c:pt>
                <c:pt idx="211">
                  <c:v>40572</c:v>
                </c:pt>
                <c:pt idx="212">
                  <c:v>40573</c:v>
                </c:pt>
                <c:pt idx="213">
                  <c:v>40574</c:v>
                </c:pt>
                <c:pt idx="214">
                  <c:v>40575</c:v>
                </c:pt>
                <c:pt idx="215">
                  <c:v>40576</c:v>
                </c:pt>
                <c:pt idx="216">
                  <c:v>40577</c:v>
                </c:pt>
                <c:pt idx="217">
                  <c:v>40578</c:v>
                </c:pt>
                <c:pt idx="218">
                  <c:v>40579</c:v>
                </c:pt>
                <c:pt idx="219">
                  <c:v>40580</c:v>
                </c:pt>
                <c:pt idx="220">
                  <c:v>40581</c:v>
                </c:pt>
                <c:pt idx="221">
                  <c:v>40582</c:v>
                </c:pt>
                <c:pt idx="222">
                  <c:v>40583</c:v>
                </c:pt>
                <c:pt idx="223">
                  <c:v>40584</c:v>
                </c:pt>
                <c:pt idx="224">
                  <c:v>40585</c:v>
                </c:pt>
                <c:pt idx="225">
                  <c:v>40586</c:v>
                </c:pt>
                <c:pt idx="226">
                  <c:v>40587</c:v>
                </c:pt>
                <c:pt idx="227">
                  <c:v>40588</c:v>
                </c:pt>
                <c:pt idx="228">
                  <c:v>40589</c:v>
                </c:pt>
                <c:pt idx="229">
                  <c:v>40590</c:v>
                </c:pt>
                <c:pt idx="230">
                  <c:v>40591</c:v>
                </c:pt>
                <c:pt idx="231">
                  <c:v>40592</c:v>
                </c:pt>
                <c:pt idx="232">
                  <c:v>40593</c:v>
                </c:pt>
                <c:pt idx="233">
                  <c:v>40594</c:v>
                </c:pt>
                <c:pt idx="234">
                  <c:v>40595</c:v>
                </c:pt>
                <c:pt idx="235">
                  <c:v>40596</c:v>
                </c:pt>
                <c:pt idx="236">
                  <c:v>40597</c:v>
                </c:pt>
                <c:pt idx="237">
                  <c:v>40598</c:v>
                </c:pt>
                <c:pt idx="238">
                  <c:v>40599</c:v>
                </c:pt>
                <c:pt idx="239">
                  <c:v>40600</c:v>
                </c:pt>
                <c:pt idx="240">
                  <c:v>40601</c:v>
                </c:pt>
                <c:pt idx="241">
                  <c:v>40602</c:v>
                </c:pt>
                <c:pt idx="242">
                  <c:v>40603</c:v>
                </c:pt>
                <c:pt idx="243">
                  <c:v>40604</c:v>
                </c:pt>
                <c:pt idx="244">
                  <c:v>40605</c:v>
                </c:pt>
                <c:pt idx="245">
                  <c:v>40606</c:v>
                </c:pt>
                <c:pt idx="246">
                  <c:v>40607</c:v>
                </c:pt>
                <c:pt idx="247">
                  <c:v>40608</c:v>
                </c:pt>
                <c:pt idx="248">
                  <c:v>40609</c:v>
                </c:pt>
                <c:pt idx="249">
                  <c:v>40610</c:v>
                </c:pt>
                <c:pt idx="250">
                  <c:v>40611</c:v>
                </c:pt>
                <c:pt idx="251">
                  <c:v>40612</c:v>
                </c:pt>
                <c:pt idx="252">
                  <c:v>40613</c:v>
                </c:pt>
                <c:pt idx="253">
                  <c:v>40614</c:v>
                </c:pt>
                <c:pt idx="254">
                  <c:v>40615</c:v>
                </c:pt>
                <c:pt idx="255">
                  <c:v>40616</c:v>
                </c:pt>
                <c:pt idx="256">
                  <c:v>40617</c:v>
                </c:pt>
                <c:pt idx="257">
                  <c:v>40618</c:v>
                </c:pt>
                <c:pt idx="258">
                  <c:v>40619</c:v>
                </c:pt>
                <c:pt idx="259">
                  <c:v>40620</c:v>
                </c:pt>
                <c:pt idx="260">
                  <c:v>40621</c:v>
                </c:pt>
                <c:pt idx="261">
                  <c:v>40622</c:v>
                </c:pt>
                <c:pt idx="262">
                  <c:v>40623</c:v>
                </c:pt>
                <c:pt idx="263">
                  <c:v>40624</c:v>
                </c:pt>
                <c:pt idx="264">
                  <c:v>40625</c:v>
                </c:pt>
                <c:pt idx="265">
                  <c:v>40626</c:v>
                </c:pt>
                <c:pt idx="266">
                  <c:v>40627</c:v>
                </c:pt>
                <c:pt idx="267">
                  <c:v>40628</c:v>
                </c:pt>
                <c:pt idx="268">
                  <c:v>40629</c:v>
                </c:pt>
                <c:pt idx="269">
                  <c:v>40630</c:v>
                </c:pt>
                <c:pt idx="270">
                  <c:v>40631</c:v>
                </c:pt>
                <c:pt idx="271">
                  <c:v>40632</c:v>
                </c:pt>
                <c:pt idx="272">
                  <c:v>40633</c:v>
                </c:pt>
                <c:pt idx="273">
                  <c:v>40634</c:v>
                </c:pt>
                <c:pt idx="274">
                  <c:v>40635</c:v>
                </c:pt>
                <c:pt idx="275">
                  <c:v>40636</c:v>
                </c:pt>
                <c:pt idx="276">
                  <c:v>40637</c:v>
                </c:pt>
                <c:pt idx="277">
                  <c:v>40638</c:v>
                </c:pt>
                <c:pt idx="278">
                  <c:v>40639</c:v>
                </c:pt>
                <c:pt idx="279">
                  <c:v>40640</c:v>
                </c:pt>
                <c:pt idx="280">
                  <c:v>40641</c:v>
                </c:pt>
                <c:pt idx="281">
                  <c:v>40642</c:v>
                </c:pt>
                <c:pt idx="282">
                  <c:v>40643</c:v>
                </c:pt>
                <c:pt idx="283">
                  <c:v>40644</c:v>
                </c:pt>
                <c:pt idx="284">
                  <c:v>40645</c:v>
                </c:pt>
                <c:pt idx="285">
                  <c:v>40646</c:v>
                </c:pt>
                <c:pt idx="286">
                  <c:v>40647</c:v>
                </c:pt>
                <c:pt idx="287">
                  <c:v>40648</c:v>
                </c:pt>
                <c:pt idx="288">
                  <c:v>40649</c:v>
                </c:pt>
                <c:pt idx="289">
                  <c:v>40650</c:v>
                </c:pt>
                <c:pt idx="290">
                  <c:v>40651</c:v>
                </c:pt>
                <c:pt idx="291">
                  <c:v>40652</c:v>
                </c:pt>
                <c:pt idx="292">
                  <c:v>40653</c:v>
                </c:pt>
                <c:pt idx="293">
                  <c:v>40654</c:v>
                </c:pt>
                <c:pt idx="294">
                  <c:v>40655</c:v>
                </c:pt>
                <c:pt idx="295">
                  <c:v>40656</c:v>
                </c:pt>
                <c:pt idx="296">
                  <c:v>40657</c:v>
                </c:pt>
                <c:pt idx="297">
                  <c:v>40658</c:v>
                </c:pt>
                <c:pt idx="298">
                  <c:v>40659</c:v>
                </c:pt>
                <c:pt idx="299">
                  <c:v>40660</c:v>
                </c:pt>
                <c:pt idx="300">
                  <c:v>40661</c:v>
                </c:pt>
                <c:pt idx="301">
                  <c:v>40662</c:v>
                </c:pt>
                <c:pt idx="302">
                  <c:v>40663</c:v>
                </c:pt>
                <c:pt idx="303">
                  <c:v>40664</c:v>
                </c:pt>
                <c:pt idx="304">
                  <c:v>40665</c:v>
                </c:pt>
                <c:pt idx="305">
                  <c:v>40666</c:v>
                </c:pt>
                <c:pt idx="306">
                  <c:v>40667</c:v>
                </c:pt>
                <c:pt idx="307">
                  <c:v>40668</c:v>
                </c:pt>
                <c:pt idx="308">
                  <c:v>40669</c:v>
                </c:pt>
                <c:pt idx="309">
                  <c:v>40670</c:v>
                </c:pt>
                <c:pt idx="310">
                  <c:v>40671</c:v>
                </c:pt>
                <c:pt idx="311">
                  <c:v>40672</c:v>
                </c:pt>
                <c:pt idx="312">
                  <c:v>40673</c:v>
                </c:pt>
                <c:pt idx="313">
                  <c:v>40674</c:v>
                </c:pt>
                <c:pt idx="314">
                  <c:v>40675</c:v>
                </c:pt>
                <c:pt idx="315">
                  <c:v>40676</c:v>
                </c:pt>
                <c:pt idx="316">
                  <c:v>40677</c:v>
                </c:pt>
                <c:pt idx="317">
                  <c:v>40678</c:v>
                </c:pt>
                <c:pt idx="318">
                  <c:v>40679</c:v>
                </c:pt>
                <c:pt idx="319">
                  <c:v>40680</c:v>
                </c:pt>
                <c:pt idx="320">
                  <c:v>40681</c:v>
                </c:pt>
                <c:pt idx="321">
                  <c:v>40682</c:v>
                </c:pt>
                <c:pt idx="322">
                  <c:v>40683</c:v>
                </c:pt>
                <c:pt idx="323">
                  <c:v>40684</c:v>
                </c:pt>
                <c:pt idx="324">
                  <c:v>40685</c:v>
                </c:pt>
                <c:pt idx="325">
                  <c:v>40686</c:v>
                </c:pt>
                <c:pt idx="326">
                  <c:v>40687</c:v>
                </c:pt>
                <c:pt idx="327">
                  <c:v>40688</c:v>
                </c:pt>
                <c:pt idx="328">
                  <c:v>40689</c:v>
                </c:pt>
                <c:pt idx="329">
                  <c:v>40690</c:v>
                </c:pt>
                <c:pt idx="330">
                  <c:v>40691</c:v>
                </c:pt>
                <c:pt idx="331">
                  <c:v>40692</c:v>
                </c:pt>
                <c:pt idx="332">
                  <c:v>40693</c:v>
                </c:pt>
                <c:pt idx="333">
                  <c:v>40694</c:v>
                </c:pt>
                <c:pt idx="334">
                  <c:v>40695</c:v>
                </c:pt>
                <c:pt idx="335">
                  <c:v>40696</c:v>
                </c:pt>
                <c:pt idx="336">
                  <c:v>40697</c:v>
                </c:pt>
                <c:pt idx="337">
                  <c:v>40698</c:v>
                </c:pt>
                <c:pt idx="338">
                  <c:v>40699</c:v>
                </c:pt>
                <c:pt idx="339">
                  <c:v>40700</c:v>
                </c:pt>
                <c:pt idx="340">
                  <c:v>40701</c:v>
                </c:pt>
                <c:pt idx="341">
                  <c:v>40702</c:v>
                </c:pt>
                <c:pt idx="342">
                  <c:v>40703</c:v>
                </c:pt>
                <c:pt idx="343">
                  <c:v>40704</c:v>
                </c:pt>
                <c:pt idx="344">
                  <c:v>40705</c:v>
                </c:pt>
                <c:pt idx="345">
                  <c:v>40706</c:v>
                </c:pt>
                <c:pt idx="346">
                  <c:v>40707</c:v>
                </c:pt>
                <c:pt idx="347">
                  <c:v>40708</c:v>
                </c:pt>
                <c:pt idx="348">
                  <c:v>40709</c:v>
                </c:pt>
                <c:pt idx="349">
                  <c:v>40710</c:v>
                </c:pt>
                <c:pt idx="350">
                  <c:v>40711</c:v>
                </c:pt>
                <c:pt idx="351">
                  <c:v>40712</c:v>
                </c:pt>
                <c:pt idx="352">
                  <c:v>40713</c:v>
                </c:pt>
                <c:pt idx="353">
                  <c:v>40714</c:v>
                </c:pt>
                <c:pt idx="354">
                  <c:v>40715</c:v>
                </c:pt>
                <c:pt idx="355">
                  <c:v>40716</c:v>
                </c:pt>
                <c:pt idx="356">
                  <c:v>40717</c:v>
                </c:pt>
                <c:pt idx="357">
                  <c:v>40718</c:v>
                </c:pt>
                <c:pt idx="358">
                  <c:v>40719</c:v>
                </c:pt>
                <c:pt idx="359">
                  <c:v>40720</c:v>
                </c:pt>
                <c:pt idx="360">
                  <c:v>40721</c:v>
                </c:pt>
                <c:pt idx="361">
                  <c:v>40722</c:v>
                </c:pt>
                <c:pt idx="362">
                  <c:v>40723</c:v>
                </c:pt>
                <c:pt idx="363">
                  <c:v>40724</c:v>
                </c:pt>
                <c:pt idx="364">
                  <c:v>40725</c:v>
                </c:pt>
                <c:pt idx="365">
                  <c:v>40726</c:v>
                </c:pt>
                <c:pt idx="366">
                  <c:v>40727</c:v>
                </c:pt>
                <c:pt idx="367">
                  <c:v>40728</c:v>
                </c:pt>
                <c:pt idx="368">
                  <c:v>40729</c:v>
                </c:pt>
                <c:pt idx="369">
                  <c:v>40730</c:v>
                </c:pt>
                <c:pt idx="370">
                  <c:v>40731</c:v>
                </c:pt>
                <c:pt idx="371">
                  <c:v>40732</c:v>
                </c:pt>
                <c:pt idx="372">
                  <c:v>40733</c:v>
                </c:pt>
                <c:pt idx="373">
                  <c:v>40734</c:v>
                </c:pt>
                <c:pt idx="374">
                  <c:v>40735</c:v>
                </c:pt>
                <c:pt idx="375">
                  <c:v>40736</c:v>
                </c:pt>
                <c:pt idx="376">
                  <c:v>40737</c:v>
                </c:pt>
                <c:pt idx="377">
                  <c:v>40738</c:v>
                </c:pt>
                <c:pt idx="378">
                  <c:v>40739</c:v>
                </c:pt>
                <c:pt idx="379">
                  <c:v>40740</c:v>
                </c:pt>
                <c:pt idx="380">
                  <c:v>40741</c:v>
                </c:pt>
                <c:pt idx="381">
                  <c:v>40742</c:v>
                </c:pt>
                <c:pt idx="382">
                  <c:v>40743</c:v>
                </c:pt>
                <c:pt idx="383">
                  <c:v>40744</c:v>
                </c:pt>
                <c:pt idx="384">
                  <c:v>40745</c:v>
                </c:pt>
                <c:pt idx="385">
                  <c:v>40746</c:v>
                </c:pt>
                <c:pt idx="386">
                  <c:v>40747</c:v>
                </c:pt>
                <c:pt idx="387">
                  <c:v>40748</c:v>
                </c:pt>
                <c:pt idx="388">
                  <c:v>40749</c:v>
                </c:pt>
                <c:pt idx="389">
                  <c:v>40750</c:v>
                </c:pt>
                <c:pt idx="390">
                  <c:v>40751</c:v>
                </c:pt>
                <c:pt idx="391">
                  <c:v>40752</c:v>
                </c:pt>
                <c:pt idx="392">
                  <c:v>40753</c:v>
                </c:pt>
                <c:pt idx="393">
                  <c:v>40754</c:v>
                </c:pt>
                <c:pt idx="394">
                  <c:v>40755</c:v>
                </c:pt>
                <c:pt idx="395">
                  <c:v>40756</c:v>
                </c:pt>
                <c:pt idx="396">
                  <c:v>40757</c:v>
                </c:pt>
                <c:pt idx="397">
                  <c:v>40758</c:v>
                </c:pt>
                <c:pt idx="398">
                  <c:v>40759</c:v>
                </c:pt>
                <c:pt idx="399">
                  <c:v>40760</c:v>
                </c:pt>
                <c:pt idx="400">
                  <c:v>40761</c:v>
                </c:pt>
                <c:pt idx="401">
                  <c:v>40762</c:v>
                </c:pt>
                <c:pt idx="402">
                  <c:v>40763</c:v>
                </c:pt>
                <c:pt idx="403">
                  <c:v>40764</c:v>
                </c:pt>
                <c:pt idx="404">
                  <c:v>40765</c:v>
                </c:pt>
                <c:pt idx="405">
                  <c:v>40766</c:v>
                </c:pt>
                <c:pt idx="406">
                  <c:v>40767</c:v>
                </c:pt>
                <c:pt idx="407">
                  <c:v>40768</c:v>
                </c:pt>
                <c:pt idx="408">
                  <c:v>40769</c:v>
                </c:pt>
                <c:pt idx="409">
                  <c:v>40770</c:v>
                </c:pt>
                <c:pt idx="410">
                  <c:v>40771</c:v>
                </c:pt>
                <c:pt idx="411">
                  <c:v>40772</c:v>
                </c:pt>
                <c:pt idx="412">
                  <c:v>40773</c:v>
                </c:pt>
                <c:pt idx="413">
                  <c:v>40774</c:v>
                </c:pt>
                <c:pt idx="414">
                  <c:v>40775</c:v>
                </c:pt>
                <c:pt idx="415">
                  <c:v>40776</c:v>
                </c:pt>
                <c:pt idx="416">
                  <c:v>40777</c:v>
                </c:pt>
                <c:pt idx="417">
                  <c:v>40778</c:v>
                </c:pt>
                <c:pt idx="418">
                  <c:v>40779</c:v>
                </c:pt>
                <c:pt idx="419">
                  <c:v>40780</c:v>
                </c:pt>
                <c:pt idx="420">
                  <c:v>40781</c:v>
                </c:pt>
                <c:pt idx="421">
                  <c:v>40782</c:v>
                </c:pt>
                <c:pt idx="422">
                  <c:v>40783</c:v>
                </c:pt>
                <c:pt idx="423">
                  <c:v>40784</c:v>
                </c:pt>
                <c:pt idx="424">
                  <c:v>40785</c:v>
                </c:pt>
                <c:pt idx="425">
                  <c:v>40786</c:v>
                </c:pt>
                <c:pt idx="426">
                  <c:v>40787</c:v>
                </c:pt>
                <c:pt idx="427">
                  <c:v>40788</c:v>
                </c:pt>
                <c:pt idx="428">
                  <c:v>40789</c:v>
                </c:pt>
                <c:pt idx="429">
                  <c:v>40790</c:v>
                </c:pt>
                <c:pt idx="430">
                  <c:v>40791</c:v>
                </c:pt>
                <c:pt idx="431">
                  <c:v>40792</c:v>
                </c:pt>
                <c:pt idx="432">
                  <c:v>40793</c:v>
                </c:pt>
                <c:pt idx="433">
                  <c:v>40794</c:v>
                </c:pt>
                <c:pt idx="434">
                  <c:v>40795</c:v>
                </c:pt>
                <c:pt idx="435">
                  <c:v>40796</c:v>
                </c:pt>
                <c:pt idx="436">
                  <c:v>40797</c:v>
                </c:pt>
                <c:pt idx="437">
                  <c:v>40798</c:v>
                </c:pt>
                <c:pt idx="438">
                  <c:v>40799</c:v>
                </c:pt>
                <c:pt idx="439">
                  <c:v>40800</c:v>
                </c:pt>
                <c:pt idx="440">
                  <c:v>40801</c:v>
                </c:pt>
                <c:pt idx="441">
                  <c:v>40802</c:v>
                </c:pt>
                <c:pt idx="442">
                  <c:v>40803</c:v>
                </c:pt>
                <c:pt idx="443">
                  <c:v>40804</c:v>
                </c:pt>
                <c:pt idx="444">
                  <c:v>40805</c:v>
                </c:pt>
                <c:pt idx="445">
                  <c:v>40806</c:v>
                </c:pt>
                <c:pt idx="446">
                  <c:v>40807</c:v>
                </c:pt>
                <c:pt idx="447">
                  <c:v>40808</c:v>
                </c:pt>
                <c:pt idx="448">
                  <c:v>40809</c:v>
                </c:pt>
                <c:pt idx="449">
                  <c:v>40810</c:v>
                </c:pt>
                <c:pt idx="450">
                  <c:v>40811</c:v>
                </c:pt>
                <c:pt idx="451">
                  <c:v>40812</c:v>
                </c:pt>
                <c:pt idx="452">
                  <c:v>40813</c:v>
                </c:pt>
                <c:pt idx="453">
                  <c:v>40814</c:v>
                </c:pt>
                <c:pt idx="454">
                  <c:v>40815</c:v>
                </c:pt>
                <c:pt idx="455">
                  <c:v>40816</c:v>
                </c:pt>
                <c:pt idx="456">
                  <c:v>40817</c:v>
                </c:pt>
                <c:pt idx="457">
                  <c:v>40818</c:v>
                </c:pt>
                <c:pt idx="458">
                  <c:v>40819</c:v>
                </c:pt>
                <c:pt idx="459">
                  <c:v>40820</c:v>
                </c:pt>
                <c:pt idx="460">
                  <c:v>40821</c:v>
                </c:pt>
                <c:pt idx="461">
                  <c:v>40822</c:v>
                </c:pt>
                <c:pt idx="462">
                  <c:v>40823</c:v>
                </c:pt>
                <c:pt idx="463">
                  <c:v>40824</c:v>
                </c:pt>
                <c:pt idx="464">
                  <c:v>40825</c:v>
                </c:pt>
                <c:pt idx="465">
                  <c:v>40826</c:v>
                </c:pt>
                <c:pt idx="466">
                  <c:v>40827</c:v>
                </c:pt>
                <c:pt idx="467">
                  <c:v>40828</c:v>
                </c:pt>
                <c:pt idx="468">
                  <c:v>40829</c:v>
                </c:pt>
                <c:pt idx="469">
                  <c:v>40830</c:v>
                </c:pt>
                <c:pt idx="470">
                  <c:v>40831</c:v>
                </c:pt>
                <c:pt idx="471">
                  <c:v>40832</c:v>
                </c:pt>
                <c:pt idx="472">
                  <c:v>40833</c:v>
                </c:pt>
                <c:pt idx="473">
                  <c:v>40834</c:v>
                </c:pt>
                <c:pt idx="474">
                  <c:v>40835</c:v>
                </c:pt>
                <c:pt idx="475">
                  <c:v>40836</c:v>
                </c:pt>
                <c:pt idx="476">
                  <c:v>40837</c:v>
                </c:pt>
                <c:pt idx="477">
                  <c:v>40838</c:v>
                </c:pt>
                <c:pt idx="478">
                  <c:v>40839</c:v>
                </c:pt>
                <c:pt idx="479">
                  <c:v>40840</c:v>
                </c:pt>
                <c:pt idx="480">
                  <c:v>40841</c:v>
                </c:pt>
                <c:pt idx="481">
                  <c:v>40842</c:v>
                </c:pt>
                <c:pt idx="482">
                  <c:v>40843</c:v>
                </c:pt>
                <c:pt idx="483">
                  <c:v>40844</c:v>
                </c:pt>
                <c:pt idx="484">
                  <c:v>40845</c:v>
                </c:pt>
                <c:pt idx="485">
                  <c:v>40846</c:v>
                </c:pt>
                <c:pt idx="486">
                  <c:v>40847</c:v>
                </c:pt>
                <c:pt idx="487">
                  <c:v>40848</c:v>
                </c:pt>
                <c:pt idx="488">
                  <c:v>40849</c:v>
                </c:pt>
                <c:pt idx="489">
                  <c:v>40850</c:v>
                </c:pt>
                <c:pt idx="490">
                  <c:v>40851</c:v>
                </c:pt>
                <c:pt idx="491">
                  <c:v>40852</c:v>
                </c:pt>
                <c:pt idx="492">
                  <c:v>40853</c:v>
                </c:pt>
                <c:pt idx="493">
                  <c:v>40854</c:v>
                </c:pt>
                <c:pt idx="494">
                  <c:v>40855</c:v>
                </c:pt>
                <c:pt idx="495">
                  <c:v>40856</c:v>
                </c:pt>
                <c:pt idx="496">
                  <c:v>40857</c:v>
                </c:pt>
                <c:pt idx="497">
                  <c:v>40858</c:v>
                </c:pt>
                <c:pt idx="498">
                  <c:v>40859</c:v>
                </c:pt>
                <c:pt idx="499">
                  <c:v>40860</c:v>
                </c:pt>
                <c:pt idx="500">
                  <c:v>40861</c:v>
                </c:pt>
                <c:pt idx="501">
                  <c:v>40862</c:v>
                </c:pt>
                <c:pt idx="502">
                  <c:v>40863</c:v>
                </c:pt>
                <c:pt idx="503">
                  <c:v>40864</c:v>
                </c:pt>
                <c:pt idx="504">
                  <c:v>40865</c:v>
                </c:pt>
                <c:pt idx="505">
                  <c:v>40866</c:v>
                </c:pt>
                <c:pt idx="506">
                  <c:v>40867</c:v>
                </c:pt>
                <c:pt idx="507">
                  <c:v>40868</c:v>
                </c:pt>
                <c:pt idx="508">
                  <c:v>40869</c:v>
                </c:pt>
                <c:pt idx="509">
                  <c:v>40870</c:v>
                </c:pt>
                <c:pt idx="510">
                  <c:v>40871</c:v>
                </c:pt>
                <c:pt idx="511">
                  <c:v>40872</c:v>
                </c:pt>
                <c:pt idx="512">
                  <c:v>40873</c:v>
                </c:pt>
                <c:pt idx="513">
                  <c:v>40874</c:v>
                </c:pt>
                <c:pt idx="514">
                  <c:v>40875</c:v>
                </c:pt>
                <c:pt idx="515">
                  <c:v>40876</c:v>
                </c:pt>
                <c:pt idx="516">
                  <c:v>40877</c:v>
                </c:pt>
                <c:pt idx="517">
                  <c:v>40878</c:v>
                </c:pt>
                <c:pt idx="518">
                  <c:v>40879</c:v>
                </c:pt>
                <c:pt idx="519">
                  <c:v>40880</c:v>
                </c:pt>
                <c:pt idx="520">
                  <c:v>40881</c:v>
                </c:pt>
                <c:pt idx="521">
                  <c:v>40882</c:v>
                </c:pt>
                <c:pt idx="522">
                  <c:v>40883</c:v>
                </c:pt>
                <c:pt idx="523">
                  <c:v>40884</c:v>
                </c:pt>
                <c:pt idx="524">
                  <c:v>40885</c:v>
                </c:pt>
                <c:pt idx="525">
                  <c:v>40886</c:v>
                </c:pt>
                <c:pt idx="526">
                  <c:v>40887</c:v>
                </c:pt>
                <c:pt idx="527">
                  <c:v>40888</c:v>
                </c:pt>
                <c:pt idx="528">
                  <c:v>40889</c:v>
                </c:pt>
                <c:pt idx="529">
                  <c:v>40890</c:v>
                </c:pt>
                <c:pt idx="530">
                  <c:v>40891</c:v>
                </c:pt>
                <c:pt idx="531">
                  <c:v>40892</c:v>
                </c:pt>
                <c:pt idx="532">
                  <c:v>40893</c:v>
                </c:pt>
                <c:pt idx="533">
                  <c:v>40894</c:v>
                </c:pt>
                <c:pt idx="534">
                  <c:v>40895</c:v>
                </c:pt>
                <c:pt idx="535">
                  <c:v>40896</c:v>
                </c:pt>
                <c:pt idx="536">
                  <c:v>40897</c:v>
                </c:pt>
                <c:pt idx="537">
                  <c:v>40898</c:v>
                </c:pt>
                <c:pt idx="538">
                  <c:v>40899</c:v>
                </c:pt>
                <c:pt idx="539">
                  <c:v>40900</c:v>
                </c:pt>
                <c:pt idx="540">
                  <c:v>40901</c:v>
                </c:pt>
                <c:pt idx="541">
                  <c:v>40902</c:v>
                </c:pt>
                <c:pt idx="542">
                  <c:v>40903</c:v>
                </c:pt>
                <c:pt idx="543">
                  <c:v>40904</c:v>
                </c:pt>
                <c:pt idx="544">
                  <c:v>40905</c:v>
                </c:pt>
                <c:pt idx="545">
                  <c:v>40906</c:v>
                </c:pt>
                <c:pt idx="546">
                  <c:v>40907</c:v>
                </c:pt>
                <c:pt idx="547">
                  <c:v>40908</c:v>
                </c:pt>
                <c:pt idx="548">
                  <c:v>40909</c:v>
                </c:pt>
                <c:pt idx="549">
                  <c:v>40910</c:v>
                </c:pt>
                <c:pt idx="550">
                  <c:v>40911</c:v>
                </c:pt>
                <c:pt idx="551">
                  <c:v>40912</c:v>
                </c:pt>
                <c:pt idx="552">
                  <c:v>40913</c:v>
                </c:pt>
                <c:pt idx="553">
                  <c:v>40914</c:v>
                </c:pt>
                <c:pt idx="554">
                  <c:v>40915</c:v>
                </c:pt>
                <c:pt idx="555">
                  <c:v>40916</c:v>
                </c:pt>
                <c:pt idx="556">
                  <c:v>40917</c:v>
                </c:pt>
                <c:pt idx="557">
                  <c:v>40918</c:v>
                </c:pt>
                <c:pt idx="558">
                  <c:v>40919</c:v>
                </c:pt>
                <c:pt idx="559">
                  <c:v>40920</c:v>
                </c:pt>
                <c:pt idx="560">
                  <c:v>40921</c:v>
                </c:pt>
                <c:pt idx="561">
                  <c:v>40922</c:v>
                </c:pt>
                <c:pt idx="562">
                  <c:v>40923</c:v>
                </c:pt>
                <c:pt idx="563">
                  <c:v>40924</c:v>
                </c:pt>
                <c:pt idx="564">
                  <c:v>40925</c:v>
                </c:pt>
                <c:pt idx="565">
                  <c:v>40926</c:v>
                </c:pt>
                <c:pt idx="566">
                  <c:v>40927</c:v>
                </c:pt>
                <c:pt idx="567">
                  <c:v>40928</c:v>
                </c:pt>
                <c:pt idx="568">
                  <c:v>40929</c:v>
                </c:pt>
                <c:pt idx="569">
                  <c:v>40930</c:v>
                </c:pt>
                <c:pt idx="570">
                  <c:v>40931</c:v>
                </c:pt>
                <c:pt idx="571">
                  <c:v>40932</c:v>
                </c:pt>
                <c:pt idx="572">
                  <c:v>40933</c:v>
                </c:pt>
                <c:pt idx="573">
                  <c:v>40934</c:v>
                </c:pt>
                <c:pt idx="574">
                  <c:v>40935</c:v>
                </c:pt>
                <c:pt idx="575">
                  <c:v>40936</c:v>
                </c:pt>
                <c:pt idx="576">
                  <c:v>40937</c:v>
                </c:pt>
                <c:pt idx="577">
                  <c:v>40938</c:v>
                </c:pt>
                <c:pt idx="578">
                  <c:v>40939</c:v>
                </c:pt>
                <c:pt idx="579">
                  <c:v>40940</c:v>
                </c:pt>
                <c:pt idx="580">
                  <c:v>40941</c:v>
                </c:pt>
                <c:pt idx="581">
                  <c:v>40942</c:v>
                </c:pt>
                <c:pt idx="582">
                  <c:v>40943</c:v>
                </c:pt>
                <c:pt idx="583">
                  <c:v>40944</c:v>
                </c:pt>
                <c:pt idx="584">
                  <c:v>40945</c:v>
                </c:pt>
                <c:pt idx="585">
                  <c:v>40946</c:v>
                </c:pt>
                <c:pt idx="586">
                  <c:v>40947</c:v>
                </c:pt>
                <c:pt idx="587">
                  <c:v>40948</c:v>
                </c:pt>
                <c:pt idx="588">
                  <c:v>40949</c:v>
                </c:pt>
                <c:pt idx="589">
                  <c:v>40950</c:v>
                </c:pt>
                <c:pt idx="590">
                  <c:v>40951</c:v>
                </c:pt>
                <c:pt idx="591">
                  <c:v>40952</c:v>
                </c:pt>
                <c:pt idx="592">
                  <c:v>40953</c:v>
                </c:pt>
                <c:pt idx="593">
                  <c:v>40954</c:v>
                </c:pt>
                <c:pt idx="594">
                  <c:v>40955</c:v>
                </c:pt>
                <c:pt idx="595">
                  <c:v>40956</c:v>
                </c:pt>
                <c:pt idx="596">
                  <c:v>40957</c:v>
                </c:pt>
                <c:pt idx="597">
                  <c:v>40958</c:v>
                </c:pt>
                <c:pt idx="598">
                  <c:v>40959</c:v>
                </c:pt>
                <c:pt idx="599">
                  <c:v>40960</c:v>
                </c:pt>
                <c:pt idx="600">
                  <c:v>40961</c:v>
                </c:pt>
                <c:pt idx="601">
                  <c:v>40962</c:v>
                </c:pt>
                <c:pt idx="602">
                  <c:v>40963</c:v>
                </c:pt>
                <c:pt idx="603">
                  <c:v>40964</c:v>
                </c:pt>
                <c:pt idx="604">
                  <c:v>40965</c:v>
                </c:pt>
                <c:pt idx="605">
                  <c:v>40966</c:v>
                </c:pt>
                <c:pt idx="606">
                  <c:v>40967</c:v>
                </c:pt>
                <c:pt idx="607">
                  <c:v>40968</c:v>
                </c:pt>
                <c:pt idx="608">
                  <c:v>40969</c:v>
                </c:pt>
                <c:pt idx="609">
                  <c:v>40970</c:v>
                </c:pt>
                <c:pt idx="610">
                  <c:v>40971</c:v>
                </c:pt>
                <c:pt idx="611">
                  <c:v>40972</c:v>
                </c:pt>
                <c:pt idx="612">
                  <c:v>40973</c:v>
                </c:pt>
                <c:pt idx="613">
                  <c:v>40974</c:v>
                </c:pt>
                <c:pt idx="614">
                  <c:v>40975</c:v>
                </c:pt>
                <c:pt idx="615">
                  <c:v>40976</c:v>
                </c:pt>
                <c:pt idx="616">
                  <c:v>40977</c:v>
                </c:pt>
                <c:pt idx="617">
                  <c:v>40978</c:v>
                </c:pt>
                <c:pt idx="618">
                  <c:v>40979</c:v>
                </c:pt>
                <c:pt idx="619">
                  <c:v>40980</c:v>
                </c:pt>
                <c:pt idx="620">
                  <c:v>40981</c:v>
                </c:pt>
                <c:pt idx="621">
                  <c:v>40982</c:v>
                </c:pt>
                <c:pt idx="622">
                  <c:v>40983</c:v>
                </c:pt>
                <c:pt idx="623">
                  <c:v>40984</c:v>
                </c:pt>
                <c:pt idx="624">
                  <c:v>40985</c:v>
                </c:pt>
                <c:pt idx="625">
                  <c:v>40986</c:v>
                </c:pt>
                <c:pt idx="626">
                  <c:v>40987</c:v>
                </c:pt>
                <c:pt idx="627">
                  <c:v>40988</c:v>
                </c:pt>
                <c:pt idx="628">
                  <c:v>40989</c:v>
                </c:pt>
                <c:pt idx="629">
                  <c:v>40990</c:v>
                </c:pt>
                <c:pt idx="630">
                  <c:v>40991</c:v>
                </c:pt>
                <c:pt idx="631">
                  <c:v>40992</c:v>
                </c:pt>
                <c:pt idx="632">
                  <c:v>40993</c:v>
                </c:pt>
                <c:pt idx="633">
                  <c:v>40994</c:v>
                </c:pt>
                <c:pt idx="634">
                  <c:v>40995</c:v>
                </c:pt>
                <c:pt idx="635">
                  <c:v>40996</c:v>
                </c:pt>
                <c:pt idx="636">
                  <c:v>40997</c:v>
                </c:pt>
                <c:pt idx="637">
                  <c:v>40998</c:v>
                </c:pt>
                <c:pt idx="638">
                  <c:v>40999</c:v>
                </c:pt>
                <c:pt idx="639">
                  <c:v>41000</c:v>
                </c:pt>
                <c:pt idx="640">
                  <c:v>41001</c:v>
                </c:pt>
                <c:pt idx="641">
                  <c:v>41002</c:v>
                </c:pt>
                <c:pt idx="642">
                  <c:v>41003</c:v>
                </c:pt>
                <c:pt idx="643">
                  <c:v>41004</c:v>
                </c:pt>
                <c:pt idx="644">
                  <c:v>41005</c:v>
                </c:pt>
                <c:pt idx="645">
                  <c:v>41006</c:v>
                </c:pt>
                <c:pt idx="646">
                  <c:v>41007</c:v>
                </c:pt>
                <c:pt idx="647">
                  <c:v>41008</c:v>
                </c:pt>
                <c:pt idx="648">
                  <c:v>41009</c:v>
                </c:pt>
                <c:pt idx="649">
                  <c:v>41010</c:v>
                </c:pt>
                <c:pt idx="650">
                  <c:v>41011</c:v>
                </c:pt>
                <c:pt idx="651">
                  <c:v>41012</c:v>
                </c:pt>
                <c:pt idx="652">
                  <c:v>41013</c:v>
                </c:pt>
                <c:pt idx="653">
                  <c:v>41014</c:v>
                </c:pt>
                <c:pt idx="654">
                  <c:v>41015</c:v>
                </c:pt>
                <c:pt idx="655">
                  <c:v>41016</c:v>
                </c:pt>
                <c:pt idx="656">
                  <c:v>41017</c:v>
                </c:pt>
                <c:pt idx="657">
                  <c:v>41018</c:v>
                </c:pt>
                <c:pt idx="658">
                  <c:v>41019</c:v>
                </c:pt>
                <c:pt idx="659">
                  <c:v>41020</c:v>
                </c:pt>
                <c:pt idx="660">
                  <c:v>41021</c:v>
                </c:pt>
                <c:pt idx="661">
                  <c:v>41022</c:v>
                </c:pt>
                <c:pt idx="662">
                  <c:v>41023</c:v>
                </c:pt>
                <c:pt idx="663">
                  <c:v>41024</c:v>
                </c:pt>
                <c:pt idx="664">
                  <c:v>41025</c:v>
                </c:pt>
                <c:pt idx="665">
                  <c:v>41026</c:v>
                </c:pt>
                <c:pt idx="666">
                  <c:v>41027</c:v>
                </c:pt>
                <c:pt idx="667">
                  <c:v>41028</c:v>
                </c:pt>
                <c:pt idx="668">
                  <c:v>41029</c:v>
                </c:pt>
                <c:pt idx="669">
                  <c:v>41030</c:v>
                </c:pt>
                <c:pt idx="670">
                  <c:v>41031</c:v>
                </c:pt>
                <c:pt idx="671">
                  <c:v>41032</c:v>
                </c:pt>
                <c:pt idx="672">
                  <c:v>41033</c:v>
                </c:pt>
                <c:pt idx="673">
                  <c:v>41034</c:v>
                </c:pt>
                <c:pt idx="674">
                  <c:v>41035</c:v>
                </c:pt>
                <c:pt idx="675">
                  <c:v>41036</c:v>
                </c:pt>
                <c:pt idx="676">
                  <c:v>41037</c:v>
                </c:pt>
                <c:pt idx="677">
                  <c:v>41038</c:v>
                </c:pt>
                <c:pt idx="678">
                  <c:v>41039</c:v>
                </c:pt>
                <c:pt idx="679">
                  <c:v>41040</c:v>
                </c:pt>
                <c:pt idx="680">
                  <c:v>41041</c:v>
                </c:pt>
                <c:pt idx="681">
                  <c:v>41042</c:v>
                </c:pt>
                <c:pt idx="682">
                  <c:v>41043</c:v>
                </c:pt>
                <c:pt idx="683">
                  <c:v>41044</c:v>
                </c:pt>
                <c:pt idx="684">
                  <c:v>41045</c:v>
                </c:pt>
                <c:pt idx="685">
                  <c:v>41046</c:v>
                </c:pt>
                <c:pt idx="686">
                  <c:v>41047</c:v>
                </c:pt>
                <c:pt idx="687">
                  <c:v>41048</c:v>
                </c:pt>
                <c:pt idx="688">
                  <c:v>41049</c:v>
                </c:pt>
                <c:pt idx="689">
                  <c:v>41050</c:v>
                </c:pt>
                <c:pt idx="690">
                  <c:v>41051</c:v>
                </c:pt>
                <c:pt idx="691">
                  <c:v>41052</c:v>
                </c:pt>
                <c:pt idx="692">
                  <c:v>41053</c:v>
                </c:pt>
                <c:pt idx="693">
                  <c:v>41054</c:v>
                </c:pt>
                <c:pt idx="694">
                  <c:v>41055</c:v>
                </c:pt>
                <c:pt idx="695">
                  <c:v>41056</c:v>
                </c:pt>
                <c:pt idx="696">
                  <c:v>41057</c:v>
                </c:pt>
                <c:pt idx="697">
                  <c:v>41058</c:v>
                </c:pt>
                <c:pt idx="698">
                  <c:v>41059</c:v>
                </c:pt>
                <c:pt idx="699">
                  <c:v>41060</c:v>
                </c:pt>
                <c:pt idx="700">
                  <c:v>41061</c:v>
                </c:pt>
                <c:pt idx="701">
                  <c:v>41062</c:v>
                </c:pt>
                <c:pt idx="702">
                  <c:v>41063</c:v>
                </c:pt>
                <c:pt idx="703">
                  <c:v>41064</c:v>
                </c:pt>
                <c:pt idx="704">
                  <c:v>41065</c:v>
                </c:pt>
                <c:pt idx="705">
                  <c:v>41066</c:v>
                </c:pt>
                <c:pt idx="706">
                  <c:v>41067</c:v>
                </c:pt>
                <c:pt idx="707">
                  <c:v>41068</c:v>
                </c:pt>
                <c:pt idx="708">
                  <c:v>41069</c:v>
                </c:pt>
                <c:pt idx="709">
                  <c:v>41070</c:v>
                </c:pt>
                <c:pt idx="710">
                  <c:v>41071</c:v>
                </c:pt>
                <c:pt idx="711">
                  <c:v>41072</c:v>
                </c:pt>
                <c:pt idx="712">
                  <c:v>41073</c:v>
                </c:pt>
                <c:pt idx="713">
                  <c:v>41074</c:v>
                </c:pt>
                <c:pt idx="714">
                  <c:v>41075</c:v>
                </c:pt>
                <c:pt idx="715">
                  <c:v>41076</c:v>
                </c:pt>
                <c:pt idx="716">
                  <c:v>41077</c:v>
                </c:pt>
                <c:pt idx="717">
                  <c:v>41078</c:v>
                </c:pt>
                <c:pt idx="718">
                  <c:v>41079</c:v>
                </c:pt>
                <c:pt idx="719">
                  <c:v>41080</c:v>
                </c:pt>
                <c:pt idx="720">
                  <c:v>41081</c:v>
                </c:pt>
                <c:pt idx="721">
                  <c:v>41082</c:v>
                </c:pt>
                <c:pt idx="722">
                  <c:v>41083</c:v>
                </c:pt>
                <c:pt idx="723">
                  <c:v>41084</c:v>
                </c:pt>
                <c:pt idx="724">
                  <c:v>41085</c:v>
                </c:pt>
                <c:pt idx="725">
                  <c:v>41086</c:v>
                </c:pt>
                <c:pt idx="726">
                  <c:v>41087</c:v>
                </c:pt>
                <c:pt idx="727">
                  <c:v>41088</c:v>
                </c:pt>
                <c:pt idx="728">
                  <c:v>41089</c:v>
                </c:pt>
                <c:pt idx="729">
                  <c:v>41090</c:v>
                </c:pt>
                <c:pt idx="730">
                  <c:v>41091</c:v>
                </c:pt>
                <c:pt idx="731">
                  <c:v>41092</c:v>
                </c:pt>
                <c:pt idx="732">
                  <c:v>41093</c:v>
                </c:pt>
                <c:pt idx="733">
                  <c:v>41094</c:v>
                </c:pt>
                <c:pt idx="734">
                  <c:v>41095</c:v>
                </c:pt>
                <c:pt idx="735">
                  <c:v>41096</c:v>
                </c:pt>
                <c:pt idx="736">
                  <c:v>41097</c:v>
                </c:pt>
                <c:pt idx="737">
                  <c:v>41098</c:v>
                </c:pt>
                <c:pt idx="738">
                  <c:v>41099</c:v>
                </c:pt>
                <c:pt idx="739">
                  <c:v>41100</c:v>
                </c:pt>
                <c:pt idx="740">
                  <c:v>41101</c:v>
                </c:pt>
                <c:pt idx="741">
                  <c:v>41102</c:v>
                </c:pt>
                <c:pt idx="742">
                  <c:v>41103</c:v>
                </c:pt>
                <c:pt idx="743">
                  <c:v>41104</c:v>
                </c:pt>
                <c:pt idx="744">
                  <c:v>41105</c:v>
                </c:pt>
                <c:pt idx="745">
                  <c:v>41106</c:v>
                </c:pt>
                <c:pt idx="746">
                  <c:v>41107</c:v>
                </c:pt>
                <c:pt idx="747">
                  <c:v>41108</c:v>
                </c:pt>
                <c:pt idx="748">
                  <c:v>41109</c:v>
                </c:pt>
                <c:pt idx="749">
                  <c:v>41110</c:v>
                </c:pt>
                <c:pt idx="750">
                  <c:v>41111</c:v>
                </c:pt>
                <c:pt idx="751">
                  <c:v>41112</c:v>
                </c:pt>
                <c:pt idx="752">
                  <c:v>41113</c:v>
                </c:pt>
                <c:pt idx="753">
                  <c:v>41114</c:v>
                </c:pt>
                <c:pt idx="754">
                  <c:v>41115</c:v>
                </c:pt>
                <c:pt idx="755">
                  <c:v>41116</c:v>
                </c:pt>
                <c:pt idx="756">
                  <c:v>41117</c:v>
                </c:pt>
                <c:pt idx="757">
                  <c:v>41118</c:v>
                </c:pt>
                <c:pt idx="758">
                  <c:v>41119</c:v>
                </c:pt>
                <c:pt idx="759">
                  <c:v>41120</c:v>
                </c:pt>
                <c:pt idx="760">
                  <c:v>41121</c:v>
                </c:pt>
                <c:pt idx="761">
                  <c:v>41122</c:v>
                </c:pt>
                <c:pt idx="762">
                  <c:v>41123</c:v>
                </c:pt>
                <c:pt idx="763">
                  <c:v>41124</c:v>
                </c:pt>
                <c:pt idx="764">
                  <c:v>41125</c:v>
                </c:pt>
                <c:pt idx="765">
                  <c:v>41126</c:v>
                </c:pt>
                <c:pt idx="766">
                  <c:v>41127</c:v>
                </c:pt>
                <c:pt idx="767">
                  <c:v>41128</c:v>
                </c:pt>
                <c:pt idx="768">
                  <c:v>41129</c:v>
                </c:pt>
                <c:pt idx="769">
                  <c:v>41130</c:v>
                </c:pt>
                <c:pt idx="770">
                  <c:v>41131</c:v>
                </c:pt>
                <c:pt idx="771">
                  <c:v>41132</c:v>
                </c:pt>
                <c:pt idx="772">
                  <c:v>41133</c:v>
                </c:pt>
                <c:pt idx="773">
                  <c:v>41134</c:v>
                </c:pt>
                <c:pt idx="774">
                  <c:v>41135</c:v>
                </c:pt>
                <c:pt idx="775">
                  <c:v>41136</c:v>
                </c:pt>
                <c:pt idx="776">
                  <c:v>41137</c:v>
                </c:pt>
                <c:pt idx="777">
                  <c:v>41138</c:v>
                </c:pt>
                <c:pt idx="778">
                  <c:v>41139</c:v>
                </c:pt>
                <c:pt idx="779">
                  <c:v>41140</c:v>
                </c:pt>
                <c:pt idx="780">
                  <c:v>41141</c:v>
                </c:pt>
                <c:pt idx="781">
                  <c:v>41142</c:v>
                </c:pt>
                <c:pt idx="782">
                  <c:v>41143</c:v>
                </c:pt>
                <c:pt idx="783">
                  <c:v>41144</c:v>
                </c:pt>
                <c:pt idx="784">
                  <c:v>41145</c:v>
                </c:pt>
                <c:pt idx="785">
                  <c:v>41146</c:v>
                </c:pt>
                <c:pt idx="786">
                  <c:v>41147</c:v>
                </c:pt>
                <c:pt idx="787">
                  <c:v>41148</c:v>
                </c:pt>
                <c:pt idx="788">
                  <c:v>41149</c:v>
                </c:pt>
                <c:pt idx="789">
                  <c:v>41150</c:v>
                </c:pt>
                <c:pt idx="790">
                  <c:v>41151</c:v>
                </c:pt>
                <c:pt idx="791">
                  <c:v>41152</c:v>
                </c:pt>
                <c:pt idx="792">
                  <c:v>41153</c:v>
                </c:pt>
                <c:pt idx="793">
                  <c:v>41154</c:v>
                </c:pt>
                <c:pt idx="794">
                  <c:v>41155</c:v>
                </c:pt>
                <c:pt idx="795">
                  <c:v>41156</c:v>
                </c:pt>
                <c:pt idx="796">
                  <c:v>41157</c:v>
                </c:pt>
                <c:pt idx="797">
                  <c:v>41158</c:v>
                </c:pt>
                <c:pt idx="798">
                  <c:v>41159</c:v>
                </c:pt>
                <c:pt idx="799">
                  <c:v>41160</c:v>
                </c:pt>
                <c:pt idx="800">
                  <c:v>41161</c:v>
                </c:pt>
                <c:pt idx="801">
                  <c:v>41162</c:v>
                </c:pt>
                <c:pt idx="802">
                  <c:v>41163</c:v>
                </c:pt>
                <c:pt idx="803">
                  <c:v>41164</c:v>
                </c:pt>
                <c:pt idx="804">
                  <c:v>41165</c:v>
                </c:pt>
                <c:pt idx="805">
                  <c:v>41166</c:v>
                </c:pt>
                <c:pt idx="806">
                  <c:v>41167</c:v>
                </c:pt>
                <c:pt idx="807">
                  <c:v>41168</c:v>
                </c:pt>
                <c:pt idx="808">
                  <c:v>41169</c:v>
                </c:pt>
                <c:pt idx="809">
                  <c:v>41170</c:v>
                </c:pt>
                <c:pt idx="810">
                  <c:v>41171</c:v>
                </c:pt>
                <c:pt idx="811">
                  <c:v>41172</c:v>
                </c:pt>
                <c:pt idx="812">
                  <c:v>41173</c:v>
                </c:pt>
                <c:pt idx="813">
                  <c:v>41174</c:v>
                </c:pt>
                <c:pt idx="814">
                  <c:v>41175</c:v>
                </c:pt>
                <c:pt idx="815">
                  <c:v>41176</c:v>
                </c:pt>
                <c:pt idx="816">
                  <c:v>41177</c:v>
                </c:pt>
                <c:pt idx="817">
                  <c:v>41178</c:v>
                </c:pt>
                <c:pt idx="818">
                  <c:v>41179</c:v>
                </c:pt>
                <c:pt idx="819">
                  <c:v>41180</c:v>
                </c:pt>
                <c:pt idx="820">
                  <c:v>41181</c:v>
                </c:pt>
                <c:pt idx="821">
                  <c:v>41182</c:v>
                </c:pt>
                <c:pt idx="822">
                  <c:v>41183</c:v>
                </c:pt>
                <c:pt idx="823">
                  <c:v>41184</c:v>
                </c:pt>
                <c:pt idx="824">
                  <c:v>41185</c:v>
                </c:pt>
                <c:pt idx="825">
                  <c:v>41186</c:v>
                </c:pt>
                <c:pt idx="826">
                  <c:v>41187</c:v>
                </c:pt>
                <c:pt idx="827">
                  <c:v>41188</c:v>
                </c:pt>
                <c:pt idx="828">
                  <c:v>41189</c:v>
                </c:pt>
                <c:pt idx="829">
                  <c:v>41190</c:v>
                </c:pt>
                <c:pt idx="830">
                  <c:v>41191</c:v>
                </c:pt>
                <c:pt idx="831">
                  <c:v>41192</c:v>
                </c:pt>
                <c:pt idx="832">
                  <c:v>41193</c:v>
                </c:pt>
                <c:pt idx="833">
                  <c:v>41194</c:v>
                </c:pt>
                <c:pt idx="834">
                  <c:v>41195</c:v>
                </c:pt>
                <c:pt idx="835">
                  <c:v>41196</c:v>
                </c:pt>
                <c:pt idx="836">
                  <c:v>41197</c:v>
                </c:pt>
                <c:pt idx="837">
                  <c:v>41198</c:v>
                </c:pt>
                <c:pt idx="838">
                  <c:v>41199</c:v>
                </c:pt>
                <c:pt idx="839">
                  <c:v>41200</c:v>
                </c:pt>
                <c:pt idx="840">
                  <c:v>41201</c:v>
                </c:pt>
                <c:pt idx="841">
                  <c:v>41202</c:v>
                </c:pt>
                <c:pt idx="842">
                  <c:v>41203</c:v>
                </c:pt>
                <c:pt idx="843">
                  <c:v>41204</c:v>
                </c:pt>
                <c:pt idx="844">
                  <c:v>41205</c:v>
                </c:pt>
                <c:pt idx="845">
                  <c:v>41206</c:v>
                </c:pt>
                <c:pt idx="846">
                  <c:v>41207</c:v>
                </c:pt>
                <c:pt idx="847">
                  <c:v>41208</c:v>
                </c:pt>
                <c:pt idx="848">
                  <c:v>41209</c:v>
                </c:pt>
                <c:pt idx="849">
                  <c:v>41210</c:v>
                </c:pt>
                <c:pt idx="850">
                  <c:v>41211</c:v>
                </c:pt>
                <c:pt idx="851">
                  <c:v>41212</c:v>
                </c:pt>
                <c:pt idx="852">
                  <c:v>41213</c:v>
                </c:pt>
                <c:pt idx="853">
                  <c:v>41214</c:v>
                </c:pt>
                <c:pt idx="854">
                  <c:v>41215</c:v>
                </c:pt>
                <c:pt idx="855">
                  <c:v>41216</c:v>
                </c:pt>
                <c:pt idx="856">
                  <c:v>41217</c:v>
                </c:pt>
                <c:pt idx="857">
                  <c:v>41218</c:v>
                </c:pt>
                <c:pt idx="858">
                  <c:v>41219</c:v>
                </c:pt>
                <c:pt idx="859">
                  <c:v>41220</c:v>
                </c:pt>
                <c:pt idx="860">
                  <c:v>41221</c:v>
                </c:pt>
                <c:pt idx="861">
                  <c:v>41222</c:v>
                </c:pt>
                <c:pt idx="862">
                  <c:v>41223</c:v>
                </c:pt>
                <c:pt idx="863">
                  <c:v>41224</c:v>
                </c:pt>
                <c:pt idx="864">
                  <c:v>41225</c:v>
                </c:pt>
                <c:pt idx="865">
                  <c:v>41226</c:v>
                </c:pt>
                <c:pt idx="866">
                  <c:v>41227</c:v>
                </c:pt>
                <c:pt idx="867">
                  <c:v>41228</c:v>
                </c:pt>
                <c:pt idx="868">
                  <c:v>41229</c:v>
                </c:pt>
                <c:pt idx="869">
                  <c:v>41230</c:v>
                </c:pt>
                <c:pt idx="870">
                  <c:v>41231</c:v>
                </c:pt>
                <c:pt idx="871">
                  <c:v>41232</c:v>
                </c:pt>
                <c:pt idx="872">
                  <c:v>41233</c:v>
                </c:pt>
                <c:pt idx="873">
                  <c:v>41234</c:v>
                </c:pt>
                <c:pt idx="874">
                  <c:v>41235</c:v>
                </c:pt>
                <c:pt idx="875">
                  <c:v>41236</c:v>
                </c:pt>
                <c:pt idx="876">
                  <c:v>41237</c:v>
                </c:pt>
                <c:pt idx="877">
                  <c:v>41238</c:v>
                </c:pt>
                <c:pt idx="878">
                  <c:v>41239</c:v>
                </c:pt>
                <c:pt idx="879">
                  <c:v>41240</c:v>
                </c:pt>
                <c:pt idx="880">
                  <c:v>41241</c:v>
                </c:pt>
                <c:pt idx="881">
                  <c:v>41242</c:v>
                </c:pt>
                <c:pt idx="882">
                  <c:v>41243</c:v>
                </c:pt>
                <c:pt idx="883">
                  <c:v>41244</c:v>
                </c:pt>
                <c:pt idx="884">
                  <c:v>41245</c:v>
                </c:pt>
                <c:pt idx="885">
                  <c:v>41246</c:v>
                </c:pt>
                <c:pt idx="886">
                  <c:v>41247</c:v>
                </c:pt>
                <c:pt idx="887">
                  <c:v>41248</c:v>
                </c:pt>
                <c:pt idx="888">
                  <c:v>41249</c:v>
                </c:pt>
                <c:pt idx="889">
                  <c:v>41250</c:v>
                </c:pt>
                <c:pt idx="890">
                  <c:v>41251</c:v>
                </c:pt>
                <c:pt idx="891">
                  <c:v>41252</c:v>
                </c:pt>
                <c:pt idx="892">
                  <c:v>41253</c:v>
                </c:pt>
                <c:pt idx="893">
                  <c:v>41254</c:v>
                </c:pt>
                <c:pt idx="894">
                  <c:v>41255</c:v>
                </c:pt>
                <c:pt idx="895">
                  <c:v>41256</c:v>
                </c:pt>
                <c:pt idx="896">
                  <c:v>41257</c:v>
                </c:pt>
                <c:pt idx="897">
                  <c:v>41258</c:v>
                </c:pt>
                <c:pt idx="898">
                  <c:v>41259</c:v>
                </c:pt>
                <c:pt idx="899">
                  <c:v>41260</c:v>
                </c:pt>
                <c:pt idx="900">
                  <c:v>41261</c:v>
                </c:pt>
                <c:pt idx="901">
                  <c:v>41262</c:v>
                </c:pt>
                <c:pt idx="902">
                  <c:v>41263</c:v>
                </c:pt>
                <c:pt idx="903">
                  <c:v>41264</c:v>
                </c:pt>
                <c:pt idx="904">
                  <c:v>41265</c:v>
                </c:pt>
                <c:pt idx="905">
                  <c:v>41266</c:v>
                </c:pt>
                <c:pt idx="906">
                  <c:v>41267</c:v>
                </c:pt>
                <c:pt idx="907">
                  <c:v>41268</c:v>
                </c:pt>
                <c:pt idx="908">
                  <c:v>41269</c:v>
                </c:pt>
                <c:pt idx="909">
                  <c:v>41270</c:v>
                </c:pt>
                <c:pt idx="910">
                  <c:v>41271</c:v>
                </c:pt>
                <c:pt idx="911">
                  <c:v>41272</c:v>
                </c:pt>
                <c:pt idx="912">
                  <c:v>41273</c:v>
                </c:pt>
                <c:pt idx="913">
                  <c:v>41274</c:v>
                </c:pt>
                <c:pt idx="914">
                  <c:v>41275</c:v>
                </c:pt>
                <c:pt idx="915">
                  <c:v>41276</c:v>
                </c:pt>
                <c:pt idx="916">
                  <c:v>41277</c:v>
                </c:pt>
                <c:pt idx="917">
                  <c:v>41278</c:v>
                </c:pt>
                <c:pt idx="918">
                  <c:v>41279</c:v>
                </c:pt>
                <c:pt idx="919">
                  <c:v>41280</c:v>
                </c:pt>
                <c:pt idx="920">
                  <c:v>41281</c:v>
                </c:pt>
                <c:pt idx="921">
                  <c:v>41282</c:v>
                </c:pt>
                <c:pt idx="922">
                  <c:v>41283</c:v>
                </c:pt>
                <c:pt idx="923">
                  <c:v>41284</c:v>
                </c:pt>
                <c:pt idx="924">
                  <c:v>41285</c:v>
                </c:pt>
                <c:pt idx="925">
                  <c:v>41286</c:v>
                </c:pt>
                <c:pt idx="926">
                  <c:v>41287</c:v>
                </c:pt>
                <c:pt idx="927">
                  <c:v>41288</c:v>
                </c:pt>
                <c:pt idx="928">
                  <c:v>41289</c:v>
                </c:pt>
                <c:pt idx="929">
                  <c:v>41290</c:v>
                </c:pt>
                <c:pt idx="930">
                  <c:v>41291</c:v>
                </c:pt>
                <c:pt idx="931">
                  <c:v>41292</c:v>
                </c:pt>
                <c:pt idx="932">
                  <c:v>41293</c:v>
                </c:pt>
                <c:pt idx="933">
                  <c:v>41294</c:v>
                </c:pt>
                <c:pt idx="934">
                  <c:v>41295</c:v>
                </c:pt>
                <c:pt idx="935">
                  <c:v>41296</c:v>
                </c:pt>
                <c:pt idx="936">
                  <c:v>41297</c:v>
                </c:pt>
                <c:pt idx="937">
                  <c:v>41298</c:v>
                </c:pt>
                <c:pt idx="938">
                  <c:v>41299</c:v>
                </c:pt>
                <c:pt idx="939">
                  <c:v>41300</c:v>
                </c:pt>
                <c:pt idx="940">
                  <c:v>41301</c:v>
                </c:pt>
                <c:pt idx="941">
                  <c:v>41302</c:v>
                </c:pt>
                <c:pt idx="942">
                  <c:v>41303</c:v>
                </c:pt>
                <c:pt idx="943">
                  <c:v>41304</c:v>
                </c:pt>
                <c:pt idx="944">
                  <c:v>41305</c:v>
                </c:pt>
                <c:pt idx="945">
                  <c:v>41306</c:v>
                </c:pt>
                <c:pt idx="946">
                  <c:v>41307</c:v>
                </c:pt>
                <c:pt idx="947">
                  <c:v>41308</c:v>
                </c:pt>
                <c:pt idx="948">
                  <c:v>41309</c:v>
                </c:pt>
                <c:pt idx="949">
                  <c:v>41310</c:v>
                </c:pt>
                <c:pt idx="950">
                  <c:v>41311</c:v>
                </c:pt>
                <c:pt idx="951">
                  <c:v>41312</c:v>
                </c:pt>
                <c:pt idx="952">
                  <c:v>41313</c:v>
                </c:pt>
                <c:pt idx="953">
                  <c:v>41314</c:v>
                </c:pt>
                <c:pt idx="954">
                  <c:v>41315</c:v>
                </c:pt>
                <c:pt idx="955">
                  <c:v>41316</c:v>
                </c:pt>
                <c:pt idx="956">
                  <c:v>41317</c:v>
                </c:pt>
                <c:pt idx="957">
                  <c:v>41318</c:v>
                </c:pt>
                <c:pt idx="958">
                  <c:v>41319</c:v>
                </c:pt>
                <c:pt idx="959">
                  <c:v>41320</c:v>
                </c:pt>
                <c:pt idx="960">
                  <c:v>41321</c:v>
                </c:pt>
                <c:pt idx="961">
                  <c:v>41322</c:v>
                </c:pt>
                <c:pt idx="962">
                  <c:v>41323</c:v>
                </c:pt>
                <c:pt idx="963">
                  <c:v>41324</c:v>
                </c:pt>
                <c:pt idx="964">
                  <c:v>41325</c:v>
                </c:pt>
                <c:pt idx="965">
                  <c:v>41326</c:v>
                </c:pt>
                <c:pt idx="966">
                  <c:v>41327</c:v>
                </c:pt>
                <c:pt idx="967">
                  <c:v>41328</c:v>
                </c:pt>
                <c:pt idx="968">
                  <c:v>41329</c:v>
                </c:pt>
                <c:pt idx="969">
                  <c:v>41330</c:v>
                </c:pt>
                <c:pt idx="970">
                  <c:v>41331</c:v>
                </c:pt>
                <c:pt idx="971">
                  <c:v>41332</c:v>
                </c:pt>
                <c:pt idx="972">
                  <c:v>41333</c:v>
                </c:pt>
                <c:pt idx="973">
                  <c:v>41334</c:v>
                </c:pt>
                <c:pt idx="974">
                  <c:v>41335</c:v>
                </c:pt>
                <c:pt idx="975">
                  <c:v>41336</c:v>
                </c:pt>
                <c:pt idx="976">
                  <c:v>41337</c:v>
                </c:pt>
                <c:pt idx="977">
                  <c:v>41338</c:v>
                </c:pt>
                <c:pt idx="978">
                  <c:v>41339</c:v>
                </c:pt>
                <c:pt idx="979">
                  <c:v>41340</c:v>
                </c:pt>
                <c:pt idx="980">
                  <c:v>41341</c:v>
                </c:pt>
                <c:pt idx="981">
                  <c:v>41342</c:v>
                </c:pt>
                <c:pt idx="982">
                  <c:v>41343</c:v>
                </c:pt>
                <c:pt idx="983">
                  <c:v>41344</c:v>
                </c:pt>
                <c:pt idx="984">
                  <c:v>41345</c:v>
                </c:pt>
                <c:pt idx="985">
                  <c:v>41346</c:v>
                </c:pt>
                <c:pt idx="986">
                  <c:v>41347</c:v>
                </c:pt>
                <c:pt idx="987">
                  <c:v>41348</c:v>
                </c:pt>
                <c:pt idx="988">
                  <c:v>41349</c:v>
                </c:pt>
                <c:pt idx="989">
                  <c:v>41350</c:v>
                </c:pt>
                <c:pt idx="990">
                  <c:v>41351</c:v>
                </c:pt>
                <c:pt idx="991">
                  <c:v>41352</c:v>
                </c:pt>
                <c:pt idx="992">
                  <c:v>41353</c:v>
                </c:pt>
                <c:pt idx="993">
                  <c:v>41354</c:v>
                </c:pt>
                <c:pt idx="994">
                  <c:v>41355</c:v>
                </c:pt>
                <c:pt idx="995">
                  <c:v>41356</c:v>
                </c:pt>
                <c:pt idx="996">
                  <c:v>41357</c:v>
                </c:pt>
                <c:pt idx="997">
                  <c:v>41358</c:v>
                </c:pt>
                <c:pt idx="998">
                  <c:v>41359</c:v>
                </c:pt>
                <c:pt idx="999">
                  <c:v>41360</c:v>
                </c:pt>
                <c:pt idx="1000">
                  <c:v>41361</c:v>
                </c:pt>
                <c:pt idx="1001">
                  <c:v>41362</c:v>
                </c:pt>
                <c:pt idx="1002">
                  <c:v>41363</c:v>
                </c:pt>
                <c:pt idx="1003">
                  <c:v>41364</c:v>
                </c:pt>
                <c:pt idx="1004">
                  <c:v>41365</c:v>
                </c:pt>
                <c:pt idx="1005">
                  <c:v>41366</c:v>
                </c:pt>
                <c:pt idx="1006">
                  <c:v>41367</c:v>
                </c:pt>
                <c:pt idx="1007">
                  <c:v>41368</c:v>
                </c:pt>
                <c:pt idx="1008">
                  <c:v>41369</c:v>
                </c:pt>
                <c:pt idx="1009">
                  <c:v>41370</c:v>
                </c:pt>
                <c:pt idx="1010">
                  <c:v>41371</c:v>
                </c:pt>
                <c:pt idx="1011">
                  <c:v>41372</c:v>
                </c:pt>
                <c:pt idx="1012">
                  <c:v>41373</c:v>
                </c:pt>
                <c:pt idx="1013">
                  <c:v>41374</c:v>
                </c:pt>
                <c:pt idx="1014">
                  <c:v>41375</c:v>
                </c:pt>
                <c:pt idx="1015">
                  <c:v>41376</c:v>
                </c:pt>
                <c:pt idx="1016">
                  <c:v>41377</c:v>
                </c:pt>
                <c:pt idx="1017">
                  <c:v>41378</c:v>
                </c:pt>
                <c:pt idx="1018">
                  <c:v>41379</c:v>
                </c:pt>
                <c:pt idx="1019">
                  <c:v>41380</c:v>
                </c:pt>
                <c:pt idx="1020">
                  <c:v>41381</c:v>
                </c:pt>
                <c:pt idx="1021">
                  <c:v>41382</c:v>
                </c:pt>
                <c:pt idx="1022">
                  <c:v>41383</c:v>
                </c:pt>
                <c:pt idx="1023">
                  <c:v>41384</c:v>
                </c:pt>
                <c:pt idx="1024">
                  <c:v>41385</c:v>
                </c:pt>
                <c:pt idx="1025">
                  <c:v>41386</c:v>
                </c:pt>
                <c:pt idx="1026">
                  <c:v>41387</c:v>
                </c:pt>
                <c:pt idx="1027">
                  <c:v>41388</c:v>
                </c:pt>
                <c:pt idx="1028">
                  <c:v>41389</c:v>
                </c:pt>
                <c:pt idx="1029">
                  <c:v>41390</c:v>
                </c:pt>
                <c:pt idx="1030">
                  <c:v>41391</c:v>
                </c:pt>
                <c:pt idx="1031">
                  <c:v>41392</c:v>
                </c:pt>
                <c:pt idx="1032">
                  <c:v>41393</c:v>
                </c:pt>
                <c:pt idx="1033">
                  <c:v>41394</c:v>
                </c:pt>
                <c:pt idx="1034">
                  <c:v>41395</c:v>
                </c:pt>
                <c:pt idx="1035">
                  <c:v>41396</c:v>
                </c:pt>
                <c:pt idx="1036">
                  <c:v>41397</c:v>
                </c:pt>
                <c:pt idx="1037">
                  <c:v>41398</c:v>
                </c:pt>
                <c:pt idx="1038">
                  <c:v>41399</c:v>
                </c:pt>
                <c:pt idx="1039">
                  <c:v>41400</c:v>
                </c:pt>
                <c:pt idx="1040">
                  <c:v>41401</c:v>
                </c:pt>
                <c:pt idx="1041">
                  <c:v>41402</c:v>
                </c:pt>
                <c:pt idx="1042">
                  <c:v>41403</c:v>
                </c:pt>
                <c:pt idx="1043">
                  <c:v>41404</c:v>
                </c:pt>
                <c:pt idx="1044">
                  <c:v>41405</c:v>
                </c:pt>
                <c:pt idx="1045">
                  <c:v>41406</c:v>
                </c:pt>
                <c:pt idx="1046">
                  <c:v>41407</c:v>
                </c:pt>
                <c:pt idx="1047">
                  <c:v>41408</c:v>
                </c:pt>
                <c:pt idx="1048">
                  <c:v>41409</c:v>
                </c:pt>
                <c:pt idx="1049">
                  <c:v>41410</c:v>
                </c:pt>
                <c:pt idx="1050">
                  <c:v>41411</c:v>
                </c:pt>
                <c:pt idx="1051">
                  <c:v>41412</c:v>
                </c:pt>
                <c:pt idx="1052">
                  <c:v>41413</c:v>
                </c:pt>
                <c:pt idx="1053">
                  <c:v>41414</c:v>
                </c:pt>
                <c:pt idx="1054">
                  <c:v>41415</c:v>
                </c:pt>
                <c:pt idx="1055">
                  <c:v>41416</c:v>
                </c:pt>
                <c:pt idx="1056">
                  <c:v>41417</c:v>
                </c:pt>
                <c:pt idx="1057">
                  <c:v>41418</c:v>
                </c:pt>
                <c:pt idx="1058">
                  <c:v>41419</c:v>
                </c:pt>
                <c:pt idx="1059">
                  <c:v>41420</c:v>
                </c:pt>
                <c:pt idx="1060">
                  <c:v>41421</c:v>
                </c:pt>
                <c:pt idx="1061">
                  <c:v>41422</c:v>
                </c:pt>
                <c:pt idx="1062">
                  <c:v>41423</c:v>
                </c:pt>
                <c:pt idx="1063">
                  <c:v>41424</c:v>
                </c:pt>
                <c:pt idx="1064">
                  <c:v>41425</c:v>
                </c:pt>
                <c:pt idx="1065">
                  <c:v>41426</c:v>
                </c:pt>
                <c:pt idx="1066">
                  <c:v>41427</c:v>
                </c:pt>
                <c:pt idx="1067">
                  <c:v>41428</c:v>
                </c:pt>
                <c:pt idx="1068">
                  <c:v>41429</c:v>
                </c:pt>
                <c:pt idx="1069">
                  <c:v>41430</c:v>
                </c:pt>
                <c:pt idx="1070">
                  <c:v>41431</c:v>
                </c:pt>
                <c:pt idx="1071">
                  <c:v>41432</c:v>
                </c:pt>
                <c:pt idx="1072">
                  <c:v>41433</c:v>
                </c:pt>
                <c:pt idx="1073">
                  <c:v>41434</c:v>
                </c:pt>
                <c:pt idx="1074">
                  <c:v>41435</c:v>
                </c:pt>
                <c:pt idx="1075">
                  <c:v>41436</c:v>
                </c:pt>
                <c:pt idx="1076">
                  <c:v>41437</c:v>
                </c:pt>
                <c:pt idx="1077">
                  <c:v>41438</c:v>
                </c:pt>
                <c:pt idx="1078">
                  <c:v>41439</c:v>
                </c:pt>
                <c:pt idx="1079">
                  <c:v>41440</c:v>
                </c:pt>
                <c:pt idx="1080">
                  <c:v>41441</c:v>
                </c:pt>
                <c:pt idx="1081">
                  <c:v>41442</c:v>
                </c:pt>
                <c:pt idx="1082">
                  <c:v>41443</c:v>
                </c:pt>
                <c:pt idx="1083">
                  <c:v>41444</c:v>
                </c:pt>
                <c:pt idx="1084">
                  <c:v>41445</c:v>
                </c:pt>
                <c:pt idx="1085">
                  <c:v>41446</c:v>
                </c:pt>
                <c:pt idx="1086">
                  <c:v>41447</c:v>
                </c:pt>
                <c:pt idx="1087">
                  <c:v>41448</c:v>
                </c:pt>
                <c:pt idx="1088">
                  <c:v>41449</c:v>
                </c:pt>
                <c:pt idx="1089">
                  <c:v>41450</c:v>
                </c:pt>
                <c:pt idx="1090">
                  <c:v>41451</c:v>
                </c:pt>
                <c:pt idx="1091">
                  <c:v>41452</c:v>
                </c:pt>
                <c:pt idx="1092">
                  <c:v>41453</c:v>
                </c:pt>
                <c:pt idx="1093">
                  <c:v>41454</c:v>
                </c:pt>
                <c:pt idx="1094">
                  <c:v>41455</c:v>
                </c:pt>
                <c:pt idx="1095">
                  <c:v>41456</c:v>
                </c:pt>
                <c:pt idx="1096">
                  <c:v>41457</c:v>
                </c:pt>
                <c:pt idx="1097">
                  <c:v>41458</c:v>
                </c:pt>
                <c:pt idx="1098">
                  <c:v>41459</c:v>
                </c:pt>
                <c:pt idx="1099">
                  <c:v>41460</c:v>
                </c:pt>
                <c:pt idx="1100">
                  <c:v>41461</c:v>
                </c:pt>
                <c:pt idx="1101">
                  <c:v>41462</c:v>
                </c:pt>
                <c:pt idx="1102">
                  <c:v>41463</c:v>
                </c:pt>
                <c:pt idx="1103">
                  <c:v>41464</c:v>
                </c:pt>
                <c:pt idx="1104">
                  <c:v>41465</c:v>
                </c:pt>
                <c:pt idx="1105">
                  <c:v>41466</c:v>
                </c:pt>
                <c:pt idx="1106">
                  <c:v>41467</c:v>
                </c:pt>
                <c:pt idx="1107">
                  <c:v>41468</c:v>
                </c:pt>
                <c:pt idx="1108">
                  <c:v>41469</c:v>
                </c:pt>
                <c:pt idx="1109">
                  <c:v>41470</c:v>
                </c:pt>
                <c:pt idx="1110">
                  <c:v>41471</c:v>
                </c:pt>
                <c:pt idx="1111">
                  <c:v>41472</c:v>
                </c:pt>
                <c:pt idx="1112">
                  <c:v>41473</c:v>
                </c:pt>
                <c:pt idx="1113">
                  <c:v>41474</c:v>
                </c:pt>
                <c:pt idx="1114">
                  <c:v>41475</c:v>
                </c:pt>
                <c:pt idx="1115">
                  <c:v>41476</c:v>
                </c:pt>
                <c:pt idx="1116">
                  <c:v>41477</c:v>
                </c:pt>
                <c:pt idx="1117">
                  <c:v>41478</c:v>
                </c:pt>
                <c:pt idx="1118">
                  <c:v>41479</c:v>
                </c:pt>
                <c:pt idx="1119">
                  <c:v>41480</c:v>
                </c:pt>
                <c:pt idx="1120">
                  <c:v>41481</c:v>
                </c:pt>
                <c:pt idx="1121">
                  <c:v>41482</c:v>
                </c:pt>
                <c:pt idx="1122">
                  <c:v>41483</c:v>
                </c:pt>
                <c:pt idx="1123">
                  <c:v>41484</c:v>
                </c:pt>
                <c:pt idx="1124">
                  <c:v>41485</c:v>
                </c:pt>
                <c:pt idx="1125">
                  <c:v>41486</c:v>
                </c:pt>
                <c:pt idx="1126">
                  <c:v>41487</c:v>
                </c:pt>
                <c:pt idx="1127">
                  <c:v>41488</c:v>
                </c:pt>
                <c:pt idx="1128">
                  <c:v>41489</c:v>
                </c:pt>
                <c:pt idx="1129">
                  <c:v>41490</c:v>
                </c:pt>
                <c:pt idx="1130">
                  <c:v>41491</c:v>
                </c:pt>
                <c:pt idx="1131">
                  <c:v>41492</c:v>
                </c:pt>
                <c:pt idx="1132">
                  <c:v>41493</c:v>
                </c:pt>
                <c:pt idx="1133">
                  <c:v>41494</c:v>
                </c:pt>
                <c:pt idx="1134">
                  <c:v>41495</c:v>
                </c:pt>
                <c:pt idx="1135">
                  <c:v>41496</c:v>
                </c:pt>
                <c:pt idx="1136">
                  <c:v>41497</c:v>
                </c:pt>
                <c:pt idx="1137">
                  <c:v>41498</c:v>
                </c:pt>
                <c:pt idx="1138">
                  <c:v>41499</c:v>
                </c:pt>
                <c:pt idx="1139">
                  <c:v>41500</c:v>
                </c:pt>
                <c:pt idx="1140">
                  <c:v>41501</c:v>
                </c:pt>
                <c:pt idx="1141">
                  <c:v>41502</c:v>
                </c:pt>
                <c:pt idx="1142">
                  <c:v>41503</c:v>
                </c:pt>
                <c:pt idx="1143">
                  <c:v>41504</c:v>
                </c:pt>
                <c:pt idx="1144">
                  <c:v>41505</c:v>
                </c:pt>
                <c:pt idx="1145">
                  <c:v>41506</c:v>
                </c:pt>
                <c:pt idx="1146">
                  <c:v>41507</c:v>
                </c:pt>
                <c:pt idx="1147">
                  <c:v>41508</c:v>
                </c:pt>
                <c:pt idx="1148">
                  <c:v>41509</c:v>
                </c:pt>
                <c:pt idx="1149">
                  <c:v>41510</c:v>
                </c:pt>
                <c:pt idx="1150">
                  <c:v>41511</c:v>
                </c:pt>
                <c:pt idx="1151">
                  <c:v>41512</c:v>
                </c:pt>
                <c:pt idx="1152">
                  <c:v>41513</c:v>
                </c:pt>
                <c:pt idx="1153">
                  <c:v>41514</c:v>
                </c:pt>
                <c:pt idx="1154">
                  <c:v>41515</c:v>
                </c:pt>
                <c:pt idx="1155">
                  <c:v>41516</c:v>
                </c:pt>
                <c:pt idx="1156">
                  <c:v>41517</c:v>
                </c:pt>
                <c:pt idx="1157">
                  <c:v>41518</c:v>
                </c:pt>
                <c:pt idx="1158">
                  <c:v>41519</c:v>
                </c:pt>
                <c:pt idx="1159">
                  <c:v>41520</c:v>
                </c:pt>
                <c:pt idx="1160">
                  <c:v>41521</c:v>
                </c:pt>
                <c:pt idx="1161">
                  <c:v>41522</c:v>
                </c:pt>
                <c:pt idx="1162">
                  <c:v>41523</c:v>
                </c:pt>
                <c:pt idx="1163">
                  <c:v>41524</c:v>
                </c:pt>
                <c:pt idx="1164">
                  <c:v>41525</c:v>
                </c:pt>
                <c:pt idx="1165">
                  <c:v>41526</c:v>
                </c:pt>
                <c:pt idx="1166">
                  <c:v>41527</c:v>
                </c:pt>
                <c:pt idx="1167">
                  <c:v>41528</c:v>
                </c:pt>
                <c:pt idx="1168">
                  <c:v>41529</c:v>
                </c:pt>
                <c:pt idx="1169">
                  <c:v>41530</c:v>
                </c:pt>
                <c:pt idx="1170">
                  <c:v>41531</c:v>
                </c:pt>
                <c:pt idx="1171">
                  <c:v>41532</c:v>
                </c:pt>
                <c:pt idx="1172">
                  <c:v>41533</c:v>
                </c:pt>
                <c:pt idx="1173">
                  <c:v>41534</c:v>
                </c:pt>
                <c:pt idx="1174">
                  <c:v>41535</c:v>
                </c:pt>
                <c:pt idx="1175">
                  <c:v>41536</c:v>
                </c:pt>
                <c:pt idx="1176">
                  <c:v>41537</c:v>
                </c:pt>
                <c:pt idx="1177">
                  <c:v>41538</c:v>
                </c:pt>
                <c:pt idx="1178">
                  <c:v>41539</c:v>
                </c:pt>
                <c:pt idx="1179">
                  <c:v>41540</c:v>
                </c:pt>
                <c:pt idx="1180">
                  <c:v>41541</c:v>
                </c:pt>
                <c:pt idx="1181">
                  <c:v>41542</c:v>
                </c:pt>
                <c:pt idx="1182">
                  <c:v>41543</c:v>
                </c:pt>
                <c:pt idx="1183">
                  <c:v>41544</c:v>
                </c:pt>
                <c:pt idx="1184">
                  <c:v>41545</c:v>
                </c:pt>
                <c:pt idx="1185">
                  <c:v>41546</c:v>
                </c:pt>
                <c:pt idx="1186">
                  <c:v>41547</c:v>
                </c:pt>
                <c:pt idx="1187">
                  <c:v>41548</c:v>
                </c:pt>
                <c:pt idx="1188">
                  <c:v>41549</c:v>
                </c:pt>
                <c:pt idx="1189">
                  <c:v>41550</c:v>
                </c:pt>
                <c:pt idx="1190">
                  <c:v>41551</c:v>
                </c:pt>
                <c:pt idx="1191">
                  <c:v>41552</c:v>
                </c:pt>
                <c:pt idx="1192">
                  <c:v>41553</c:v>
                </c:pt>
                <c:pt idx="1193">
                  <c:v>41554</c:v>
                </c:pt>
                <c:pt idx="1194">
                  <c:v>41555</c:v>
                </c:pt>
                <c:pt idx="1195">
                  <c:v>41556</c:v>
                </c:pt>
                <c:pt idx="1196">
                  <c:v>41557</c:v>
                </c:pt>
                <c:pt idx="1197">
                  <c:v>41558</c:v>
                </c:pt>
                <c:pt idx="1198">
                  <c:v>41559</c:v>
                </c:pt>
                <c:pt idx="1199">
                  <c:v>41560</c:v>
                </c:pt>
                <c:pt idx="1200">
                  <c:v>41561</c:v>
                </c:pt>
                <c:pt idx="1201">
                  <c:v>41562</c:v>
                </c:pt>
                <c:pt idx="1202">
                  <c:v>41563</c:v>
                </c:pt>
                <c:pt idx="1203">
                  <c:v>41564</c:v>
                </c:pt>
                <c:pt idx="1204">
                  <c:v>41565</c:v>
                </c:pt>
                <c:pt idx="1205">
                  <c:v>41566</c:v>
                </c:pt>
                <c:pt idx="1206">
                  <c:v>41567</c:v>
                </c:pt>
                <c:pt idx="1207">
                  <c:v>41568</c:v>
                </c:pt>
                <c:pt idx="1208">
                  <c:v>41569</c:v>
                </c:pt>
                <c:pt idx="1209">
                  <c:v>41570</c:v>
                </c:pt>
                <c:pt idx="1210">
                  <c:v>41571</c:v>
                </c:pt>
                <c:pt idx="1211">
                  <c:v>41572</c:v>
                </c:pt>
                <c:pt idx="1212">
                  <c:v>41573</c:v>
                </c:pt>
                <c:pt idx="1213">
                  <c:v>41574</c:v>
                </c:pt>
                <c:pt idx="1214">
                  <c:v>41575</c:v>
                </c:pt>
                <c:pt idx="1215">
                  <c:v>41576</c:v>
                </c:pt>
                <c:pt idx="1216">
                  <c:v>41577</c:v>
                </c:pt>
                <c:pt idx="1217">
                  <c:v>41578</c:v>
                </c:pt>
                <c:pt idx="1218">
                  <c:v>41579</c:v>
                </c:pt>
                <c:pt idx="1219">
                  <c:v>41580</c:v>
                </c:pt>
                <c:pt idx="1220">
                  <c:v>41581</c:v>
                </c:pt>
                <c:pt idx="1221">
                  <c:v>41582</c:v>
                </c:pt>
                <c:pt idx="1222">
                  <c:v>41583</c:v>
                </c:pt>
                <c:pt idx="1223">
                  <c:v>41584</c:v>
                </c:pt>
                <c:pt idx="1224">
                  <c:v>41585</c:v>
                </c:pt>
                <c:pt idx="1225">
                  <c:v>41586</c:v>
                </c:pt>
                <c:pt idx="1226">
                  <c:v>41587</c:v>
                </c:pt>
                <c:pt idx="1227">
                  <c:v>41588</c:v>
                </c:pt>
                <c:pt idx="1228">
                  <c:v>41589</c:v>
                </c:pt>
                <c:pt idx="1229">
                  <c:v>41590</c:v>
                </c:pt>
                <c:pt idx="1230">
                  <c:v>41591</c:v>
                </c:pt>
                <c:pt idx="1231">
                  <c:v>41592</c:v>
                </c:pt>
                <c:pt idx="1232">
                  <c:v>41593</c:v>
                </c:pt>
                <c:pt idx="1233">
                  <c:v>41594</c:v>
                </c:pt>
                <c:pt idx="1234">
                  <c:v>41595</c:v>
                </c:pt>
                <c:pt idx="1235">
                  <c:v>41596</c:v>
                </c:pt>
                <c:pt idx="1236">
                  <c:v>41597</c:v>
                </c:pt>
                <c:pt idx="1237">
                  <c:v>41598</c:v>
                </c:pt>
                <c:pt idx="1238">
                  <c:v>41599</c:v>
                </c:pt>
                <c:pt idx="1239">
                  <c:v>41600</c:v>
                </c:pt>
                <c:pt idx="1240">
                  <c:v>41601</c:v>
                </c:pt>
                <c:pt idx="1241">
                  <c:v>41602</c:v>
                </c:pt>
                <c:pt idx="1242">
                  <c:v>41603</c:v>
                </c:pt>
                <c:pt idx="1243">
                  <c:v>41604</c:v>
                </c:pt>
                <c:pt idx="1244">
                  <c:v>41605</c:v>
                </c:pt>
                <c:pt idx="1245">
                  <c:v>41606</c:v>
                </c:pt>
                <c:pt idx="1246">
                  <c:v>41607</c:v>
                </c:pt>
                <c:pt idx="1247">
                  <c:v>41608</c:v>
                </c:pt>
                <c:pt idx="1248">
                  <c:v>41609</c:v>
                </c:pt>
                <c:pt idx="1249">
                  <c:v>41610</c:v>
                </c:pt>
                <c:pt idx="1250">
                  <c:v>41611</c:v>
                </c:pt>
                <c:pt idx="1251">
                  <c:v>41612</c:v>
                </c:pt>
                <c:pt idx="1252">
                  <c:v>41613</c:v>
                </c:pt>
                <c:pt idx="1253">
                  <c:v>41614</c:v>
                </c:pt>
                <c:pt idx="1254">
                  <c:v>41615</c:v>
                </c:pt>
                <c:pt idx="1255">
                  <c:v>41616</c:v>
                </c:pt>
                <c:pt idx="1256">
                  <c:v>41617</c:v>
                </c:pt>
                <c:pt idx="1257">
                  <c:v>41618</c:v>
                </c:pt>
                <c:pt idx="1258">
                  <c:v>41619</c:v>
                </c:pt>
                <c:pt idx="1259">
                  <c:v>41620</c:v>
                </c:pt>
                <c:pt idx="1260">
                  <c:v>41621</c:v>
                </c:pt>
                <c:pt idx="1261">
                  <c:v>41622</c:v>
                </c:pt>
                <c:pt idx="1262">
                  <c:v>41623</c:v>
                </c:pt>
                <c:pt idx="1263">
                  <c:v>41624</c:v>
                </c:pt>
                <c:pt idx="1264">
                  <c:v>41625</c:v>
                </c:pt>
                <c:pt idx="1265">
                  <c:v>41626</c:v>
                </c:pt>
                <c:pt idx="1266">
                  <c:v>41627</c:v>
                </c:pt>
                <c:pt idx="1267">
                  <c:v>41628</c:v>
                </c:pt>
                <c:pt idx="1268">
                  <c:v>41629</c:v>
                </c:pt>
                <c:pt idx="1269">
                  <c:v>41630</c:v>
                </c:pt>
                <c:pt idx="1270">
                  <c:v>41631</c:v>
                </c:pt>
                <c:pt idx="1271">
                  <c:v>41632</c:v>
                </c:pt>
                <c:pt idx="1272">
                  <c:v>41633</c:v>
                </c:pt>
                <c:pt idx="1273">
                  <c:v>41634</c:v>
                </c:pt>
                <c:pt idx="1274">
                  <c:v>41635</c:v>
                </c:pt>
                <c:pt idx="1275">
                  <c:v>41636</c:v>
                </c:pt>
                <c:pt idx="1276">
                  <c:v>41637</c:v>
                </c:pt>
                <c:pt idx="1277">
                  <c:v>41638</c:v>
                </c:pt>
                <c:pt idx="1278">
                  <c:v>41639</c:v>
                </c:pt>
                <c:pt idx="1279">
                  <c:v>41640</c:v>
                </c:pt>
                <c:pt idx="1280">
                  <c:v>41641</c:v>
                </c:pt>
                <c:pt idx="1281">
                  <c:v>41642</c:v>
                </c:pt>
                <c:pt idx="1282">
                  <c:v>41643</c:v>
                </c:pt>
                <c:pt idx="1283">
                  <c:v>41644</c:v>
                </c:pt>
                <c:pt idx="1284">
                  <c:v>41645</c:v>
                </c:pt>
                <c:pt idx="1285">
                  <c:v>41646</c:v>
                </c:pt>
                <c:pt idx="1286">
                  <c:v>41647</c:v>
                </c:pt>
                <c:pt idx="1287">
                  <c:v>41648</c:v>
                </c:pt>
                <c:pt idx="1288">
                  <c:v>41649</c:v>
                </c:pt>
                <c:pt idx="1289">
                  <c:v>41650</c:v>
                </c:pt>
                <c:pt idx="1290">
                  <c:v>41651</c:v>
                </c:pt>
                <c:pt idx="1291">
                  <c:v>41652</c:v>
                </c:pt>
                <c:pt idx="1292">
                  <c:v>41653</c:v>
                </c:pt>
                <c:pt idx="1293">
                  <c:v>41654</c:v>
                </c:pt>
                <c:pt idx="1294">
                  <c:v>41655</c:v>
                </c:pt>
                <c:pt idx="1295">
                  <c:v>41656</c:v>
                </c:pt>
                <c:pt idx="1296">
                  <c:v>41657</c:v>
                </c:pt>
                <c:pt idx="1297">
                  <c:v>41658</c:v>
                </c:pt>
                <c:pt idx="1298">
                  <c:v>41659</c:v>
                </c:pt>
                <c:pt idx="1299">
                  <c:v>41660</c:v>
                </c:pt>
                <c:pt idx="1300">
                  <c:v>41661</c:v>
                </c:pt>
                <c:pt idx="1301">
                  <c:v>41662</c:v>
                </c:pt>
                <c:pt idx="1302">
                  <c:v>41663</c:v>
                </c:pt>
                <c:pt idx="1303">
                  <c:v>41664</c:v>
                </c:pt>
                <c:pt idx="1304">
                  <c:v>41665</c:v>
                </c:pt>
                <c:pt idx="1305">
                  <c:v>41666</c:v>
                </c:pt>
                <c:pt idx="1306">
                  <c:v>41667</c:v>
                </c:pt>
                <c:pt idx="1307">
                  <c:v>41668</c:v>
                </c:pt>
                <c:pt idx="1308">
                  <c:v>41669</c:v>
                </c:pt>
                <c:pt idx="1309">
                  <c:v>41670</c:v>
                </c:pt>
                <c:pt idx="1310">
                  <c:v>41671</c:v>
                </c:pt>
                <c:pt idx="1311">
                  <c:v>41672</c:v>
                </c:pt>
                <c:pt idx="1312">
                  <c:v>41673</c:v>
                </c:pt>
                <c:pt idx="1313">
                  <c:v>41674</c:v>
                </c:pt>
                <c:pt idx="1314">
                  <c:v>41675</c:v>
                </c:pt>
                <c:pt idx="1315">
                  <c:v>41676</c:v>
                </c:pt>
                <c:pt idx="1316">
                  <c:v>41677</c:v>
                </c:pt>
                <c:pt idx="1317">
                  <c:v>41678</c:v>
                </c:pt>
                <c:pt idx="1318">
                  <c:v>41679</c:v>
                </c:pt>
                <c:pt idx="1319">
                  <c:v>41680</c:v>
                </c:pt>
                <c:pt idx="1320">
                  <c:v>41681</c:v>
                </c:pt>
                <c:pt idx="1321">
                  <c:v>41682</c:v>
                </c:pt>
                <c:pt idx="1322">
                  <c:v>41683</c:v>
                </c:pt>
                <c:pt idx="1323">
                  <c:v>41684</c:v>
                </c:pt>
                <c:pt idx="1324">
                  <c:v>41685</c:v>
                </c:pt>
                <c:pt idx="1325">
                  <c:v>41686</c:v>
                </c:pt>
                <c:pt idx="1326">
                  <c:v>41687</c:v>
                </c:pt>
                <c:pt idx="1327">
                  <c:v>41688</c:v>
                </c:pt>
                <c:pt idx="1328">
                  <c:v>41689</c:v>
                </c:pt>
                <c:pt idx="1329">
                  <c:v>41690</c:v>
                </c:pt>
                <c:pt idx="1330">
                  <c:v>41691</c:v>
                </c:pt>
                <c:pt idx="1331">
                  <c:v>41692</c:v>
                </c:pt>
                <c:pt idx="1332">
                  <c:v>41693</c:v>
                </c:pt>
                <c:pt idx="1333">
                  <c:v>41694</c:v>
                </c:pt>
                <c:pt idx="1334">
                  <c:v>41695</c:v>
                </c:pt>
                <c:pt idx="1335">
                  <c:v>41696</c:v>
                </c:pt>
                <c:pt idx="1336">
                  <c:v>41697</c:v>
                </c:pt>
              </c:numCache>
            </c:numRef>
          </c:cat>
          <c:val>
            <c:numRef>
              <c:f>Sheet1!$C$2:$C$1338</c:f>
              <c:numCache>
                <c:formatCode>General</c:formatCode>
                <c:ptCount val="1337"/>
                <c:pt idx="0">
                  <c:v>0</c:v>
                </c:pt>
                <c:pt idx="1">
                  <c:v>0</c:v>
                </c:pt>
                <c:pt idx="2">
                  <c:v>0</c:v>
                </c:pt>
                <c:pt idx="3">
                  <c:v>0</c:v>
                </c:pt>
                <c:pt idx="4">
                  <c:v>0.4</c:v>
                </c:pt>
                <c:pt idx="5">
                  <c:v>0.2</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29</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0.8</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11</c:v>
                </c:pt>
                <c:pt idx="97">
                  <c:v>0</c:v>
                </c:pt>
                <c:pt idx="98">
                  <c:v>6.2</c:v>
                </c:pt>
                <c:pt idx="99">
                  <c:v>46.4</c:v>
                </c:pt>
                <c:pt idx="100">
                  <c:v>83</c:v>
                </c:pt>
                <c:pt idx="101">
                  <c:v>31.4</c:v>
                </c:pt>
                <c:pt idx="102">
                  <c:v>0</c:v>
                </c:pt>
                <c:pt idx="103">
                  <c:v>0</c:v>
                </c:pt>
                <c:pt idx="104">
                  <c:v>3.2</c:v>
                </c:pt>
                <c:pt idx="105">
                  <c:v>0</c:v>
                </c:pt>
                <c:pt idx="106">
                  <c:v>0.60000000000000064</c:v>
                </c:pt>
                <c:pt idx="107">
                  <c:v>0</c:v>
                </c:pt>
                <c:pt idx="108">
                  <c:v>0</c:v>
                </c:pt>
                <c:pt idx="109">
                  <c:v>0</c:v>
                </c:pt>
                <c:pt idx="110">
                  <c:v>7</c:v>
                </c:pt>
                <c:pt idx="111">
                  <c:v>0</c:v>
                </c:pt>
                <c:pt idx="112">
                  <c:v>10.200000000000001</c:v>
                </c:pt>
                <c:pt idx="113">
                  <c:v>0</c:v>
                </c:pt>
                <c:pt idx="114">
                  <c:v>0</c:v>
                </c:pt>
                <c:pt idx="115">
                  <c:v>0</c:v>
                </c:pt>
                <c:pt idx="116">
                  <c:v>0</c:v>
                </c:pt>
                <c:pt idx="117">
                  <c:v>0</c:v>
                </c:pt>
                <c:pt idx="118">
                  <c:v>39.6</c:v>
                </c:pt>
                <c:pt idx="119">
                  <c:v>0.2</c:v>
                </c:pt>
                <c:pt idx="120">
                  <c:v>0</c:v>
                </c:pt>
                <c:pt idx="121">
                  <c:v>31.2</c:v>
                </c:pt>
                <c:pt idx="122">
                  <c:v>32.800000000000004</c:v>
                </c:pt>
                <c:pt idx="123">
                  <c:v>0</c:v>
                </c:pt>
                <c:pt idx="124">
                  <c:v>0</c:v>
                </c:pt>
                <c:pt idx="125">
                  <c:v>0</c:v>
                </c:pt>
                <c:pt idx="126">
                  <c:v>0</c:v>
                </c:pt>
                <c:pt idx="127">
                  <c:v>0</c:v>
                </c:pt>
                <c:pt idx="128">
                  <c:v>0</c:v>
                </c:pt>
                <c:pt idx="129">
                  <c:v>0</c:v>
                </c:pt>
                <c:pt idx="130">
                  <c:v>0</c:v>
                </c:pt>
                <c:pt idx="131">
                  <c:v>0</c:v>
                </c:pt>
                <c:pt idx="132">
                  <c:v>0</c:v>
                </c:pt>
                <c:pt idx="133">
                  <c:v>41.2</c:v>
                </c:pt>
                <c:pt idx="134">
                  <c:v>0</c:v>
                </c:pt>
                <c:pt idx="135">
                  <c:v>3.4</c:v>
                </c:pt>
                <c:pt idx="136">
                  <c:v>10.4</c:v>
                </c:pt>
                <c:pt idx="137">
                  <c:v>0.4</c:v>
                </c:pt>
                <c:pt idx="138">
                  <c:v>0.2</c:v>
                </c:pt>
                <c:pt idx="139">
                  <c:v>0</c:v>
                </c:pt>
                <c:pt idx="140">
                  <c:v>1.8</c:v>
                </c:pt>
                <c:pt idx="141">
                  <c:v>0</c:v>
                </c:pt>
                <c:pt idx="142">
                  <c:v>3</c:v>
                </c:pt>
                <c:pt idx="143">
                  <c:v>2</c:v>
                </c:pt>
                <c:pt idx="144">
                  <c:v>2</c:v>
                </c:pt>
                <c:pt idx="145">
                  <c:v>0</c:v>
                </c:pt>
                <c:pt idx="146">
                  <c:v>0</c:v>
                </c:pt>
                <c:pt idx="147">
                  <c:v>5.2</c:v>
                </c:pt>
                <c:pt idx="148">
                  <c:v>0.2</c:v>
                </c:pt>
                <c:pt idx="149">
                  <c:v>10.6</c:v>
                </c:pt>
                <c:pt idx="150">
                  <c:v>0</c:v>
                </c:pt>
                <c:pt idx="151">
                  <c:v>0</c:v>
                </c:pt>
                <c:pt idx="152">
                  <c:v>0</c:v>
                </c:pt>
                <c:pt idx="153">
                  <c:v>0.2</c:v>
                </c:pt>
                <c:pt idx="154">
                  <c:v>0</c:v>
                </c:pt>
                <c:pt idx="155">
                  <c:v>0</c:v>
                </c:pt>
                <c:pt idx="156">
                  <c:v>0</c:v>
                </c:pt>
                <c:pt idx="157">
                  <c:v>16</c:v>
                </c:pt>
                <c:pt idx="158">
                  <c:v>0</c:v>
                </c:pt>
                <c:pt idx="159">
                  <c:v>0.2</c:v>
                </c:pt>
                <c:pt idx="160">
                  <c:v>0</c:v>
                </c:pt>
                <c:pt idx="161">
                  <c:v>0.60000000000000064</c:v>
                </c:pt>
                <c:pt idx="162">
                  <c:v>7.2</c:v>
                </c:pt>
                <c:pt idx="163">
                  <c:v>0.2</c:v>
                </c:pt>
                <c:pt idx="164">
                  <c:v>6.2</c:v>
                </c:pt>
                <c:pt idx="165">
                  <c:v>17.399999999999999</c:v>
                </c:pt>
                <c:pt idx="166">
                  <c:v>10.8</c:v>
                </c:pt>
                <c:pt idx="167">
                  <c:v>0.2</c:v>
                </c:pt>
                <c:pt idx="168">
                  <c:v>0</c:v>
                </c:pt>
                <c:pt idx="169">
                  <c:v>14.4</c:v>
                </c:pt>
                <c:pt idx="170">
                  <c:v>26.4</c:v>
                </c:pt>
                <c:pt idx="171">
                  <c:v>1.8</c:v>
                </c:pt>
                <c:pt idx="172">
                  <c:v>14.4</c:v>
                </c:pt>
                <c:pt idx="173">
                  <c:v>0.60000000000000064</c:v>
                </c:pt>
                <c:pt idx="174">
                  <c:v>6.8</c:v>
                </c:pt>
                <c:pt idx="175">
                  <c:v>22.4</c:v>
                </c:pt>
                <c:pt idx="176">
                  <c:v>2</c:v>
                </c:pt>
                <c:pt idx="177">
                  <c:v>33.200000000000003</c:v>
                </c:pt>
                <c:pt idx="178">
                  <c:v>7.8</c:v>
                </c:pt>
                <c:pt idx="179">
                  <c:v>15.8</c:v>
                </c:pt>
                <c:pt idx="180">
                  <c:v>24.8</c:v>
                </c:pt>
                <c:pt idx="181">
                  <c:v>31.4</c:v>
                </c:pt>
                <c:pt idx="182">
                  <c:v>0</c:v>
                </c:pt>
                <c:pt idx="183">
                  <c:v>48.8</c:v>
                </c:pt>
                <c:pt idx="184">
                  <c:v>3.4</c:v>
                </c:pt>
                <c:pt idx="185">
                  <c:v>2.2000000000000002</c:v>
                </c:pt>
                <c:pt idx="186">
                  <c:v>0</c:v>
                </c:pt>
                <c:pt idx="187">
                  <c:v>0.2</c:v>
                </c:pt>
                <c:pt idx="188">
                  <c:v>0.2</c:v>
                </c:pt>
                <c:pt idx="189">
                  <c:v>41.4</c:v>
                </c:pt>
                <c:pt idx="190">
                  <c:v>0.2</c:v>
                </c:pt>
                <c:pt idx="191">
                  <c:v>23.8</c:v>
                </c:pt>
                <c:pt idx="192">
                  <c:v>16.2</c:v>
                </c:pt>
                <c:pt idx="193">
                  <c:v>36.800000000000004</c:v>
                </c:pt>
                <c:pt idx="194">
                  <c:v>33.4</c:v>
                </c:pt>
                <c:pt idx="195">
                  <c:v>11</c:v>
                </c:pt>
                <c:pt idx="196">
                  <c:v>9.2000000000000011</c:v>
                </c:pt>
                <c:pt idx="197">
                  <c:v>0</c:v>
                </c:pt>
                <c:pt idx="198">
                  <c:v>39</c:v>
                </c:pt>
                <c:pt idx="199">
                  <c:v>0</c:v>
                </c:pt>
                <c:pt idx="200">
                  <c:v>2.2000000000000002</c:v>
                </c:pt>
                <c:pt idx="201">
                  <c:v>31.8</c:v>
                </c:pt>
                <c:pt idx="202">
                  <c:v>15.4</c:v>
                </c:pt>
                <c:pt idx="203">
                  <c:v>38.6</c:v>
                </c:pt>
                <c:pt idx="204">
                  <c:v>25</c:v>
                </c:pt>
                <c:pt idx="205">
                  <c:v>14</c:v>
                </c:pt>
                <c:pt idx="206">
                  <c:v>0.4</c:v>
                </c:pt>
                <c:pt idx="207">
                  <c:v>1</c:v>
                </c:pt>
                <c:pt idx="208">
                  <c:v>3.2</c:v>
                </c:pt>
                <c:pt idx="209">
                  <c:v>0</c:v>
                </c:pt>
                <c:pt idx="210">
                  <c:v>6.2</c:v>
                </c:pt>
                <c:pt idx="211">
                  <c:v>0</c:v>
                </c:pt>
                <c:pt idx="212">
                  <c:v>0</c:v>
                </c:pt>
                <c:pt idx="213">
                  <c:v>4.4000000000000004</c:v>
                </c:pt>
                <c:pt idx="214">
                  <c:v>0</c:v>
                </c:pt>
                <c:pt idx="215">
                  <c:v>0</c:v>
                </c:pt>
                <c:pt idx="216">
                  <c:v>0.2</c:v>
                </c:pt>
                <c:pt idx="217">
                  <c:v>20.6</c:v>
                </c:pt>
                <c:pt idx="218">
                  <c:v>0</c:v>
                </c:pt>
                <c:pt idx="219">
                  <c:v>8.2000000000000011</c:v>
                </c:pt>
                <c:pt idx="220">
                  <c:v>49.4</c:v>
                </c:pt>
                <c:pt idx="221">
                  <c:v>23.8</c:v>
                </c:pt>
                <c:pt idx="222">
                  <c:v>0.2</c:v>
                </c:pt>
                <c:pt idx="223">
                  <c:v>0</c:v>
                </c:pt>
                <c:pt idx="224">
                  <c:v>1.4</c:v>
                </c:pt>
                <c:pt idx="225">
                  <c:v>0</c:v>
                </c:pt>
                <c:pt idx="226">
                  <c:v>31.2</c:v>
                </c:pt>
                <c:pt idx="227">
                  <c:v>120.4</c:v>
                </c:pt>
                <c:pt idx="228">
                  <c:v>26.4</c:v>
                </c:pt>
                <c:pt idx="229">
                  <c:v>54.4</c:v>
                </c:pt>
                <c:pt idx="230">
                  <c:v>39.4</c:v>
                </c:pt>
                <c:pt idx="231">
                  <c:v>13.2</c:v>
                </c:pt>
                <c:pt idx="232">
                  <c:v>20.8</c:v>
                </c:pt>
                <c:pt idx="233">
                  <c:v>12.6</c:v>
                </c:pt>
                <c:pt idx="234">
                  <c:v>0.4</c:v>
                </c:pt>
                <c:pt idx="235">
                  <c:v>190.4</c:v>
                </c:pt>
                <c:pt idx="236">
                  <c:v>9.4</c:v>
                </c:pt>
                <c:pt idx="237">
                  <c:v>35.4</c:v>
                </c:pt>
                <c:pt idx="238">
                  <c:v>1</c:v>
                </c:pt>
                <c:pt idx="239">
                  <c:v>19.2</c:v>
                </c:pt>
                <c:pt idx="240">
                  <c:v>44.6</c:v>
                </c:pt>
                <c:pt idx="241">
                  <c:v>3.4</c:v>
                </c:pt>
                <c:pt idx="242">
                  <c:v>0.2</c:v>
                </c:pt>
                <c:pt idx="243">
                  <c:v>0.2</c:v>
                </c:pt>
                <c:pt idx="244">
                  <c:v>0.2</c:v>
                </c:pt>
                <c:pt idx="245">
                  <c:v>50.6</c:v>
                </c:pt>
                <c:pt idx="246">
                  <c:v>10.4</c:v>
                </c:pt>
                <c:pt idx="247">
                  <c:v>10.4</c:v>
                </c:pt>
                <c:pt idx="248">
                  <c:v>23.4</c:v>
                </c:pt>
                <c:pt idx="249">
                  <c:v>22</c:v>
                </c:pt>
                <c:pt idx="250">
                  <c:v>9.2000000000000011</c:v>
                </c:pt>
                <c:pt idx="251">
                  <c:v>3.8</c:v>
                </c:pt>
                <c:pt idx="252">
                  <c:v>21.4</c:v>
                </c:pt>
                <c:pt idx="253">
                  <c:v>20.399999999999999</c:v>
                </c:pt>
                <c:pt idx="254">
                  <c:v>0.60000000000000064</c:v>
                </c:pt>
                <c:pt idx="255">
                  <c:v>37.200000000000003</c:v>
                </c:pt>
                <c:pt idx="256">
                  <c:v>20.399999999999999</c:v>
                </c:pt>
                <c:pt idx="257">
                  <c:v>55</c:v>
                </c:pt>
                <c:pt idx="258">
                  <c:v>15</c:v>
                </c:pt>
                <c:pt idx="259">
                  <c:v>2.6</c:v>
                </c:pt>
                <c:pt idx="260">
                  <c:v>3.6</c:v>
                </c:pt>
                <c:pt idx="261">
                  <c:v>4.8</c:v>
                </c:pt>
                <c:pt idx="262">
                  <c:v>0.2</c:v>
                </c:pt>
                <c:pt idx="263">
                  <c:v>0</c:v>
                </c:pt>
                <c:pt idx="264">
                  <c:v>2</c:v>
                </c:pt>
                <c:pt idx="265">
                  <c:v>1</c:v>
                </c:pt>
                <c:pt idx="266">
                  <c:v>0.2</c:v>
                </c:pt>
                <c:pt idx="267">
                  <c:v>0</c:v>
                </c:pt>
                <c:pt idx="268">
                  <c:v>33.200000000000003</c:v>
                </c:pt>
                <c:pt idx="269">
                  <c:v>46.4</c:v>
                </c:pt>
                <c:pt idx="270">
                  <c:v>2</c:v>
                </c:pt>
                <c:pt idx="271">
                  <c:v>49</c:v>
                </c:pt>
                <c:pt idx="272">
                  <c:v>2.8</c:v>
                </c:pt>
                <c:pt idx="273">
                  <c:v>12.2</c:v>
                </c:pt>
                <c:pt idx="274">
                  <c:v>57.6</c:v>
                </c:pt>
                <c:pt idx="275">
                  <c:v>1.6</c:v>
                </c:pt>
                <c:pt idx="276">
                  <c:v>6</c:v>
                </c:pt>
                <c:pt idx="277">
                  <c:v>9.4</c:v>
                </c:pt>
                <c:pt idx="278">
                  <c:v>22</c:v>
                </c:pt>
                <c:pt idx="279">
                  <c:v>0.2</c:v>
                </c:pt>
                <c:pt idx="280">
                  <c:v>1.4</c:v>
                </c:pt>
                <c:pt idx="281">
                  <c:v>2.8</c:v>
                </c:pt>
                <c:pt idx="282">
                  <c:v>30.6</c:v>
                </c:pt>
                <c:pt idx="283">
                  <c:v>19.399999999999999</c:v>
                </c:pt>
                <c:pt idx="284">
                  <c:v>0.2</c:v>
                </c:pt>
                <c:pt idx="285">
                  <c:v>0</c:v>
                </c:pt>
                <c:pt idx="286">
                  <c:v>8</c:v>
                </c:pt>
                <c:pt idx="287">
                  <c:v>2.4</c:v>
                </c:pt>
                <c:pt idx="288">
                  <c:v>0.4</c:v>
                </c:pt>
                <c:pt idx="289">
                  <c:v>0</c:v>
                </c:pt>
                <c:pt idx="290">
                  <c:v>0</c:v>
                </c:pt>
                <c:pt idx="291">
                  <c:v>0</c:v>
                </c:pt>
                <c:pt idx="292">
                  <c:v>0</c:v>
                </c:pt>
                <c:pt idx="293">
                  <c:v>0</c:v>
                </c:pt>
                <c:pt idx="294">
                  <c:v>0</c:v>
                </c:pt>
                <c:pt idx="295">
                  <c:v>22.2</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4</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8.6</c:v>
                </c:pt>
                <c:pt idx="464">
                  <c:v>0</c:v>
                </c:pt>
                <c:pt idx="465">
                  <c:v>0.4</c:v>
                </c:pt>
                <c:pt idx="466">
                  <c:v>0</c:v>
                </c:pt>
                <c:pt idx="467">
                  <c:v>0</c:v>
                </c:pt>
                <c:pt idx="468">
                  <c:v>0</c:v>
                </c:pt>
                <c:pt idx="469">
                  <c:v>0</c:v>
                </c:pt>
                <c:pt idx="470">
                  <c:v>0</c:v>
                </c:pt>
                <c:pt idx="471">
                  <c:v>0</c:v>
                </c:pt>
                <c:pt idx="472">
                  <c:v>37.200000000000003</c:v>
                </c:pt>
                <c:pt idx="473">
                  <c:v>0</c:v>
                </c:pt>
                <c:pt idx="474">
                  <c:v>13.8</c:v>
                </c:pt>
                <c:pt idx="475">
                  <c:v>0</c:v>
                </c:pt>
                <c:pt idx="476">
                  <c:v>0</c:v>
                </c:pt>
                <c:pt idx="477">
                  <c:v>0</c:v>
                </c:pt>
                <c:pt idx="478">
                  <c:v>0</c:v>
                </c:pt>
                <c:pt idx="479">
                  <c:v>1</c:v>
                </c:pt>
                <c:pt idx="480">
                  <c:v>0</c:v>
                </c:pt>
                <c:pt idx="481">
                  <c:v>0</c:v>
                </c:pt>
                <c:pt idx="482">
                  <c:v>0</c:v>
                </c:pt>
                <c:pt idx="483">
                  <c:v>0</c:v>
                </c:pt>
                <c:pt idx="484">
                  <c:v>0</c:v>
                </c:pt>
                <c:pt idx="485">
                  <c:v>0</c:v>
                </c:pt>
                <c:pt idx="486">
                  <c:v>0</c:v>
                </c:pt>
                <c:pt idx="487">
                  <c:v>0</c:v>
                </c:pt>
                <c:pt idx="488">
                  <c:v>0</c:v>
                </c:pt>
                <c:pt idx="489">
                  <c:v>0</c:v>
                </c:pt>
                <c:pt idx="490">
                  <c:v>1.2</c:v>
                </c:pt>
                <c:pt idx="491">
                  <c:v>0</c:v>
                </c:pt>
                <c:pt idx="492">
                  <c:v>0</c:v>
                </c:pt>
                <c:pt idx="493">
                  <c:v>3</c:v>
                </c:pt>
                <c:pt idx="494">
                  <c:v>15.6</c:v>
                </c:pt>
                <c:pt idx="495">
                  <c:v>0</c:v>
                </c:pt>
                <c:pt idx="496">
                  <c:v>1</c:v>
                </c:pt>
                <c:pt idx="497">
                  <c:v>0.2</c:v>
                </c:pt>
                <c:pt idx="498">
                  <c:v>0.2</c:v>
                </c:pt>
                <c:pt idx="499">
                  <c:v>4.4000000000000004</c:v>
                </c:pt>
                <c:pt idx="500">
                  <c:v>2</c:v>
                </c:pt>
                <c:pt idx="501">
                  <c:v>9</c:v>
                </c:pt>
                <c:pt idx="502">
                  <c:v>0</c:v>
                </c:pt>
                <c:pt idx="503">
                  <c:v>14.4</c:v>
                </c:pt>
                <c:pt idx="504">
                  <c:v>24</c:v>
                </c:pt>
                <c:pt idx="505">
                  <c:v>0</c:v>
                </c:pt>
                <c:pt idx="506">
                  <c:v>0.2</c:v>
                </c:pt>
                <c:pt idx="507">
                  <c:v>0</c:v>
                </c:pt>
                <c:pt idx="508">
                  <c:v>26</c:v>
                </c:pt>
                <c:pt idx="509">
                  <c:v>24.2</c:v>
                </c:pt>
                <c:pt idx="510">
                  <c:v>15.2</c:v>
                </c:pt>
                <c:pt idx="511">
                  <c:v>0.2</c:v>
                </c:pt>
                <c:pt idx="512">
                  <c:v>5.8</c:v>
                </c:pt>
                <c:pt idx="513">
                  <c:v>3.2</c:v>
                </c:pt>
                <c:pt idx="514">
                  <c:v>4</c:v>
                </c:pt>
                <c:pt idx="515">
                  <c:v>7</c:v>
                </c:pt>
                <c:pt idx="516">
                  <c:v>0.2</c:v>
                </c:pt>
                <c:pt idx="517">
                  <c:v>10</c:v>
                </c:pt>
                <c:pt idx="518">
                  <c:v>20.8</c:v>
                </c:pt>
                <c:pt idx="519">
                  <c:v>5.6</c:v>
                </c:pt>
                <c:pt idx="520">
                  <c:v>87.2</c:v>
                </c:pt>
                <c:pt idx="521">
                  <c:v>6</c:v>
                </c:pt>
                <c:pt idx="522">
                  <c:v>0</c:v>
                </c:pt>
                <c:pt idx="523">
                  <c:v>0</c:v>
                </c:pt>
                <c:pt idx="524">
                  <c:v>0.2</c:v>
                </c:pt>
                <c:pt idx="525">
                  <c:v>23.4</c:v>
                </c:pt>
                <c:pt idx="526">
                  <c:v>0</c:v>
                </c:pt>
                <c:pt idx="527">
                  <c:v>0</c:v>
                </c:pt>
                <c:pt idx="528">
                  <c:v>17.399999999999999</c:v>
                </c:pt>
                <c:pt idx="529">
                  <c:v>1.2</c:v>
                </c:pt>
                <c:pt idx="530">
                  <c:v>22.4</c:v>
                </c:pt>
                <c:pt idx="531">
                  <c:v>0.8</c:v>
                </c:pt>
                <c:pt idx="532">
                  <c:v>17.2</c:v>
                </c:pt>
                <c:pt idx="533">
                  <c:v>3.8</c:v>
                </c:pt>
                <c:pt idx="534">
                  <c:v>0.2</c:v>
                </c:pt>
                <c:pt idx="535">
                  <c:v>48.8</c:v>
                </c:pt>
                <c:pt idx="536">
                  <c:v>46</c:v>
                </c:pt>
                <c:pt idx="537">
                  <c:v>15.4</c:v>
                </c:pt>
                <c:pt idx="538">
                  <c:v>45.2</c:v>
                </c:pt>
                <c:pt idx="539">
                  <c:v>6.6</c:v>
                </c:pt>
                <c:pt idx="540">
                  <c:v>0</c:v>
                </c:pt>
                <c:pt idx="541">
                  <c:v>0</c:v>
                </c:pt>
                <c:pt idx="542">
                  <c:v>71</c:v>
                </c:pt>
                <c:pt idx="543">
                  <c:v>1.8</c:v>
                </c:pt>
                <c:pt idx="544">
                  <c:v>1.8</c:v>
                </c:pt>
                <c:pt idx="545">
                  <c:v>0</c:v>
                </c:pt>
                <c:pt idx="546">
                  <c:v>6.2</c:v>
                </c:pt>
                <c:pt idx="547">
                  <c:v>0</c:v>
                </c:pt>
                <c:pt idx="548">
                  <c:v>30.6</c:v>
                </c:pt>
                <c:pt idx="549">
                  <c:v>0.60000000000000064</c:v>
                </c:pt>
                <c:pt idx="550">
                  <c:v>10.4</c:v>
                </c:pt>
                <c:pt idx="551">
                  <c:v>0</c:v>
                </c:pt>
                <c:pt idx="552">
                  <c:v>0</c:v>
                </c:pt>
                <c:pt idx="553">
                  <c:v>0</c:v>
                </c:pt>
                <c:pt idx="554">
                  <c:v>0</c:v>
                </c:pt>
                <c:pt idx="555">
                  <c:v>0</c:v>
                </c:pt>
                <c:pt idx="556">
                  <c:v>3.8</c:v>
                </c:pt>
                <c:pt idx="557">
                  <c:v>0</c:v>
                </c:pt>
                <c:pt idx="558">
                  <c:v>0</c:v>
                </c:pt>
                <c:pt idx="559">
                  <c:v>26.6</c:v>
                </c:pt>
                <c:pt idx="560">
                  <c:v>0</c:v>
                </c:pt>
                <c:pt idx="561">
                  <c:v>3.6</c:v>
                </c:pt>
                <c:pt idx="562">
                  <c:v>2</c:v>
                </c:pt>
                <c:pt idx="563">
                  <c:v>0</c:v>
                </c:pt>
                <c:pt idx="564">
                  <c:v>4.5999999999999996</c:v>
                </c:pt>
                <c:pt idx="565">
                  <c:v>38.200000000000003</c:v>
                </c:pt>
                <c:pt idx="566">
                  <c:v>0.60000000000000064</c:v>
                </c:pt>
                <c:pt idx="567">
                  <c:v>2.4</c:v>
                </c:pt>
                <c:pt idx="568">
                  <c:v>0</c:v>
                </c:pt>
                <c:pt idx="569">
                  <c:v>25.2</c:v>
                </c:pt>
                <c:pt idx="570">
                  <c:v>20</c:v>
                </c:pt>
                <c:pt idx="571">
                  <c:v>26.2</c:v>
                </c:pt>
                <c:pt idx="572">
                  <c:v>22</c:v>
                </c:pt>
                <c:pt idx="573">
                  <c:v>24.2</c:v>
                </c:pt>
                <c:pt idx="574">
                  <c:v>0.2</c:v>
                </c:pt>
                <c:pt idx="575">
                  <c:v>3.6</c:v>
                </c:pt>
                <c:pt idx="576">
                  <c:v>1.4</c:v>
                </c:pt>
                <c:pt idx="577">
                  <c:v>12.6</c:v>
                </c:pt>
                <c:pt idx="578">
                  <c:v>16.399999999999999</c:v>
                </c:pt>
                <c:pt idx="579">
                  <c:v>24.8</c:v>
                </c:pt>
                <c:pt idx="580">
                  <c:v>5.6</c:v>
                </c:pt>
                <c:pt idx="581">
                  <c:v>0</c:v>
                </c:pt>
                <c:pt idx="582">
                  <c:v>0</c:v>
                </c:pt>
                <c:pt idx="583">
                  <c:v>0</c:v>
                </c:pt>
                <c:pt idx="584">
                  <c:v>0</c:v>
                </c:pt>
                <c:pt idx="585">
                  <c:v>41.2</c:v>
                </c:pt>
                <c:pt idx="586">
                  <c:v>0.8</c:v>
                </c:pt>
                <c:pt idx="587">
                  <c:v>45.6</c:v>
                </c:pt>
                <c:pt idx="588">
                  <c:v>0</c:v>
                </c:pt>
                <c:pt idx="589">
                  <c:v>0</c:v>
                </c:pt>
                <c:pt idx="590">
                  <c:v>0</c:v>
                </c:pt>
                <c:pt idx="591">
                  <c:v>0</c:v>
                </c:pt>
                <c:pt idx="592">
                  <c:v>0.2</c:v>
                </c:pt>
                <c:pt idx="593">
                  <c:v>0</c:v>
                </c:pt>
                <c:pt idx="594">
                  <c:v>5.8</c:v>
                </c:pt>
                <c:pt idx="595">
                  <c:v>0</c:v>
                </c:pt>
                <c:pt idx="596">
                  <c:v>10.6</c:v>
                </c:pt>
                <c:pt idx="597">
                  <c:v>44.2</c:v>
                </c:pt>
                <c:pt idx="598">
                  <c:v>7.6</c:v>
                </c:pt>
                <c:pt idx="599">
                  <c:v>28.2</c:v>
                </c:pt>
                <c:pt idx="600">
                  <c:v>0</c:v>
                </c:pt>
                <c:pt idx="601">
                  <c:v>2.4</c:v>
                </c:pt>
                <c:pt idx="602">
                  <c:v>0.2</c:v>
                </c:pt>
                <c:pt idx="603">
                  <c:v>21.4</c:v>
                </c:pt>
                <c:pt idx="604">
                  <c:v>4</c:v>
                </c:pt>
                <c:pt idx="605">
                  <c:v>0.2</c:v>
                </c:pt>
                <c:pt idx="606">
                  <c:v>7.2</c:v>
                </c:pt>
                <c:pt idx="607">
                  <c:v>5</c:v>
                </c:pt>
                <c:pt idx="608">
                  <c:v>4.2</c:v>
                </c:pt>
                <c:pt idx="609">
                  <c:v>5.4</c:v>
                </c:pt>
                <c:pt idx="610">
                  <c:v>14.6</c:v>
                </c:pt>
                <c:pt idx="611">
                  <c:v>10.8</c:v>
                </c:pt>
                <c:pt idx="612">
                  <c:v>1</c:v>
                </c:pt>
                <c:pt idx="613">
                  <c:v>8.2000000000000011</c:v>
                </c:pt>
                <c:pt idx="614">
                  <c:v>0</c:v>
                </c:pt>
                <c:pt idx="615">
                  <c:v>34.200000000000003</c:v>
                </c:pt>
                <c:pt idx="616">
                  <c:v>11</c:v>
                </c:pt>
                <c:pt idx="617">
                  <c:v>18.600000000000001</c:v>
                </c:pt>
                <c:pt idx="618">
                  <c:v>5.4</c:v>
                </c:pt>
                <c:pt idx="619">
                  <c:v>3</c:v>
                </c:pt>
                <c:pt idx="620">
                  <c:v>0.60000000000000064</c:v>
                </c:pt>
                <c:pt idx="621">
                  <c:v>36.6</c:v>
                </c:pt>
                <c:pt idx="622">
                  <c:v>30.4</c:v>
                </c:pt>
                <c:pt idx="623">
                  <c:v>14.8</c:v>
                </c:pt>
                <c:pt idx="624">
                  <c:v>20.6</c:v>
                </c:pt>
                <c:pt idx="625">
                  <c:v>6.6</c:v>
                </c:pt>
                <c:pt idx="626">
                  <c:v>0.8</c:v>
                </c:pt>
                <c:pt idx="627">
                  <c:v>30.2</c:v>
                </c:pt>
                <c:pt idx="628">
                  <c:v>15.2</c:v>
                </c:pt>
                <c:pt idx="629">
                  <c:v>6.2</c:v>
                </c:pt>
                <c:pt idx="630">
                  <c:v>0.2</c:v>
                </c:pt>
                <c:pt idx="631">
                  <c:v>0</c:v>
                </c:pt>
                <c:pt idx="632">
                  <c:v>0</c:v>
                </c:pt>
                <c:pt idx="633">
                  <c:v>0</c:v>
                </c:pt>
                <c:pt idx="634">
                  <c:v>0</c:v>
                </c:pt>
                <c:pt idx="635">
                  <c:v>3.2</c:v>
                </c:pt>
                <c:pt idx="636">
                  <c:v>6</c:v>
                </c:pt>
                <c:pt idx="637">
                  <c:v>0.2</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3</c:v>
                </c:pt>
                <c:pt idx="653">
                  <c:v>0</c:v>
                </c:pt>
                <c:pt idx="654">
                  <c:v>0</c:v>
                </c:pt>
                <c:pt idx="655">
                  <c:v>0</c:v>
                </c:pt>
                <c:pt idx="656">
                  <c:v>0</c:v>
                </c:pt>
                <c:pt idx="657">
                  <c:v>0.2</c:v>
                </c:pt>
                <c:pt idx="658">
                  <c:v>0</c:v>
                </c:pt>
                <c:pt idx="659">
                  <c:v>0.2</c:v>
                </c:pt>
                <c:pt idx="660">
                  <c:v>5.2</c:v>
                </c:pt>
                <c:pt idx="661">
                  <c:v>0</c:v>
                </c:pt>
                <c:pt idx="662">
                  <c:v>59.4</c:v>
                </c:pt>
                <c:pt idx="663">
                  <c:v>0</c:v>
                </c:pt>
                <c:pt idx="664">
                  <c:v>0</c:v>
                </c:pt>
                <c:pt idx="665">
                  <c:v>0</c:v>
                </c:pt>
                <c:pt idx="666">
                  <c:v>0</c:v>
                </c:pt>
                <c:pt idx="667">
                  <c:v>0</c:v>
                </c:pt>
                <c:pt idx="668">
                  <c:v>0</c:v>
                </c:pt>
                <c:pt idx="669">
                  <c:v>0.2</c:v>
                </c:pt>
                <c:pt idx="670">
                  <c:v>0.2</c:v>
                </c:pt>
                <c:pt idx="671">
                  <c:v>32.6</c:v>
                </c:pt>
                <c:pt idx="672">
                  <c:v>0</c:v>
                </c:pt>
                <c:pt idx="673">
                  <c:v>0</c:v>
                </c:pt>
                <c:pt idx="674">
                  <c:v>0</c:v>
                </c:pt>
                <c:pt idx="675">
                  <c:v>0</c:v>
                </c:pt>
                <c:pt idx="676">
                  <c:v>0</c:v>
                </c:pt>
                <c:pt idx="677">
                  <c:v>0.4</c:v>
                </c:pt>
                <c:pt idx="678">
                  <c:v>36.6</c:v>
                </c:pt>
                <c:pt idx="679">
                  <c:v>0.2</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0.4</c:v>
                </c:pt>
                <c:pt idx="822">
                  <c:v>3.4</c:v>
                </c:pt>
                <c:pt idx="823">
                  <c:v>0.2</c:v>
                </c:pt>
                <c:pt idx="824">
                  <c:v>0</c:v>
                </c:pt>
                <c:pt idx="825">
                  <c:v>0</c:v>
                </c:pt>
                <c:pt idx="826">
                  <c:v>0</c:v>
                </c:pt>
                <c:pt idx="827">
                  <c:v>0</c:v>
                </c:pt>
                <c:pt idx="828">
                  <c:v>0</c:v>
                </c:pt>
                <c:pt idx="829">
                  <c:v>1.2</c:v>
                </c:pt>
                <c:pt idx="830">
                  <c:v>16</c:v>
                </c:pt>
                <c:pt idx="831">
                  <c:v>0</c:v>
                </c:pt>
                <c:pt idx="832">
                  <c:v>0</c:v>
                </c:pt>
                <c:pt idx="833">
                  <c:v>1.4</c:v>
                </c:pt>
                <c:pt idx="834">
                  <c:v>0</c:v>
                </c:pt>
                <c:pt idx="835">
                  <c:v>0</c:v>
                </c:pt>
                <c:pt idx="836">
                  <c:v>0</c:v>
                </c:pt>
                <c:pt idx="837">
                  <c:v>0</c:v>
                </c:pt>
                <c:pt idx="838">
                  <c:v>0</c:v>
                </c:pt>
                <c:pt idx="839">
                  <c:v>0</c:v>
                </c:pt>
                <c:pt idx="840">
                  <c:v>0</c:v>
                </c:pt>
                <c:pt idx="841">
                  <c:v>0</c:v>
                </c:pt>
                <c:pt idx="842">
                  <c:v>0</c:v>
                </c:pt>
                <c:pt idx="843">
                  <c:v>0</c:v>
                </c:pt>
                <c:pt idx="844">
                  <c:v>0</c:v>
                </c:pt>
                <c:pt idx="845">
                  <c:v>3.4</c:v>
                </c:pt>
                <c:pt idx="846">
                  <c:v>0.2</c:v>
                </c:pt>
                <c:pt idx="847">
                  <c:v>0</c:v>
                </c:pt>
                <c:pt idx="848">
                  <c:v>0</c:v>
                </c:pt>
                <c:pt idx="849">
                  <c:v>0.8</c:v>
                </c:pt>
                <c:pt idx="850">
                  <c:v>0.2</c:v>
                </c:pt>
                <c:pt idx="851">
                  <c:v>0</c:v>
                </c:pt>
                <c:pt idx="852">
                  <c:v>0</c:v>
                </c:pt>
                <c:pt idx="853">
                  <c:v>0</c:v>
                </c:pt>
                <c:pt idx="854">
                  <c:v>0</c:v>
                </c:pt>
                <c:pt idx="855">
                  <c:v>0</c:v>
                </c:pt>
                <c:pt idx="856">
                  <c:v>0</c:v>
                </c:pt>
                <c:pt idx="857">
                  <c:v>0</c:v>
                </c:pt>
                <c:pt idx="858">
                  <c:v>0</c:v>
                </c:pt>
                <c:pt idx="859">
                  <c:v>0</c:v>
                </c:pt>
                <c:pt idx="860">
                  <c:v>0</c:v>
                </c:pt>
                <c:pt idx="861">
                  <c:v>34.6</c:v>
                </c:pt>
                <c:pt idx="862">
                  <c:v>0</c:v>
                </c:pt>
                <c:pt idx="863">
                  <c:v>3.4</c:v>
                </c:pt>
                <c:pt idx="864">
                  <c:v>3</c:v>
                </c:pt>
                <c:pt idx="865">
                  <c:v>3.2</c:v>
                </c:pt>
                <c:pt idx="866">
                  <c:v>1.6</c:v>
                </c:pt>
                <c:pt idx="867">
                  <c:v>0</c:v>
                </c:pt>
                <c:pt idx="868">
                  <c:v>0</c:v>
                </c:pt>
                <c:pt idx="869">
                  <c:v>0.4</c:v>
                </c:pt>
                <c:pt idx="870">
                  <c:v>0.2</c:v>
                </c:pt>
                <c:pt idx="871">
                  <c:v>0</c:v>
                </c:pt>
                <c:pt idx="872">
                  <c:v>0</c:v>
                </c:pt>
                <c:pt idx="873">
                  <c:v>0</c:v>
                </c:pt>
                <c:pt idx="874">
                  <c:v>0</c:v>
                </c:pt>
                <c:pt idx="875">
                  <c:v>8.2000000000000011</c:v>
                </c:pt>
                <c:pt idx="876">
                  <c:v>0</c:v>
                </c:pt>
                <c:pt idx="877">
                  <c:v>50.6</c:v>
                </c:pt>
                <c:pt idx="878">
                  <c:v>0.2</c:v>
                </c:pt>
                <c:pt idx="879">
                  <c:v>0</c:v>
                </c:pt>
                <c:pt idx="880">
                  <c:v>0</c:v>
                </c:pt>
                <c:pt idx="881">
                  <c:v>27.2</c:v>
                </c:pt>
                <c:pt idx="882">
                  <c:v>0</c:v>
                </c:pt>
                <c:pt idx="883">
                  <c:v>31.8</c:v>
                </c:pt>
                <c:pt idx="884">
                  <c:v>0</c:v>
                </c:pt>
                <c:pt idx="885">
                  <c:v>0</c:v>
                </c:pt>
                <c:pt idx="886">
                  <c:v>0</c:v>
                </c:pt>
                <c:pt idx="887">
                  <c:v>0</c:v>
                </c:pt>
                <c:pt idx="888">
                  <c:v>2.2000000000000002</c:v>
                </c:pt>
                <c:pt idx="889">
                  <c:v>0</c:v>
                </c:pt>
                <c:pt idx="890">
                  <c:v>0</c:v>
                </c:pt>
                <c:pt idx="891">
                  <c:v>0</c:v>
                </c:pt>
                <c:pt idx="892">
                  <c:v>2.4</c:v>
                </c:pt>
                <c:pt idx="893">
                  <c:v>0</c:v>
                </c:pt>
                <c:pt idx="894">
                  <c:v>0</c:v>
                </c:pt>
                <c:pt idx="895">
                  <c:v>0</c:v>
                </c:pt>
                <c:pt idx="896">
                  <c:v>0</c:v>
                </c:pt>
                <c:pt idx="897">
                  <c:v>1</c:v>
                </c:pt>
                <c:pt idx="898">
                  <c:v>33</c:v>
                </c:pt>
                <c:pt idx="899">
                  <c:v>0</c:v>
                </c:pt>
                <c:pt idx="900">
                  <c:v>0</c:v>
                </c:pt>
                <c:pt idx="901">
                  <c:v>36.800000000000004</c:v>
                </c:pt>
                <c:pt idx="902">
                  <c:v>0</c:v>
                </c:pt>
                <c:pt idx="903">
                  <c:v>12</c:v>
                </c:pt>
                <c:pt idx="904">
                  <c:v>5.2</c:v>
                </c:pt>
                <c:pt idx="905">
                  <c:v>70.599999999999994</c:v>
                </c:pt>
                <c:pt idx="906">
                  <c:v>0.8</c:v>
                </c:pt>
                <c:pt idx="907">
                  <c:v>0.2</c:v>
                </c:pt>
                <c:pt idx="908">
                  <c:v>0</c:v>
                </c:pt>
                <c:pt idx="909">
                  <c:v>4.5999999999999996</c:v>
                </c:pt>
                <c:pt idx="910">
                  <c:v>0.2</c:v>
                </c:pt>
                <c:pt idx="911">
                  <c:v>27.8</c:v>
                </c:pt>
                <c:pt idx="912">
                  <c:v>3</c:v>
                </c:pt>
                <c:pt idx="913">
                  <c:v>8.6</c:v>
                </c:pt>
                <c:pt idx="914">
                  <c:v>0</c:v>
                </c:pt>
                <c:pt idx="915">
                  <c:v>0</c:v>
                </c:pt>
                <c:pt idx="916">
                  <c:v>0.60000000000000064</c:v>
                </c:pt>
                <c:pt idx="917">
                  <c:v>0.2</c:v>
                </c:pt>
                <c:pt idx="918">
                  <c:v>1.4</c:v>
                </c:pt>
                <c:pt idx="919">
                  <c:v>7.8</c:v>
                </c:pt>
                <c:pt idx="920">
                  <c:v>0</c:v>
                </c:pt>
                <c:pt idx="921">
                  <c:v>2.8</c:v>
                </c:pt>
                <c:pt idx="922">
                  <c:v>0.2</c:v>
                </c:pt>
                <c:pt idx="923">
                  <c:v>0</c:v>
                </c:pt>
                <c:pt idx="924">
                  <c:v>0.2</c:v>
                </c:pt>
                <c:pt idx="925">
                  <c:v>0</c:v>
                </c:pt>
                <c:pt idx="926">
                  <c:v>11.6</c:v>
                </c:pt>
                <c:pt idx="927">
                  <c:v>6.6</c:v>
                </c:pt>
                <c:pt idx="928">
                  <c:v>14.4</c:v>
                </c:pt>
                <c:pt idx="929">
                  <c:v>11.8</c:v>
                </c:pt>
                <c:pt idx="930">
                  <c:v>81.8</c:v>
                </c:pt>
                <c:pt idx="931">
                  <c:v>1.4</c:v>
                </c:pt>
                <c:pt idx="932">
                  <c:v>1.6</c:v>
                </c:pt>
                <c:pt idx="933">
                  <c:v>4.4000000000000004</c:v>
                </c:pt>
                <c:pt idx="934">
                  <c:v>1</c:v>
                </c:pt>
                <c:pt idx="935">
                  <c:v>0</c:v>
                </c:pt>
                <c:pt idx="936">
                  <c:v>0.4</c:v>
                </c:pt>
                <c:pt idx="937">
                  <c:v>0</c:v>
                </c:pt>
                <c:pt idx="938">
                  <c:v>0.2</c:v>
                </c:pt>
                <c:pt idx="939">
                  <c:v>0.2</c:v>
                </c:pt>
                <c:pt idx="940">
                  <c:v>0</c:v>
                </c:pt>
                <c:pt idx="941">
                  <c:v>57.8</c:v>
                </c:pt>
                <c:pt idx="942">
                  <c:v>0</c:v>
                </c:pt>
                <c:pt idx="943">
                  <c:v>0</c:v>
                </c:pt>
                <c:pt idx="944">
                  <c:v>11.2</c:v>
                </c:pt>
                <c:pt idx="945">
                  <c:v>3</c:v>
                </c:pt>
                <c:pt idx="946">
                  <c:v>8.6</c:v>
                </c:pt>
                <c:pt idx="947">
                  <c:v>0</c:v>
                </c:pt>
                <c:pt idx="948">
                  <c:v>0</c:v>
                </c:pt>
                <c:pt idx="949">
                  <c:v>0</c:v>
                </c:pt>
                <c:pt idx="950">
                  <c:v>0</c:v>
                </c:pt>
                <c:pt idx="951">
                  <c:v>0</c:v>
                </c:pt>
                <c:pt idx="952">
                  <c:v>4.2</c:v>
                </c:pt>
                <c:pt idx="953">
                  <c:v>0</c:v>
                </c:pt>
                <c:pt idx="954">
                  <c:v>9.6</c:v>
                </c:pt>
                <c:pt idx="955">
                  <c:v>24.4</c:v>
                </c:pt>
                <c:pt idx="956">
                  <c:v>18.399999999999999</c:v>
                </c:pt>
                <c:pt idx="957">
                  <c:v>0.60000000000000064</c:v>
                </c:pt>
                <c:pt idx="958">
                  <c:v>0</c:v>
                </c:pt>
                <c:pt idx="959">
                  <c:v>0</c:v>
                </c:pt>
                <c:pt idx="960">
                  <c:v>0.2</c:v>
                </c:pt>
                <c:pt idx="961">
                  <c:v>1.4</c:v>
                </c:pt>
                <c:pt idx="962">
                  <c:v>0</c:v>
                </c:pt>
                <c:pt idx="963">
                  <c:v>14.2</c:v>
                </c:pt>
                <c:pt idx="964">
                  <c:v>3.2</c:v>
                </c:pt>
                <c:pt idx="965">
                  <c:v>7.8</c:v>
                </c:pt>
                <c:pt idx="966">
                  <c:v>0.4</c:v>
                </c:pt>
                <c:pt idx="967">
                  <c:v>0</c:v>
                </c:pt>
                <c:pt idx="968">
                  <c:v>2.2000000000000002</c:v>
                </c:pt>
                <c:pt idx="969">
                  <c:v>0</c:v>
                </c:pt>
                <c:pt idx="970">
                  <c:v>0</c:v>
                </c:pt>
                <c:pt idx="971">
                  <c:v>0</c:v>
                </c:pt>
                <c:pt idx="972">
                  <c:v>4.4000000000000004</c:v>
                </c:pt>
                <c:pt idx="973">
                  <c:v>3.8</c:v>
                </c:pt>
                <c:pt idx="974">
                  <c:v>4.4000000000000004</c:v>
                </c:pt>
                <c:pt idx="975">
                  <c:v>2.4</c:v>
                </c:pt>
                <c:pt idx="976">
                  <c:v>5</c:v>
                </c:pt>
                <c:pt idx="977">
                  <c:v>2.6</c:v>
                </c:pt>
                <c:pt idx="978">
                  <c:v>1</c:v>
                </c:pt>
                <c:pt idx="979">
                  <c:v>4.2</c:v>
                </c:pt>
                <c:pt idx="980">
                  <c:v>6.6</c:v>
                </c:pt>
                <c:pt idx="981">
                  <c:v>0</c:v>
                </c:pt>
                <c:pt idx="982">
                  <c:v>2</c:v>
                </c:pt>
                <c:pt idx="983">
                  <c:v>25.8</c:v>
                </c:pt>
                <c:pt idx="984">
                  <c:v>1.4</c:v>
                </c:pt>
                <c:pt idx="985">
                  <c:v>0</c:v>
                </c:pt>
                <c:pt idx="986">
                  <c:v>4.5999999999999996</c:v>
                </c:pt>
                <c:pt idx="987">
                  <c:v>36</c:v>
                </c:pt>
                <c:pt idx="988">
                  <c:v>13.2</c:v>
                </c:pt>
                <c:pt idx="989">
                  <c:v>1.8</c:v>
                </c:pt>
                <c:pt idx="990">
                  <c:v>0</c:v>
                </c:pt>
                <c:pt idx="991">
                  <c:v>1.4</c:v>
                </c:pt>
                <c:pt idx="992">
                  <c:v>3</c:v>
                </c:pt>
                <c:pt idx="993">
                  <c:v>0.2</c:v>
                </c:pt>
                <c:pt idx="994">
                  <c:v>0</c:v>
                </c:pt>
                <c:pt idx="995">
                  <c:v>6.6</c:v>
                </c:pt>
                <c:pt idx="996">
                  <c:v>2.2000000000000002</c:v>
                </c:pt>
                <c:pt idx="997">
                  <c:v>12.8</c:v>
                </c:pt>
                <c:pt idx="998">
                  <c:v>4</c:v>
                </c:pt>
                <c:pt idx="999">
                  <c:v>27.6</c:v>
                </c:pt>
                <c:pt idx="1000">
                  <c:v>5.2</c:v>
                </c:pt>
                <c:pt idx="1001">
                  <c:v>28.4</c:v>
                </c:pt>
                <c:pt idx="1002">
                  <c:v>89.6</c:v>
                </c:pt>
                <c:pt idx="1003">
                  <c:v>149.80000000000001</c:v>
                </c:pt>
                <c:pt idx="1004">
                  <c:v>7.8</c:v>
                </c:pt>
                <c:pt idx="1005">
                  <c:v>0.2</c:v>
                </c:pt>
                <c:pt idx="1006">
                  <c:v>15.4</c:v>
                </c:pt>
                <c:pt idx="1007">
                  <c:v>0.4</c:v>
                </c:pt>
                <c:pt idx="1008">
                  <c:v>1</c:v>
                </c:pt>
                <c:pt idx="1009">
                  <c:v>0</c:v>
                </c:pt>
                <c:pt idx="1010">
                  <c:v>0</c:v>
                </c:pt>
                <c:pt idx="1011">
                  <c:v>0</c:v>
                </c:pt>
                <c:pt idx="1012">
                  <c:v>3</c:v>
                </c:pt>
                <c:pt idx="1013">
                  <c:v>0.2</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3.6</c:v>
                </c:pt>
                <c:pt idx="1040">
                  <c:v>0.2</c:v>
                </c:pt>
                <c:pt idx="1041">
                  <c:v>0</c:v>
                </c:pt>
                <c:pt idx="1042">
                  <c:v>0</c:v>
                </c:pt>
                <c:pt idx="1043">
                  <c:v>0</c:v>
                </c:pt>
                <c:pt idx="1044">
                  <c:v>0.2</c:v>
                </c:pt>
                <c:pt idx="1045">
                  <c:v>0</c:v>
                </c:pt>
                <c:pt idx="1046">
                  <c:v>0</c:v>
                </c:pt>
                <c:pt idx="1047">
                  <c:v>0</c:v>
                </c:pt>
                <c:pt idx="1048">
                  <c:v>0</c:v>
                </c:pt>
                <c:pt idx="1049">
                  <c:v>0</c:v>
                </c:pt>
                <c:pt idx="1050">
                  <c:v>0</c:v>
                </c:pt>
                <c:pt idx="1051">
                  <c:v>9</c:v>
                </c:pt>
                <c:pt idx="1052">
                  <c:v>0.2</c:v>
                </c:pt>
                <c:pt idx="1053">
                  <c:v>10.6</c:v>
                </c:pt>
                <c:pt idx="1054">
                  <c:v>0.2</c:v>
                </c:pt>
                <c:pt idx="1055">
                  <c:v>0.2</c:v>
                </c:pt>
                <c:pt idx="1056">
                  <c:v>10</c:v>
                </c:pt>
                <c:pt idx="1057">
                  <c:v>9.4</c:v>
                </c:pt>
                <c:pt idx="1058">
                  <c:v>0</c:v>
                </c:pt>
                <c:pt idx="1059">
                  <c:v>0</c:v>
                </c:pt>
                <c:pt idx="1060">
                  <c:v>0</c:v>
                </c:pt>
                <c:pt idx="1061">
                  <c:v>0</c:v>
                </c:pt>
                <c:pt idx="1062">
                  <c:v>0.4</c:v>
                </c:pt>
                <c:pt idx="1063">
                  <c:v>0</c:v>
                </c:pt>
                <c:pt idx="1064">
                  <c:v>0</c:v>
                </c:pt>
                <c:pt idx="1065">
                  <c:v>0</c:v>
                </c:pt>
                <c:pt idx="1066">
                  <c:v>0</c:v>
                </c:pt>
                <c:pt idx="1067">
                  <c:v>0</c:v>
                </c:pt>
                <c:pt idx="1068">
                  <c:v>0</c:v>
                </c:pt>
                <c:pt idx="1069">
                  <c:v>0</c:v>
                </c:pt>
                <c:pt idx="1070">
                  <c:v>0</c:v>
                </c:pt>
                <c:pt idx="1071">
                  <c:v>0</c:v>
                </c:pt>
                <c:pt idx="1072">
                  <c:v>0</c:v>
                </c:pt>
                <c:pt idx="1073">
                  <c:v>0</c:v>
                </c:pt>
                <c:pt idx="1074">
                  <c:v>0</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0</c:v>
                </c:pt>
                <c:pt idx="1088">
                  <c:v>0</c:v>
                </c:pt>
                <c:pt idx="1089">
                  <c:v>0</c:v>
                </c:pt>
                <c:pt idx="1090">
                  <c:v>0</c:v>
                </c:pt>
                <c:pt idx="1091">
                  <c:v>0</c:v>
                </c:pt>
                <c:pt idx="1092">
                  <c:v>0</c:v>
                </c:pt>
                <c:pt idx="1093">
                  <c:v>0</c:v>
                </c:pt>
                <c:pt idx="1094">
                  <c:v>0</c:v>
                </c:pt>
                <c:pt idx="1095">
                  <c:v>0</c:v>
                </c:pt>
                <c:pt idx="1096">
                  <c:v>0</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0</c:v>
                </c:pt>
                <c:pt idx="1172">
                  <c:v>0</c:v>
                </c:pt>
                <c:pt idx="1173">
                  <c:v>12</c:v>
                </c:pt>
                <c:pt idx="1174">
                  <c:v>20.2</c:v>
                </c:pt>
                <c:pt idx="1175">
                  <c:v>0</c:v>
                </c:pt>
                <c:pt idx="1176">
                  <c:v>0</c:v>
                </c:pt>
                <c:pt idx="1177">
                  <c:v>0</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0.4</c:v>
                </c:pt>
                <c:pt idx="1202">
                  <c:v>0</c:v>
                </c:pt>
                <c:pt idx="1203">
                  <c:v>0</c:v>
                </c:pt>
                <c:pt idx="1204">
                  <c:v>0</c:v>
                </c:pt>
                <c:pt idx="1205">
                  <c:v>0</c:v>
                </c:pt>
                <c:pt idx="1206">
                  <c:v>0</c:v>
                </c:pt>
                <c:pt idx="1207">
                  <c:v>0</c:v>
                </c:pt>
                <c:pt idx="1208">
                  <c:v>0</c:v>
                </c:pt>
                <c:pt idx="1209">
                  <c:v>0</c:v>
                </c:pt>
                <c:pt idx="1210">
                  <c:v>0</c:v>
                </c:pt>
                <c:pt idx="1211">
                  <c:v>0</c:v>
                </c:pt>
                <c:pt idx="1212">
                  <c:v>0</c:v>
                </c:pt>
                <c:pt idx="1213">
                  <c:v>1.2</c:v>
                </c:pt>
                <c:pt idx="1214">
                  <c:v>0.2</c:v>
                </c:pt>
                <c:pt idx="1215">
                  <c:v>0</c:v>
                </c:pt>
                <c:pt idx="1216">
                  <c:v>0</c:v>
                </c:pt>
                <c:pt idx="1217">
                  <c:v>0</c:v>
                </c:pt>
                <c:pt idx="1218">
                  <c:v>0</c:v>
                </c:pt>
                <c:pt idx="1219">
                  <c:v>20</c:v>
                </c:pt>
                <c:pt idx="1220">
                  <c:v>0</c:v>
                </c:pt>
                <c:pt idx="1221">
                  <c:v>0</c:v>
                </c:pt>
                <c:pt idx="1222">
                  <c:v>9.2000000000000011</c:v>
                </c:pt>
                <c:pt idx="1223">
                  <c:v>0</c:v>
                </c:pt>
                <c:pt idx="1224">
                  <c:v>0</c:v>
                </c:pt>
                <c:pt idx="1225">
                  <c:v>0</c:v>
                </c:pt>
                <c:pt idx="1226">
                  <c:v>0</c:v>
                </c:pt>
                <c:pt idx="1227">
                  <c:v>0</c:v>
                </c:pt>
                <c:pt idx="1228">
                  <c:v>25.8</c:v>
                </c:pt>
                <c:pt idx="1229">
                  <c:v>1.6</c:v>
                </c:pt>
                <c:pt idx="1230">
                  <c:v>0</c:v>
                </c:pt>
                <c:pt idx="1231">
                  <c:v>0</c:v>
                </c:pt>
                <c:pt idx="1232">
                  <c:v>0</c:v>
                </c:pt>
                <c:pt idx="1233">
                  <c:v>0</c:v>
                </c:pt>
                <c:pt idx="1234">
                  <c:v>0</c:v>
                </c:pt>
                <c:pt idx="1235">
                  <c:v>0</c:v>
                </c:pt>
                <c:pt idx="1236">
                  <c:v>0</c:v>
                </c:pt>
                <c:pt idx="1237">
                  <c:v>1.6</c:v>
                </c:pt>
                <c:pt idx="1238">
                  <c:v>4</c:v>
                </c:pt>
                <c:pt idx="1239">
                  <c:v>12.4</c:v>
                </c:pt>
                <c:pt idx="1240">
                  <c:v>0</c:v>
                </c:pt>
                <c:pt idx="1241">
                  <c:v>0.4</c:v>
                </c:pt>
                <c:pt idx="1242">
                  <c:v>18.8</c:v>
                </c:pt>
                <c:pt idx="1243">
                  <c:v>48.8</c:v>
                </c:pt>
                <c:pt idx="1244">
                  <c:v>13.4</c:v>
                </c:pt>
                <c:pt idx="1245">
                  <c:v>18.2</c:v>
                </c:pt>
                <c:pt idx="1246">
                  <c:v>2.2000000000000002</c:v>
                </c:pt>
                <c:pt idx="1247">
                  <c:v>2</c:v>
                </c:pt>
                <c:pt idx="1248">
                  <c:v>23.8</c:v>
                </c:pt>
                <c:pt idx="1249">
                  <c:v>0.2</c:v>
                </c:pt>
                <c:pt idx="1250">
                  <c:v>0</c:v>
                </c:pt>
                <c:pt idx="1251">
                  <c:v>0.4</c:v>
                </c:pt>
                <c:pt idx="1253">
                  <c:v>69</c:v>
                </c:pt>
                <c:pt idx="1254">
                  <c:v>0</c:v>
                </c:pt>
                <c:pt idx="1255">
                  <c:v>0</c:v>
                </c:pt>
                <c:pt idx="1256">
                  <c:v>0</c:v>
                </c:pt>
                <c:pt idx="1257">
                  <c:v>0</c:v>
                </c:pt>
                <c:pt idx="1258">
                  <c:v>0</c:v>
                </c:pt>
                <c:pt idx="1259">
                  <c:v>0</c:v>
                </c:pt>
                <c:pt idx="1260">
                  <c:v>0</c:v>
                </c:pt>
                <c:pt idx="1261">
                  <c:v>0</c:v>
                </c:pt>
                <c:pt idx="1262">
                  <c:v>36.6</c:v>
                </c:pt>
                <c:pt idx="1263">
                  <c:v>9.8000000000000007</c:v>
                </c:pt>
                <c:pt idx="1264">
                  <c:v>0</c:v>
                </c:pt>
                <c:pt idx="1265">
                  <c:v>0</c:v>
                </c:pt>
                <c:pt idx="1266">
                  <c:v>11.2</c:v>
                </c:pt>
                <c:pt idx="1267">
                  <c:v>0.2</c:v>
                </c:pt>
                <c:pt idx="1268">
                  <c:v>0</c:v>
                </c:pt>
                <c:pt idx="1269">
                  <c:v>14.8</c:v>
                </c:pt>
                <c:pt idx="1270">
                  <c:v>7.6</c:v>
                </c:pt>
                <c:pt idx="1271">
                  <c:v>8</c:v>
                </c:pt>
                <c:pt idx="1272">
                  <c:v>22.2</c:v>
                </c:pt>
                <c:pt idx="1273">
                  <c:v>10.4</c:v>
                </c:pt>
                <c:pt idx="1274">
                  <c:v>2.8</c:v>
                </c:pt>
                <c:pt idx="1275">
                  <c:v>0.2</c:v>
                </c:pt>
                <c:pt idx="1276">
                  <c:v>16.2</c:v>
                </c:pt>
                <c:pt idx="1277">
                  <c:v>0</c:v>
                </c:pt>
                <c:pt idx="1278">
                  <c:v>4.4000000000000004</c:v>
                </c:pt>
                <c:pt idx="1279">
                  <c:v>3.2</c:v>
                </c:pt>
                <c:pt idx="1280">
                  <c:v>0</c:v>
                </c:pt>
                <c:pt idx="1281">
                  <c:v>0</c:v>
                </c:pt>
                <c:pt idx="1282">
                  <c:v>0</c:v>
                </c:pt>
                <c:pt idx="1283">
                  <c:v>16</c:v>
                </c:pt>
                <c:pt idx="1284">
                  <c:v>0.60000000000000064</c:v>
                </c:pt>
                <c:pt idx="1285">
                  <c:v>0</c:v>
                </c:pt>
                <c:pt idx="1286">
                  <c:v>0</c:v>
                </c:pt>
                <c:pt idx="1287">
                  <c:v>0</c:v>
                </c:pt>
                <c:pt idx="1288">
                  <c:v>0</c:v>
                </c:pt>
                <c:pt idx="1289">
                  <c:v>12.8</c:v>
                </c:pt>
                <c:pt idx="1290">
                  <c:v>0.2</c:v>
                </c:pt>
                <c:pt idx="1291">
                  <c:v>15.8</c:v>
                </c:pt>
                <c:pt idx="1292">
                  <c:v>0.60000000000000064</c:v>
                </c:pt>
              </c:numCache>
            </c:numRef>
          </c:val>
        </c:ser>
        <c:gapWidth val="0"/>
        <c:axId val="50711936"/>
        <c:axId val="50713728"/>
      </c:barChart>
      <c:scatterChart>
        <c:scatterStyle val="lineMarker"/>
        <c:ser>
          <c:idx val="1"/>
          <c:order val="0"/>
          <c:tx>
            <c:strRef>
              <c:f>Sheet1!$B$1</c:f>
              <c:strCache>
                <c:ptCount val="1"/>
                <c:pt idx="0">
                  <c:v>Discharge_ML/d</c:v>
                </c:pt>
              </c:strCache>
            </c:strRef>
          </c:tx>
          <c:spPr>
            <a:ln w="12700"/>
          </c:spPr>
          <c:marker>
            <c:symbol val="none"/>
          </c:marker>
          <c:xVal>
            <c:numRef>
              <c:f>Sheet1!$A$2:$A$1338</c:f>
              <c:numCache>
                <c:formatCode>m/d/yyyy</c:formatCode>
                <c:ptCount val="1337"/>
                <c:pt idx="0">
                  <c:v>40361</c:v>
                </c:pt>
                <c:pt idx="1">
                  <c:v>40362</c:v>
                </c:pt>
                <c:pt idx="2">
                  <c:v>40363</c:v>
                </c:pt>
                <c:pt idx="3">
                  <c:v>40364</c:v>
                </c:pt>
                <c:pt idx="4">
                  <c:v>40365</c:v>
                </c:pt>
                <c:pt idx="5">
                  <c:v>40366</c:v>
                </c:pt>
                <c:pt idx="6">
                  <c:v>40367</c:v>
                </c:pt>
                <c:pt idx="7">
                  <c:v>40368</c:v>
                </c:pt>
                <c:pt idx="8">
                  <c:v>40369</c:v>
                </c:pt>
                <c:pt idx="9">
                  <c:v>40370</c:v>
                </c:pt>
                <c:pt idx="10">
                  <c:v>40371</c:v>
                </c:pt>
                <c:pt idx="11">
                  <c:v>40372</c:v>
                </c:pt>
                <c:pt idx="12">
                  <c:v>40373</c:v>
                </c:pt>
                <c:pt idx="13">
                  <c:v>40374</c:v>
                </c:pt>
                <c:pt idx="14">
                  <c:v>40375</c:v>
                </c:pt>
                <c:pt idx="15">
                  <c:v>40376</c:v>
                </c:pt>
                <c:pt idx="16">
                  <c:v>40377</c:v>
                </c:pt>
                <c:pt idx="17">
                  <c:v>40378</c:v>
                </c:pt>
                <c:pt idx="18">
                  <c:v>40379</c:v>
                </c:pt>
                <c:pt idx="19">
                  <c:v>40380</c:v>
                </c:pt>
                <c:pt idx="20">
                  <c:v>40381</c:v>
                </c:pt>
                <c:pt idx="21">
                  <c:v>40382</c:v>
                </c:pt>
                <c:pt idx="22">
                  <c:v>40383</c:v>
                </c:pt>
                <c:pt idx="23">
                  <c:v>40384</c:v>
                </c:pt>
                <c:pt idx="24">
                  <c:v>40385</c:v>
                </c:pt>
                <c:pt idx="25">
                  <c:v>40386</c:v>
                </c:pt>
                <c:pt idx="26">
                  <c:v>40387</c:v>
                </c:pt>
                <c:pt idx="27">
                  <c:v>40388</c:v>
                </c:pt>
                <c:pt idx="28">
                  <c:v>40389</c:v>
                </c:pt>
                <c:pt idx="29">
                  <c:v>40390</c:v>
                </c:pt>
                <c:pt idx="30">
                  <c:v>40391</c:v>
                </c:pt>
                <c:pt idx="31">
                  <c:v>40392</c:v>
                </c:pt>
                <c:pt idx="32">
                  <c:v>40393</c:v>
                </c:pt>
                <c:pt idx="33">
                  <c:v>40394</c:v>
                </c:pt>
                <c:pt idx="34">
                  <c:v>40395</c:v>
                </c:pt>
                <c:pt idx="35">
                  <c:v>40396</c:v>
                </c:pt>
                <c:pt idx="36">
                  <c:v>40397</c:v>
                </c:pt>
                <c:pt idx="37">
                  <c:v>40398</c:v>
                </c:pt>
                <c:pt idx="38">
                  <c:v>40399</c:v>
                </c:pt>
                <c:pt idx="39">
                  <c:v>40400</c:v>
                </c:pt>
                <c:pt idx="40">
                  <c:v>40401</c:v>
                </c:pt>
                <c:pt idx="41">
                  <c:v>40402</c:v>
                </c:pt>
                <c:pt idx="42">
                  <c:v>40403</c:v>
                </c:pt>
                <c:pt idx="43">
                  <c:v>40404</c:v>
                </c:pt>
                <c:pt idx="44">
                  <c:v>40405</c:v>
                </c:pt>
                <c:pt idx="45">
                  <c:v>40406</c:v>
                </c:pt>
                <c:pt idx="46">
                  <c:v>40407</c:v>
                </c:pt>
                <c:pt idx="47">
                  <c:v>40408</c:v>
                </c:pt>
                <c:pt idx="48">
                  <c:v>40409</c:v>
                </c:pt>
                <c:pt idx="49">
                  <c:v>40410</c:v>
                </c:pt>
                <c:pt idx="50">
                  <c:v>40411</c:v>
                </c:pt>
                <c:pt idx="51">
                  <c:v>40412</c:v>
                </c:pt>
                <c:pt idx="52">
                  <c:v>40413</c:v>
                </c:pt>
                <c:pt idx="53">
                  <c:v>40414</c:v>
                </c:pt>
                <c:pt idx="54">
                  <c:v>40415</c:v>
                </c:pt>
                <c:pt idx="55">
                  <c:v>40416</c:v>
                </c:pt>
                <c:pt idx="56">
                  <c:v>40417</c:v>
                </c:pt>
                <c:pt idx="57">
                  <c:v>40418</c:v>
                </c:pt>
                <c:pt idx="58">
                  <c:v>40419</c:v>
                </c:pt>
                <c:pt idx="59">
                  <c:v>40420</c:v>
                </c:pt>
                <c:pt idx="60">
                  <c:v>40421</c:v>
                </c:pt>
                <c:pt idx="61">
                  <c:v>40422</c:v>
                </c:pt>
                <c:pt idx="62">
                  <c:v>40423</c:v>
                </c:pt>
                <c:pt idx="63">
                  <c:v>40424</c:v>
                </c:pt>
                <c:pt idx="64">
                  <c:v>40425</c:v>
                </c:pt>
                <c:pt idx="65">
                  <c:v>40426</c:v>
                </c:pt>
                <c:pt idx="66">
                  <c:v>40427</c:v>
                </c:pt>
                <c:pt idx="67">
                  <c:v>40428</c:v>
                </c:pt>
                <c:pt idx="68">
                  <c:v>40429</c:v>
                </c:pt>
                <c:pt idx="69">
                  <c:v>40430</c:v>
                </c:pt>
                <c:pt idx="70">
                  <c:v>40431</c:v>
                </c:pt>
                <c:pt idx="71">
                  <c:v>40432</c:v>
                </c:pt>
                <c:pt idx="72">
                  <c:v>40433</c:v>
                </c:pt>
                <c:pt idx="73">
                  <c:v>40434</c:v>
                </c:pt>
                <c:pt idx="74">
                  <c:v>40435</c:v>
                </c:pt>
                <c:pt idx="75">
                  <c:v>40436</c:v>
                </c:pt>
                <c:pt idx="76">
                  <c:v>40437</c:v>
                </c:pt>
                <c:pt idx="77">
                  <c:v>40438</c:v>
                </c:pt>
                <c:pt idx="78">
                  <c:v>40439</c:v>
                </c:pt>
                <c:pt idx="79">
                  <c:v>40440</c:v>
                </c:pt>
                <c:pt idx="80">
                  <c:v>40441</c:v>
                </c:pt>
                <c:pt idx="81">
                  <c:v>40442</c:v>
                </c:pt>
                <c:pt idx="82">
                  <c:v>40443</c:v>
                </c:pt>
                <c:pt idx="83">
                  <c:v>40444</c:v>
                </c:pt>
                <c:pt idx="84">
                  <c:v>40445</c:v>
                </c:pt>
                <c:pt idx="85">
                  <c:v>40446</c:v>
                </c:pt>
                <c:pt idx="86">
                  <c:v>40447</c:v>
                </c:pt>
                <c:pt idx="87">
                  <c:v>40448</c:v>
                </c:pt>
                <c:pt idx="88">
                  <c:v>40449</c:v>
                </c:pt>
                <c:pt idx="89">
                  <c:v>40450</c:v>
                </c:pt>
                <c:pt idx="90">
                  <c:v>40451</c:v>
                </c:pt>
                <c:pt idx="91">
                  <c:v>40452</c:v>
                </c:pt>
                <c:pt idx="92">
                  <c:v>40453</c:v>
                </c:pt>
                <c:pt idx="93">
                  <c:v>40454</c:v>
                </c:pt>
                <c:pt idx="94">
                  <c:v>40455</c:v>
                </c:pt>
                <c:pt idx="95">
                  <c:v>40456</c:v>
                </c:pt>
                <c:pt idx="96">
                  <c:v>40457</c:v>
                </c:pt>
                <c:pt idx="97">
                  <c:v>40458</c:v>
                </c:pt>
                <c:pt idx="98">
                  <c:v>40459</c:v>
                </c:pt>
                <c:pt idx="99">
                  <c:v>40460</c:v>
                </c:pt>
                <c:pt idx="100">
                  <c:v>40461</c:v>
                </c:pt>
                <c:pt idx="101">
                  <c:v>40462</c:v>
                </c:pt>
                <c:pt idx="102">
                  <c:v>40463</c:v>
                </c:pt>
                <c:pt idx="103">
                  <c:v>40464</c:v>
                </c:pt>
                <c:pt idx="104">
                  <c:v>40465</c:v>
                </c:pt>
                <c:pt idx="105">
                  <c:v>40466</c:v>
                </c:pt>
                <c:pt idx="106">
                  <c:v>40467</c:v>
                </c:pt>
                <c:pt idx="107">
                  <c:v>40468</c:v>
                </c:pt>
                <c:pt idx="108">
                  <c:v>40469</c:v>
                </c:pt>
                <c:pt idx="109">
                  <c:v>40470</c:v>
                </c:pt>
                <c:pt idx="110">
                  <c:v>40471</c:v>
                </c:pt>
                <c:pt idx="111">
                  <c:v>40472</c:v>
                </c:pt>
                <c:pt idx="112">
                  <c:v>40473</c:v>
                </c:pt>
                <c:pt idx="113">
                  <c:v>40474</c:v>
                </c:pt>
                <c:pt idx="114">
                  <c:v>40475</c:v>
                </c:pt>
                <c:pt idx="115">
                  <c:v>40476</c:v>
                </c:pt>
                <c:pt idx="116">
                  <c:v>40477</c:v>
                </c:pt>
                <c:pt idx="117">
                  <c:v>40478</c:v>
                </c:pt>
                <c:pt idx="118">
                  <c:v>40479</c:v>
                </c:pt>
                <c:pt idx="119">
                  <c:v>40480</c:v>
                </c:pt>
                <c:pt idx="120">
                  <c:v>40481</c:v>
                </c:pt>
                <c:pt idx="121">
                  <c:v>40482</c:v>
                </c:pt>
                <c:pt idx="122">
                  <c:v>40483</c:v>
                </c:pt>
                <c:pt idx="123">
                  <c:v>40484</c:v>
                </c:pt>
                <c:pt idx="124">
                  <c:v>40485</c:v>
                </c:pt>
                <c:pt idx="125">
                  <c:v>40486</c:v>
                </c:pt>
                <c:pt idx="126">
                  <c:v>40487</c:v>
                </c:pt>
                <c:pt idx="127">
                  <c:v>40488</c:v>
                </c:pt>
                <c:pt idx="128">
                  <c:v>40489</c:v>
                </c:pt>
                <c:pt idx="129">
                  <c:v>40490</c:v>
                </c:pt>
                <c:pt idx="130">
                  <c:v>40491</c:v>
                </c:pt>
                <c:pt idx="131">
                  <c:v>40492</c:v>
                </c:pt>
                <c:pt idx="132">
                  <c:v>40493</c:v>
                </c:pt>
                <c:pt idx="133">
                  <c:v>40494</c:v>
                </c:pt>
                <c:pt idx="134">
                  <c:v>40495</c:v>
                </c:pt>
                <c:pt idx="135">
                  <c:v>40496</c:v>
                </c:pt>
                <c:pt idx="136">
                  <c:v>40497</c:v>
                </c:pt>
                <c:pt idx="137">
                  <c:v>40498</c:v>
                </c:pt>
                <c:pt idx="138">
                  <c:v>40499</c:v>
                </c:pt>
                <c:pt idx="139">
                  <c:v>40500</c:v>
                </c:pt>
                <c:pt idx="140">
                  <c:v>40501</c:v>
                </c:pt>
                <c:pt idx="141">
                  <c:v>40502</c:v>
                </c:pt>
                <c:pt idx="142">
                  <c:v>40503</c:v>
                </c:pt>
                <c:pt idx="143">
                  <c:v>40504</c:v>
                </c:pt>
                <c:pt idx="144">
                  <c:v>40505</c:v>
                </c:pt>
                <c:pt idx="145">
                  <c:v>40506</c:v>
                </c:pt>
                <c:pt idx="146">
                  <c:v>40507</c:v>
                </c:pt>
                <c:pt idx="147">
                  <c:v>40508</c:v>
                </c:pt>
                <c:pt idx="148">
                  <c:v>40509</c:v>
                </c:pt>
                <c:pt idx="149">
                  <c:v>40510</c:v>
                </c:pt>
                <c:pt idx="150">
                  <c:v>40511</c:v>
                </c:pt>
                <c:pt idx="151">
                  <c:v>40512</c:v>
                </c:pt>
                <c:pt idx="152">
                  <c:v>40513</c:v>
                </c:pt>
                <c:pt idx="153">
                  <c:v>40514</c:v>
                </c:pt>
                <c:pt idx="154">
                  <c:v>40515</c:v>
                </c:pt>
                <c:pt idx="155">
                  <c:v>40516</c:v>
                </c:pt>
                <c:pt idx="156">
                  <c:v>40517</c:v>
                </c:pt>
                <c:pt idx="157">
                  <c:v>40518</c:v>
                </c:pt>
                <c:pt idx="158">
                  <c:v>40519</c:v>
                </c:pt>
                <c:pt idx="159">
                  <c:v>40520</c:v>
                </c:pt>
                <c:pt idx="160">
                  <c:v>40521</c:v>
                </c:pt>
                <c:pt idx="161">
                  <c:v>40522</c:v>
                </c:pt>
                <c:pt idx="162">
                  <c:v>40523</c:v>
                </c:pt>
                <c:pt idx="163">
                  <c:v>40524</c:v>
                </c:pt>
                <c:pt idx="164">
                  <c:v>40525</c:v>
                </c:pt>
                <c:pt idx="165">
                  <c:v>40526</c:v>
                </c:pt>
                <c:pt idx="166">
                  <c:v>40527</c:v>
                </c:pt>
                <c:pt idx="167">
                  <c:v>40528</c:v>
                </c:pt>
                <c:pt idx="168">
                  <c:v>40529</c:v>
                </c:pt>
                <c:pt idx="169">
                  <c:v>40530</c:v>
                </c:pt>
                <c:pt idx="170">
                  <c:v>40531</c:v>
                </c:pt>
                <c:pt idx="171">
                  <c:v>40532</c:v>
                </c:pt>
                <c:pt idx="172">
                  <c:v>40533</c:v>
                </c:pt>
                <c:pt idx="173">
                  <c:v>40534</c:v>
                </c:pt>
                <c:pt idx="174">
                  <c:v>40535</c:v>
                </c:pt>
                <c:pt idx="175">
                  <c:v>40536</c:v>
                </c:pt>
                <c:pt idx="176">
                  <c:v>40537</c:v>
                </c:pt>
                <c:pt idx="177">
                  <c:v>40538</c:v>
                </c:pt>
                <c:pt idx="178">
                  <c:v>40539</c:v>
                </c:pt>
                <c:pt idx="179">
                  <c:v>40540</c:v>
                </c:pt>
                <c:pt idx="180">
                  <c:v>40541</c:v>
                </c:pt>
                <c:pt idx="181">
                  <c:v>40542</c:v>
                </c:pt>
                <c:pt idx="182">
                  <c:v>40543</c:v>
                </c:pt>
                <c:pt idx="183">
                  <c:v>40544</c:v>
                </c:pt>
                <c:pt idx="184">
                  <c:v>40545</c:v>
                </c:pt>
                <c:pt idx="185">
                  <c:v>40546</c:v>
                </c:pt>
                <c:pt idx="186">
                  <c:v>40547</c:v>
                </c:pt>
                <c:pt idx="187">
                  <c:v>40548</c:v>
                </c:pt>
                <c:pt idx="188">
                  <c:v>40549</c:v>
                </c:pt>
                <c:pt idx="189">
                  <c:v>40550</c:v>
                </c:pt>
                <c:pt idx="190">
                  <c:v>40551</c:v>
                </c:pt>
                <c:pt idx="191">
                  <c:v>40552</c:v>
                </c:pt>
                <c:pt idx="192">
                  <c:v>40553</c:v>
                </c:pt>
                <c:pt idx="193">
                  <c:v>40554</c:v>
                </c:pt>
                <c:pt idx="194">
                  <c:v>40555</c:v>
                </c:pt>
                <c:pt idx="195">
                  <c:v>40556</c:v>
                </c:pt>
                <c:pt idx="196">
                  <c:v>40557</c:v>
                </c:pt>
                <c:pt idx="197">
                  <c:v>40558</c:v>
                </c:pt>
                <c:pt idx="198">
                  <c:v>40559</c:v>
                </c:pt>
                <c:pt idx="199">
                  <c:v>40560</c:v>
                </c:pt>
                <c:pt idx="200">
                  <c:v>40561</c:v>
                </c:pt>
                <c:pt idx="201">
                  <c:v>40562</c:v>
                </c:pt>
                <c:pt idx="202">
                  <c:v>40563</c:v>
                </c:pt>
                <c:pt idx="203">
                  <c:v>40564</c:v>
                </c:pt>
                <c:pt idx="204">
                  <c:v>40565</c:v>
                </c:pt>
                <c:pt idx="205">
                  <c:v>40566</c:v>
                </c:pt>
                <c:pt idx="206">
                  <c:v>40567</c:v>
                </c:pt>
                <c:pt idx="207">
                  <c:v>40568</c:v>
                </c:pt>
                <c:pt idx="208">
                  <c:v>40569</c:v>
                </c:pt>
                <c:pt idx="209">
                  <c:v>40570</c:v>
                </c:pt>
                <c:pt idx="210">
                  <c:v>40571</c:v>
                </c:pt>
                <c:pt idx="211">
                  <c:v>40572</c:v>
                </c:pt>
                <c:pt idx="212">
                  <c:v>40573</c:v>
                </c:pt>
                <c:pt idx="213">
                  <c:v>40574</c:v>
                </c:pt>
                <c:pt idx="214">
                  <c:v>40575</c:v>
                </c:pt>
                <c:pt idx="215">
                  <c:v>40576</c:v>
                </c:pt>
                <c:pt idx="216">
                  <c:v>40577</c:v>
                </c:pt>
                <c:pt idx="217">
                  <c:v>40578</c:v>
                </c:pt>
                <c:pt idx="218">
                  <c:v>40579</c:v>
                </c:pt>
                <c:pt idx="219">
                  <c:v>40580</c:v>
                </c:pt>
                <c:pt idx="220">
                  <c:v>40581</c:v>
                </c:pt>
                <c:pt idx="221">
                  <c:v>40582</c:v>
                </c:pt>
                <c:pt idx="222">
                  <c:v>40583</c:v>
                </c:pt>
                <c:pt idx="223">
                  <c:v>40584</c:v>
                </c:pt>
                <c:pt idx="224">
                  <c:v>40585</c:v>
                </c:pt>
                <c:pt idx="225">
                  <c:v>40586</c:v>
                </c:pt>
                <c:pt idx="226">
                  <c:v>40587</c:v>
                </c:pt>
                <c:pt idx="227">
                  <c:v>40588</c:v>
                </c:pt>
                <c:pt idx="228">
                  <c:v>40589</c:v>
                </c:pt>
                <c:pt idx="229">
                  <c:v>40590</c:v>
                </c:pt>
                <c:pt idx="230">
                  <c:v>40591</c:v>
                </c:pt>
                <c:pt idx="231">
                  <c:v>40592</c:v>
                </c:pt>
                <c:pt idx="232">
                  <c:v>40593</c:v>
                </c:pt>
                <c:pt idx="233">
                  <c:v>40594</c:v>
                </c:pt>
                <c:pt idx="234">
                  <c:v>40595</c:v>
                </c:pt>
                <c:pt idx="235">
                  <c:v>40596</c:v>
                </c:pt>
                <c:pt idx="236">
                  <c:v>40597</c:v>
                </c:pt>
                <c:pt idx="237">
                  <c:v>40598</c:v>
                </c:pt>
                <c:pt idx="238">
                  <c:v>40599</c:v>
                </c:pt>
                <c:pt idx="239">
                  <c:v>40600</c:v>
                </c:pt>
                <c:pt idx="240">
                  <c:v>40601</c:v>
                </c:pt>
                <c:pt idx="241">
                  <c:v>40602</c:v>
                </c:pt>
                <c:pt idx="242">
                  <c:v>40603</c:v>
                </c:pt>
                <c:pt idx="243">
                  <c:v>40604</c:v>
                </c:pt>
                <c:pt idx="244">
                  <c:v>40605</c:v>
                </c:pt>
                <c:pt idx="245">
                  <c:v>40606</c:v>
                </c:pt>
                <c:pt idx="246">
                  <c:v>40607</c:v>
                </c:pt>
                <c:pt idx="247">
                  <c:v>40608</c:v>
                </c:pt>
                <c:pt idx="248">
                  <c:v>40609</c:v>
                </c:pt>
                <c:pt idx="249">
                  <c:v>40610</c:v>
                </c:pt>
                <c:pt idx="250">
                  <c:v>40611</c:v>
                </c:pt>
                <c:pt idx="251">
                  <c:v>40612</c:v>
                </c:pt>
                <c:pt idx="252">
                  <c:v>40613</c:v>
                </c:pt>
                <c:pt idx="253">
                  <c:v>40614</c:v>
                </c:pt>
                <c:pt idx="254">
                  <c:v>40615</c:v>
                </c:pt>
                <c:pt idx="255">
                  <c:v>40616</c:v>
                </c:pt>
                <c:pt idx="256">
                  <c:v>40617</c:v>
                </c:pt>
                <c:pt idx="257">
                  <c:v>40618</c:v>
                </c:pt>
                <c:pt idx="258">
                  <c:v>40619</c:v>
                </c:pt>
                <c:pt idx="259">
                  <c:v>40620</c:v>
                </c:pt>
                <c:pt idx="260">
                  <c:v>40621</c:v>
                </c:pt>
                <c:pt idx="261">
                  <c:v>40622</c:v>
                </c:pt>
                <c:pt idx="262">
                  <c:v>40623</c:v>
                </c:pt>
                <c:pt idx="263">
                  <c:v>40624</c:v>
                </c:pt>
                <c:pt idx="264">
                  <c:v>40625</c:v>
                </c:pt>
                <c:pt idx="265">
                  <c:v>40626</c:v>
                </c:pt>
                <c:pt idx="266">
                  <c:v>40627</c:v>
                </c:pt>
                <c:pt idx="267">
                  <c:v>40628</c:v>
                </c:pt>
                <c:pt idx="268">
                  <c:v>40629</c:v>
                </c:pt>
                <c:pt idx="269">
                  <c:v>40630</c:v>
                </c:pt>
                <c:pt idx="270">
                  <c:v>40631</c:v>
                </c:pt>
                <c:pt idx="271">
                  <c:v>40632</c:v>
                </c:pt>
                <c:pt idx="272">
                  <c:v>40633</c:v>
                </c:pt>
                <c:pt idx="273">
                  <c:v>40634</c:v>
                </c:pt>
                <c:pt idx="274">
                  <c:v>40635</c:v>
                </c:pt>
                <c:pt idx="275">
                  <c:v>40636</c:v>
                </c:pt>
                <c:pt idx="276">
                  <c:v>40637</c:v>
                </c:pt>
                <c:pt idx="277">
                  <c:v>40638</c:v>
                </c:pt>
                <c:pt idx="278">
                  <c:v>40639</c:v>
                </c:pt>
                <c:pt idx="279">
                  <c:v>40640</c:v>
                </c:pt>
                <c:pt idx="280">
                  <c:v>40641</c:v>
                </c:pt>
                <c:pt idx="281">
                  <c:v>40642</c:v>
                </c:pt>
                <c:pt idx="282">
                  <c:v>40643</c:v>
                </c:pt>
                <c:pt idx="283">
                  <c:v>40644</c:v>
                </c:pt>
                <c:pt idx="284">
                  <c:v>40645</c:v>
                </c:pt>
                <c:pt idx="285">
                  <c:v>40646</c:v>
                </c:pt>
                <c:pt idx="286">
                  <c:v>40647</c:v>
                </c:pt>
                <c:pt idx="287">
                  <c:v>40648</c:v>
                </c:pt>
                <c:pt idx="288">
                  <c:v>40649</c:v>
                </c:pt>
                <c:pt idx="289">
                  <c:v>40650</c:v>
                </c:pt>
                <c:pt idx="290">
                  <c:v>40651</c:v>
                </c:pt>
                <c:pt idx="291">
                  <c:v>40652</c:v>
                </c:pt>
                <c:pt idx="292">
                  <c:v>40653</c:v>
                </c:pt>
                <c:pt idx="293">
                  <c:v>40654</c:v>
                </c:pt>
                <c:pt idx="294">
                  <c:v>40655</c:v>
                </c:pt>
                <c:pt idx="295">
                  <c:v>40656</c:v>
                </c:pt>
                <c:pt idx="296">
                  <c:v>40657</c:v>
                </c:pt>
                <c:pt idx="297">
                  <c:v>40658</c:v>
                </c:pt>
                <c:pt idx="298">
                  <c:v>40659</c:v>
                </c:pt>
                <c:pt idx="299">
                  <c:v>40660</c:v>
                </c:pt>
                <c:pt idx="300">
                  <c:v>40661</c:v>
                </c:pt>
                <c:pt idx="301">
                  <c:v>40662</c:v>
                </c:pt>
                <c:pt idx="302">
                  <c:v>40663</c:v>
                </c:pt>
                <c:pt idx="303">
                  <c:v>40664</c:v>
                </c:pt>
                <c:pt idx="304">
                  <c:v>40665</c:v>
                </c:pt>
                <c:pt idx="305">
                  <c:v>40666</c:v>
                </c:pt>
                <c:pt idx="306">
                  <c:v>40667</c:v>
                </c:pt>
                <c:pt idx="307">
                  <c:v>40668</c:v>
                </c:pt>
                <c:pt idx="308">
                  <c:v>40669</c:v>
                </c:pt>
                <c:pt idx="309">
                  <c:v>40670</c:v>
                </c:pt>
                <c:pt idx="310">
                  <c:v>40671</c:v>
                </c:pt>
                <c:pt idx="311">
                  <c:v>40672</c:v>
                </c:pt>
                <c:pt idx="312">
                  <c:v>40673</c:v>
                </c:pt>
                <c:pt idx="313">
                  <c:v>40674</c:v>
                </c:pt>
                <c:pt idx="314">
                  <c:v>40675</c:v>
                </c:pt>
                <c:pt idx="315">
                  <c:v>40676</c:v>
                </c:pt>
                <c:pt idx="316">
                  <c:v>40677</c:v>
                </c:pt>
                <c:pt idx="317">
                  <c:v>40678</c:v>
                </c:pt>
                <c:pt idx="318">
                  <c:v>40679</c:v>
                </c:pt>
                <c:pt idx="319">
                  <c:v>40680</c:v>
                </c:pt>
                <c:pt idx="320">
                  <c:v>40681</c:v>
                </c:pt>
                <c:pt idx="321">
                  <c:v>40682</c:v>
                </c:pt>
                <c:pt idx="322">
                  <c:v>40683</c:v>
                </c:pt>
                <c:pt idx="323">
                  <c:v>40684</c:v>
                </c:pt>
                <c:pt idx="324">
                  <c:v>40685</c:v>
                </c:pt>
                <c:pt idx="325">
                  <c:v>40686</c:v>
                </c:pt>
                <c:pt idx="326">
                  <c:v>40687</c:v>
                </c:pt>
                <c:pt idx="327">
                  <c:v>40688</c:v>
                </c:pt>
                <c:pt idx="328">
                  <c:v>40689</c:v>
                </c:pt>
                <c:pt idx="329">
                  <c:v>40690</c:v>
                </c:pt>
                <c:pt idx="330">
                  <c:v>40691</c:v>
                </c:pt>
                <c:pt idx="331">
                  <c:v>40692</c:v>
                </c:pt>
                <c:pt idx="332">
                  <c:v>40693</c:v>
                </c:pt>
                <c:pt idx="333">
                  <c:v>40694</c:v>
                </c:pt>
                <c:pt idx="334">
                  <c:v>40695</c:v>
                </c:pt>
                <c:pt idx="335">
                  <c:v>40696</c:v>
                </c:pt>
                <c:pt idx="336">
                  <c:v>40697</c:v>
                </c:pt>
                <c:pt idx="337">
                  <c:v>40698</c:v>
                </c:pt>
                <c:pt idx="338">
                  <c:v>40699</c:v>
                </c:pt>
                <c:pt idx="339">
                  <c:v>40700</c:v>
                </c:pt>
                <c:pt idx="340">
                  <c:v>40701</c:v>
                </c:pt>
                <c:pt idx="341">
                  <c:v>40702</c:v>
                </c:pt>
                <c:pt idx="342">
                  <c:v>40703</c:v>
                </c:pt>
                <c:pt idx="343">
                  <c:v>40704</c:v>
                </c:pt>
                <c:pt idx="344">
                  <c:v>40705</c:v>
                </c:pt>
                <c:pt idx="345">
                  <c:v>40706</c:v>
                </c:pt>
                <c:pt idx="346">
                  <c:v>40707</c:v>
                </c:pt>
                <c:pt idx="347">
                  <c:v>40708</c:v>
                </c:pt>
                <c:pt idx="348">
                  <c:v>40709</c:v>
                </c:pt>
                <c:pt idx="349">
                  <c:v>40710</c:v>
                </c:pt>
                <c:pt idx="350">
                  <c:v>40711</c:v>
                </c:pt>
                <c:pt idx="351">
                  <c:v>40712</c:v>
                </c:pt>
                <c:pt idx="352">
                  <c:v>40713</c:v>
                </c:pt>
                <c:pt idx="353">
                  <c:v>40714</c:v>
                </c:pt>
                <c:pt idx="354">
                  <c:v>40715</c:v>
                </c:pt>
                <c:pt idx="355">
                  <c:v>40716</c:v>
                </c:pt>
                <c:pt idx="356">
                  <c:v>40717</c:v>
                </c:pt>
                <c:pt idx="357">
                  <c:v>40718</c:v>
                </c:pt>
                <c:pt idx="358">
                  <c:v>40719</c:v>
                </c:pt>
                <c:pt idx="359">
                  <c:v>40720</c:v>
                </c:pt>
                <c:pt idx="360">
                  <c:v>40721</c:v>
                </c:pt>
                <c:pt idx="361">
                  <c:v>40722</c:v>
                </c:pt>
                <c:pt idx="362">
                  <c:v>40723</c:v>
                </c:pt>
                <c:pt idx="363">
                  <c:v>40724</c:v>
                </c:pt>
                <c:pt idx="364">
                  <c:v>40725</c:v>
                </c:pt>
                <c:pt idx="365">
                  <c:v>40726</c:v>
                </c:pt>
                <c:pt idx="366">
                  <c:v>40727</c:v>
                </c:pt>
                <c:pt idx="367">
                  <c:v>40728</c:v>
                </c:pt>
                <c:pt idx="368">
                  <c:v>40729</c:v>
                </c:pt>
                <c:pt idx="369">
                  <c:v>40730</c:v>
                </c:pt>
                <c:pt idx="370">
                  <c:v>40731</c:v>
                </c:pt>
                <c:pt idx="371">
                  <c:v>40732</c:v>
                </c:pt>
                <c:pt idx="372">
                  <c:v>40733</c:v>
                </c:pt>
                <c:pt idx="373">
                  <c:v>40734</c:v>
                </c:pt>
                <c:pt idx="374">
                  <c:v>40735</c:v>
                </c:pt>
                <c:pt idx="375">
                  <c:v>40736</c:v>
                </c:pt>
                <c:pt idx="376">
                  <c:v>40737</c:v>
                </c:pt>
                <c:pt idx="377">
                  <c:v>40738</c:v>
                </c:pt>
                <c:pt idx="378">
                  <c:v>40739</c:v>
                </c:pt>
                <c:pt idx="379">
                  <c:v>40740</c:v>
                </c:pt>
                <c:pt idx="380">
                  <c:v>40741</c:v>
                </c:pt>
                <c:pt idx="381">
                  <c:v>40742</c:v>
                </c:pt>
                <c:pt idx="382">
                  <c:v>40743</c:v>
                </c:pt>
                <c:pt idx="383">
                  <c:v>40744</c:v>
                </c:pt>
                <c:pt idx="384">
                  <c:v>40745</c:v>
                </c:pt>
                <c:pt idx="385">
                  <c:v>40746</c:v>
                </c:pt>
                <c:pt idx="386">
                  <c:v>40747</c:v>
                </c:pt>
                <c:pt idx="387">
                  <c:v>40748</c:v>
                </c:pt>
                <c:pt idx="388">
                  <c:v>40749</c:v>
                </c:pt>
                <c:pt idx="389">
                  <c:v>40750</c:v>
                </c:pt>
                <c:pt idx="390">
                  <c:v>40751</c:v>
                </c:pt>
                <c:pt idx="391">
                  <c:v>40752</c:v>
                </c:pt>
                <c:pt idx="392">
                  <c:v>40753</c:v>
                </c:pt>
                <c:pt idx="393">
                  <c:v>40754</c:v>
                </c:pt>
                <c:pt idx="394">
                  <c:v>40755</c:v>
                </c:pt>
                <c:pt idx="395">
                  <c:v>40756</c:v>
                </c:pt>
                <c:pt idx="396">
                  <c:v>40757</c:v>
                </c:pt>
                <c:pt idx="397">
                  <c:v>40758</c:v>
                </c:pt>
                <c:pt idx="398">
                  <c:v>40759</c:v>
                </c:pt>
                <c:pt idx="399">
                  <c:v>40760</c:v>
                </c:pt>
                <c:pt idx="400">
                  <c:v>40761</c:v>
                </c:pt>
                <c:pt idx="401">
                  <c:v>40762</c:v>
                </c:pt>
                <c:pt idx="402">
                  <c:v>40763</c:v>
                </c:pt>
                <c:pt idx="403">
                  <c:v>40764</c:v>
                </c:pt>
                <c:pt idx="404">
                  <c:v>40765</c:v>
                </c:pt>
                <c:pt idx="405">
                  <c:v>40766</c:v>
                </c:pt>
                <c:pt idx="406">
                  <c:v>40767</c:v>
                </c:pt>
                <c:pt idx="407">
                  <c:v>40768</c:v>
                </c:pt>
                <c:pt idx="408">
                  <c:v>40769</c:v>
                </c:pt>
                <c:pt idx="409">
                  <c:v>40770</c:v>
                </c:pt>
                <c:pt idx="410">
                  <c:v>40771</c:v>
                </c:pt>
                <c:pt idx="411">
                  <c:v>40772</c:v>
                </c:pt>
                <c:pt idx="412">
                  <c:v>40773</c:v>
                </c:pt>
                <c:pt idx="413">
                  <c:v>40774</c:v>
                </c:pt>
                <c:pt idx="414">
                  <c:v>40775</c:v>
                </c:pt>
                <c:pt idx="415">
                  <c:v>40776</c:v>
                </c:pt>
                <c:pt idx="416">
                  <c:v>40777</c:v>
                </c:pt>
                <c:pt idx="417">
                  <c:v>40778</c:v>
                </c:pt>
                <c:pt idx="418">
                  <c:v>40779</c:v>
                </c:pt>
                <c:pt idx="419">
                  <c:v>40780</c:v>
                </c:pt>
                <c:pt idx="420">
                  <c:v>40781</c:v>
                </c:pt>
                <c:pt idx="421">
                  <c:v>40782</c:v>
                </c:pt>
                <c:pt idx="422">
                  <c:v>40783</c:v>
                </c:pt>
                <c:pt idx="423">
                  <c:v>40784</c:v>
                </c:pt>
                <c:pt idx="424">
                  <c:v>40785</c:v>
                </c:pt>
                <c:pt idx="425">
                  <c:v>40786</c:v>
                </c:pt>
                <c:pt idx="426">
                  <c:v>40787</c:v>
                </c:pt>
                <c:pt idx="427">
                  <c:v>40788</c:v>
                </c:pt>
                <c:pt idx="428">
                  <c:v>40789</c:v>
                </c:pt>
                <c:pt idx="429">
                  <c:v>40790</c:v>
                </c:pt>
                <c:pt idx="430">
                  <c:v>40791</c:v>
                </c:pt>
                <c:pt idx="431">
                  <c:v>40792</c:v>
                </c:pt>
                <c:pt idx="432">
                  <c:v>40793</c:v>
                </c:pt>
                <c:pt idx="433">
                  <c:v>40794</c:v>
                </c:pt>
                <c:pt idx="434">
                  <c:v>40795</c:v>
                </c:pt>
                <c:pt idx="435">
                  <c:v>40796</c:v>
                </c:pt>
                <c:pt idx="436">
                  <c:v>40797</c:v>
                </c:pt>
                <c:pt idx="437">
                  <c:v>40798</c:v>
                </c:pt>
                <c:pt idx="438">
                  <c:v>40799</c:v>
                </c:pt>
                <c:pt idx="439">
                  <c:v>40800</c:v>
                </c:pt>
                <c:pt idx="440">
                  <c:v>40801</c:v>
                </c:pt>
                <c:pt idx="441">
                  <c:v>40802</c:v>
                </c:pt>
                <c:pt idx="442">
                  <c:v>40803</c:v>
                </c:pt>
                <c:pt idx="443">
                  <c:v>40804</c:v>
                </c:pt>
                <c:pt idx="444">
                  <c:v>40805</c:v>
                </c:pt>
                <c:pt idx="445">
                  <c:v>40806</c:v>
                </c:pt>
                <c:pt idx="446">
                  <c:v>40807</c:v>
                </c:pt>
                <c:pt idx="447">
                  <c:v>40808</c:v>
                </c:pt>
                <c:pt idx="448">
                  <c:v>40809</c:v>
                </c:pt>
                <c:pt idx="449">
                  <c:v>40810</c:v>
                </c:pt>
                <c:pt idx="450">
                  <c:v>40811</c:v>
                </c:pt>
                <c:pt idx="451">
                  <c:v>40812</c:v>
                </c:pt>
                <c:pt idx="452">
                  <c:v>40813</c:v>
                </c:pt>
                <c:pt idx="453">
                  <c:v>40814</c:v>
                </c:pt>
                <c:pt idx="454">
                  <c:v>40815</c:v>
                </c:pt>
                <c:pt idx="455">
                  <c:v>40816</c:v>
                </c:pt>
                <c:pt idx="456">
                  <c:v>40817</c:v>
                </c:pt>
                <c:pt idx="457">
                  <c:v>40818</c:v>
                </c:pt>
                <c:pt idx="458">
                  <c:v>40819</c:v>
                </c:pt>
                <c:pt idx="459">
                  <c:v>40820</c:v>
                </c:pt>
                <c:pt idx="460">
                  <c:v>40821</c:v>
                </c:pt>
                <c:pt idx="461">
                  <c:v>40822</c:v>
                </c:pt>
                <c:pt idx="462">
                  <c:v>40823</c:v>
                </c:pt>
                <c:pt idx="463">
                  <c:v>40824</c:v>
                </c:pt>
                <c:pt idx="464">
                  <c:v>40825</c:v>
                </c:pt>
                <c:pt idx="465">
                  <c:v>40826</c:v>
                </c:pt>
                <c:pt idx="466">
                  <c:v>40827</c:v>
                </c:pt>
                <c:pt idx="467">
                  <c:v>40828</c:v>
                </c:pt>
                <c:pt idx="468">
                  <c:v>40829</c:v>
                </c:pt>
                <c:pt idx="469">
                  <c:v>40830</c:v>
                </c:pt>
                <c:pt idx="470">
                  <c:v>40831</c:v>
                </c:pt>
                <c:pt idx="471">
                  <c:v>40832</c:v>
                </c:pt>
                <c:pt idx="472">
                  <c:v>40833</c:v>
                </c:pt>
                <c:pt idx="473">
                  <c:v>40834</c:v>
                </c:pt>
                <c:pt idx="474">
                  <c:v>40835</c:v>
                </c:pt>
                <c:pt idx="475">
                  <c:v>40836</c:v>
                </c:pt>
                <c:pt idx="476">
                  <c:v>40837</c:v>
                </c:pt>
                <c:pt idx="477">
                  <c:v>40838</c:v>
                </c:pt>
                <c:pt idx="478">
                  <c:v>40839</c:v>
                </c:pt>
                <c:pt idx="479">
                  <c:v>40840</c:v>
                </c:pt>
                <c:pt idx="480">
                  <c:v>40841</c:v>
                </c:pt>
                <c:pt idx="481">
                  <c:v>40842</c:v>
                </c:pt>
                <c:pt idx="482">
                  <c:v>40843</c:v>
                </c:pt>
                <c:pt idx="483">
                  <c:v>40844</c:v>
                </c:pt>
                <c:pt idx="484">
                  <c:v>40845</c:v>
                </c:pt>
                <c:pt idx="485">
                  <c:v>40846</c:v>
                </c:pt>
                <c:pt idx="486">
                  <c:v>40847</c:v>
                </c:pt>
                <c:pt idx="487">
                  <c:v>40848</c:v>
                </c:pt>
                <c:pt idx="488">
                  <c:v>40849</c:v>
                </c:pt>
                <c:pt idx="489">
                  <c:v>40850</c:v>
                </c:pt>
                <c:pt idx="490">
                  <c:v>40851</c:v>
                </c:pt>
                <c:pt idx="491">
                  <c:v>40852</c:v>
                </c:pt>
                <c:pt idx="492">
                  <c:v>40853</c:v>
                </c:pt>
                <c:pt idx="493">
                  <c:v>40854</c:v>
                </c:pt>
                <c:pt idx="494">
                  <c:v>40855</c:v>
                </c:pt>
                <c:pt idx="495">
                  <c:v>40856</c:v>
                </c:pt>
                <c:pt idx="496">
                  <c:v>40857</c:v>
                </c:pt>
                <c:pt idx="497">
                  <c:v>40858</c:v>
                </c:pt>
                <c:pt idx="498">
                  <c:v>40859</c:v>
                </c:pt>
                <c:pt idx="499">
                  <c:v>40860</c:v>
                </c:pt>
                <c:pt idx="500">
                  <c:v>40861</c:v>
                </c:pt>
                <c:pt idx="501">
                  <c:v>40862</c:v>
                </c:pt>
                <c:pt idx="502">
                  <c:v>40863</c:v>
                </c:pt>
                <c:pt idx="503">
                  <c:v>40864</c:v>
                </c:pt>
                <c:pt idx="504">
                  <c:v>40865</c:v>
                </c:pt>
                <c:pt idx="505">
                  <c:v>40866</c:v>
                </c:pt>
                <c:pt idx="506">
                  <c:v>40867</c:v>
                </c:pt>
                <c:pt idx="507">
                  <c:v>40868</c:v>
                </c:pt>
                <c:pt idx="508">
                  <c:v>40869</c:v>
                </c:pt>
                <c:pt idx="509">
                  <c:v>40870</c:v>
                </c:pt>
                <c:pt idx="510">
                  <c:v>40871</c:v>
                </c:pt>
                <c:pt idx="511">
                  <c:v>40872</c:v>
                </c:pt>
                <c:pt idx="512">
                  <c:v>40873</c:v>
                </c:pt>
                <c:pt idx="513">
                  <c:v>40874</c:v>
                </c:pt>
                <c:pt idx="514">
                  <c:v>40875</c:v>
                </c:pt>
                <c:pt idx="515">
                  <c:v>40876</c:v>
                </c:pt>
                <c:pt idx="516">
                  <c:v>40877</c:v>
                </c:pt>
                <c:pt idx="517">
                  <c:v>40878</c:v>
                </c:pt>
                <c:pt idx="518">
                  <c:v>40879</c:v>
                </c:pt>
                <c:pt idx="519">
                  <c:v>40880</c:v>
                </c:pt>
                <c:pt idx="520">
                  <c:v>40881</c:v>
                </c:pt>
                <c:pt idx="521">
                  <c:v>40882</c:v>
                </c:pt>
                <c:pt idx="522">
                  <c:v>40883</c:v>
                </c:pt>
                <c:pt idx="523">
                  <c:v>40884</c:v>
                </c:pt>
                <c:pt idx="524">
                  <c:v>40885</c:v>
                </c:pt>
                <c:pt idx="525">
                  <c:v>40886</c:v>
                </c:pt>
                <c:pt idx="526">
                  <c:v>40887</c:v>
                </c:pt>
                <c:pt idx="527">
                  <c:v>40888</c:v>
                </c:pt>
                <c:pt idx="528">
                  <c:v>40889</c:v>
                </c:pt>
                <c:pt idx="529">
                  <c:v>40890</c:v>
                </c:pt>
                <c:pt idx="530">
                  <c:v>40891</c:v>
                </c:pt>
                <c:pt idx="531">
                  <c:v>40892</c:v>
                </c:pt>
                <c:pt idx="532">
                  <c:v>40893</c:v>
                </c:pt>
                <c:pt idx="533">
                  <c:v>40894</c:v>
                </c:pt>
                <c:pt idx="534">
                  <c:v>40895</c:v>
                </c:pt>
                <c:pt idx="535">
                  <c:v>40896</c:v>
                </c:pt>
                <c:pt idx="536">
                  <c:v>40897</c:v>
                </c:pt>
                <c:pt idx="537">
                  <c:v>40898</c:v>
                </c:pt>
                <c:pt idx="538">
                  <c:v>40899</c:v>
                </c:pt>
                <c:pt idx="539">
                  <c:v>40900</c:v>
                </c:pt>
                <c:pt idx="540">
                  <c:v>40901</c:v>
                </c:pt>
                <c:pt idx="541">
                  <c:v>40902</c:v>
                </c:pt>
                <c:pt idx="542">
                  <c:v>40903</c:v>
                </c:pt>
                <c:pt idx="543">
                  <c:v>40904</c:v>
                </c:pt>
                <c:pt idx="544">
                  <c:v>40905</c:v>
                </c:pt>
                <c:pt idx="545">
                  <c:v>40906</c:v>
                </c:pt>
                <c:pt idx="546">
                  <c:v>40907</c:v>
                </c:pt>
                <c:pt idx="547">
                  <c:v>40908</c:v>
                </c:pt>
                <c:pt idx="548">
                  <c:v>40909</c:v>
                </c:pt>
                <c:pt idx="549">
                  <c:v>40910</c:v>
                </c:pt>
                <c:pt idx="550">
                  <c:v>40911</c:v>
                </c:pt>
                <c:pt idx="551">
                  <c:v>40912</c:v>
                </c:pt>
                <c:pt idx="552">
                  <c:v>40913</c:v>
                </c:pt>
                <c:pt idx="553">
                  <c:v>40914</c:v>
                </c:pt>
                <c:pt idx="554">
                  <c:v>40915</c:v>
                </c:pt>
                <c:pt idx="555">
                  <c:v>40916</c:v>
                </c:pt>
                <c:pt idx="556">
                  <c:v>40917</c:v>
                </c:pt>
                <c:pt idx="557">
                  <c:v>40918</c:v>
                </c:pt>
                <c:pt idx="558">
                  <c:v>40919</c:v>
                </c:pt>
                <c:pt idx="559">
                  <c:v>40920</c:v>
                </c:pt>
                <c:pt idx="560">
                  <c:v>40921</c:v>
                </c:pt>
                <c:pt idx="561">
                  <c:v>40922</c:v>
                </c:pt>
                <c:pt idx="562">
                  <c:v>40923</c:v>
                </c:pt>
                <c:pt idx="563">
                  <c:v>40924</c:v>
                </c:pt>
                <c:pt idx="564">
                  <c:v>40925</c:v>
                </c:pt>
                <c:pt idx="565">
                  <c:v>40926</c:v>
                </c:pt>
                <c:pt idx="566">
                  <c:v>40927</c:v>
                </c:pt>
                <c:pt idx="567">
                  <c:v>40928</c:v>
                </c:pt>
                <c:pt idx="568">
                  <c:v>40929</c:v>
                </c:pt>
                <c:pt idx="569">
                  <c:v>40930</c:v>
                </c:pt>
                <c:pt idx="570">
                  <c:v>40931</c:v>
                </c:pt>
                <c:pt idx="571">
                  <c:v>40932</c:v>
                </c:pt>
                <c:pt idx="572">
                  <c:v>40933</c:v>
                </c:pt>
                <c:pt idx="573">
                  <c:v>40934</c:v>
                </c:pt>
                <c:pt idx="574">
                  <c:v>40935</c:v>
                </c:pt>
                <c:pt idx="575">
                  <c:v>40936</c:v>
                </c:pt>
                <c:pt idx="576">
                  <c:v>40937</c:v>
                </c:pt>
                <c:pt idx="577">
                  <c:v>40938</c:v>
                </c:pt>
                <c:pt idx="578">
                  <c:v>40939</c:v>
                </c:pt>
                <c:pt idx="579">
                  <c:v>40940</c:v>
                </c:pt>
                <c:pt idx="580">
                  <c:v>40941</c:v>
                </c:pt>
                <c:pt idx="581">
                  <c:v>40942</c:v>
                </c:pt>
                <c:pt idx="582">
                  <c:v>40943</c:v>
                </c:pt>
                <c:pt idx="583">
                  <c:v>40944</c:v>
                </c:pt>
                <c:pt idx="584">
                  <c:v>40945</c:v>
                </c:pt>
                <c:pt idx="585">
                  <c:v>40946</c:v>
                </c:pt>
                <c:pt idx="586">
                  <c:v>40947</c:v>
                </c:pt>
                <c:pt idx="587">
                  <c:v>40948</c:v>
                </c:pt>
                <c:pt idx="588">
                  <c:v>40949</c:v>
                </c:pt>
                <c:pt idx="589">
                  <c:v>40950</c:v>
                </c:pt>
                <c:pt idx="590">
                  <c:v>40951</c:v>
                </c:pt>
                <c:pt idx="591">
                  <c:v>40952</c:v>
                </c:pt>
                <c:pt idx="592">
                  <c:v>40953</c:v>
                </c:pt>
                <c:pt idx="593">
                  <c:v>40954</c:v>
                </c:pt>
                <c:pt idx="594">
                  <c:v>40955</c:v>
                </c:pt>
                <c:pt idx="595">
                  <c:v>40956</c:v>
                </c:pt>
                <c:pt idx="596">
                  <c:v>40957</c:v>
                </c:pt>
                <c:pt idx="597">
                  <c:v>40958</c:v>
                </c:pt>
                <c:pt idx="598">
                  <c:v>40959</c:v>
                </c:pt>
                <c:pt idx="599">
                  <c:v>40960</c:v>
                </c:pt>
                <c:pt idx="600">
                  <c:v>40961</c:v>
                </c:pt>
                <c:pt idx="601">
                  <c:v>40962</c:v>
                </c:pt>
                <c:pt idx="602">
                  <c:v>40963</c:v>
                </c:pt>
                <c:pt idx="603">
                  <c:v>40964</c:v>
                </c:pt>
                <c:pt idx="604">
                  <c:v>40965</c:v>
                </c:pt>
                <c:pt idx="605">
                  <c:v>40966</c:v>
                </c:pt>
                <c:pt idx="606">
                  <c:v>40967</c:v>
                </c:pt>
                <c:pt idx="607">
                  <c:v>40968</c:v>
                </c:pt>
                <c:pt idx="608">
                  <c:v>40969</c:v>
                </c:pt>
                <c:pt idx="609">
                  <c:v>40970</c:v>
                </c:pt>
                <c:pt idx="610">
                  <c:v>40971</c:v>
                </c:pt>
                <c:pt idx="611">
                  <c:v>40972</c:v>
                </c:pt>
                <c:pt idx="612">
                  <c:v>40973</c:v>
                </c:pt>
                <c:pt idx="613">
                  <c:v>40974</c:v>
                </c:pt>
                <c:pt idx="614">
                  <c:v>40975</c:v>
                </c:pt>
                <c:pt idx="615">
                  <c:v>40976</c:v>
                </c:pt>
                <c:pt idx="616">
                  <c:v>40977</c:v>
                </c:pt>
                <c:pt idx="617">
                  <c:v>40978</c:v>
                </c:pt>
                <c:pt idx="618">
                  <c:v>40979</c:v>
                </c:pt>
                <c:pt idx="619">
                  <c:v>40980</c:v>
                </c:pt>
                <c:pt idx="620">
                  <c:v>40981</c:v>
                </c:pt>
                <c:pt idx="621">
                  <c:v>40982</c:v>
                </c:pt>
                <c:pt idx="622">
                  <c:v>40983</c:v>
                </c:pt>
                <c:pt idx="623">
                  <c:v>40984</c:v>
                </c:pt>
                <c:pt idx="624">
                  <c:v>40985</c:v>
                </c:pt>
                <c:pt idx="625">
                  <c:v>40986</c:v>
                </c:pt>
                <c:pt idx="626">
                  <c:v>40987</c:v>
                </c:pt>
                <c:pt idx="627">
                  <c:v>40988</c:v>
                </c:pt>
                <c:pt idx="628">
                  <c:v>40989</c:v>
                </c:pt>
                <c:pt idx="629">
                  <c:v>40990</c:v>
                </c:pt>
                <c:pt idx="630">
                  <c:v>40991</c:v>
                </c:pt>
                <c:pt idx="631">
                  <c:v>40992</c:v>
                </c:pt>
                <c:pt idx="632">
                  <c:v>40993</c:v>
                </c:pt>
                <c:pt idx="633">
                  <c:v>40994</c:v>
                </c:pt>
                <c:pt idx="634">
                  <c:v>40995</c:v>
                </c:pt>
                <c:pt idx="635">
                  <c:v>40996</c:v>
                </c:pt>
                <c:pt idx="636">
                  <c:v>40997</c:v>
                </c:pt>
                <c:pt idx="637">
                  <c:v>40998</c:v>
                </c:pt>
                <c:pt idx="638">
                  <c:v>40999</c:v>
                </c:pt>
                <c:pt idx="639">
                  <c:v>41000</c:v>
                </c:pt>
                <c:pt idx="640">
                  <c:v>41001</c:v>
                </c:pt>
                <c:pt idx="641">
                  <c:v>41002</c:v>
                </c:pt>
                <c:pt idx="642">
                  <c:v>41003</c:v>
                </c:pt>
                <c:pt idx="643">
                  <c:v>41004</c:v>
                </c:pt>
                <c:pt idx="644">
                  <c:v>41005</c:v>
                </c:pt>
                <c:pt idx="645">
                  <c:v>41006</c:v>
                </c:pt>
                <c:pt idx="646">
                  <c:v>41007</c:v>
                </c:pt>
                <c:pt idx="647">
                  <c:v>41008</c:v>
                </c:pt>
                <c:pt idx="648">
                  <c:v>41009</c:v>
                </c:pt>
                <c:pt idx="649">
                  <c:v>41010</c:v>
                </c:pt>
                <c:pt idx="650">
                  <c:v>41011</c:v>
                </c:pt>
                <c:pt idx="651">
                  <c:v>41012</c:v>
                </c:pt>
                <c:pt idx="652">
                  <c:v>41013</c:v>
                </c:pt>
                <c:pt idx="653">
                  <c:v>41014</c:v>
                </c:pt>
                <c:pt idx="654">
                  <c:v>41015</c:v>
                </c:pt>
                <c:pt idx="655">
                  <c:v>41016</c:v>
                </c:pt>
                <c:pt idx="656">
                  <c:v>41017</c:v>
                </c:pt>
                <c:pt idx="657">
                  <c:v>41018</c:v>
                </c:pt>
                <c:pt idx="658">
                  <c:v>41019</c:v>
                </c:pt>
                <c:pt idx="659">
                  <c:v>41020</c:v>
                </c:pt>
                <c:pt idx="660">
                  <c:v>41021</c:v>
                </c:pt>
                <c:pt idx="661">
                  <c:v>41022</c:v>
                </c:pt>
                <c:pt idx="662">
                  <c:v>41023</c:v>
                </c:pt>
                <c:pt idx="663">
                  <c:v>41024</c:v>
                </c:pt>
                <c:pt idx="664">
                  <c:v>41025</c:v>
                </c:pt>
                <c:pt idx="665">
                  <c:v>41026</c:v>
                </c:pt>
                <c:pt idx="666">
                  <c:v>41027</c:v>
                </c:pt>
                <c:pt idx="667">
                  <c:v>41028</c:v>
                </c:pt>
                <c:pt idx="668">
                  <c:v>41029</c:v>
                </c:pt>
                <c:pt idx="669">
                  <c:v>41030</c:v>
                </c:pt>
                <c:pt idx="670">
                  <c:v>41031</c:v>
                </c:pt>
                <c:pt idx="671">
                  <c:v>41032</c:v>
                </c:pt>
                <c:pt idx="672">
                  <c:v>41033</c:v>
                </c:pt>
                <c:pt idx="673">
                  <c:v>41034</c:v>
                </c:pt>
                <c:pt idx="674">
                  <c:v>41035</c:v>
                </c:pt>
                <c:pt idx="675">
                  <c:v>41036</c:v>
                </c:pt>
                <c:pt idx="676">
                  <c:v>41037</c:v>
                </c:pt>
                <c:pt idx="677">
                  <c:v>41038</c:v>
                </c:pt>
                <c:pt idx="678">
                  <c:v>41039</c:v>
                </c:pt>
                <c:pt idx="679">
                  <c:v>41040</c:v>
                </c:pt>
                <c:pt idx="680">
                  <c:v>41041</c:v>
                </c:pt>
                <c:pt idx="681">
                  <c:v>41042</c:v>
                </c:pt>
                <c:pt idx="682">
                  <c:v>41043</c:v>
                </c:pt>
                <c:pt idx="683">
                  <c:v>41044</c:v>
                </c:pt>
                <c:pt idx="684">
                  <c:v>41045</c:v>
                </c:pt>
                <c:pt idx="685">
                  <c:v>41046</c:v>
                </c:pt>
                <c:pt idx="686">
                  <c:v>41047</c:v>
                </c:pt>
                <c:pt idx="687">
                  <c:v>41048</c:v>
                </c:pt>
                <c:pt idx="688">
                  <c:v>41049</c:v>
                </c:pt>
                <c:pt idx="689">
                  <c:v>41050</c:v>
                </c:pt>
                <c:pt idx="690">
                  <c:v>41051</c:v>
                </c:pt>
                <c:pt idx="691">
                  <c:v>41052</c:v>
                </c:pt>
                <c:pt idx="692">
                  <c:v>41053</c:v>
                </c:pt>
                <c:pt idx="693">
                  <c:v>41054</c:v>
                </c:pt>
                <c:pt idx="694">
                  <c:v>41055</c:v>
                </c:pt>
                <c:pt idx="695">
                  <c:v>41056</c:v>
                </c:pt>
                <c:pt idx="696">
                  <c:v>41057</c:v>
                </c:pt>
                <c:pt idx="697">
                  <c:v>41058</c:v>
                </c:pt>
                <c:pt idx="698">
                  <c:v>41059</c:v>
                </c:pt>
                <c:pt idx="699">
                  <c:v>41060</c:v>
                </c:pt>
                <c:pt idx="700">
                  <c:v>41061</c:v>
                </c:pt>
                <c:pt idx="701">
                  <c:v>41062</c:v>
                </c:pt>
                <c:pt idx="702">
                  <c:v>41063</c:v>
                </c:pt>
                <c:pt idx="703">
                  <c:v>41064</c:v>
                </c:pt>
                <c:pt idx="704">
                  <c:v>41065</c:v>
                </c:pt>
                <c:pt idx="705">
                  <c:v>41066</c:v>
                </c:pt>
                <c:pt idx="706">
                  <c:v>41067</c:v>
                </c:pt>
                <c:pt idx="707">
                  <c:v>41068</c:v>
                </c:pt>
                <c:pt idx="708">
                  <c:v>41069</c:v>
                </c:pt>
                <c:pt idx="709">
                  <c:v>41070</c:v>
                </c:pt>
                <c:pt idx="710">
                  <c:v>41071</c:v>
                </c:pt>
                <c:pt idx="711">
                  <c:v>41072</c:v>
                </c:pt>
                <c:pt idx="712">
                  <c:v>41073</c:v>
                </c:pt>
                <c:pt idx="713">
                  <c:v>41074</c:v>
                </c:pt>
                <c:pt idx="714">
                  <c:v>41075</c:v>
                </c:pt>
                <c:pt idx="715">
                  <c:v>41076</c:v>
                </c:pt>
                <c:pt idx="716">
                  <c:v>41077</c:v>
                </c:pt>
                <c:pt idx="717">
                  <c:v>41078</c:v>
                </c:pt>
                <c:pt idx="718">
                  <c:v>41079</c:v>
                </c:pt>
                <c:pt idx="719">
                  <c:v>41080</c:v>
                </c:pt>
                <c:pt idx="720">
                  <c:v>41081</c:v>
                </c:pt>
                <c:pt idx="721">
                  <c:v>41082</c:v>
                </c:pt>
                <c:pt idx="722">
                  <c:v>41083</c:v>
                </c:pt>
                <c:pt idx="723">
                  <c:v>41084</c:v>
                </c:pt>
                <c:pt idx="724">
                  <c:v>41085</c:v>
                </c:pt>
                <c:pt idx="725">
                  <c:v>41086</c:v>
                </c:pt>
                <c:pt idx="726">
                  <c:v>41087</c:v>
                </c:pt>
                <c:pt idx="727">
                  <c:v>41088</c:v>
                </c:pt>
                <c:pt idx="728">
                  <c:v>41089</c:v>
                </c:pt>
                <c:pt idx="729">
                  <c:v>41090</c:v>
                </c:pt>
                <c:pt idx="730">
                  <c:v>41091</c:v>
                </c:pt>
                <c:pt idx="731">
                  <c:v>41092</c:v>
                </c:pt>
                <c:pt idx="732">
                  <c:v>41093</c:v>
                </c:pt>
                <c:pt idx="733">
                  <c:v>41094</c:v>
                </c:pt>
                <c:pt idx="734">
                  <c:v>41095</c:v>
                </c:pt>
                <c:pt idx="735">
                  <c:v>41096</c:v>
                </c:pt>
                <c:pt idx="736">
                  <c:v>41097</c:v>
                </c:pt>
                <c:pt idx="737">
                  <c:v>41098</c:v>
                </c:pt>
                <c:pt idx="738">
                  <c:v>41099</c:v>
                </c:pt>
                <c:pt idx="739">
                  <c:v>41100</c:v>
                </c:pt>
                <c:pt idx="740">
                  <c:v>41101</c:v>
                </c:pt>
                <c:pt idx="741">
                  <c:v>41102</c:v>
                </c:pt>
                <c:pt idx="742">
                  <c:v>41103</c:v>
                </c:pt>
                <c:pt idx="743">
                  <c:v>41104</c:v>
                </c:pt>
                <c:pt idx="744">
                  <c:v>41105</c:v>
                </c:pt>
                <c:pt idx="745">
                  <c:v>41106</c:v>
                </c:pt>
                <c:pt idx="746">
                  <c:v>41107</c:v>
                </c:pt>
                <c:pt idx="747">
                  <c:v>41108</c:v>
                </c:pt>
                <c:pt idx="748">
                  <c:v>41109</c:v>
                </c:pt>
                <c:pt idx="749">
                  <c:v>41110</c:v>
                </c:pt>
                <c:pt idx="750">
                  <c:v>41111</c:v>
                </c:pt>
                <c:pt idx="751">
                  <c:v>41112</c:v>
                </c:pt>
                <c:pt idx="752">
                  <c:v>41113</c:v>
                </c:pt>
                <c:pt idx="753">
                  <c:v>41114</c:v>
                </c:pt>
                <c:pt idx="754">
                  <c:v>41115</c:v>
                </c:pt>
                <c:pt idx="755">
                  <c:v>41116</c:v>
                </c:pt>
                <c:pt idx="756">
                  <c:v>41117</c:v>
                </c:pt>
                <c:pt idx="757">
                  <c:v>41118</c:v>
                </c:pt>
                <c:pt idx="758">
                  <c:v>41119</c:v>
                </c:pt>
                <c:pt idx="759">
                  <c:v>41120</c:v>
                </c:pt>
                <c:pt idx="760">
                  <c:v>41121</c:v>
                </c:pt>
                <c:pt idx="761">
                  <c:v>41122</c:v>
                </c:pt>
                <c:pt idx="762">
                  <c:v>41123</c:v>
                </c:pt>
                <c:pt idx="763">
                  <c:v>41124</c:v>
                </c:pt>
                <c:pt idx="764">
                  <c:v>41125</c:v>
                </c:pt>
                <c:pt idx="765">
                  <c:v>41126</c:v>
                </c:pt>
                <c:pt idx="766">
                  <c:v>41127</c:v>
                </c:pt>
                <c:pt idx="767">
                  <c:v>41128</c:v>
                </c:pt>
                <c:pt idx="768">
                  <c:v>41129</c:v>
                </c:pt>
                <c:pt idx="769">
                  <c:v>41130</c:v>
                </c:pt>
                <c:pt idx="770">
                  <c:v>41131</c:v>
                </c:pt>
                <c:pt idx="771">
                  <c:v>41132</c:v>
                </c:pt>
                <c:pt idx="772">
                  <c:v>41133</c:v>
                </c:pt>
                <c:pt idx="773">
                  <c:v>41134</c:v>
                </c:pt>
                <c:pt idx="774">
                  <c:v>41135</c:v>
                </c:pt>
                <c:pt idx="775">
                  <c:v>41136</c:v>
                </c:pt>
                <c:pt idx="776">
                  <c:v>41137</c:v>
                </c:pt>
                <c:pt idx="777">
                  <c:v>41138</c:v>
                </c:pt>
                <c:pt idx="778">
                  <c:v>41139</c:v>
                </c:pt>
                <c:pt idx="779">
                  <c:v>41140</c:v>
                </c:pt>
                <c:pt idx="780">
                  <c:v>41141</c:v>
                </c:pt>
                <c:pt idx="781">
                  <c:v>41142</c:v>
                </c:pt>
                <c:pt idx="782">
                  <c:v>41143</c:v>
                </c:pt>
                <c:pt idx="783">
                  <c:v>41144</c:v>
                </c:pt>
                <c:pt idx="784">
                  <c:v>41145</c:v>
                </c:pt>
                <c:pt idx="785">
                  <c:v>41146</c:v>
                </c:pt>
                <c:pt idx="786">
                  <c:v>41147</c:v>
                </c:pt>
                <c:pt idx="787">
                  <c:v>41148</c:v>
                </c:pt>
                <c:pt idx="788">
                  <c:v>41149</c:v>
                </c:pt>
                <c:pt idx="789">
                  <c:v>41150</c:v>
                </c:pt>
                <c:pt idx="790">
                  <c:v>41151</c:v>
                </c:pt>
                <c:pt idx="791">
                  <c:v>41152</c:v>
                </c:pt>
                <c:pt idx="792">
                  <c:v>41153</c:v>
                </c:pt>
                <c:pt idx="793">
                  <c:v>41154</c:v>
                </c:pt>
                <c:pt idx="794">
                  <c:v>41155</c:v>
                </c:pt>
                <c:pt idx="795">
                  <c:v>41156</c:v>
                </c:pt>
                <c:pt idx="796">
                  <c:v>41157</c:v>
                </c:pt>
                <c:pt idx="797">
                  <c:v>41158</c:v>
                </c:pt>
                <c:pt idx="798">
                  <c:v>41159</c:v>
                </c:pt>
                <c:pt idx="799">
                  <c:v>41160</c:v>
                </c:pt>
                <c:pt idx="800">
                  <c:v>41161</c:v>
                </c:pt>
                <c:pt idx="801">
                  <c:v>41162</c:v>
                </c:pt>
                <c:pt idx="802">
                  <c:v>41163</c:v>
                </c:pt>
                <c:pt idx="803">
                  <c:v>41164</c:v>
                </c:pt>
                <c:pt idx="804">
                  <c:v>41165</c:v>
                </c:pt>
                <c:pt idx="805">
                  <c:v>41166</c:v>
                </c:pt>
                <c:pt idx="806">
                  <c:v>41167</c:v>
                </c:pt>
                <c:pt idx="807">
                  <c:v>41168</c:v>
                </c:pt>
                <c:pt idx="808">
                  <c:v>41169</c:v>
                </c:pt>
                <c:pt idx="809">
                  <c:v>41170</c:v>
                </c:pt>
                <c:pt idx="810">
                  <c:v>41171</c:v>
                </c:pt>
                <c:pt idx="811">
                  <c:v>41172</c:v>
                </c:pt>
                <c:pt idx="812">
                  <c:v>41173</c:v>
                </c:pt>
                <c:pt idx="813">
                  <c:v>41174</c:v>
                </c:pt>
                <c:pt idx="814">
                  <c:v>41175</c:v>
                </c:pt>
                <c:pt idx="815">
                  <c:v>41176</c:v>
                </c:pt>
                <c:pt idx="816">
                  <c:v>41177</c:v>
                </c:pt>
                <c:pt idx="817">
                  <c:v>41178</c:v>
                </c:pt>
                <c:pt idx="818">
                  <c:v>41179</c:v>
                </c:pt>
                <c:pt idx="819">
                  <c:v>41180</c:v>
                </c:pt>
                <c:pt idx="820">
                  <c:v>41181</c:v>
                </c:pt>
                <c:pt idx="821">
                  <c:v>41182</c:v>
                </c:pt>
                <c:pt idx="822">
                  <c:v>41183</c:v>
                </c:pt>
                <c:pt idx="823">
                  <c:v>41184</c:v>
                </c:pt>
                <c:pt idx="824">
                  <c:v>41185</c:v>
                </c:pt>
                <c:pt idx="825">
                  <c:v>41186</c:v>
                </c:pt>
                <c:pt idx="826">
                  <c:v>41187</c:v>
                </c:pt>
                <c:pt idx="827">
                  <c:v>41188</c:v>
                </c:pt>
                <c:pt idx="828">
                  <c:v>41189</c:v>
                </c:pt>
                <c:pt idx="829">
                  <c:v>41190</c:v>
                </c:pt>
                <c:pt idx="830">
                  <c:v>41191</c:v>
                </c:pt>
                <c:pt idx="831">
                  <c:v>41192</c:v>
                </c:pt>
                <c:pt idx="832">
                  <c:v>41193</c:v>
                </c:pt>
                <c:pt idx="833">
                  <c:v>41194</c:v>
                </c:pt>
                <c:pt idx="834">
                  <c:v>41195</c:v>
                </c:pt>
                <c:pt idx="835">
                  <c:v>41196</c:v>
                </c:pt>
                <c:pt idx="836">
                  <c:v>41197</c:v>
                </c:pt>
                <c:pt idx="837">
                  <c:v>41198</c:v>
                </c:pt>
                <c:pt idx="838">
                  <c:v>41199</c:v>
                </c:pt>
                <c:pt idx="839">
                  <c:v>41200</c:v>
                </c:pt>
                <c:pt idx="840">
                  <c:v>41201</c:v>
                </c:pt>
                <c:pt idx="841">
                  <c:v>41202</c:v>
                </c:pt>
                <c:pt idx="842">
                  <c:v>41203</c:v>
                </c:pt>
                <c:pt idx="843">
                  <c:v>41204</c:v>
                </c:pt>
                <c:pt idx="844">
                  <c:v>41205</c:v>
                </c:pt>
                <c:pt idx="845">
                  <c:v>41206</c:v>
                </c:pt>
                <c:pt idx="846">
                  <c:v>41207</c:v>
                </c:pt>
                <c:pt idx="847">
                  <c:v>41208</c:v>
                </c:pt>
                <c:pt idx="848">
                  <c:v>41209</c:v>
                </c:pt>
                <c:pt idx="849">
                  <c:v>41210</c:v>
                </c:pt>
                <c:pt idx="850">
                  <c:v>41211</c:v>
                </c:pt>
                <c:pt idx="851">
                  <c:v>41212</c:v>
                </c:pt>
                <c:pt idx="852">
                  <c:v>41213</c:v>
                </c:pt>
                <c:pt idx="853">
                  <c:v>41214</c:v>
                </c:pt>
                <c:pt idx="854">
                  <c:v>41215</c:v>
                </c:pt>
                <c:pt idx="855">
                  <c:v>41216</c:v>
                </c:pt>
                <c:pt idx="856">
                  <c:v>41217</c:v>
                </c:pt>
                <c:pt idx="857">
                  <c:v>41218</c:v>
                </c:pt>
                <c:pt idx="858">
                  <c:v>41219</c:v>
                </c:pt>
                <c:pt idx="859">
                  <c:v>41220</c:v>
                </c:pt>
                <c:pt idx="860">
                  <c:v>41221</c:v>
                </c:pt>
                <c:pt idx="861">
                  <c:v>41222</c:v>
                </c:pt>
                <c:pt idx="862">
                  <c:v>41223</c:v>
                </c:pt>
                <c:pt idx="863">
                  <c:v>41224</c:v>
                </c:pt>
                <c:pt idx="864">
                  <c:v>41225</c:v>
                </c:pt>
                <c:pt idx="865">
                  <c:v>41226</c:v>
                </c:pt>
                <c:pt idx="866">
                  <c:v>41227</c:v>
                </c:pt>
                <c:pt idx="867">
                  <c:v>41228</c:v>
                </c:pt>
                <c:pt idx="868">
                  <c:v>41229</c:v>
                </c:pt>
                <c:pt idx="869">
                  <c:v>41230</c:v>
                </c:pt>
                <c:pt idx="870">
                  <c:v>41231</c:v>
                </c:pt>
                <c:pt idx="871">
                  <c:v>41232</c:v>
                </c:pt>
                <c:pt idx="872">
                  <c:v>41233</c:v>
                </c:pt>
                <c:pt idx="873">
                  <c:v>41234</c:v>
                </c:pt>
                <c:pt idx="874">
                  <c:v>41235</c:v>
                </c:pt>
                <c:pt idx="875">
                  <c:v>41236</c:v>
                </c:pt>
                <c:pt idx="876">
                  <c:v>41237</c:v>
                </c:pt>
                <c:pt idx="877">
                  <c:v>41238</c:v>
                </c:pt>
                <c:pt idx="878">
                  <c:v>41239</c:v>
                </c:pt>
                <c:pt idx="879">
                  <c:v>41240</c:v>
                </c:pt>
                <c:pt idx="880">
                  <c:v>41241</c:v>
                </c:pt>
                <c:pt idx="881">
                  <c:v>41242</c:v>
                </c:pt>
                <c:pt idx="882">
                  <c:v>41243</c:v>
                </c:pt>
                <c:pt idx="883">
                  <c:v>41244</c:v>
                </c:pt>
                <c:pt idx="884">
                  <c:v>41245</c:v>
                </c:pt>
                <c:pt idx="885">
                  <c:v>41246</c:v>
                </c:pt>
                <c:pt idx="886">
                  <c:v>41247</c:v>
                </c:pt>
                <c:pt idx="887">
                  <c:v>41248</c:v>
                </c:pt>
                <c:pt idx="888">
                  <c:v>41249</c:v>
                </c:pt>
                <c:pt idx="889">
                  <c:v>41250</c:v>
                </c:pt>
                <c:pt idx="890">
                  <c:v>41251</c:v>
                </c:pt>
                <c:pt idx="891">
                  <c:v>41252</c:v>
                </c:pt>
                <c:pt idx="892">
                  <c:v>41253</c:v>
                </c:pt>
                <c:pt idx="893">
                  <c:v>41254</c:v>
                </c:pt>
                <c:pt idx="894">
                  <c:v>41255</c:v>
                </c:pt>
                <c:pt idx="895">
                  <c:v>41256</c:v>
                </c:pt>
                <c:pt idx="896">
                  <c:v>41257</c:v>
                </c:pt>
                <c:pt idx="897">
                  <c:v>41258</c:v>
                </c:pt>
                <c:pt idx="898">
                  <c:v>41259</c:v>
                </c:pt>
                <c:pt idx="899">
                  <c:v>41260</c:v>
                </c:pt>
                <c:pt idx="900">
                  <c:v>41261</c:v>
                </c:pt>
                <c:pt idx="901">
                  <c:v>41262</c:v>
                </c:pt>
                <c:pt idx="902">
                  <c:v>41263</c:v>
                </c:pt>
                <c:pt idx="903">
                  <c:v>41264</c:v>
                </c:pt>
                <c:pt idx="904">
                  <c:v>41265</c:v>
                </c:pt>
                <c:pt idx="905">
                  <c:v>41266</c:v>
                </c:pt>
                <c:pt idx="906">
                  <c:v>41267</c:v>
                </c:pt>
                <c:pt idx="907">
                  <c:v>41268</c:v>
                </c:pt>
                <c:pt idx="908">
                  <c:v>41269</c:v>
                </c:pt>
                <c:pt idx="909">
                  <c:v>41270</c:v>
                </c:pt>
                <c:pt idx="910">
                  <c:v>41271</c:v>
                </c:pt>
                <c:pt idx="911">
                  <c:v>41272</c:v>
                </c:pt>
                <c:pt idx="912">
                  <c:v>41273</c:v>
                </c:pt>
                <c:pt idx="913">
                  <c:v>41274</c:v>
                </c:pt>
                <c:pt idx="914">
                  <c:v>41275</c:v>
                </c:pt>
                <c:pt idx="915">
                  <c:v>41276</c:v>
                </c:pt>
                <c:pt idx="916">
                  <c:v>41277</c:v>
                </c:pt>
                <c:pt idx="917">
                  <c:v>41278</c:v>
                </c:pt>
                <c:pt idx="918">
                  <c:v>41279</c:v>
                </c:pt>
                <c:pt idx="919">
                  <c:v>41280</c:v>
                </c:pt>
                <c:pt idx="920">
                  <c:v>41281</c:v>
                </c:pt>
                <c:pt idx="921">
                  <c:v>41282</c:v>
                </c:pt>
                <c:pt idx="922">
                  <c:v>41283</c:v>
                </c:pt>
                <c:pt idx="923">
                  <c:v>41284</c:v>
                </c:pt>
                <c:pt idx="924">
                  <c:v>41285</c:v>
                </c:pt>
                <c:pt idx="925">
                  <c:v>41286</c:v>
                </c:pt>
                <c:pt idx="926">
                  <c:v>41287</c:v>
                </c:pt>
                <c:pt idx="927">
                  <c:v>41288</c:v>
                </c:pt>
                <c:pt idx="928">
                  <c:v>41289</c:v>
                </c:pt>
                <c:pt idx="929">
                  <c:v>41290</c:v>
                </c:pt>
                <c:pt idx="930">
                  <c:v>41291</c:v>
                </c:pt>
                <c:pt idx="931">
                  <c:v>41292</c:v>
                </c:pt>
                <c:pt idx="932">
                  <c:v>41293</c:v>
                </c:pt>
                <c:pt idx="933">
                  <c:v>41294</c:v>
                </c:pt>
                <c:pt idx="934">
                  <c:v>41295</c:v>
                </c:pt>
                <c:pt idx="935">
                  <c:v>41296</c:v>
                </c:pt>
                <c:pt idx="936">
                  <c:v>41297</c:v>
                </c:pt>
                <c:pt idx="937">
                  <c:v>41298</c:v>
                </c:pt>
                <c:pt idx="938">
                  <c:v>41299</c:v>
                </c:pt>
                <c:pt idx="939">
                  <c:v>41300</c:v>
                </c:pt>
                <c:pt idx="940">
                  <c:v>41301</c:v>
                </c:pt>
                <c:pt idx="941">
                  <c:v>41302</c:v>
                </c:pt>
                <c:pt idx="942">
                  <c:v>41303</c:v>
                </c:pt>
                <c:pt idx="943">
                  <c:v>41304</c:v>
                </c:pt>
                <c:pt idx="944">
                  <c:v>41305</c:v>
                </c:pt>
                <c:pt idx="945">
                  <c:v>41306</c:v>
                </c:pt>
                <c:pt idx="946">
                  <c:v>41307</c:v>
                </c:pt>
                <c:pt idx="947">
                  <c:v>41308</c:v>
                </c:pt>
                <c:pt idx="948">
                  <c:v>41309</c:v>
                </c:pt>
                <c:pt idx="949">
                  <c:v>41310</c:v>
                </c:pt>
                <c:pt idx="950">
                  <c:v>41311</c:v>
                </c:pt>
                <c:pt idx="951">
                  <c:v>41312</c:v>
                </c:pt>
                <c:pt idx="952">
                  <c:v>41313</c:v>
                </c:pt>
                <c:pt idx="953">
                  <c:v>41314</c:v>
                </c:pt>
                <c:pt idx="954">
                  <c:v>41315</c:v>
                </c:pt>
                <c:pt idx="955">
                  <c:v>41316</c:v>
                </c:pt>
                <c:pt idx="956">
                  <c:v>41317</c:v>
                </c:pt>
                <c:pt idx="957">
                  <c:v>41318</c:v>
                </c:pt>
                <c:pt idx="958">
                  <c:v>41319</c:v>
                </c:pt>
                <c:pt idx="959">
                  <c:v>41320</c:v>
                </c:pt>
                <c:pt idx="960">
                  <c:v>41321</c:v>
                </c:pt>
                <c:pt idx="961">
                  <c:v>41322</c:v>
                </c:pt>
                <c:pt idx="962">
                  <c:v>41323</c:v>
                </c:pt>
                <c:pt idx="963">
                  <c:v>41324</c:v>
                </c:pt>
                <c:pt idx="964">
                  <c:v>41325</c:v>
                </c:pt>
                <c:pt idx="965">
                  <c:v>41326</c:v>
                </c:pt>
                <c:pt idx="966">
                  <c:v>41327</c:v>
                </c:pt>
                <c:pt idx="967">
                  <c:v>41328</c:v>
                </c:pt>
                <c:pt idx="968">
                  <c:v>41329</c:v>
                </c:pt>
                <c:pt idx="969">
                  <c:v>41330</c:v>
                </c:pt>
                <c:pt idx="970">
                  <c:v>41331</c:v>
                </c:pt>
                <c:pt idx="971">
                  <c:v>41332</c:v>
                </c:pt>
                <c:pt idx="972">
                  <c:v>41333</c:v>
                </c:pt>
                <c:pt idx="973">
                  <c:v>41334</c:v>
                </c:pt>
                <c:pt idx="974">
                  <c:v>41335</c:v>
                </c:pt>
                <c:pt idx="975">
                  <c:v>41336</c:v>
                </c:pt>
                <c:pt idx="976">
                  <c:v>41337</c:v>
                </c:pt>
                <c:pt idx="977">
                  <c:v>41338</c:v>
                </c:pt>
                <c:pt idx="978">
                  <c:v>41339</c:v>
                </c:pt>
                <c:pt idx="979">
                  <c:v>41340</c:v>
                </c:pt>
                <c:pt idx="980">
                  <c:v>41341</c:v>
                </c:pt>
                <c:pt idx="981">
                  <c:v>41342</c:v>
                </c:pt>
                <c:pt idx="982">
                  <c:v>41343</c:v>
                </c:pt>
                <c:pt idx="983">
                  <c:v>41344</c:v>
                </c:pt>
                <c:pt idx="984">
                  <c:v>41345</c:v>
                </c:pt>
                <c:pt idx="985">
                  <c:v>41346</c:v>
                </c:pt>
                <c:pt idx="986">
                  <c:v>41347</c:v>
                </c:pt>
                <c:pt idx="987">
                  <c:v>41348</c:v>
                </c:pt>
                <c:pt idx="988">
                  <c:v>41349</c:v>
                </c:pt>
                <c:pt idx="989">
                  <c:v>41350</c:v>
                </c:pt>
                <c:pt idx="990">
                  <c:v>41351</c:v>
                </c:pt>
                <c:pt idx="991">
                  <c:v>41352</c:v>
                </c:pt>
                <c:pt idx="992">
                  <c:v>41353</c:v>
                </c:pt>
                <c:pt idx="993">
                  <c:v>41354</c:v>
                </c:pt>
                <c:pt idx="994">
                  <c:v>41355</c:v>
                </c:pt>
                <c:pt idx="995">
                  <c:v>41356</c:v>
                </c:pt>
                <c:pt idx="996">
                  <c:v>41357</c:v>
                </c:pt>
                <c:pt idx="997">
                  <c:v>41358</c:v>
                </c:pt>
                <c:pt idx="998">
                  <c:v>41359</c:v>
                </c:pt>
                <c:pt idx="999">
                  <c:v>41360</c:v>
                </c:pt>
                <c:pt idx="1000">
                  <c:v>41361</c:v>
                </c:pt>
                <c:pt idx="1001">
                  <c:v>41362</c:v>
                </c:pt>
                <c:pt idx="1002">
                  <c:v>41363</c:v>
                </c:pt>
                <c:pt idx="1003">
                  <c:v>41364</c:v>
                </c:pt>
                <c:pt idx="1004">
                  <c:v>41365</c:v>
                </c:pt>
                <c:pt idx="1005">
                  <c:v>41366</c:v>
                </c:pt>
                <c:pt idx="1006">
                  <c:v>41367</c:v>
                </c:pt>
                <c:pt idx="1007">
                  <c:v>41368</c:v>
                </c:pt>
                <c:pt idx="1008">
                  <c:v>41369</c:v>
                </c:pt>
                <c:pt idx="1009">
                  <c:v>41370</c:v>
                </c:pt>
                <c:pt idx="1010">
                  <c:v>41371</c:v>
                </c:pt>
                <c:pt idx="1011">
                  <c:v>41372</c:v>
                </c:pt>
                <c:pt idx="1012">
                  <c:v>41373</c:v>
                </c:pt>
                <c:pt idx="1013">
                  <c:v>41374</c:v>
                </c:pt>
                <c:pt idx="1014">
                  <c:v>41375</c:v>
                </c:pt>
                <c:pt idx="1015">
                  <c:v>41376</c:v>
                </c:pt>
                <c:pt idx="1016">
                  <c:v>41377</c:v>
                </c:pt>
                <c:pt idx="1017">
                  <c:v>41378</c:v>
                </c:pt>
                <c:pt idx="1018">
                  <c:v>41379</c:v>
                </c:pt>
                <c:pt idx="1019">
                  <c:v>41380</c:v>
                </c:pt>
                <c:pt idx="1020">
                  <c:v>41381</c:v>
                </c:pt>
                <c:pt idx="1021">
                  <c:v>41382</c:v>
                </c:pt>
                <c:pt idx="1022">
                  <c:v>41383</c:v>
                </c:pt>
                <c:pt idx="1023">
                  <c:v>41384</c:v>
                </c:pt>
                <c:pt idx="1024">
                  <c:v>41385</c:v>
                </c:pt>
                <c:pt idx="1025">
                  <c:v>41386</c:v>
                </c:pt>
                <c:pt idx="1026">
                  <c:v>41387</c:v>
                </c:pt>
                <c:pt idx="1027">
                  <c:v>41388</c:v>
                </c:pt>
                <c:pt idx="1028">
                  <c:v>41389</c:v>
                </c:pt>
                <c:pt idx="1029">
                  <c:v>41390</c:v>
                </c:pt>
                <c:pt idx="1030">
                  <c:v>41391</c:v>
                </c:pt>
                <c:pt idx="1031">
                  <c:v>41392</c:v>
                </c:pt>
                <c:pt idx="1032">
                  <c:v>41393</c:v>
                </c:pt>
                <c:pt idx="1033">
                  <c:v>41394</c:v>
                </c:pt>
                <c:pt idx="1034">
                  <c:v>41395</c:v>
                </c:pt>
                <c:pt idx="1035">
                  <c:v>41396</c:v>
                </c:pt>
                <c:pt idx="1036">
                  <c:v>41397</c:v>
                </c:pt>
                <c:pt idx="1037">
                  <c:v>41398</c:v>
                </c:pt>
                <c:pt idx="1038">
                  <c:v>41399</c:v>
                </c:pt>
                <c:pt idx="1039">
                  <c:v>41400</c:v>
                </c:pt>
                <c:pt idx="1040">
                  <c:v>41401</c:v>
                </c:pt>
                <c:pt idx="1041">
                  <c:v>41402</c:v>
                </c:pt>
                <c:pt idx="1042">
                  <c:v>41403</c:v>
                </c:pt>
                <c:pt idx="1043">
                  <c:v>41404</c:v>
                </c:pt>
                <c:pt idx="1044">
                  <c:v>41405</c:v>
                </c:pt>
                <c:pt idx="1045">
                  <c:v>41406</c:v>
                </c:pt>
                <c:pt idx="1046">
                  <c:v>41407</c:v>
                </c:pt>
                <c:pt idx="1047">
                  <c:v>41408</c:v>
                </c:pt>
                <c:pt idx="1048">
                  <c:v>41409</c:v>
                </c:pt>
                <c:pt idx="1049">
                  <c:v>41410</c:v>
                </c:pt>
                <c:pt idx="1050">
                  <c:v>41411</c:v>
                </c:pt>
                <c:pt idx="1051">
                  <c:v>41412</c:v>
                </c:pt>
                <c:pt idx="1052">
                  <c:v>41413</c:v>
                </c:pt>
                <c:pt idx="1053">
                  <c:v>41414</c:v>
                </c:pt>
                <c:pt idx="1054">
                  <c:v>41415</c:v>
                </c:pt>
                <c:pt idx="1055">
                  <c:v>41416</c:v>
                </c:pt>
                <c:pt idx="1056">
                  <c:v>41417</c:v>
                </c:pt>
                <c:pt idx="1057">
                  <c:v>41418</c:v>
                </c:pt>
                <c:pt idx="1058">
                  <c:v>41419</c:v>
                </c:pt>
                <c:pt idx="1059">
                  <c:v>41420</c:v>
                </c:pt>
                <c:pt idx="1060">
                  <c:v>41421</c:v>
                </c:pt>
                <c:pt idx="1061">
                  <c:v>41422</c:v>
                </c:pt>
                <c:pt idx="1062">
                  <c:v>41423</c:v>
                </c:pt>
                <c:pt idx="1063">
                  <c:v>41424</c:v>
                </c:pt>
                <c:pt idx="1064">
                  <c:v>41425</c:v>
                </c:pt>
                <c:pt idx="1065">
                  <c:v>41426</c:v>
                </c:pt>
                <c:pt idx="1066">
                  <c:v>41427</c:v>
                </c:pt>
                <c:pt idx="1067">
                  <c:v>41428</c:v>
                </c:pt>
                <c:pt idx="1068">
                  <c:v>41429</c:v>
                </c:pt>
                <c:pt idx="1069">
                  <c:v>41430</c:v>
                </c:pt>
                <c:pt idx="1070">
                  <c:v>41431</c:v>
                </c:pt>
                <c:pt idx="1071">
                  <c:v>41432</c:v>
                </c:pt>
                <c:pt idx="1072">
                  <c:v>41433</c:v>
                </c:pt>
                <c:pt idx="1073">
                  <c:v>41434</c:v>
                </c:pt>
                <c:pt idx="1074">
                  <c:v>41435</c:v>
                </c:pt>
                <c:pt idx="1075">
                  <c:v>41436</c:v>
                </c:pt>
                <c:pt idx="1076">
                  <c:v>41437</c:v>
                </c:pt>
                <c:pt idx="1077">
                  <c:v>41438</c:v>
                </c:pt>
                <c:pt idx="1078">
                  <c:v>41439</c:v>
                </c:pt>
                <c:pt idx="1079">
                  <c:v>41440</c:v>
                </c:pt>
                <c:pt idx="1080">
                  <c:v>41441</c:v>
                </c:pt>
                <c:pt idx="1081">
                  <c:v>41442</c:v>
                </c:pt>
                <c:pt idx="1082">
                  <c:v>41443</c:v>
                </c:pt>
                <c:pt idx="1083">
                  <c:v>41444</c:v>
                </c:pt>
                <c:pt idx="1084">
                  <c:v>41445</c:v>
                </c:pt>
                <c:pt idx="1085">
                  <c:v>41446</c:v>
                </c:pt>
                <c:pt idx="1086">
                  <c:v>41447</c:v>
                </c:pt>
                <c:pt idx="1087">
                  <c:v>41448</c:v>
                </c:pt>
                <c:pt idx="1088">
                  <c:v>41449</c:v>
                </c:pt>
                <c:pt idx="1089">
                  <c:v>41450</c:v>
                </c:pt>
                <c:pt idx="1090">
                  <c:v>41451</c:v>
                </c:pt>
                <c:pt idx="1091">
                  <c:v>41452</c:v>
                </c:pt>
                <c:pt idx="1092">
                  <c:v>41453</c:v>
                </c:pt>
                <c:pt idx="1093">
                  <c:v>41454</c:v>
                </c:pt>
                <c:pt idx="1094">
                  <c:v>41455</c:v>
                </c:pt>
                <c:pt idx="1095">
                  <c:v>41456</c:v>
                </c:pt>
                <c:pt idx="1096">
                  <c:v>41457</c:v>
                </c:pt>
                <c:pt idx="1097">
                  <c:v>41458</c:v>
                </c:pt>
                <c:pt idx="1098">
                  <c:v>41459</c:v>
                </c:pt>
                <c:pt idx="1099">
                  <c:v>41460</c:v>
                </c:pt>
                <c:pt idx="1100">
                  <c:v>41461</c:v>
                </c:pt>
                <c:pt idx="1101">
                  <c:v>41462</c:v>
                </c:pt>
                <c:pt idx="1102">
                  <c:v>41463</c:v>
                </c:pt>
                <c:pt idx="1103">
                  <c:v>41464</c:v>
                </c:pt>
                <c:pt idx="1104">
                  <c:v>41465</c:v>
                </c:pt>
                <c:pt idx="1105">
                  <c:v>41466</c:v>
                </c:pt>
                <c:pt idx="1106">
                  <c:v>41467</c:v>
                </c:pt>
                <c:pt idx="1107">
                  <c:v>41468</c:v>
                </c:pt>
                <c:pt idx="1108">
                  <c:v>41469</c:v>
                </c:pt>
                <c:pt idx="1109">
                  <c:v>41470</c:v>
                </c:pt>
                <c:pt idx="1110">
                  <c:v>41471</c:v>
                </c:pt>
                <c:pt idx="1111">
                  <c:v>41472</c:v>
                </c:pt>
                <c:pt idx="1112">
                  <c:v>41473</c:v>
                </c:pt>
                <c:pt idx="1113">
                  <c:v>41474</c:v>
                </c:pt>
                <c:pt idx="1114">
                  <c:v>41475</c:v>
                </c:pt>
                <c:pt idx="1115">
                  <c:v>41476</c:v>
                </c:pt>
                <c:pt idx="1116">
                  <c:v>41477</c:v>
                </c:pt>
                <c:pt idx="1117">
                  <c:v>41478</c:v>
                </c:pt>
                <c:pt idx="1118">
                  <c:v>41479</c:v>
                </c:pt>
                <c:pt idx="1119">
                  <c:v>41480</c:v>
                </c:pt>
                <c:pt idx="1120">
                  <c:v>41481</c:v>
                </c:pt>
                <c:pt idx="1121">
                  <c:v>41482</c:v>
                </c:pt>
                <c:pt idx="1122">
                  <c:v>41483</c:v>
                </c:pt>
                <c:pt idx="1123">
                  <c:v>41484</c:v>
                </c:pt>
                <c:pt idx="1124">
                  <c:v>41485</c:v>
                </c:pt>
                <c:pt idx="1125">
                  <c:v>41486</c:v>
                </c:pt>
                <c:pt idx="1126">
                  <c:v>41487</c:v>
                </c:pt>
                <c:pt idx="1127">
                  <c:v>41488</c:v>
                </c:pt>
                <c:pt idx="1128">
                  <c:v>41489</c:v>
                </c:pt>
                <c:pt idx="1129">
                  <c:v>41490</c:v>
                </c:pt>
                <c:pt idx="1130">
                  <c:v>41491</c:v>
                </c:pt>
                <c:pt idx="1131">
                  <c:v>41492</c:v>
                </c:pt>
                <c:pt idx="1132">
                  <c:v>41493</c:v>
                </c:pt>
                <c:pt idx="1133">
                  <c:v>41494</c:v>
                </c:pt>
                <c:pt idx="1134">
                  <c:v>41495</c:v>
                </c:pt>
                <c:pt idx="1135">
                  <c:v>41496</c:v>
                </c:pt>
                <c:pt idx="1136">
                  <c:v>41497</c:v>
                </c:pt>
                <c:pt idx="1137">
                  <c:v>41498</c:v>
                </c:pt>
                <c:pt idx="1138">
                  <c:v>41499</c:v>
                </c:pt>
                <c:pt idx="1139">
                  <c:v>41500</c:v>
                </c:pt>
                <c:pt idx="1140">
                  <c:v>41501</c:v>
                </c:pt>
                <c:pt idx="1141">
                  <c:v>41502</c:v>
                </c:pt>
                <c:pt idx="1142">
                  <c:v>41503</c:v>
                </c:pt>
                <c:pt idx="1143">
                  <c:v>41504</c:v>
                </c:pt>
                <c:pt idx="1144">
                  <c:v>41505</c:v>
                </c:pt>
                <c:pt idx="1145">
                  <c:v>41506</c:v>
                </c:pt>
                <c:pt idx="1146">
                  <c:v>41507</c:v>
                </c:pt>
                <c:pt idx="1147">
                  <c:v>41508</c:v>
                </c:pt>
                <c:pt idx="1148">
                  <c:v>41509</c:v>
                </c:pt>
                <c:pt idx="1149">
                  <c:v>41510</c:v>
                </c:pt>
                <c:pt idx="1150">
                  <c:v>41511</c:v>
                </c:pt>
                <c:pt idx="1151">
                  <c:v>41512</c:v>
                </c:pt>
                <c:pt idx="1152">
                  <c:v>41513</c:v>
                </c:pt>
                <c:pt idx="1153">
                  <c:v>41514</c:v>
                </c:pt>
                <c:pt idx="1154">
                  <c:v>41515</c:v>
                </c:pt>
                <c:pt idx="1155">
                  <c:v>41516</c:v>
                </c:pt>
                <c:pt idx="1156">
                  <c:v>41517</c:v>
                </c:pt>
                <c:pt idx="1157">
                  <c:v>41518</c:v>
                </c:pt>
                <c:pt idx="1158">
                  <c:v>41519</c:v>
                </c:pt>
                <c:pt idx="1159">
                  <c:v>41520</c:v>
                </c:pt>
                <c:pt idx="1160">
                  <c:v>41521</c:v>
                </c:pt>
                <c:pt idx="1161">
                  <c:v>41522</c:v>
                </c:pt>
                <c:pt idx="1162">
                  <c:v>41523</c:v>
                </c:pt>
                <c:pt idx="1163">
                  <c:v>41524</c:v>
                </c:pt>
                <c:pt idx="1164">
                  <c:v>41525</c:v>
                </c:pt>
                <c:pt idx="1165">
                  <c:v>41526</c:v>
                </c:pt>
                <c:pt idx="1166">
                  <c:v>41527</c:v>
                </c:pt>
                <c:pt idx="1167">
                  <c:v>41528</c:v>
                </c:pt>
                <c:pt idx="1168">
                  <c:v>41529</c:v>
                </c:pt>
                <c:pt idx="1169">
                  <c:v>41530</c:v>
                </c:pt>
                <c:pt idx="1170">
                  <c:v>41531</c:v>
                </c:pt>
                <c:pt idx="1171">
                  <c:v>41532</c:v>
                </c:pt>
                <c:pt idx="1172">
                  <c:v>41533</c:v>
                </c:pt>
                <c:pt idx="1173">
                  <c:v>41534</c:v>
                </c:pt>
                <c:pt idx="1174">
                  <c:v>41535</c:v>
                </c:pt>
                <c:pt idx="1175">
                  <c:v>41536</c:v>
                </c:pt>
                <c:pt idx="1176">
                  <c:v>41537</c:v>
                </c:pt>
                <c:pt idx="1177">
                  <c:v>41538</c:v>
                </c:pt>
                <c:pt idx="1178">
                  <c:v>41539</c:v>
                </c:pt>
                <c:pt idx="1179">
                  <c:v>41540</c:v>
                </c:pt>
                <c:pt idx="1180">
                  <c:v>41541</c:v>
                </c:pt>
                <c:pt idx="1181">
                  <c:v>41542</c:v>
                </c:pt>
                <c:pt idx="1182">
                  <c:v>41543</c:v>
                </c:pt>
                <c:pt idx="1183">
                  <c:v>41544</c:v>
                </c:pt>
                <c:pt idx="1184">
                  <c:v>41545</c:v>
                </c:pt>
                <c:pt idx="1185">
                  <c:v>41546</c:v>
                </c:pt>
                <c:pt idx="1186">
                  <c:v>41547</c:v>
                </c:pt>
                <c:pt idx="1187">
                  <c:v>41548</c:v>
                </c:pt>
                <c:pt idx="1188">
                  <c:v>41549</c:v>
                </c:pt>
                <c:pt idx="1189">
                  <c:v>41550</c:v>
                </c:pt>
                <c:pt idx="1190">
                  <c:v>41551</c:v>
                </c:pt>
                <c:pt idx="1191">
                  <c:v>41552</c:v>
                </c:pt>
                <c:pt idx="1192">
                  <c:v>41553</c:v>
                </c:pt>
                <c:pt idx="1193">
                  <c:v>41554</c:v>
                </c:pt>
                <c:pt idx="1194">
                  <c:v>41555</c:v>
                </c:pt>
                <c:pt idx="1195">
                  <c:v>41556</c:v>
                </c:pt>
                <c:pt idx="1196">
                  <c:v>41557</c:v>
                </c:pt>
                <c:pt idx="1197">
                  <c:v>41558</c:v>
                </c:pt>
                <c:pt idx="1198">
                  <c:v>41559</c:v>
                </c:pt>
                <c:pt idx="1199">
                  <c:v>41560</c:v>
                </c:pt>
                <c:pt idx="1200">
                  <c:v>41561</c:v>
                </c:pt>
                <c:pt idx="1201">
                  <c:v>41562</c:v>
                </c:pt>
                <c:pt idx="1202">
                  <c:v>41563</c:v>
                </c:pt>
                <c:pt idx="1203">
                  <c:v>41564</c:v>
                </c:pt>
                <c:pt idx="1204">
                  <c:v>41565</c:v>
                </c:pt>
                <c:pt idx="1205">
                  <c:v>41566</c:v>
                </c:pt>
                <c:pt idx="1206">
                  <c:v>41567</c:v>
                </c:pt>
                <c:pt idx="1207">
                  <c:v>41568</c:v>
                </c:pt>
                <c:pt idx="1208">
                  <c:v>41569</c:v>
                </c:pt>
                <c:pt idx="1209">
                  <c:v>41570</c:v>
                </c:pt>
                <c:pt idx="1210">
                  <c:v>41571</c:v>
                </c:pt>
                <c:pt idx="1211">
                  <c:v>41572</c:v>
                </c:pt>
                <c:pt idx="1212">
                  <c:v>41573</c:v>
                </c:pt>
                <c:pt idx="1213">
                  <c:v>41574</c:v>
                </c:pt>
                <c:pt idx="1214">
                  <c:v>41575</c:v>
                </c:pt>
                <c:pt idx="1215">
                  <c:v>41576</c:v>
                </c:pt>
                <c:pt idx="1216">
                  <c:v>41577</c:v>
                </c:pt>
                <c:pt idx="1217">
                  <c:v>41578</c:v>
                </c:pt>
                <c:pt idx="1218">
                  <c:v>41579</c:v>
                </c:pt>
                <c:pt idx="1219">
                  <c:v>41580</c:v>
                </c:pt>
                <c:pt idx="1220">
                  <c:v>41581</c:v>
                </c:pt>
                <c:pt idx="1221">
                  <c:v>41582</c:v>
                </c:pt>
                <c:pt idx="1222">
                  <c:v>41583</c:v>
                </c:pt>
                <c:pt idx="1223">
                  <c:v>41584</c:v>
                </c:pt>
                <c:pt idx="1224">
                  <c:v>41585</c:v>
                </c:pt>
                <c:pt idx="1225">
                  <c:v>41586</c:v>
                </c:pt>
                <c:pt idx="1226">
                  <c:v>41587</c:v>
                </c:pt>
                <c:pt idx="1227">
                  <c:v>41588</c:v>
                </c:pt>
                <c:pt idx="1228">
                  <c:v>41589</c:v>
                </c:pt>
                <c:pt idx="1229">
                  <c:v>41590</c:v>
                </c:pt>
                <c:pt idx="1230">
                  <c:v>41591</c:v>
                </c:pt>
                <c:pt idx="1231">
                  <c:v>41592</c:v>
                </c:pt>
                <c:pt idx="1232">
                  <c:v>41593</c:v>
                </c:pt>
                <c:pt idx="1233">
                  <c:v>41594</c:v>
                </c:pt>
                <c:pt idx="1234">
                  <c:v>41595</c:v>
                </c:pt>
                <c:pt idx="1235">
                  <c:v>41596</c:v>
                </c:pt>
                <c:pt idx="1236">
                  <c:v>41597</c:v>
                </c:pt>
                <c:pt idx="1237">
                  <c:v>41598</c:v>
                </c:pt>
                <c:pt idx="1238">
                  <c:v>41599</c:v>
                </c:pt>
                <c:pt idx="1239">
                  <c:v>41600</c:v>
                </c:pt>
                <c:pt idx="1240">
                  <c:v>41601</c:v>
                </c:pt>
                <c:pt idx="1241">
                  <c:v>41602</c:v>
                </c:pt>
                <c:pt idx="1242">
                  <c:v>41603</c:v>
                </c:pt>
                <c:pt idx="1243">
                  <c:v>41604</c:v>
                </c:pt>
                <c:pt idx="1244">
                  <c:v>41605</c:v>
                </c:pt>
                <c:pt idx="1245">
                  <c:v>41606</c:v>
                </c:pt>
                <c:pt idx="1246">
                  <c:v>41607</c:v>
                </c:pt>
                <c:pt idx="1247">
                  <c:v>41608</c:v>
                </c:pt>
                <c:pt idx="1248">
                  <c:v>41609</c:v>
                </c:pt>
                <c:pt idx="1249">
                  <c:v>41610</c:v>
                </c:pt>
                <c:pt idx="1250">
                  <c:v>41611</c:v>
                </c:pt>
                <c:pt idx="1251">
                  <c:v>41612</c:v>
                </c:pt>
                <c:pt idx="1252">
                  <c:v>41613</c:v>
                </c:pt>
                <c:pt idx="1253">
                  <c:v>41614</c:v>
                </c:pt>
                <c:pt idx="1254">
                  <c:v>41615</c:v>
                </c:pt>
                <c:pt idx="1255">
                  <c:v>41616</c:v>
                </c:pt>
                <c:pt idx="1256">
                  <c:v>41617</c:v>
                </c:pt>
                <c:pt idx="1257">
                  <c:v>41618</c:v>
                </c:pt>
                <c:pt idx="1258">
                  <c:v>41619</c:v>
                </c:pt>
                <c:pt idx="1259">
                  <c:v>41620</c:v>
                </c:pt>
                <c:pt idx="1260">
                  <c:v>41621</c:v>
                </c:pt>
                <c:pt idx="1261">
                  <c:v>41622</c:v>
                </c:pt>
                <c:pt idx="1262">
                  <c:v>41623</c:v>
                </c:pt>
                <c:pt idx="1263">
                  <c:v>41624</c:v>
                </c:pt>
                <c:pt idx="1264">
                  <c:v>41625</c:v>
                </c:pt>
                <c:pt idx="1265">
                  <c:v>41626</c:v>
                </c:pt>
                <c:pt idx="1266">
                  <c:v>41627</c:v>
                </c:pt>
                <c:pt idx="1267">
                  <c:v>41628</c:v>
                </c:pt>
                <c:pt idx="1268">
                  <c:v>41629</c:v>
                </c:pt>
                <c:pt idx="1269">
                  <c:v>41630</c:v>
                </c:pt>
                <c:pt idx="1270">
                  <c:v>41631</c:v>
                </c:pt>
                <c:pt idx="1271">
                  <c:v>41632</c:v>
                </c:pt>
                <c:pt idx="1272">
                  <c:v>41633</c:v>
                </c:pt>
                <c:pt idx="1273">
                  <c:v>41634</c:v>
                </c:pt>
                <c:pt idx="1274">
                  <c:v>41635</c:v>
                </c:pt>
                <c:pt idx="1275">
                  <c:v>41636</c:v>
                </c:pt>
                <c:pt idx="1276">
                  <c:v>41637</c:v>
                </c:pt>
                <c:pt idx="1277">
                  <c:v>41638</c:v>
                </c:pt>
                <c:pt idx="1278">
                  <c:v>41639</c:v>
                </c:pt>
                <c:pt idx="1279">
                  <c:v>41640</c:v>
                </c:pt>
                <c:pt idx="1280">
                  <c:v>41641</c:v>
                </c:pt>
                <c:pt idx="1281">
                  <c:v>41642</c:v>
                </c:pt>
                <c:pt idx="1282">
                  <c:v>41643</c:v>
                </c:pt>
                <c:pt idx="1283">
                  <c:v>41644</c:v>
                </c:pt>
                <c:pt idx="1284">
                  <c:v>41645</c:v>
                </c:pt>
                <c:pt idx="1285">
                  <c:v>41646</c:v>
                </c:pt>
                <c:pt idx="1286">
                  <c:v>41647</c:v>
                </c:pt>
                <c:pt idx="1287">
                  <c:v>41648</c:v>
                </c:pt>
                <c:pt idx="1288">
                  <c:v>41649</c:v>
                </c:pt>
                <c:pt idx="1289">
                  <c:v>41650</c:v>
                </c:pt>
                <c:pt idx="1290">
                  <c:v>41651</c:v>
                </c:pt>
                <c:pt idx="1291">
                  <c:v>41652</c:v>
                </c:pt>
                <c:pt idx="1292">
                  <c:v>41653</c:v>
                </c:pt>
                <c:pt idx="1293">
                  <c:v>41654</c:v>
                </c:pt>
                <c:pt idx="1294">
                  <c:v>41655</c:v>
                </c:pt>
                <c:pt idx="1295">
                  <c:v>41656</c:v>
                </c:pt>
                <c:pt idx="1296">
                  <c:v>41657</c:v>
                </c:pt>
                <c:pt idx="1297">
                  <c:v>41658</c:v>
                </c:pt>
                <c:pt idx="1298">
                  <c:v>41659</c:v>
                </c:pt>
                <c:pt idx="1299">
                  <c:v>41660</c:v>
                </c:pt>
                <c:pt idx="1300">
                  <c:v>41661</c:v>
                </c:pt>
                <c:pt idx="1301">
                  <c:v>41662</c:v>
                </c:pt>
                <c:pt idx="1302">
                  <c:v>41663</c:v>
                </c:pt>
                <c:pt idx="1303">
                  <c:v>41664</c:v>
                </c:pt>
                <c:pt idx="1304">
                  <c:v>41665</c:v>
                </c:pt>
                <c:pt idx="1305">
                  <c:v>41666</c:v>
                </c:pt>
                <c:pt idx="1306">
                  <c:v>41667</c:v>
                </c:pt>
                <c:pt idx="1307">
                  <c:v>41668</c:v>
                </c:pt>
                <c:pt idx="1308">
                  <c:v>41669</c:v>
                </c:pt>
                <c:pt idx="1309">
                  <c:v>41670</c:v>
                </c:pt>
                <c:pt idx="1310">
                  <c:v>41671</c:v>
                </c:pt>
                <c:pt idx="1311">
                  <c:v>41672</c:v>
                </c:pt>
                <c:pt idx="1312">
                  <c:v>41673</c:v>
                </c:pt>
                <c:pt idx="1313">
                  <c:v>41674</c:v>
                </c:pt>
                <c:pt idx="1314">
                  <c:v>41675</c:v>
                </c:pt>
                <c:pt idx="1315">
                  <c:v>41676</c:v>
                </c:pt>
                <c:pt idx="1316">
                  <c:v>41677</c:v>
                </c:pt>
                <c:pt idx="1317">
                  <c:v>41678</c:v>
                </c:pt>
                <c:pt idx="1318">
                  <c:v>41679</c:v>
                </c:pt>
                <c:pt idx="1319">
                  <c:v>41680</c:v>
                </c:pt>
                <c:pt idx="1320">
                  <c:v>41681</c:v>
                </c:pt>
                <c:pt idx="1321">
                  <c:v>41682</c:v>
                </c:pt>
                <c:pt idx="1322">
                  <c:v>41683</c:v>
                </c:pt>
                <c:pt idx="1323">
                  <c:v>41684</c:v>
                </c:pt>
                <c:pt idx="1324">
                  <c:v>41685</c:v>
                </c:pt>
                <c:pt idx="1325">
                  <c:v>41686</c:v>
                </c:pt>
                <c:pt idx="1326">
                  <c:v>41687</c:v>
                </c:pt>
                <c:pt idx="1327">
                  <c:v>41688</c:v>
                </c:pt>
                <c:pt idx="1328">
                  <c:v>41689</c:v>
                </c:pt>
                <c:pt idx="1329">
                  <c:v>41690</c:v>
                </c:pt>
                <c:pt idx="1330">
                  <c:v>41691</c:v>
                </c:pt>
                <c:pt idx="1331">
                  <c:v>41692</c:v>
                </c:pt>
                <c:pt idx="1332">
                  <c:v>41693</c:v>
                </c:pt>
                <c:pt idx="1333">
                  <c:v>41694</c:v>
                </c:pt>
                <c:pt idx="1334">
                  <c:v>41695</c:v>
                </c:pt>
                <c:pt idx="1335">
                  <c:v>41696</c:v>
                </c:pt>
                <c:pt idx="1336">
                  <c:v>41697</c:v>
                </c:pt>
              </c:numCache>
            </c:numRef>
          </c:xVal>
          <c:yVal>
            <c:numRef>
              <c:f>Sheet1!$B$2:$B$1338</c:f>
              <c:numCache>
                <c:formatCode>General</c:formatCode>
                <c:ptCount val="1337"/>
                <c:pt idx="0">
                  <c:v>0.44436000000000031</c:v>
                </c:pt>
                <c:pt idx="1">
                  <c:v>0.35122000000000031</c:v>
                </c:pt>
                <c:pt idx="2">
                  <c:v>0.39963000000000032</c:v>
                </c:pt>
                <c:pt idx="3">
                  <c:v>0.44694</c:v>
                </c:pt>
                <c:pt idx="4">
                  <c:v>0.50588</c:v>
                </c:pt>
                <c:pt idx="5">
                  <c:v>0.48828000000000032</c:v>
                </c:pt>
                <c:pt idx="6">
                  <c:v>0.4945100000000025</c:v>
                </c:pt>
                <c:pt idx="7">
                  <c:v>0.47437000000000251</c:v>
                </c:pt>
                <c:pt idx="8">
                  <c:v>0.48421000000000008</c:v>
                </c:pt>
                <c:pt idx="9">
                  <c:v>0.42134000000000038</c:v>
                </c:pt>
                <c:pt idx="10">
                  <c:v>0.34935000000000038</c:v>
                </c:pt>
                <c:pt idx="11">
                  <c:v>0.32506000000000285</c:v>
                </c:pt>
                <c:pt idx="12">
                  <c:v>0.26821</c:v>
                </c:pt>
                <c:pt idx="13">
                  <c:v>0.21930000000000024</c:v>
                </c:pt>
                <c:pt idx="14">
                  <c:v>0.17158999999999999</c:v>
                </c:pt>
                <c:pt idx="15">
                  <c:v>0.17773000000000044</c:v>
                </c:pt>
                <c:pt idx="16">
                  <c:v>0.16531000000000001</c:v>
                </c:pt>
                <c:pt idx="17">
                  <c:v>0.17730000000000001</c:v>
                </c:pt>
                <c:pt idx="18">
                  <c:v>0.17158999999999999</c:v>
                </c:pt>
                <c:pt idx="19">
                  <c:v>0.14903000000000041</c:v>
                </c:pt>
                <c:pt idx="20">
                  <c:v>0.10417999999999998</c:v>
                </c:pt>
                <c:pt idx="21">
                  <c:v>6.9780000000000134E-2</c:v>
                </c:pt>
                <c:pt idx="22">
                  <c:v>7.6920000000000002E-2</c:v>
                </c:pt>
                <c:pt idx="23">
                  <c:v>8.4920000000000065E-2</c:v>
                </c:pt>
                <c:pt idx="24">
                  <c:v>6.2220000000000004E-2</c:v>
                </c:pt>
                <c:pt idx="25">
                  <c:v>4.3229999999999956E-2</c:v>
                </c:pt>
                <c:pt idx="26">
                  <c:v>0.10620000000000022</c:v>
                </c:pt>
                <c:pt idx="27">
                  <c:v>0.15157999999999999</c:v>
                </c:pt>
                <c:pt idx="28">
                  <c:v>0.2243</c:v>
                </c:pt>
                <c:pt idx="29">
                  <c:v>0</c:v>
                </c:pt>
                <c:pt idx="30">
                  <c:v>3.7000000000000428E-4</c:v>
                </c:pt>
                <c:pt idx="31">
                  <c:v>0.13728000000000001</c:v>
                </c:pt>
                <c:pt idx="32">
                  <c:v>5.4070000000000014E-2</c:v>
                </c:pt>
                <c:pt idx="33">
                  <c:v>1.3390000000000001E-2</c:v>
                </c:pt>
                <c:pt idx="34">
                  <c:v>2.1830000000000092E-2</c:v>
                </c:pt>
                <c:pt idx="35">
                  <c:v>9.2020000000000005E-2</c:v>
                </c:pt>
                <c:pt idx="36">
                  <c:v>0.10639999999999998</c:v>
                </c:pt>
                <c:pt idx="37">
                  <c:v>6.4360000000000653E-2</c:v>
                </c:pt>
                <c:pt idx="38">
                  <c:v>0.10603000000000012</c:v>
                </c:pt>
                <c:pt idx="39">
                  <c:v>0.20090000000000041</c:v>
                </c:pt>
                <c:pt idx="40">
                  <c:v>0.23128000000000001</c:v>
                </c:pt>
                <c:pt idx="41">
                  <c:v>0.16283</c:v>
                </c:pt>
                <c:pt idx="42">
                  <c:v>3.0130000000000011E-2</c:v>
                </c:pt>
                <c:pt idx="43">
                  <c:v>0</c:v>
                </c:pt>
                <c:pt idx="44">
                  <c:v>4.7120000000000002E-2</c:v>
                </c:pt>
                <c:pt idx="45">
                  <c:v>0.10119000000000022</c:v>
                </c:pt>
                <c:pt idx="46">
                  <c:v>6.1260000000000002E-2</c:v>
                </c:pt>
                <c:pt idx="47">
                  <c:v>4.5260000000000002E-2</c:v>
                </c:pt>
                <c:pt idx="48">
                  <c:v>1.9349999999999999E-2</c:v>
                </c:pt>
                <c:pt idx="49">
                  <c:v>0.11533</c:v>
                </c:pt>
                <c:pt idx="50">
                  <c:v>0.10664999999999998</c:v>
                </c:pt>
                <c:pt idx="51">
                  <c:v>9.0280000000000013E-2</c:v>
                </c:pt>
                <c:pt idx="52">
                  <c:v>8.2100000000000006E-2</c:v>
                </c:pt>
                <c:pt idx="53">
                  <c:v>0.15526000000000134</c:v>
                </c:pt>
                <c:pt idx="54">
                  <c:v>9.0400000000000022E-2</c:v>
                </c:pt>
                <c:pt idx="55">
                  <c:v>9.6850000000000047E-2</c:v>
                </c:pt>
                <c:pt idx="56">
                  <c:v>9.8470000000000002E-2</c:v>
                </c:pt>
                <c:pt idx="57">
                  <c:v>0.61014000000000501</c:v>
                </c:pt>
                <c:pt idx="58">
                  <c:v>0.37514000000000008</c:v>
                </c:pt>
                <c:pt idx="59">
                  <c:v>0.22086</c:v>
                </c:pt>
                <c:pt idx="60">
                  <c:v>0.14559000000000041</c:v>
                </c:pt>
                <c:pt idx="61">
                  <c:v>7.4779999999999999E-2</c:v>
                </c:pt>
                <c:pt idx="62">
                  <c:v>8.7429999999999994E-2</c:v>
                </c:pt>
                <c:pt idx="63">
                  <c:v>0.21652000000000021</c:v>
                </c:pt>
                <c:pt idx="64">
                  <c:v>0.17188000000000001</c:v>
                </c:pt>
                <c:pt idx="65">
                  <c:v>0.1663</c:v>
                </c:pt>
                <c:pt idx="66">
                  <c:v>0.12028999999999998</c:v>
                </c:pt>
                <c:pt idx="67">
                  <c:v>4.7989999999999998E-2</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0.48631000000000291</c:v>
                </c:pt>
                <c:pt idx="100">
                  <c:v>2.1838099999999998</c:v>
                </c:pt>
                <c:pt idx="101">
                  <c:v>2.0170499999999967</c:v>
                </c:pt>
                <c:pt idx="102">
                  <c:v>1.2914599999999998</c:v>
                </c:pt>
                <c:pt idx="103">
                  <c:v>0.97224999999999995</c:v>
                </c:pt>
                <c:pt idx="104">
                  <c:v>0.87391000000000063</c:v>
                </c:pt>
                <c:pt idx="105">
                  <c:v>0.79330000000000001</c:v>
                </c:pt>
                <c:pt idx="106">
                  <c:v>0.94508999999999999</c:v>
                </c:pt>
                <c:pt idx="107">
                  <c:v>0.84353</c:v>
                </c:pt>
                <c:pt idx="108">
                  <c:v>0.65019000000000582</c:v>
                </c:pt>
                <c:pt idx="109">
                  <c:v>0.41197000000000222</c:v>
                </c:pt>
                <c:pt idx="110">
                  <c:v>0.46802000000000032</c:v>
                </c:pt>
                <c:pt idx="111">
                  <c:v>0.44570000000000004</c:v>
                </c:pt>
                <c:pt idx="112">
                  <c:v>0.46108000000000032</c:v>
                </c:pt>
                <c:pt idx="113">
                  <c:v>0.56486999999999998</c:v>
                </c:pt>
                <c:pt idx="114">
                  <c:v>0.3962200000000029</c:v>
                </c:pt>
                <c:pt idx="115">
                  <c:v>5.0840000000000003E-2</c:v>
                </c:pt>
                <c:pt idx="116">
                  <c:v>0</c:v>
                </c:pt>
                <c:pt idx="117">
                  <c:v>0</c:v>
                </c:pt>
                <c:pt idx="118">
                  <c:v>0</c:v>
                </c:pt>
                <c:pt idx="119">
                  <c:v>1.335729999999989</c:v>
                </c:pt>
                <c:pt idx="120">
                  <c:v>0.80632000000000004</c:v>
                </c:pt>
                <c:pt idx="121">
                  <c:v>0.71468000000000065</c:v>
                </c:pt>
                <c:pt idx="122">
                  <c:v>2.6235200000000232</c:v>
                </c:pt>
                <c:pt idx="123">
                  <c:v>1.88489</c:v>
                </c:pt>
                <c:pt idx="124">
                  <c:v>1.0175199999999998</c:v>
                </c:pt>
                <c:pt idx="125">
                  <c:v>0.94806999999999997</c:v>
                </c:pt>
                <c:pt idx="126">
                  <c:v>0.85158999999999996</c:v>
                </c:pt>
                <c:pt idx="127">
                  <c:v>0.77481999999999995</c:v>
                </c:pt>
                <c:pt idx="128">
                  <c:v>0.73688000000000065</c:v>
                </c:pt>
                <c:pt idx="129">
                  <c:v>0.72223999999999999</c:v>
                </c:pt>
                <c:pt idx="130">
                  <c:v>0.69235999999999998</c:v>
                </c:pt>
                <c:pt idx="131">
                  <c:v>0.69123999999999997</c:v>
                </c:pt>
                <c:pt idx="132">
                  <c:v>0.649320000000005</c:v>
                </c:pt>
                <c:pt idx="133">
                  <c:v>0.60084000000000581</c:v>
                </c:pt>
                <c:pt idx="134">
                  <c:v>0.87974000000000674</c:v>
                </c:pt>
                <c:pt idx="135">
                  <c:v>0.73923000000000005</c:v>
                </c:pt>
                <c:pt idx="136">
                  <c:v>1.27261</c:v>
                </c:pt>
                <c:pt idx="137">
                  <c:v>1.11958</c:v>
                </c:pt>
                <c:pt idx="138">
                  <c:v>0.79676999999999998</c:v>
                </c:pt>
                <c:pt idx="139">
                  <c:v>0.81054000000000004</c:v>
                </c:pt>
                <c:pt idx="140">
                  <c:v>0.85431999999999997</c:v>
                </c:pt>
                <c:pt idx="141">
                  <c:v>0.76912000000000569</c:v>
                </c:pt>
                <c:pt idx="142">
                  <c:v>0.75387000000000581</c:v>
                </c:pt>
                <c:pt idx="143">
                  <c:v>0.78785000000000005</c:v>
                </c:pt>
                <c:pt idx="144">
                  <c:v>0.90702000000000005</c:v>
                </c:pt>
                <c:pt idx="145">
                  <c:v>0.81586999999999998</c:v>
                </c:pt>
                <c:pt idx="146">
                  <c:v>0.80732000000000004</c:v>
                </c:pt>
                <c:pt idx="147">
                  <c:v>0.8416700000000058</c:v>
                </c:pt>
                <c:pt idx="148">
                  <c:v>1.101839999999991</c:v>
                </c:pt>
                <c:pt idx="149">
                  <c:v>1.0545899999999999</c:v>
                </c:pt>
                <c:pt idx="150">
                  <c:v>1.44015</c:v>
                </c:pt>
                <c:pt idx="151">
                  <c:v>0.971140000000005</c:v>
                </c:pt>
                <c:pt idx="152">
                  <c:v>0.98849999999999949</c:v>
                </c:pt>
                <c:pt idx="153">
                  <c:v>2.40571</c:v>
                </c:pt>
                <c:pt idx="154">
                  <c:v>4.0561400000000001</c:v>
                </c:pt>
                <c:pt idx="155">
                  <c:v>4.7419399999999996</c:v>
                </c:pt>
                <c:pt idx="156">
                  <c:v>4.8960099999999995</c:v>
                </c:pt>
                <c:pt idx="157">
                  <c:v>5.7081400000000002</c:v>
                </c:pt>
                <c:pt idx="158">
                  <c:v>14.98335</c:v>
                </c:pt>
                <c:pt idx="159">
                  <c:v>7.7168900000000002</c:v>
                </c:pt>
                <c:pt idx="160">
                  <c:v>5.7398600000000428</c:v>
                </c:pt>
                <c:pt idx="161">
                  <c:v>5.0383300000000002</c:v>
                </c:pt>
                <c:pt idx="162">
                  <c:v>7.0454099999999995</c:v>
                </c:pt>
                <c:pt idx="163">
                  <c:v>12.62763</c:v>
                </c:pt>
                <c:pt idx="164">
                  <c:v>9.0152300000000007</c:v>
                </c:pt>
                <c:pt idx="165">
                  <c:v>11.97667</c:v>
                </c:pt>
                <c:pt idx="166">
                  <c:v>12.368360000000001</c:v>
                </c:pt>
                <c:pt idx="167">
                  <c:v>8.8658300000000985</c:v>
                </c:pt>
                <c:pt idx="168">
                  <c:v>5.06874</c:v>
                </c:pt>
                <c:pt idx="169">
                  <c:v>4.3010799999999998</c:v>
                </c:pt>
                <c:pt idx="170">
                  <c:v>8.5291000000000015</c:v>
                </c:pt>
                <c:pt idx="171">
                  <c:v>15.92642</c:v>
                </c:pt>
                <c:pt idx="172">
                  <c:v>7.8755499999999996</c:v>
                </c:pt>
                <c:pt idx="173">
                  <c:v>5.6858999999999975</c:v>
                </c:pt>
                <c:pt idx="174">
                  <c:v>8.7767900000000001</c:v>
                </c:pt>
                <c:pt idx="175">
                  <c:v>11.338240000000001</c:v>
                </c:pt>
                <c:pt idx="176">
                  <c:v>10.04452</c:v>
                </c:pt>
                <c:pt idx="177">
                  <c:v>11.037430000000002</c:v>
                </c:pt>
                <c:pt idx="178">
                  <c:v>18.793099999999889</c:v>
                </c:pt>
                <c:pt idx="179">
                  <c:v>17.147480000000005</c:v>
                </c:pt>
                <c:pt idx="180">
                  <c:v>25.848960000000005</c:v>
                </c:pt>
                <c:pt idx="181">
                  <c:v>31.079809999999988</c:v>
                </c:pt>
                <c:pt idx="182">
                  <c:v>42.261560000000003</c:v>
                </c:pt>
                <c:pt idx="183">
                  <c:v>19.645150000000001</c:v>
                </c:pt>
                <c:pt idx="184">
                  <c:v>27.625389999999989</c:v>
                </c:pt>
                <c:pt idx="185">
                  <c:v>28.770609999999817</c:v>
                </c:pt>
                <c:pt idx="186">
                  <c:v>17.317260000000172</c:v>
                </c:pt>
                <c:pt idx="187">
                  <c:v>15.874780000000024</c:v>
                </c:pt>
                <c:pt idx="188">
                  <c:v>17.44323999999974</c:v>
                </c:pt>
                <c:pt idx="190">
                  <c:v>44.514209999999999</c:v>
                </c:pt>
                <c:pt idx="191">
                  <c:v>25.23423</c:v>
                </c:pt>
                <c:pt idx="192">
                  <c:v>47.110590000000002</c:v>
                </c:pt>
                <c:pt idx="193">
                  <c:v>39.259030000000003</c:v>
                </c:pt>
                <c:pt idx="194">
                  <c:v>99.782679999999999</c:v>
                </c:pt>
                <c:pt idx="195">
                  <c:v>44.887389999999996</c:v>
                </c:pt>
                <c:pt idx="196">
                  <c:v>54.852220000000003</c:v>
                </c:pt>
                <c:pt idx="197">
                  <c:v>39.076520000000002</c:v>
                </c:pt>
                <c:pt idx="198">
                  <c:v>36.719510000000113</c:v>
                </c:pt>
                <c:pt idx="199">
                  <c:v>85.862430000000003</c:v>
                </c:pt>
                <c:pt idx="200">
                  <c:v>26.047519999999889</c:v>
                </c:pt>
                <c:pt idx="201">
                  <c:v>44.283350000000013</c:v>
                </c:pt>
                <c:pt idx="202">
                  <c:v>58.113489999999999</c:v>
                </c:pt>
                <c:pt idx="203">
                  <c:v>51.914790000000004</c:v>
                </c:pt>
                <c:pt idx="204">
                  <c:v>79.047389999999993</c:v>
                </c:pt>
                <c:pt idx="205">
                  <c:v>63.6325700000003</c:v>
                </c:pt>
                <c:pt idx="206">
                  <c:v>43.331960000000002</c:v>
                </c:pt>
                <c:pt idx="207">
                  <c:v>41.078480000000006</c:v>
                </c:pt>
                <c:pt idx="208">
                  <c:v>46.792600000000213</c:v>
                </c:pt>
                <c:pt idx="209">
                  <c:v>23.10379</c:v>
                </c:pt>
                <c:pt idx="210">
                  <c:v>18.416879999999999</c:v>
                </c:pt>
                <c:pt idx="211">
                  <c:v>21.414280000000005</c:v>
                </c:pt>
                <c:pt idx="212">
                  <c:v>14.884260000000001</c:v>
                </c:pt>
                <c:pt idx="213">
                  <c:v>10.456010000000004</c:v>
                </c:pt>
                <c:pt idx="214">
                  <c:v>16.996409999999806</c:v>
                </c:pt>
                <c:pt idx="215">
                  <c:v>12.905550000000074</c:v>
                </c:pt>
                <c:pt idx="216">
                  <c:v>9.0016100000000012</c:v>
                </c:pt>
                <c:pt idx="217">
                  <c:v>7.0566599999999999</c:v>
                </c:pt>
                <c:pt idx="218">
                  <c:v>7.0228299999999955</c:v>
                </c:pt>
                <c:pt idx="219">
                  <c:v>7.4769199999999998</c:v>
                </c:pt>
                <c:pt idx="220">
                  <c:v>31.007909999999999</c:v>
                </c:pt>
                <c:pt idx="221">
                  <c:v>90.723860000000002</c:v>
                </c:pt>
                <c:pt idx="222">
                  <c:v>81.112430000000003</c:v>
                </c:pt>
                <c:pt idx="223">
                  <c:v>1.27478</c:v>
                </c:pt>
                <c:pt idx="224">
                  <c:v>8.2965900000000001</c:v>
                </c:pt>
                <c:pt idx="225">
                  <c:v>29.899059999999999</c:v>
                </c:pt>
                <c:pt idx="226">
                  <c:v>15.89706</c:v>
                </c:pt>
                <c:pt idx="227">
                  <c:v>57.689400000000006</c:v>
                </c:pt>
                <c:pt idx="228">
                  <c:v>30.115570000000005</c:v>
                </c:pt>
                <c:pt idx="229">
                  <c:v>138.53328999999999</c:v>
                </c:pt>
                <c:pt idx="230">
                  <c:v>138.05647000000027</c:v>
                </c:pt>
                <c:pt idx="231">
                  <c:v>168.8657</c:v>
                </c:pt>
                <c:pt idx="232">
                  <c:v>50.490490000000001</c:v>
                </c:pt>
                <c:pt idx="233">
                  <c:v>55.957679999999975</c:v>
                </c:pt>
                <c:pt idx="234">
                  <c:v>29.212569999999989</c:v>
                </c:pt>
                <c:pt idx="235">
                  <c:v>19.648230000000002</c:v>
                </c:pt>
                <c:pt idx="236">
                  <c:v>30.64282</c:v>
                </c:pt>
                <c:pt idx="237">
                  <c:v>61.043590000000002</c:v>
                </c:pt>
                <c:pt idx="238">
                  <c:v>106.15566999999999</c:v>
                </c:pt>
                <c:pt idx="239">
                  <c:v>67.139600000000002</c:v>
                </c:pt>
                <c:pt idx="240">
                  <c:v>145.40184000000067</c:v>
                </c:pt>
                <c:pt idx="241">
                  <c:v>72.104690000000005</c:v>
                </c:pt>
                <c:pt idx="242">
                  <c:v>41.058070000000001</c:v>
                </c:pt>
                <c:pt idx="243">
                  <c:v>24.342219999999809</c:v>
                </c:pt>
                <c:pt idx="244">
                  <c:v>22.565079999999824</c:v>
                </c:pt>
                <c:pt idx="245">
                  <c:v>66.172129999999981</c:v>
                </c:pt>
                <c:pt idx="246">
                  <c:v>74.05813999999998</c:v>
                </c:pt>
                <c:pt idx="247">
                  <c:v>39.491289999999999</c:v>
                </c:pt>
                <c:pt idx="248">
                  <c:v>25.35463</c:v>
                </c:pt>
                <c:pt idx="249">
                  <c:v>38.366570000000003</c:v>
                </c:pt>
                <c:pt idx="250">
                  <c:v>37.656390000000002</c:v>
                </c:pt>
                <c:pt idx="251">
                  <c:v>67.395179999999982</c:v>
                </c:pt>
                <c:pt idx="252">
                  <c:v>47.620300000000213</c:v>
                </c:pt>
                <c:pt idx="253">
                  <c:v>59.892320000000012</c:v>
                </c:pt>
                <c:pt idx="254">
                  <c:v>34.909400000000005</c:v>
                </c:pt>
                <c:pt idx="255">
                  <c:v>30.507549999999835</c:v>
                </c:pt>
                <c:pt idx="256">
                  <c:v>48.998610000000063</c:v>
                </c:pt>
                <c:pt idx="257">
                  <c:v>82.240600000000327</c:v>
                </c:pt>
                <c:pt idx="258">
                  <c:v>51.328730000000213</c:v>
                </c:pt>
                <c:pt idx="259">
                  <c:v>31.599989999999988</c:v>
                </c:pt>
                <c:pt idx="260">
                  <c:v>37.760420000000003</c:v>
                </c:pt>
                <c:pt idx="261">
                  <c:v>32.102680000000007</c:v>
                </c:pt>
                <c:pt idx="262">
                  <c:v>23.32311</c:v>
                </c:pt>
                <c:pt idx="263">
                  <c:v>20.62811</c:v>
                </c:pt>
                <c:pt idx="264">
                  <c:v>18.941179999999989</c:v>
                </c:pt>
                <c:pt idx="265">
                  <c:v>19.855609999999889</c:v>
                </c:pt>
                <c:pt idx="266">
                  <c:v>21.69744</c:v>
                </c:pt>
                <c:pt idx="267">
                  <c:v>21.471979999999999</c:v>
                </c:pt>
                <c:pt idx="268">
                  <c:v>18.886189999999889</c:v>
                </c:pt>
                <c:pt idx="269">
                  <c:v>38.515610000000002</c:v>
                </c:pt>
                <c:pt idx="270">
                  <c:v>56.650130000000011</c:v>
                </c:pt>
                <c:pt idx="271">
                  <c:v>36.376560000000005</c:v>
                </c:pt>
                <c:pt idx="272">
                  <c:v>81.441820000000746</c:v>
                </c:pt>
                <c:pt idx="273">
                  <c:v>37.285030000000013</c:v>
                </c:pt>
                <c:pt idx="274">
                  <c:v>74.987110000000527</c:v>
                </c:pt>
                <c:pt idx="275">
                  <c:v>102.80181</c:v>
                </c:pt>
                <c:pt idx="276">
                  <c:v>50.161500000000011</c:v>
                </c:pt>
                <c:pt idx="277">
                  <c:v>55.176850000000002</c:v>
                </c:pt>
                <c:pt idx="278">
                  <c:v>42.892680000000006</c:v>
                </c:pt>
                <c:pt idx="279">
                  <c:v>114.40521000000012</c:v>
                </c:pt>
                <c:pt idx="280">
                  <c:v>29.672920000000001</c:v>
                </c:pt>
                <c:pt idx="281">
                  <c:v>23.409109999999831</c:v>
                </c:pt>
                <c:pt idx="282">
                  <c:v>39.807389999999998</c:v>
                </c:pt>
                <c:pt idx="283">
                  <c:v>55.366289999999999</c:v>
                </c:pt>
                <c:pt idx="284">
                  <c:v>44.377180000000003</c:v>
                </c:pt>
                <c:pt idx="285">
                  <c:v>21.36534999999974</c:v>
                </c:pt>
                <c:pt idx="286">
                  <c:v>18.21022</c:v>
                </c:pt>
                <c:pt idx="287">
                  <c:v>25.91778</c:v>
                </c:pt>
                <c:pt idx="288">
                  <c:v>24.570729999999809</c:v>
                </c:pt>
                <c:pt idx="289">
                  <c:v>21.6387</c:v>
                </c:pt>
                <c:pt idx="290">
                  <c:v>19.02185000000016</c:v>
                </c:pt>
                <c:pt idx="291">
                  <c:v>17.287519999999798</c:v>
                </c:pt>
                <c:pt idx="292">
                  <c:v>17.066659999999889</c:v>
                </c:pt>
                <c:pt idx="293">
                  <c:v>17.106159999999999</c:v>
                </c:pt>
                <c:pt idx="294">
                  <c:v>16.7209</c:v>
                </c:pt>
                <c:pt idx="295">
                  <c:v>17.56794</c:v>
                </c:pt>
                <c:pt idx="296">
                  <c:v>24.723539999999772</c:v>
                </c:pt>
                <c:pt idx="297">
                  <c:v>17.258109999999839</c:v>
                </c:pt>
                <c:pt idx="298">
                  <c:v>16.953410000000002</c:v>
                </c:pt>
                <c:pt idx="299">
                  <c:v>15.526630000000004</c:v>
                </c:pt>
                <c:pt idx="300">
                  <c:v>13.855680000000126</c:v>
                </c:pt>
                <c:pt idx="301">
                  <c:v>12.61098</c:v>
                </c:pt>
                <c:pt idx="302">
                  <c:v>13.621029999999999</c:v>
                </c:pt>
                <c:pt idx="303">
                  <c:v>20.023160000000001</c:v>
                </c:pt>
                <c:pt idx="304">
                  <c:v>17.845629999999773</c:v>
                </c:pt>
                <c:pt idx="305">
                  <c:v>18.376930000000005</c:v>
                </c:pt>
                <c:pt idx="306">
                  <c:v>18.007400000000001</c:v>
                </c:pt>
                <c:pt idx="307">
                  <c:v>17.727260000000001</c:v>
                </c:pt>
                <c:pt idx="308">
                  <c:v>17.390689999999989</c:v>
                </c:pt>
                <c:pt idx="309">
                  <c:v>17.254940000000001</c:v>
                </c:pt>
                <c:pt idx="310">
                  <c:v>17.157820000000171</c:v>
                </c:pt>
                <c:pt idx="311">
                  <c:v>17.20355</c:v>
                </c:pt>
                <c:pt idx="312">
                  <c:v>18.09816</c:v>
                </c:pt>
                <c:pt idx="313">
                  <c:v>16.306830000000001</c:v>
                </c:pt>
                <c:pt idx="314">
                  <c:v>16.429779999999806</c:v>
                </c:pt>
                <c:pt idx="315">
                  <c:v>16.011209999999988</c:v>
                </c:pt>
                <c:pt idx="316">
                  <c:v>15.637460000000001</c:v>
                </c:pt>
                <c:pt idx="317">
                  <c:v>16.063970000000001</c:v>
                </c:pt>
                <c:pt idx="318">
                  <c:v>16.268189999999791</c:v>
                </c:pt>
                <c:pt idx="319">
                  <c:v>15.886450000000076</c:v>
                </c:pt>
                <c:pt idx="320">
                  <c:v>9.9543200000000009</c:v>
                </c:pt>
                <c:pt idx="321">
                  <c:v>8.0235300000000027</c:v>
                </c:pt>
                <c:pt idx="322">
                  <c:v>7.5106700000000002</c:v>
                </c:pt>
                <c:pt idx="323">
                  <c:v>6.8845999999999945</c:v>
                </c:pt>
                <c:pt idx="324">
                  <c:v>8.0090500000000002</c:v>
                </c:pt>
                <c:pt idx="325">
                  <c:v>12.852770000000024</c:v>
                </c:pt>
                <c:pt idx="326">
                  <c:v>13.82708</c:v>
                </c:pt>
                <c:pt idx="327">
                  <c:v>13.982340000000002</c:v>
                </c:pt>
                <c:pt idx="328">
                  <c:v>15.149710000000001</c:v>
                </c:pt>
                <c:pt idx="329">
                  <c:v>13.31035</c:v>
                </c:pt>
                <c:pt idx="330">
                  <c:v>12.95532</c:v>
                </c:pt>
                <c:pt idx="331">
                  <c:v>14.442960000000001</c:v>
                </c:pt>
                <c:pt idx="332">
                  <c:v>13.89372</c:v>
                </c:pt>
                <c:pt idx="333">
                  <c:v>9.0359699999999989</c:v>
                </c:pt>
                <c:pt idx="334">
                  <c:v>7.1270299999999756</c:v>
                </c:pt>
                <c:pt idx="335">
                  <c:v>11.74391</c:v>
                </c:pt>
                <c:pt idx="336">
                  <c:v>12.731619999999999</c:v>
                </c:pt>
                <c:pt idx="337">
                  <c:v>12.7399</c:v>
                </c:pt>
                <c:pt idx="338">
                  <c:v>13.20886</c:v>
                </c:pt>
                <c:pt idx="339">
                  <c:v>13.48476</c:v>
                </c:pt>
                <c:pt idx="340">
                  <c:v>14.141500000000001</c:v>
                </c:pt>
                <c:pt idx="341">
                  <c:v>14.124129999999999</c:v>
                </c:pt>
                <c:pt idx="342">
                  <c:v>16.129480000000001</c:v>
                </c:pt>
                <c:pt idx="343">
                  <c:v>16.503789999999842</c:v>
                </c:pt>
                <c:pt idx="344">
                  <c:v>15.56784</c:v>
                </c:pt>
                <c:pt idx="345">
                  <c:v>15.072660000000004</c:v>
                </c:pt>
                <c:pt idx="346">
                  <c:v>13.972830000000076</c:v>
                </c:pt>
                <c:pt idx="347">
                  <c:v>13.43366</c:v>
                </c:pt>
                <c:pt idx="348">
                  <c:v>12.2867</c:v>
                </c:pt>
                <c:pt idx="349">
                  <c:v>11.28678</c:v>
                </c:pt>
                <c:pt idx="350">
                  <c:v>12.3446</c:v>
                </c:pt>
                <c:pt idx="351">
                  <c:v>12.611650000000001</c:v>
                </c:pt>
                <c:pt idx="352">
                  <c:v>13.60624</c:v>
                </c:pt>
                <c:pt idx="353">
                  <c:v>13.51088</c:v>
                </c:pt>
                <c:pt idx="354">
                  <c:v>11.373830000000074</c:v>
                </c:pt>
                <c:pt idx="355">
                  <c:v>11.892800000000006</c:v>
                </c:pt>
                <c:pt idx="356">
                  <c:v>11.744429999999999</c:v>
                </c:pt>
                <c:pt idx="357">
                  <c:v>10.97325</c:v>
                </c:pt>
                <c:pt idx="358">
                  <c:v>10.679830000000004</c:v>
                </c:pt>
                <c:pt idx="359">
                  <c:v>9.61233</c:v>
                </c:pt>
                <c:pt idx="360">
                  <c:v>10.872810000000024</c:v>
                </c:pt>
                <c:pt idx="361">
                  <c:v>13.816740000000006</c:v>
                </c:pt>
                <c:pt idx="362">
                  <c:v>13.14392</c:v>
                </c:pt>
                <c:pt idx="363">
                  <c:v>13.820400000000006</c:v>
                </c:pt>
                <c:pt idx="364">
                  <c:v>13.621650000000001</c:v>
                </c:pt>
                <c:pt idx="365">
                  <c:v>12.49977</c:v>
                </c:pt>
                <c:pt idx="366">
                  <c:v>10.57367</c:v>
                </c:pt>
                <c:pt idx="367">
                  <c:v>8.6602700000000006</c:v>
                </c:pt>
                <c:pt idx="368">
                  <c:v>8.9819800000000001</c:v>
                </c:pt>
                <c:pt idx="369">
                  <c:v>12.31133</c:v>
                </c:pt>
                <c:pt idx="370">
                  <c:v>10.918570000000001</c:v>
                </c:pt>
                <c:pt idx="371">
                  <c:v>6.4157299999999999</c:v>
                </c:pt>
                <c:pt idx="372">
                  <c:v>2.9886499999999967</c:v>
                </c:pt>
                <c:pt idx="373">
                  <c:v>2.7781500000000001</c:v>
                </c:pt>
                <c:pt idx="374">
                  <c:v>4.9457899999999997</c:v>
                </c:pt>
                <c:pt idx="375">
                  <c:v>5.9419399999999998</c:v>
                </c:pt>
                <c:pt idx="376">
                  <c:v>5.8577899999999845</c:v>
                </c:pt>
                <c:pt idx="377">
                  <c:v>2.7087300000000232</c:v>
                </c:pt>
                <c:pt idx="378">
                  <c:v>2.1266799999999977</c:v>
                </c:pt>
                <c:pt idx="379">
                  <c:v>2.0696300000000001</c:v>
                </c:pt>
                <c:pt idx="380">
                  <c:v>2.0548699999999802</c:v>
                </c:pt>
                <c:pt idx="381">
                  <c:v>2.0378799999999977</c:v>
                </c:pt>
                <c:pt idx="382">
                  <c:v>1.9600000000000088</c:v>
                </c:pt>
                <c:pt idx="383">
                  <c:v>1.94773</c:v>
                </c:pt>
                <c:pt idx="384">
                  <c:v>1.93954</c:v>
                </c:pt>
                <c:pt idx="385">
                  <c:v>1.9135</c:v>
                </c:pt>
                <c:pt idx="386">
                  <c:v>1.8930400000000001</c:v>
                </c:pt>
                <c:pt idx="387">
                  <c:v>1.9636</c:v>
                </c:pt>
                <c:pt idx="388">
                  <c:v>1.83463</c:v>
                </c:pt>
                <c:pt idx="389">
                  <c:v>1.8057299999999883</c:v>
                </c:pt>
                <c:pt idx="390">
                  <c:v>1.79891</c:v>
                </c:pt>
                <c:pt idx="391">
                  <c:v>1.7898599999999998</c:v>
                </c:pt>
                <c:pt idx="392">
                  <c:v>1.7670399999999911</c:v>
                </c:pt>
                <c:pt idx="393">
                  <c:v>1.7569999999999899</c:v>
                </c:pt>
                <c:pt idx="394">
                  <c:v>1.70628</c:v>
                </c:pt>
                <c:pt idx="395">
                  <c:v>1.7101199999999999</c:v>
                </c:pt>
                <c:pt idx="396">
                  <c:v>1.6808500000000088</c:v>
                </c:pt>
                <c:pt idx="397">
                  <c:v>1.711609999999989</c:v>
                </c:pt>
                <c:pt idx="398">
                  <c:v>1.7511699999999899</c:v>
                </c:pt>
                <c:pt idx="399">
                  <c:v>1.775849999999991</c:v>
                </c:pt>
                <c:pt idx="400">
                  <c:v>1.80003</c:v>
                </c:pt>
                <c:pt idx="401">
                  <c:v>1.79284</c:v>
                </c:pt>
                <c:pt idx="402">
                  <c:v>1.8041199999999999</c:v>
                </c:pt>
                <c:pt idx="403">
                  <c:v>1.82806</c:v>
                </c:pt>
                <c:pt idx="404">
                  <c:v>1.8502500000000088</c:v>
                </c:pt>
                <c:pt idx="405">
                  <c:v>1.8395899999999998</c:v>
                </c:pt>
                <c:pt idx="406">
                  <c:v>1.8294199999999998</c:v>
                </c:pt>
                <c:pt idx="407">
                  <c:v>1.84256</c:v>
                </c:pt>
                <c:pt idx="408">
                  <c:v>1.7579899999999911</c:v>
                </c:pt>
                <c:pt idx="409">
                  <c:v>1.73058</c:v>
                </c:pt>
                <c:pt idx="410">
                  <c:v>1.7677899999999998</c:v>
                </c:pt>
                <c:pt idx="411">
                  <c:v>1.8058599999999998</c:v>
                </c:pt>
                <c:pt idx="412">
                  <c:v>1.84108</c:v>
                </c:pt>
                <c:pt idx="413">
                  <c:v>1.83847</c:v>
                </c:pt>
                <c:pt idx="414">
                  <c:v>1.76345</c:v>
                </c:pt>
                <c:pt idx="415">
                  <c:v>1.735909999999989</c:v>
                </c:pt>
                <c:pt idx="416">
                  <c:v>1.7380199999999999</c:v>
                </c:pt>
                <c:pt idx="417">
                  <c:v>1.7009399999999899</c:v>
                </c:pt>
                <c:pt idx="418">
                  <c:v>1.66709</c:v>
                </c:pt>
                <c:pt idx="419">
                  <c:v>1.6864300000000001</c:v>
                </c:pt>
                <c:pt idx="420">
                  <c:v>1.7563800000000001</c:v>
                </c:pt>
                <c:pt idx="421">
                  <c:v>1.7894899999999998</c:v>
                </c:pt>
                <c:pt idx="422">
                  <c:v>1.7610899999999998</c:v>
                </c:pt>
                <c:pt idx="423">
                  <c:v>1.7129699999999899</c:v>
                </c:pt>
                <c:pt idx="424">
                  <c:v>1.713959999999991</c:v>
                </c:pt>
                <c:pt idx="425">
                  <c:v>1.6980900000000001</c:v>
                </c:pt>
                <c:pt idx="426">
                  <c:v>1.5398499999999911</c:v>
                </c:pt>
                <c:pt idx="427">
                  <c:v>1.6628700000000001</c:v>
                </c:pt>
                <c:pt idx="428">
                  <c:v>1.7325699999999911</c:v>
                </c:pt>
                <c:pt idx="429">
                  <c:v>1.8188800000000001</c:v>
                </c:pt>
                <c:pt idx="430">
                  <c:v>1.82074</c:v>
                </c:pt>
                <c:pt idx="431">
                  <c:v>1.73604</c:v>
                </c:pt>
                <c:pt idx="432">
                  <c:v>1.7376499999999901</c:v>
                </c:pt>
                <c:pt idx="433">
                  <c:v>1.7576199999999911</c:v>
                </c:pt>
                <c:pt idx="434">
                  <c:v>1.8162700000000001</c:v>
                </c:pt>
                <c:pt idx="435">
                  <c:v>1.7954399999999908</c:v>
                </c:pt>
                <c:pt idx="436">
                  <c:v>1.62083</c:v>
                </c:pt>
                <c:pt idx="437">
                  <c:v>1.58809</c:v>
                </c:pt>
                <c:pt idx="438">
                  <c:v>1.59467</c:v>
                </c:pt>
                <c:pt idx="439">
                  <c:v>1.4370499999999911</c:v>
                </c:pt>
                <c:pt idx="440">
                  <c:v>1.38385</c:v>
                </c:pt>
                <c:pt idx="441">
                  <c:v>1.5105899999999999</c:v>
                </c:pt>
                <c:pt idx="442">
                  <c:v>1.6271599999999999</c:v>
                </c:pt>
                <c:pt idx="443">
                  <c:v>1.6962299999999999</c:v>
                </c:pt>
                <c:pt idx="444">
                  <c:v>1.6952400000000001</c:v>
                </c:pt>
                <c:pt idx="445">
                  <c:v>1.84802</c:v>
                </c:pt>
                <c:pt idx="446">
                  <c:v>1.9296199999999999</c:v>
                </c:pt>
                <c:pt idx="447">
                  <c:v>1.83016</c:v>
                </c:pt>
                <c:pt idx="448">
                  <c:v>1.82917</c:v>
                </c:pt>
                <c:pt idx="449">
                  <c:v>1.83165</c:v>
                </c:pt>
                <c:pt idx="450">
                  <c:v>1.8794</c:v>
                </c:pt>
                <c:pt idx="451">
                  <c:v>1.8631500000000001</c:v>
                </c:pt>
                <c:pt idx="452">
                  <c:v>1.8170199999999999</c:v>
                </c:pt>
                <c:pt idx="453">
                  <c:v>1.8469100000000001</c:v>
                </c:pt>
                <c:pt idx="454">
                  <c:v>1.9152400000000001</c:v>
                </c:pt>
                <c:pt idx="455">
                  <c:v>2.0113399999999997</c:v>
                </c:pt>
                <c:pt idx="456">
                  <c:v>1.9736499999999999</c:v>
                </c:pt>
                <c:pt idx="457">
                  <c:v>1.92119</c:v>
                </c:pt>
                <c:pt idx="458">
                  <c:v>1.8765400000000001</c:v>
                </c:pt>
                <c:pt idx="459">
                  <c:v>1.7602199999999999</c:v>
                </c:pt>
                <c:pt idx="460">
                  <c:v>1.7810599999999999</c:v>
                </c:pt>
                <c:pt idx="461">
                  <c:v>1.8108199999999999</c:v>
                </c:pt>
                <c:pt idx="462">
                  <c:v>1.7948199999999999</c:v>
                </c:pt>
                <c:pt idx="463">
                  <c:v>1.7553799999999911</c:v>
                </c:pt>
                <c:pt idx="464">
                  <c:v>1.79023</c:v>
                </c:pt>
                <c:pt idx="465">
                  <c:v>1.7572399999999901</c:v>
                </c:pt>
                <c:pt idx="466">
                  <c:v>1.8543499999999999</c:v>
                </c:pt>
                <c:pt idx="467">
                  <c:v>1.6928799999999999</c:v>
                </c:pt>
                <c:pt idx="468">
                  <c:v>1.6303799999999999</c:v>
                </c:pt>
                <c:pt idx="469">
                  <c:v>1.57681</c:v>
                </c:pt>
                <c:pt idx="470">
                  <c:v>1.5644100000000001</c:v>
                </c:pt>
                <c:pt idx="471">
                  <c:v>1.6683300000000001</c:v>
                </c:pt>
                <c:pt idx="472">
                  <c:v>1.9342100000000098</c:v>
                </c:pt>
                <c:pt idx="473">
                  <c:v>1.8521099999999999</c:v>
                </c:pt>
                <c:pt idx="474">
                  <c:v>2.05531</c:v>
                </c:pt>
                <c:pt idx="475">
                  <c:v>2.5122299999999798</c:v>
                </c:pt>
                <c:pt idx="476">
                  <c:v>1.92367</c:v>
                </c:pt>
                <c:pt idx="477">
                  <c:v>1.8771599999999999</c:v>
                </c:pt>
                <c:pt idx="478">
                  <c:v>1.9151100000000001</c:v>
                </c:pt>
                <c:pt idx="479">
                  <c:v>1.92082</c:v>
                </c:pt>
                <c:pt idx="480">
                  <c:v>1.92652</c:v>
                </c:pt>
                <c:pt idx="481">
                  <c:v>1.8353699999999911</c:v>
                </c:pt>
                <c:pt idx="482">
                  <c:v>1.84802</c:v>
                </c:pt>
                <c:pt idx="483">
                  <c:v>1.78651</c:v>
                </c:pt>
                <c:pt idx="484">
                  <c:v>1.82161</c:v>
                </c:pt>
                <c:pt idx="485">
                  <c:v>1.80338</c:v>
                </c:pt>
                <c:pt idx="486">
                  <c:v>1.781429999999989</c:v>
                </c:pt>
                <c:pt idx="487">
                  <c:v>1.7409999999999899</c:v>
                </c:pt>
                <c:pt idx="488">
                  <c:v>1.5828800000000001</c:v>
                </c:pt>
                <c:pt idx="489">
                  <c:v>1.57978</c:v>
                </c:pt>
                <c:pt idx="490">
                  <c:v>1.7082599999999999</c:v>
                </c:pt>
                <c:pt idx="491">
                  <c:v>1.737029999999989</c:v>
                </c:pt>
                <c:pt idx="492">
                  <c:v>1.5057499999999904</c:v>
                </c:pt>
                <c:pt idx="493">
                  <c:v>1.6414199999999999</c:v>
                </c:pt>
                <c:pt idx="494">
                  <c:v>2.0358999999999967</c:v>
                </c:pt>
                <c:pt idx="495">
                  <c:v>2.0422199999999977</c:v>
                </c:pt>
                <c:pt idx="496">
                  <c:v>1.8852199999999999</c:v>
                </c:pt>
                <c:pt idx="497">
                  <c:v>1.8978699999999911</c:v>
                </c:pt>
                <c:pt idx="498">
                  <c:v>1.9361900000000001</c:v>
                </c:pt>
                <c:pt idx="499">
                  <c:v>2.0786799999999968</c:v>
                </c:pt>
                <c:pt idx="500">
                  <c:v>1.9793499999999999</c:v>
                </c:pt>
                <c:pt idx="501">
                  <c:v>2.0451999999999999</c:v>
                </c:pt>
                <c:pt idx="502">
                  <c:v>2.0071300000000232</c:v>
                </c:pt>
                <c:pt idx="503">
                  <c:v>2.1046</c:v>
                </c:pt>
                <c:pt idx="504">
                  <c:v>3.8025999999999978</c:v>
                </c:pt>
                <c:pt idx="505">
                  <c:v>2.9314699999999743</c:v>
                </c:pt>
                <c:pt idx="506">
                  <c:v>2.2527999999999997</c:v>
                </c:pt>
                <c:pt idx="507">
                  <c:v>3.3794499999999639</c:v>
                </c:pt>
                <c:pt idx="508">
                  <c:v>9.8532600000000006</c:v>
                </c:pt>
                <c:pt idx="509">
                  <c:v>20.880189999999889</c:v>
                </c:pt>
                <c:pt idx="510">
                  <c:v>24.204499999999989</c:v>
                </c:pt>
                <c:pt idx="511">
                  <c:v>34.557429999999997</c:v>
                </c:pt>
                <c:pt idx="512">
                  <c:v>18.177900000000172</c:v>
                </c:pt>
                <c:pt idx="513">
                  <c:v>19.994019999999889</c:v>
                </c:pt>
                <c:pt idx="514">
                  <c:v>15.206580000000002</c:v>
                </c:pt>
                <c:pt idx="515">
                  <c:v>15.614330000000001</c:v>
                </c:pt>
                <c:pt idx="516">
                  <c:v>14.21142</c:v>
                </c:pt>
                <c:pt idx="517">
                  <c:v>11.20444</c:v>
                </c:pt>
                <c:pt idx="518">
                  <c:v>21.014720000000001</c:v>
                </c:pt>
                <c:pt idx="519">
                  <c:v>20.930299999999889</c:v>
                </c:pt>
                <c:pt idx="520">
                  <c:v>72.194360000000003</c:v>
                </c:pt>
                <c:pt idx="521">
                  <c:v>47.104730000000011</c:v>
                </c:pt>
                <c:pt idx="522">
                  <c:v>33.712950000000063</c:v>
                </c:pt>
                <c:pt idx="523">
                  <c:v>19.397839999999999</c:v>
                </c:pt>
                <c:pt idx="524">
                  <c:v>16.094819999999999</c:v>
                </c:pt>
                <c:pt idx="525">
                  <c:v>17.599810000000005</c:v>
                </c:pt>
                <c:pt idx="526">
                  <c:v>19.657370000000135</c:v>
                </c:pt>
                <c:pt idx="527">
                  <c:v>20.921970000000005</c:v>
                </c:pt>
                <c:pt idx="528">
                  <c:v>20.901330000000002</c:v>
                </c:pt>
                <c:pt idx="529">
                  <c:v>40.894879999999993</c:v>
                </c:pt>
                <c:pt idx="530">
                  <c:v>21.118089999999999</c:v>
                </c:pt>
                <c:pt idx="531">
                  <c:v>20.930869999999999</c:v>
                </c:pt>
                <c:pt idx="532">
                  <c:v>10.526760000000001</c:v>
                </c:pt>
                <c:pt idx="533">
                  <c:v>12.018280000000001</c:v>
                </c:pt>
                <c:pt idx="534">
                  <c:v>14.411570000000001</c:v>
                </c:pt>
                <c:pt idx="535">
                  <c:v>14.34149</c:v>
                </c:pt>
                <c:pt idx="536">
                  <c:v>54.188480000000006</c:v>
                </c:pt>
                <c:pt idx="537">
                  <c:v>56.241160000000001</c:v>
                </c:pt>
                <c:pt idx="538">
                  <c:v>101.89284000000001</c:v>
                </c:pt>
                <c:pt idx="539">
                  <c:v>68.325439999999958</c:v>
                </c:pt>
                <c:pt idx="540">
                  <c:v>29.102170000000001</c:v>
                </c:pt>
                <c:pt idx="541">
                  <c:v>22.292999999999989</c:v>
                </c:pt>
                <c:pt idx="542">
                  <c:v>24.282539999999678</c:v>
                </c:pt>
                <c:pt idx="543">
                  <c:v>111.28953</c:v>
                </c:pt>
                <c:pt idx="544">
                  <c:v>31.038950000000035</c:v>
                </c:pt>
                <c:pt idx="545">
                  <c:v>27.438419999999798</c:v>
                </c:pt>
                <c:pt idx="546">
                  <c:v>21.709859999999999</c:v>
                </c:pt>
                <c:pt idx="547">
                  <c:v>20.727119999999989</c:v>
                </c:pt>
                <c:pt idx="548">
                  <c:v>32.142600000000002</c:v>
                </c:pt>
                <c:pt idx="549">
                  <c:v>47.635240000000003</c:v>
                </c:pt>
                <c:pt idx="550">
                  <c:v>24.64602</c:v>
                </c:pt>
                <c:pt idx="551">
                  <c:v>22.696909999999999</c:v>
                </c:pt>
                <c:pt idx="552">
                  <c:v>19.183</c:v>
                </c:pt>
                <c:pt idx="553">
                  <c:v>16.462949999999733</c:v>
                </c:pt>
                <c:pt idx="554">
                  <c:v>15.0923</c:v>
                </c:pt>
                <c:pt idx="555">
                  <c:v>16.559200000000001</c:v>
                </c:pt>
                <c:pt idx="556">
                  <c:v>15.68088</c:v>
                </c:pt>
                <c:pt idx="557">
                  <c:v>16.498379999999806</c:v>
                </c:pt>
                <c:pt idx="558">
                  <c:v>14.954980000000004</c:v>
                </c:pt>
                <c:pt idx="559">
                  <c:v>20.047370000000001</c:v>
                </c:pt>
                <c:pt idx="560">
                  <c:v>30.055219999999835</c:v>
                </c:pt>
                <c:pt idx="561">
                  <c:v>26.852450000000001</c:v>
                </c:pt>
                <c:pt idx="562">
                  <c:v>23.24192</c:v>
                </c:pt>
                <c:pt idx="563">
                  <c:v>20.881820000000001</c:v>
                </c:pt>
                <c:pt idx="564">
                  <c:v>23.86103</c:v>
                </c:pt>
                <c:pt idx="565">
                  <c:v>21.646239999999889</c:v>
                </c:pt>
                <c:pt idx="566">
                  <c:v>58.918040000000005</c:v>
                </c:pt>
                <c:pt idx="567">
                  <c:v>33.525550000000344</c:v>
                </c:pt>
                <c:pt idx="568">
                  <c:v>29.732739999999769</c:v>
                </c:pt>
                <c:pt idx="569">
                  <c:v>34.116580000000006</c:v>
                </c:pt>
                <c:pt idx="570">
                  <c:v>49.858040000000003</c:v>
                </c:pt>
                <c:pt idx="571">
                  <c:v>84.333950000000002</c:v>
                </c:pt>
                <c:pt idx="572">
                  <c:v>129.51927999999998</c:v>
                </c:pt>
                <c:pt idx="573">
                  <c:v>74.736279999999994</c:v>
                </c:pt>
                <c:pt idx="574">
                  <c:v>62.396590000000003</c:v>
                </c:pt>
                <c:pt idx="575">
                  <c:v>43.339710000000011</c:v>
                </c:pt>
                <c:pt idx="576">
                  <c:v>34.480499999999999</c:v>
                </c:pt>
                <c:pt idx="577">
                  <c:v>34.729770000000322</c:v>
                </c:pt>
                <c:pt idx="578">
                  <c:v>61.226800000000011</c:v>
                </c:pt>
                <c:pt idx="579">
                  <c:v>69.68586999999998</c:v>
                </c:pt>
                <c:pt idx="580">
                  <c:v>61.392120000000013</c:v>
                </c:pt>
                <c:pt idx="581">
                  <c:v>30.243599999999798</c:v>
                </c:pt>
                <c:pt idx="582">
                  <c:v>23.685549999999733</c:v>
                </c:pt>
                <c:pt idx="583">
                  <c:v>22.946019999999798</c:v>
                </c:pt>
                <c:pt idx="584">
                  <c:v>22.237100000000005</c:v>
                </c:pt>
                <c:pt idx="585">
                  <c:v>22.950389999999889</c:v>
                </c:pt>
                <c:pt idx="586">
                  <c:v>74.569660000000027</c:v>
                </c:pt>
                <c:pt idx="587">
                  <c:v>58.847120000000004</c:v>
                </c:pt>
                <c:pt idx="588">
                  <c:v>93.252920000000003</c:v>
                </c:pt>
                <c:pt idx="589">
                  <c:v>34.258780000000002</c:v>
                </c:pt>
                <c:pt idx="590">
                  <c:v>27.367229999999989</c:v>
                </c:pt>
                <c:pt idx="591">
                  <c:v>22.10154</c:v>
                </c:pt>
                <c:pt idx="592">
                  <c:v>20.168759999999889</c:v>
                </c:pt>
                <c:pt idx="593">
                  <c:v>20.504480000000001</c:v>
                </c:pt>
                <c:pt idx="594">
                  <c:v>17.985849999999733</c:v>
                </c:pt>
                <c:pt idx="595">
                  <c:v>18.96189</c:v>
                </c:pt>
                <c:pt idx="596">
                  <c:v>18.68655</c:v>
                </c:pt>
                <c:pt idx="597">
                  <c:v>33.064889999999998</c:v>
                </c:pt>
                <c:pt idx="598">
                  <c:v>41.464269999999999</c:v>
                </c:pt>
                <c:pt idx="599">
                  <c:v>63.222820000000013</c:v>
                </c:pt>
                <c:pt idx="600">
                  <c:v>47.136960000000002</c:v>
                </c:pt>
                <c:pt idx="601">
                  <c:v>28.279779999999889</c:v>
                </c:pt>
                <c:pt idx="602">
                  <c:v>24.838080000000001</c:v>
                </c:pt>
                <c:pt idx="603">
                  <c:v>26.308879999999988</c:v>
                </c:pt>
                <c:pt idx="604">
                  <c:v>30.84168</c:v>
                </c:pt>
                <c:pt idx="605">
                  <c:v>38.135460000000002</c:v>
                </c:pt>
                <c:pt idx="606">
                  <c:v>25.222270000000002</c:v>
                </c:pt>
                <c:pt idx="607">
                  <c:v>24.092589999999817</c:v>
                </c:pt>
                <c:pt idx="608">
                  <c:v>20.365779999999805</c:v>
                </c:pt>
                <c:pt idx="609">
                  <c:v>19.912229999999806</c:v>
                </c:pt>
                <c:pt idx="610">
                  <c:v>20.993569999999831</c:v>
                </c:pt>
                <c:pt idx="611">
                  <c:v>40.367040000000003</c:v>
                </c:pt>
                <c:pt idx="612">
                  <c:v>28.961179999999889</c:v>
                </c:pt>
                <c:pt idx="613">
                  <c:v>23.811039999999988</c:v>
                </c:pt>
                <c:pt idx="614">
                  <c:v>26.848709999999798</c:v>
                </c:pt>
                <c:pt idx="615">
                  <c:v>28.022019999999817</c:v>
                </c:pt>
                <c:pt idx="616">
                  <c:v>25.25113</c:v>
                </c:pt>
                <c:pt idx="617">
                  <c:v>23.898</c:v>
                </c:pt>
                <c:pt idx="618">
                  <c:v>25.417739999999835</c:v>
                </c:pt>
                <c:pt idx="619">
                  <c:v>20.377210000000005</c:v>
                </c:pt>
                <c:pt idx="620">
                  <c:v>18.645499999999835</c:v>
                </c:pt>
                <c:pt idx="621">
                  <c:v>24.68601</c:v>
                </c:pt>
                <c:pt idx="622">
                  <c:v>61.995740000000012</c:v>
                </c:pt>
                <c:pt idx="623">
                  <c:v>96.725039999999979</c:v>
                </c:pt>
                <c:pt idx="624">
                  <c:v>60.217750000000002</c:v>
                </c:pt>
                <c:pt idx="625">
                  <c:v>43.432540000000003</c:v>
                </c:pt>
                <c:pt idx="626">
                  <c:v>30.057690000000001</c:v>
                </c:pt>
                <c:pt idx="627">
                  <c:v>32.878790000000002</c:v>
                </c:pt>
                <c:pt idx="628">
                  <c:v>64.962369999999993</c:v>
                </c:pt>
                <c:pt idx="629">
                  <c:v>46.899860000000004</c:v>
                </c:pt>
                <c:pt idx="630">
                  <c:v>36.550940000000004</c:v>
                </c:pt>
                <c:pt idx="631">
                  <c:v>25.028509999999798</c:v>
                </c:pt>
                <c:pt idx="632">
                  <c:v>23.320599999999889</c:v>
                </c:pt>
                <c:pt idx="633">
                  <c:v>20.853580000000001</c:v>
                </c:pt>
                <c:pt idx="634">
                  <c:v>19.901669999999989</c:v>
                </c:pt>
                <c:pt idx="635">
                  <c:v>19.347149999999989</c:v>
                </c:pt>
                <c:pt idx="636">
                  <c:v>29.993010000000002</c:v>
                </c:pt>
                <c:pt idx="637">
                  <c:v>26.796639999999776</c:v>
                </c:pt>
                <c:pt idx="638">
                  <c:v>19.978239999999758</c:v>
                </c:pt>
                <c:pt idx="639">
                  <c:v>18.699839999999988</c:v>
                </c:pt>
                <c:pt idx="640">
                  <c:v>18.62039</c:v>
                </c:pt>
                <c:pt idx="641">
                  <c:v>16.801639999999889</c:v>
                </c:pt>
                <c:pt idx="642">
                  <c:v>15.674620000000001</c:v>
                </c:pt>
                <c:pt idx="643">
                  <c:v>16.403739999999733</c:v>
                </c:pt>
                <c:pt idx="644">
                  <c:v>16.88443999999982</c:v>
                </c:pt>
                <c:pt idx="645">
                  <c:v>15.647229999999999</c:v>
                </c:pt>
                <c:pt idx="646">
                  <c:v>16.468959999999889</c:v>
                </c:pt>
                <c:pt idx="647">
                  <c:v>15.559010000000002</c:v>
                </c:pt>
                <c:pt idx="648">
                  <c:v>14.03557</c:v>
                </c:pt>
                <c:pt idx="649">
                  <c:v>14.859460000000089</c:v>
                </c:pt>
                <c:pt idx="650">
                  <c:v>14.94955</c:v>
                </c:pt>
                <c:pt idx="651">
                  <c:v>12.753480000000026</c:v>
                </c:pt>
                <c:pt idx="652">
                  <c:v>14.990640000000004</c:v>
                </c:pt>
                <c:pt idx="653">
                  <c:v>14.646710000000001</c:v>
                </c:pt>
                <c:pt idx="654">
                  <c:v>14.29927</c:v>
                </c:pt>
                <c:pt idx="655">
                  <c:v>13.79143</c:v>
                </c:pt>
                <c:pt idx="656">
                  <c:v>14.44173</c:v>
                </c:pt>
                <c:pt idx="657">
                  <c:v>15.192960000000001</c:v>
                </c:pt>
                <c:pt idx="658">
                  <c:v>16.272870000000001</c:v>
                </c:pt>
                <c:pt idx="659">
                  <c:v>15.195430000000076</c:v>
                </c:pt>
                <c:pt idx="660">
                  <c:v>16.142849999999989</c:v>
                </c:pt>
                <c:pt idx="661">
                  <c:v>18.498579999999784</c:v>
                </c:pt>
                <c:pt idx="662">
                  <c:v>21.392469999999989</c:v>
                </c:pt>
                <c:pt idx="663">
                  <c:v>22.744890000000005</c:v>
                </c:pt>
                <c:pt idx="664">
                  <c:v>14.51318</c:v>
                </c:pt>
                <c:pt idx="665">
                  <c:v>14.050740000000006</c:v>
                </c:pt>
                <c:pt idx="666">
                  <c:v>13.961650000000002</c:v>
                </c:pt>
                <c:pt idx="667">
                  <c:v>14.58905</c:v>
                </c:pt>
                <c:pt idx="668">
                  <c:v>14.068810000000001</c:v>
                </c:pt>
                <c:pt idx="669">
                  <c:v>15.023720000000001</c:v>
                </c:pt>
                <c:pt idx="670">
                  <c:v>15.085540000000076</c:v>
                </c:pt>
                <c:pt idx="671">
                  <c:v>15.69633</c:v>
                </c:pt>
                <c:pt idx="672">
                  <c:v>16.34149</c:v>
                </c:pt>
                <c:pt idx="673">
                  <c:v>14.665580000000086</c:v>
                </c:pt>
                <c:pt idx="674">
                  <c:v>14.8447</c:v>
                </c:pt>
                <c:pt idx="675">
                  <c:v>14.42446</c:v>
                </c:pt>
                <c:pt idx="676">
                  <c:v>14.492510000000006</c:v>
                </c:pt>
                <c:pt idx="677">
                  <c:v>14.71749</c:v>
                </c:pt>
                <c:pt idx="678">
                  <c:v>17.39245</c:v>
                </c:pt>
                <c:pt idx="679">
                  <c:v>28.938129999999806</c:v>
                </c:pt>
                <c:pt idx="680">
                  <c:v>14.805210000000002</c:v>
                </c:pt>
                <c:pt idx="681">
                  <c:v>13.93238</c:v>
                </c:pt>
                <c:pt idx="682">
                  <c:v>15.138249999999999</c:v>
                </c:pt>
                <c:pt idx="683">
                  <c:v>13.73659</c:v>
                </c:pt>
                <c:pt idx="684">
                  <c:v>13.373040000000024</c:v>
                </c:pt>
                <c:pt idx="685">
                  <c:v>15.275180000000002</c:v>
                </c:pt>
                <c:pt idx="686">
                  <c:v>14.053700000000006</c:v>
                </c:pt>
                <c:pt idx="687">
                  <c:v>13.97612</c:v>
                </c:pt>
                <c:pt idx="688">
                  <c:v>14.7159</c:v>
                </c:pt>
                <c:pt idx="689">
                  <c:v>13.09821</c:v>
                </c:pt>
                <c:pt idx="690">
                  <c:v>13.93843</c:v>
                </c:pt>
                <c:pt idx="691">
                  <c:v>10.362950000000026</c:v>
                </c:pt>
                <c:pt idx="692">
                  <c:v>14.24005</c:v>
                </c:pt>
                <c:pt idx="693">
                  <c:v>14.141269999999997</c:v>
                </c:pt>
                <c:pt idx="694">
                  <c:v>12.28276</c:v>
                </c:pt>
                <c:pt idx="695">
                  <c:v>7.0431099999999995</c:v>
                </c:pt>
                <c:pt idx="696">
                  <c:v>8.2908600000000003</c:v>
                </c:pt>
                <c:pt idx="697">
                  <c:v>13.22078</c:v>
                </c:pt>
                <c:pt idx="698">
                  <c:v>13.709520000000001</c:v>
                </c:pt>
                <c:pt idx="699">
                  <c:v>12.829800000000002</c:v>
                </c:pt>
                <c:pt idx="700">
                  <c:v>11.94796</c:v>
                </c:pt>
                <c:pt idx="701">
                  <c:v>9.9907500000000002</c:v>
                </c:pt>
                <c:pt idx="702">
                  <c:v>14.806380000000004</c:v>
                </c:pt>
                <c:pt idx="703">
                  <c:v>14.75703</c:v>
                </c:pt>
                <c:pt idx="704">
                  <c:v>13.23657</c:v>
                </c:pt>
                <c:pt idx="705">
                  <c:v>14.7173</c:v>
                </c:pt>
                <c:pt idx="706">
                  <c:v>14.432880000000004</c:v>
                </c:pt>
                <c:pt idx="707">
                  <c:v>14.30932</c:v>
                </c:pt>
                <c:pt idx="708">
                  <c:v>12.910440000000024</c:v>
                </c:pt>
                <c:pt idx="709">
                  <c:v>14.565800000000024</c:v>
                </c:pt>
                <c:pt idx="710">
                  <c:v>14.844279999999999</c:v>
                </c:pt>
                <c:pt idx="711">
                  <c:v>12.588790000000001</c:v>
                </c:pt>
                <c:pt idx="712">
                  <c:v>5.3071499999999965</c:v>
                </c:pt>
                <c:pt idx="713">
                  <c:v>2.6474799999999998</c:v>
                </c:pt>
                <c:pt idx="714">
                  <c:v>2.3512599999999675</c:v>
                </c:pt>
                <c:pt idx="715">
                  <c:v>2.227990000000025</c:v>
                </c:pt>
                <c:pt idx="716">
                  <c:v>2.1782599999999968</c:v>
                </c:pt>
                <c:pt idx="717">
                  <c:v>2.2242700000000002</c:v>
                </c:pt>
                <c:pt idx="718">
                  <c:v>2.2443599999999999</c:v>
                </c:pt>
                <c:pt idx="719">
                  <c:v>2.1058399999999997</c:v>
                </c:pt>
                <c:pt idx="720">
                  <c:v>2.0838899999999998</c:v>
                </c:pt>
                <c:pt idx="721">
                  <c:v>2.0415999999999999</c:v>
                </c:pt>
                <c:pt idx="722">
                  <c:v>2.0633100000000204</c:v>
                </c:pt>
                <c:pt idx="723">
                  <c:v>2.1026199999999977</c:v>
                </c:pt>
                <c:pt idx="724">
                  <c:v>2.1465200000000002</c:v>
                </c:pt>
                <c:pt idx="725">
                  <c:v>2.1611500000000001</c:v>
                </c:pt>
                <c:pt idx="726">
                  <c:v>2.09877</c:v>
                </c:pt>
                <c:pt idx="727">
                  <c:v>2.0363899999999977</c:v>
                </c:pt>
                <c:pt idx="728">
                  <c:v>2.0745900000000002</c:v>
                </c:pt>
                <c:pt idx="729">
                  <c:v>2.1218399999999997</c:v>
                </c:pt>
                <c:pt idx="730">
                  <c:v>2.0619399999999999</c:v>
                </c:pt>
                <c:pt idx="731">
                  <c:v>2.0856300000000001</c:v>
                </c:pt>
                <c:pt idx="732">
                  <c:v>2.06975</c:v>
                </c:pt>
                <c:pt idx="733">
                  <c:v>2.0656599999999967</c:v>
                </c:pt>
                <c:pt idx="734">
                  <c:v>1.9600000000000088</c:v>
                </c:pt>
                <c:pt idx="735">
                  <c:v>1.92764</c:v>
                </c:pt>
                <c:pt idx="736">
                  <c:v>2.0148199999999967</c:v>
                </c:pt>
                <c:pt idx="737">
                  <c:v>1.9829500000000098</c:v>
                </c:pt>
                <c:pt idx="738">
                  <c:v>1.9328500000000088</c:v>
                </c:pt>
                <c:pt idx="739">
                  <c:v>1.9674400000000001</c:v>
                </c:pt>
                <c:pt idx="740">
                  <c:v>1.9430099999999999</c:v>
                </c:pt>
                <c:pt idx="741">
                  <c:v>1.988150000000013</c:v>
                </c:pt>
                <c:pt idx="742">
                  <c:v>1.9849300000000001</c:v>
                </c:pt>
                <c:pt idx="743">
                  <c:v>1.9462400000000089</c:v>
                </c:pt>
                <c:pt idx="744">
                  <c:v>1.96546</c:v>
                </c:pt>
                <c:pt idx="745">
                  <c:v>1.9812099999999999</c:v>
                </c:pt>
                <c:pt idx="746">
                  <c:v>1.77423</c:v>
                </c:pt>
                <c:pt idx="747">
                  <c:v>1.8234699999999906</c:v>
                </c:pt>
                <c:pt idx="748">
                  <c:v>1.7805599999999999</c:v>
                </c:pt>
                <c:pt idx="749">
                  <c:v>1.7569999999999899</c:v>
                </c:pt>
                <c:pt idx="750">
                  <c:v>1.7665500000000001</c:v>
                </c:pt>
                <c:pt idx="751">
                  <c:v>1.71831</c:v>
                </c:pt>
                <c:pt idx="752">
                  <c:v>1.7450899999999998</c:v>
                </c:pt>
                <c:pt idx="753">
                  <c:v>1.7543899999999999</c:v>
                </c:pt>
                <c:pt idx="754">
                  <c:v>1.8115599999999998</c:v>
                </c:pt>
                <c:pt idx="755">
                  <c:v>1.8144100000000001</c:v>
                </c:pt>
                <c:pt idx="756">
                  <c:v>1.8543499999999999</c:v>
                </c:pt>
                <c:pt idx="757">
                  <c:v>1.763569999999989</c:v>
                </c:pt>
                <c:pt idx="758">
                  <c:v>1.5799099999999908</c:v>
                </c:pt>
                <c:pt idx="759">
                  <c:v>1.6121500000000089</c:v>
                </c:pt>
                <c:pt idx="760">
                  <c:v>1.6591499999999999</c:v>
                </c:pt>
                <c:pt idx="761">
                  <c:v>1.56304</c:v>
                </c:pt>
                <c:pt idx="762">
                  <c:v>1.4077799999999872</c:v>
                </c:pt>
                <c:pt idx="763">
                  <c:v>1.4964500000000001</c:v>
                </c:pt>
                <c:pt idx="764">
                  <c:v>1.46445</c:v>
                </c:pt>
                <c:pt idx="765">
                  <c:v>1.475369999999989</c:v>
                </c:pt>
                <c:pt idx="766">
                  <c:v>1.283399999999989</c:v>
                </c:pt>
                <c:pt idx="767">
                  <c:v>0.99568999999999996</c:v>
                </c:pt>
                <c:pt idx="768">
                  <c:v>0.70811000000000002</c:v>
                </c:pt>
                <c:pt idx="769">
                  <c:v>0.82170000000000065</c:v>
                </c:pt>
                <c:pt idx="770">
                  <c:v>0.77630999999999994</c:v>
                </c:pt>
                <c:pt idx="771">
                  <c:v>0.58160999999999996</c:v>
                </c:pt>
                <c:pt idx="772">
                  <c:v>1.265E-2</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2.5000000000000212E-4</c:v>
                </c:pt>
                <c:pt idx="824">
                  <c:v>0</c:v>
                </c:pt>
                <c:pt idx="825">
                  <c:v>0</c:v>
                </c:pt>
                <c:pt idx="826">
                  <c:v>0</c:v>
                </c:pt>
                <c:pt idx="827">
                  <c:v>0</c:v>
                </c:pt>
                <c:pt idx="828">
                  <c:v>0</c:v>
                </c:pt>
                <c:pt idx="829">
                  <c:v>0</c:v>
                </c:pt>
                <c:pt idx="830">
                  <c:v>0.47831000000000251</c:v>
                </c:pt>
                <c:pt idx="831">
                  <c:v>2.5305800000000001</c:v>
                </c:pt>
                <c:pt idx="832">
                  <c:v>2.2142300000000001</c:v>
                </c:pt>
                <c:pt idx="833">
                  <c:v>2.1523499999999967</c:v>
                </c:pt>
                <c:pt idx="834">
                  <c:v>2.2227800000000002</c:v>
                </c:pt>
                <c:pt idx="835">
                  <c:v>2.1022499999999797</c:v>
                </c:pt>
                <c:pt idx="836">
                  <c:v>2.0173000000000001</c:v>
                </c:pt>
                <c:pt idx="837">
                  <c:v>1.9562800000000102</c:v>
                </c:pt>
                <c:pt idx="838">
                  <c:v>1.9388000000000001</c:v>
                </c:pt>
                <c:pt idx="839">
                  <c:v>1.9220600000000001</c:v>
                </c:pt>
                <c:pt idx="840">
                  <c:v>1.94859</c:v>
                </c:pt>
                <c:pt idx="841">
                  <c:v>1.5002899999999999</c:v>
                </c:pt>
                <c:pt idx="842">
                  <c:v>0.35170000000000001</c:v>
                </c:pt>
                <c:pt idx="843">
                  <c:v>0</c:v>
                </c:pt>
                <c:pt idx="844">
                  <c:v>0</c:v>
                </c:pt>
                <c:pt idx="845">
                  <c:v>0</c:v>
                </c:pt>
                <c:pt idx="846">
                  <c:v>1.1722800000000098</c:v>
                </c:pt>
                <c:pt idx="847">
                  <c:v>1.429849999999989</c:v>
                </c:pt>
                <c:pt idx="848">
                  <c:v>0.20871000000000134</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1.99177</c:v>
                </c:pt>
                <c:pt idx="863">
                  <c:v>2.4805999999999999</c:v>
                </c:pt>
                <c:pt idx="864">
                  <c:v>2.3262099999999757</c:v>
                </c:pt>
                <c:pt idx="865">
                  <c:v>2.3129399999999967</c:v>
                </c:pt>
                <c:pt idx="866">
                  <c:v>2.4363299999999977</c:v>
                </c:pt>
                <c:pt idx="867">
                  <c:v>2.2789600000000001</c:v>
                </c:pt>
                <c:pt idx="868">
                  <c:v>2.0200300000000002</c:v>
                </c:pt>
                <c:pt idx="869">
                  <c:v>0.48253000000000001</c:v>
                </c:pt>
                <c:pt idx="870">
                  <c:v>0.12636999999999998</c:v>
                </c:pt>
                <c:pt idx="871">
                  <c:v>2.0508999999999977</c:v>
                </c:pt>
                <c:pt idx="872">
                  <c:v>1.12764</c:v>
                </c:pt>
                <c:pt idx="873">
                  <c:v>0</c:v>
                </c:pt>
                <c:pt idx="874">
                  <c:v>0</c:v>
                </c:pt>
                <c:pt idx="875">
                  <c:v>0</c:v>
                </c:pt>
                <c:pt idx="876">
                  <c:v>0</c:v>
                </c:pt>
                <c:pt idx="877">
                  <c:v>1.1111</c:v>
                </c:pt>
                <c:pt idx="878">
                  <c:v>2.9437700000000002</c:v>
                </c:pt>
                <c:pt idx="879">
                  <c:v>2.1807400000000001</c:v>
                </c:pt>
                <c:pt idx="880">
                  <c:v>1.2465599999999999</c:v>
                </c:pt>
                <c:pt idx="881">
                  <c:v>1.1522600000000001</c:v>
                </c:pt>
                <c:pt idx="882">
                  <c:v>2.5131000000000001</c:v>
                </c:pt>
                <c:pt idx="883">
                  <c:v>2.3387399999999987</c:v>
                </c:pt>
                <c:pt idx="884">
                  <c:v>2.1564399999999977</c:v>
                </c:pt>
                <c:pt idx="885">
                  <c:v>1.3387100000000001</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1.1194500000000001</c:v>
                </c:pt>
                <c:pt idx="903">
                  <c:v>1.719789999999991</c:v>
                </c:pt>
                <c:pt idx="904">
                  <c:v>1.7617099999999903</c:v>
                </c:pt>
                <c:pt idx="905">
                  <c:v>2.0151699999999977</c:v>
                </c:pt>
                <c:pt idx="906">
                  <c:v>5.1152899999999955</c:v>
                </c:pt>
                <c:pt idx="907">
                  <c:v>2.5029300000000001</c:v>
                </c:pt>
                <c:pt idx="908">
                  <c:v>2.3619300000000001</c:v>
                </c:pt>
                <c:pt idx="909">
                  <c:v>2.2366699999999788</c:v>
                </c:pt>
                <c:pt idx="910">
                  <c:v>2.1836000000000002</c:v>
                </c:pt>
                <c:pt idx="911">
                  <c:v>2.0903399999999999</c:v>
                </c:pt>
                <c:pt idx="912">
                  <c:v>2.4313699999999967</c:v>
                </c:pt>
                <c:pt idx="913">
                  <c:v>2.4106599999999747</c:v>
                </c:pt>
                <c:pt idx="914">
                  <c:v>2.2591199999999998</c:v>
                </c:pt>
                <c:pt idx="915">
                  <c:v>2.0578499999999798</c:v>
                </c:pt>
                <c:pt idx="916">
                  <c:v>1.55907</c:v>
                </c:pt>
                <c:pt idx="917">
                  <c:v>0.11521000000000002</c:v>
                </c:pt>
                <c:pt idx="918">
                  <c:v>1.86476</c:v>
                </c:pt>
                <c:pt idx="919">
                  <c:v>2.0330499999999967</c:v>
                </c:pt>
                <c:pt idx="920">
                  <c:v>1.69276</c:v>
                </c:pt>
                <c:pt idx="921">
                  <c:v>0.12561999999999998</c:v>
                </c:pt>
                <c:pt idx="922">
                  <c:v>0</c:v>
                </c:pt>
                <c:pt idx="923">
                  <c:v>0</c:v>
                </c:pt>
                <c:pt idx="924">
                  <c:v>0</c:v>
                </c:pt>
                <c:pt idx="925">
                  <c:v>0</c:v>
                </c:pt>
                <c:pt idx="926">
                  <c:v>0</c:v>
                </c:pt>
                <c:pt idx="927">
                  <c:v>0</c:v>
                </c:pt>
                <c:pt idx="928">
                  <c:v>0.96418999999999999</c:v>
                </c:pt>
                <c:pt idx="929">
                  <c:v>2.5396299999999967</c:v>
                </c:pt>
                <c:pt idx="930">
                  <c:v>2.3982599999999756</c:v>
                </c:pt>
                <c:pt idx="931">
                  <c:v>2.5796899999999967</c:v>
                </c:pt>
                <c:pt idx="932">
                  <c:v>2.4365799999999802</c:v>
                </c:pt>
                <c:pt idx="933">
                  <c:v>2.3549799999999967</c:v>
                </c:pt>
                <c:pt idx="934">
                  <c:v>2.4340999999999977</c:v>
                </c:pt>
                <c:pt idx="935">
                  <c:v>2.2969399999999998</c:v>
                </c:pt>
                <c:pt idx="936">
                  <c:v>2.14106</c:v>
                </c:pt>
                <c:pt idx="937">
                  <c:v>2.1667299999999998</c:v>
                </c:pt>
                <c:pt idx="938">
                  <c:v>2.0522699999999756</c:v>
                </c:pt>
                <c:pt idx="939">
                  <c:v>2.1698300000000001</c:v>
                </c:pt>
                <c:pt idx="940">
                  <c:v>2.1651199999999999</c:v>
                </c:pt>
                <c:pt idx="941">
                  <c:v>5.2263099999999998</c:v>
                </c:pt>
                <c:pt idx="942">
                  <c:v>4.6681299999999855</c:v>
                </c:pt>
                <c:pt idx="943">
                  <c:v>11.093780000000002</c:v>
                </c:pt>
                <c:pt idx="944">
                  <c:v>15.425520000000002</c:v>
                </c:pt>
                <c:pt idx="945">
                  <c:v>28.452940000000002</c:v>
                </c:pt>
                <c:pt idx="946">
                  <c:v>25.865480000000002</c:v>
                </c:pt>
                <c:pt idx="947">
                  <c:v>24.64451</c:v>
                </c:pt>
                <c:pt idx="948">
                  <c:v>18.709579999999889</c:v>
                </c:pt>
                <c:pt idx="949">
                  <c:v>9.2113899999999997</c:v>
                </c:pt>
                <c:pt idx="950">
                  <c:v>4.9740000000000002</c:v>
                </c:pt>
                <c:pt idx="951">
                  <c:v>3.3604699999999967</c:v>
                </c:pt>
                <c:pt idx="952">
                  <c:v>2.7813300000000232</c:v>
                </c:pt>
                <c:pt idx="953">
                  <c:v>2.8027899999999977</c:v>
                </c:pt>
                <c:pt idx="954">
                  <c:v>2.6109399999999998</c:v>
                </c:pt>
                <c:pt idx="955">
                  <c:v>3.3712399999999967</c:v>
                </c:pt>
                <c:pt idx="956">
                  <c:v>5.4604499999999998</c:v>
                </c:pt>
                <c:pt idx="957">
                  <c:v>7.70519</c:v>
                </c:pt>
                <c:pt idx="958">
                  <c:v>6.5658499999999975</c:v>
                </c:pt>
                <c:pt idx="959">
                  <c:v>4.9406500000000024</c:v>
                </c:pt>
                <c:pt idx="960">
                  <c:v>3.8897999999999997</c:v>
                </c:pt>
                <c:pt idx="961">
                  <c:v>3.2888099999999998</c:v>
                </c:pt>
                <c:pt idx="962">
                  <c:v>3.1357599999999977</c:v>
                </c:pt>
                <c:pt idx="963">
                  <c:v>3.0464499999999757</c:v>
                </c:pt>
                <c:pt idx="964">
                  <c:v>5.9397400000000529</c:v>
                </c:pt>
                <c:pt idx="965">
                  <c:v>5.2674799999999955</c:v>
                </c:pt>
                <c:pt idx="966">
                  <c:v>4.4933899999999998</c:v>
                </c:pt>
                <c:pt idx="967">
                  <c:v>4.1158099999999855</c:v>
                </c:pt>
                <c:pt idx="968">
                  <c:v>3.5352999999999977</c:v>
                </c:pt>
                <c:pt idx="969">
                  <c:v>3.2208700000000001</c:v>
                </c:pt>
                <c:pt idx="970">
                  <c:v>2.9224599999999756</c:v>
                </c:pt>
                <c:pt idx="971">
                  <c:v>2.7659600000000002</c:v>
                </c:pt>
                <c:pt idx="972">
                  <c:v>2.6983700000000002</c:v>
                </c:pt>
                <c:pt idx="973">
                  <c:v>2.8920799999999733</c:v>
                </c:pt>
                <c:pt idx="974">
                  <c:v>2.85338</c:v>
                </c:pt>
                <c:pt idx="975">
                  <c:v>3.1472099999999998</c:v>
                </c:pt>
                <c:pt idx="976">
                  <c:v>3.63916</c:v>
                </c:pt>
                <c:pt idx="977">
                  <c:v>5.0587499999999999</c:v>
                </c:pt>
                <c:pt idx="978">
                  <c:v>4.2433899999999998</c:v>
                </c:pt>
                <c:pt idx="979">
                  <c:v>3.3811300000000002</c:v>
                </c:pt>
                <c:pt idx="980">
                  <c:v>2.9731800000000002</c:v>
                </c:pt>
                <c:pt idx="981">
                  <c:v>2.7990699999999977</c:v>
                </c:pt>
                <c:pt idx="982">
                  <c:v>2.7444999999999999</c:v>
                </c:pt>
                <c:pt idx="983">
                  <c:v>3.9842599999999977</c:v>
                </c:pt>
                <c:pt idx="984">
                  <c:v>3.9528599999999638</c:v>
                </c:pt>
                <c:pt idx="985">
                  <c:v>3.3744699999999757</c:v>
                </c:pt>
                <c:pt idx="986">
                  <c:v>3.0490200000000001</c:v>
                </c:pt>
                <c:pt idx="987">
                  <c:v>3.4078599999999977</c:v>
                </c:pt>
                <c:pt idx="988">
                  <c:v>4.8735299999999997</c:v>
                </c:pt>
                <c:pt idx="989">
                  <c:v>7.2703500000000014</c:v>
                </c:pt>
                <c:pt idx="990">
                  <c:v>6.1541199999999465</c:v>
                </c:pt>
                <c:pt idx="991">
                  <c:v>4.4784400000000124</c:v>
                </c:pt>
                <c:pt idx="992">
                  <c:v>3.5621100000000001</c:v>
                </c:pt>
                <c:pt idx="993">
                  <c:v>3.1646000000000001</c:v>
                </c:pt>
                <c:pt idx="994">
                  <c:v>3.0714599999999757</c:v>
                </c:pt>
                <c:pt idx="995">
                  <c:v>3.9205299999999998</c:v>
                </c:pt>
                <c:pt idx="996">
                  <c:v>4.3015400000000001</c:v>
                </c:pt>
                <c:pt idx="997">
                  <c:v>4.54427</c:v>
                </c:pt>
                <c:pt idx="998">
                  <c:v>5.3510799999999996</c:v>
                </c:pt>
                <c:pt idx="999">
                  <c:v>4.9768900000000134</c:v>
                </c:pt>
                <c:pt idx="1000">
                  <c:v>3.5650599999999977</c:v>
                </c:pt>
                <c:pt idx="1001">
                  <c:v>5.3528499999999966</c:v>
                </c:pt>
                <c:pt idx="1002">
                  <c:v>18.787509999999809</c:v>
                </c:pt>
                <c:pt idx="1003">
                  <c:v>88.468069999999997</c:v>
                </c:pt>
                <c:pt idx="1004">
                  <c:v>0</c:v>
                </c:pt>
                <c:pt idx="1005">
                  <c:v>76.168939999999978</c:v>
                </c:pt>
                <c:pt idx="1006">
                  <c:v>34.629730000000322</c:v>
                </c:pt>
                <c:pt idx="1007">
                  <c:v>27.235810000000001</c:v>
                </c:pt>
                <c:pt idx="1008">
                  <c:v>15.55932</c:v>
                </c:pt>
                <c:pt idx="1009">
                  <c:v>9.9266700000000014</c:v>
                </c:pt>
                <c:pt idx="1010">
                  <c:v>7.9031200000000004</c:v>
                </c:pt>
                <c:pt idx="1011">
                  <c:v>6.8472799999999996</c:v>
                </c:pt>
                <c:pt idx="1012">
                  <c:v>6.3498299999999999</c:v>
                </c:pt>
                <c:pt idx="1013">
                  <c:v>7.0865900000000002</c:v>
                </c:pt>
                <c:pt idx="1014">
                  <c:v>6.5245799999999745</c:v>
                </c:pt>
                <c:pt idx="1015">
                  <c:v>5.7404200000000003</c:v>
                </c:pt>
                <c:pt idx="1016">
                  <c:v>5.0558299999999985</c:v>
                </c:pt>
                <c:pt idx="1017">
                  <c:v>4.44693</c:v>
                </c:pt>
                <c:pt idx="1018">
                  <c:v>4.05002</c:v>
                </c:pt>
                <c:pt idx="1019">
                  <c:v>3.8509799999999967</c:v>
                </c:pt>
                <c:pt idx="1020">
                  <c:v>3.64656</c:v>
                </c:pt>
                <c:pt idx="1021">
                  <c:v>3.4414699999999967</c:v>
                </c:pt>
                <c:pt idx="1022">
                  <c:v>3.2025299999999999</c:v>
                </c:pt>
                <c:pt idx="1023">
                  <c:v>3.0411199999999998</c:v>
                </c:pt>
                <c:pt idx="1024">
                  <c:v>2.9296499999999757</c:v>
                </c:pt>
                <c:pt idx="1025">
                  <c:v>2.89059</c:v>
                </c:pt>
                <c:pt idx="1026">
                  <c:v>2.81358</c:v>
                </c:pt>
                <c:pt idx="1027">
                  <c:v>2.7250299999999998</c:v>
                </c:pt>
                <c:pt idx="1028">
                  <c:v>2.7183600000000001</c:v>
                </c:pt>
                <c:pt idx="1029">
                  <c:v>5.4007399999999999</c:v>
                </c:pt>
                <c:pt idx="1030">
                  <c:v>7.2881499999999999</c:v>
                </c:pt>
                <c:pt idx="1031">
                  <c:v>7.3837799999999998</c:v>
                </c:pt>
                <c:pt idx="1032">
                  <c:v>7.7222999999999997</c:v>
                </c:pt>
                <c:pt idx="1033">
                  <c:v>6.3210600000000001</c:v>
                </c:pt>
                <c:pt idx="1034">
                  <c:v>8.1397600000000008</c:v>
                </c:pt>
                <c:pt idx="1035">
                  <c:v>13.02332</c:v>
                </c:pt>
                <c:pt idx="1036">
                  <c:v>14.08175</c:v>
                </c:pt>
                <c:pt idx="1037">
                  <c:v>14.09577</c:v>
                </c:pt>
                <c:pt idx="1038">
                  <c:v>9.4136400000000027</c:v>
                </c:pt>
                <c:pt idx="1039">
                  <c:v>5.7006500000000004</c:v>
                </c:pt>
                <c:pt idx="1040">
                  <c:v>3.89459</c:v>
                </c:pt>
                <c:pt idx="1041">
                  <c:v>3.0564999999999967</c:v>
                </c:pt>
                <c:pt idx="1042">
                  <c:v>2.83813</c:v>
                </c:pt>
                <c:pt idx="1043">
                  <c:v>2.7802199999999999</c:v>
                </c:pt>
                <c:pt idx="1044">
                  <c:v>2.6907999999999999</c:v>
                </c:pt>
                <c:pt idx="1045">
                  <c:v>2.6088300000000002</c:v>
                </c:pt>
                <c:pt idx="1046">
                  <c:v>2.5593499999999967</c:v>
                </c:pt>
                <c:pt idx="1047">
                  <c:v>2.5676600000000001</c:v>
                </c:pt>
                <c:pt idx="1048">
                  <c:v>2.63401</c:v>
                </c:pt>
                <c:pt idx="1049">
                  <c:v>2.8760799999999729</c:v>
                </c:pt>
                <c:pt idx="1050">
                  <c:v>2.6522399999999977</c:v>
                </c:pt>
                <c:pt idx="1051">
                  <c:v>2.60127</c:v>
                </c:pt>
                <c:pt idx="1052">
                  <c:v>2.53009</c:v>
                </c:pt>
                <c:pt idx="1053">
                  <c:v>2.5381499999999977</c:v>
                </c:pt>
                <c:pt idx="1054">
                  <c:v>2.5454599999999967</c:v>
                </c:pt>
                <c:pt idx="1055">
                  <c:v>2.47899</c:v>
                </c:pt>
                <c:pt idx="1056">
                  <c:v>4.5385299999999997</c:v>
                </c:pt>
                <c:pt idx="1057">
                  <c:v>9.38476</c:v>
                </c:pt>
                <c:pt idx="1058">
                  <c:v>8.04617</c:v>
                </c:pt>
                <c:pt idx="1059">
                  <c:v>4.6263099999999975</c:v>
                </c:pt>
                <c:pt idx="1060">
                  <c:v>3.2203100000000227</c:v>
                </c:pt>
                <c:pt idx="1061">
                  <c:v>3.0303499999999977</c:v>
                </c:pt>
                <c:pt idx="1062">
                  <c:v>2.9135300000000002</c:v>
                </c:pt>
                <c:pt idx="1063">
                  <c:v>2.8515199999999967</c:v>
                </c:pt>
                <c:pt idx="1064">
                  <c:v>2.7676900000000204</c:v>
                </c:pt>
                <c:pt idx="1065">
                  <c:v>2.7344599999999977</c:v>
                </c:pt>
                <c:pt idx="1066">
                  <c:v>2.7668200000000001</c:v>
                </c:pt>
                <c:pt idx="1067">
                  <c:v>2.6955200000000001</c:v>
                </c:pt>
                <c:pt idx="1068">
                  <c:v>2.6198699999999784</c:v>
                </c:pt>
                <c:pt idx="1069">
                  <c:v>2.6335099999999998</c:v>
                </c:pt>
                <c:pt idx="1070">
                  <c:v>2.64269</c:v>
                </c:pt>
                <c:pt idx="1071">
                  <c:v>2.62954</c:v>
                </c:pt>
                <c:pt idx="1072">
                  <c:v>2.5813000000000001</c:v>
                </c:pt>
                <c:pt idx="1073">
                  <c:v>2.5587300000000002</c:v>
                </c:pt>
                <c:pt idx="1074">
                  <c:v>2.5587300000000002</c:v>
                </c:pt>
                <c:pt idx="1075">
                  <c:v>2.5687799999999998</c:v>
                </c:pt>
                <c:pt idx="1076">
                  <c:v>2.5519099999999977</c:v>
                </c:pt>
                <c:pt idx="1077">
                  <c:v>2.5279799999999999</c:v>
                </c:pt>
                <c:pt idx="1078">
                  <c:v>2.4838300000000002</c:v>
                </c:pt>
                <c:pt idx="1079">
                  <c:v>2.46089</c:v>
                </c:pt>
                <c:pt idx="1080">
                  <c:v>2.3739499999999967</c:v>
                </c:pt>
                <c:pt idx="1081">
                  <c:v>2.3997499999999756</c:v>
                </c:pt>
                <c:pt idx="1082">
                  <c:v>2.4479899999999999</c:v>
                </c:pt>
                <c:pt idx="1083">
                  <c:v>2.4461300000000001</c:v>
                </c:pt>
                <c:pt idx="1084">
                  <c:v>2.3392299999999784</c:v>
                </c:pt>
                <c:pt idx="1085">
                  <c:v>2.2556499999999784</c:v>
                </c:pt>
                <c:pt idx="1086">
                  <c:v>1.83314</c:v>
                </c:pt>
                <c:pt idx="1087">
                  <c:v>1.6804800000000091</c:v>
                </c:pt>
                <c:pt idx="1088">
                  <c:v>1.3950100000000001</c:v>
                </c:pt>
                <c:pt idx="1089">
                  <c:v>0.769490000000005</c:v>
                </c:pt>
                <c:pt idx="1090">
                  <c:v>0.52085000000000004</c:v>
                </c:pt>
                <c:pt idx="1091">
                  <c:v>0.61521999999999999</c:v>
                </c:pt>
                <c:pt idx="1092">
                  <c:v>1.54643</c:v>
                </c:pt>
                <c:pt idx="1093">
                  <c:v>1.5894599999999999</c:v>
                </c:pt>
                <c:pt idx="1094">
                  <c:v>1.4126199999999998</c:v>
                </c:pt>
                <c:pt idx="1095">
                  <c:v>1.1120099999999999</c:v>
                </c:pt>
                <c:pt idx="1096">
                  <c:v>0.23810000000000001</c:v>
                </c:pt>
                <c:pt idx="1097">
                  <c:v>0.45525000000000004</c:v>
                </c:pt>
                <c:pt idx="1098">
                  <c:v>0.88160000000000005</c:v>
                </c:pt>
                <c:pt idx="1099">
                  <c:v>0.83943000000000001</c:v>
                </c:pt>
                <c:pt idx="1100">
                  <c:v>0.70178000000000063</c:v>
                </c:pt>
                <c:pt idx="1101">
                  <c:v>0.32441000000000336</c:v>
                </c:pt>
                <c:pt idx="1102">
                  <c:v>8.6800000000000228E-3</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0</c:v>
                </c:pt>
                <c:pt idx="1172">
                  <c:v>0</c:v>
                </c:pt>
                <c:pt idx="1173">
                  <c:v>0</c:v>
                </c:pt>
                <c:pt idx="1174">
                  <c:v>0</c:v>
                </c:pt>
                <c:pt idx="1175">
                  <c:v>0</c:v>
                </c:pt>
                <c:pt idx="1176">
                  <c:v>0.10614999999999998</c:v>
                </c:pt>
                <c:pt idx="1177">
                  <c:v>0</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3.5160499999999657</c:v>
                </c:pt>
                <c:pt idx="1245">
                  <c:v>2.4371499999999977</c:v>
                </c:pt>
                <c:pt idx="1246">
                  <c:v>1.7437299999999845</c:v>
                </c:pt>
                <c:pt idx="1247">
                  <c:v>1.5282</c:v>
                </c:pt>
                <c:pt idx="1248">
                  <c:v>1.9337899999999999</c:v>
                </c:pt>
                <c:pt idx="1249">
                  <c:v>2.2364099999999967</c:v>
                </c:pt>
                <c:pt idx="1250">
                  <c:v>2.0980300000000001</c:v>
                </c:pt>
                <c:pt idx="1251">
                  <c:v>1.79705</c:v>
                </c:pt>
                <c:pt idx="1252">
                  <c:v>1.7199199999999899</c:v>
                </c:pt>
                <c:pt idx="1253">
                  <c:v>13.247079999999999</c:v>
                </c:pt>
                <c:pt idx="1254">
                  <c:v>15.2919</c:v>
                </c:pt>
                <c:pt idx="1255">
                  <c:v>13.669120000000001</c:v>
                </c:pt>
                <c:pt idx="1256">
                  <c:v>5.3303200000000004</c:v>
                </c:pt>
                <c:pt idx="1257">
                  <c:v>3.0370399999999997</c:v>
                </c:pt>
                <c:pt idx="1258">
                  <c:v>2.4488599999999967</c:v>
                </c:pt>
                <c:pt idx="1259">
                  <c:v>2.1765499999999967</c:v>
                </c:pt>
                <c:pt idx="1260">
                  <c:v>1.9605999999999999</c:v>
                </c:pt>
                <c:pt idx="1261">
                  <c:v>1.9288799999999999</c:v>
                </c:pt>
                <c:pt idx="1262">
                  <c:v>2.0335399999999999</c:v>
                </c:pt>
                <c:pt idx="1263">
                  <c:v>2.1654900000000001</c:v>
                </c:pt>
                <c:pt idx="1264">
                  <c:v>2.1955</c:v>
                </c:pt>
                <c:pt idx="1265">
                  <c:v>2.11998</c:v>
                </c:pt>
                <c:pt idx="1266">
                  <c:v>2.0113399999999997</c:v>
                </c:pt>
                <c:pt idx="1267">
                  <c:v>1.9507000000000001</c:v>
                </c:pt>
                <c:pt idx="1268">
                  <c:v>1.8230899999999999</c:v>
                </c:pt>
                <c:pt idx="1269">
                  <c:v>8.8533900000000028</c:v>
                </c:pt>
                <c:pt idx="1270">
                  <c:v>17.078239999999806</c:v>
                </c:pt>
                <c:pt idx="1271">
                  <c:v>10.118460000000001</c:v>
                </c:pt>
                <c:pt idx="1272">
                  <c:v>9.3264800000000267</c:v>
                </c:pt>
                <c:pt idx="1273">
                  <c:v>23.248479999999798</c:v>
                </c:pt>
                <c:pt idx="1274">
                  <c:v>23.131329999999988</c:v>
                </c:pt>
                <c:pt idx="1275">
                  <c:v>18.289609999999765</c:v>
                </c:pt>
                <c:pt idx="1276">
                  <c:v>41.356089999999995</c:v>
                </c:pt>
                <c:pt idx="1277">
                  <c:v>51.372860000000003</c:v>
                </c:pt>
                <c:pt idx="1278">
                  <c:v>26.030239999999889</c:v>
                </c:pt>
                <c:pt idx="1279">
                  <c:v>21.14752</c:v>
                </c:pt>
                <c:pt idx="1280">
                  <c:v>20.978099999999817</c:v>
                </c:pt>
                <c:pt idx="1281">
                  <c:v>20.012930000000001</c:v>
                </c:pt>
                <c:pt idx="1282">
                  <c:v>19.446899999999989</c:v>
                </c:pt>
                <c:pt idx="1283">
                  <c:v>20.842529999999776</c:v>
                </c:pt>
                <c:pt idx="1284">
                  <c:v>34.048050000000003</c:v>
                </c:pt>
                <c:pt idx="1285">
                  <c:v>23.170390000000001</c:v>
                </c:pt>
                <c:pt idx="1286">
                  <c:v>19.43036</c:v>
                </c:pt>
                <c:pt idx="1287">
                  <c:v>16.698239999999835</c:v>
                </c:pt>
                <c:pt idx="1288">
                  <c:v>13.057220000000001</c:v>
                </c:pt>
                <c:pt idx="1289">
                  <c:v>11.928610000000001</c:v>
                </c:pt>
                <c:pt idx="1290">
                  <c:v>17.15239</c:v>
                </c:pt>
                <c:pt idx="1291">
                  <c:v>15.420200000000001</c:v>
                </c:pt>
                <c:pt idx="1292">
                  <c:v>16.179410000000001</c:v>
                </c:pt>
                <c:pt idx="1293">
                  <c:v>9.0526200000000028</c:v>
                </c:pt>
                <c:pt idx="1294">
                  <c:v>27.124030000000001</c:v>
                </c:pt>
                <c:pt idx="1295">
                  <c:v>141.55596</c:v>
                </c:pt>
                <c:pt idx="1296">
                  <c:v>111.04807</c:v>
                </c:pt>
                <c:pt idx="1297">
                  <c:v>63.890510000000013</c:v>
                </c:pt>
                <c:pt idx="1298">
                  <c:v>180.35224000000201</c:v>
                </c:pt>
                <c:pt idx="1299">
                  <c:v>56.123590000000213</c:v>
                </c:pt>
                <c:pt idx="1300">
                  <c:v>28.424429999999806</c:v>
                </c:pt>
                <c:pt idx="1301">
                  <c:v>31.489399999999769</c:v>
                </c:pt>
                <c:pt idx="1302">
                  <c:v>132.45057</c:v>
                </c:pt>
                <c:pt idx="1303">
                  <c:v>99.336860000000001</c:v>
                </c:pt>
                <c:pt idx="1304">
                  <c:v>80.185409999999948</c:v>
                </c:pt>
                <c:pt idx="1305">
                  <c:v>36.529020000000003</c:v>
                </c:pt>
                <c:pt idx="1306">
                  <c:v>105.563</c:v>
                </c:pt>
                <c:pt idx="1307">
                  <c:v>63.808570000000003</c:v>
                </c:pt>
                <c:pt idx="1308">
                  <c:v>92.064539999999994</c:v>
                </c:pt>
                <c:pt idx="1309">
                  <c:v>91.197450000000003</c:v>
                </c:pt>
                <c:pt idx="1310">
                  <c:v>113.346</c:v>
                </c:pt>
                <c:pt idx="1311">
                  <c:v>49.856979999999993</c:v>
                </c:pt>
                <c:pt idx="1312">
                  <c:v>95.590729999999994</c:v>
                </c:pt>
                <c:pt idx="1313">
                  <c:v>91.606779999999958</c:v>
                </c:pt>
                <c:pt idx="1314">
                  <c:v>94.761830000000003</c:v>
                </c:pt>
                <c:pt idx="1315">
                  <c:v>128.9883700000012</c:v>
                </c:pt>
                <c:pt idx="1316">
                  <c:v>49.186040000000006</c:v>
                </c:pt>
                <c:pt idx="1317">
                  <c:v>38.514920000000004</c:v>
                </c:pt>
                <c:pt idx="1318">
                  <c:v>44.002740000000003</c:v>
                </c:pt>
                <c:pt idx="1319">
                  <c:v>26.20692</c:v>
                </c:pt>
                <c:pt idx="1320">
                  <c:v>26.929409999999798</c:v>
                </c:pt>
                <c:pt idx="1321">
                  <c:v>29.23151</c:v>
                </c:pt>
                <c:pt idx="1322">
                  <c:v>74.322729999999979</c:v>
                </c:pt>
                <c:pt idx="1323">
                  <c:v>97.450069999999997</c:v>
                </c:pt>
                <c:pt idx="1324">
                  <c:v>81.069590000000005</c:v>
                </c:pt>
                <c:pt idx="1325">
                  <c:v>39.77787</c:v>
                </c:pt>
                <c:pt idx="1326">
                  <c:v>30.785799999999696</c:v>
                </c:pt>
                <c:pt idx="1327">
                  <c:v>100.96584</c:v>
                </c:pt>
                <c:pt idx="1328">
                  <c:v>91.887050000000002</c:v>
                </c:pt>
                <c:pt idx="1329">
                  <c:v>161.10936999999998</c:v>
                </c:pt>
                <c:pt idx="1330">
                  <c:v>44.732190000000358</c:v>
                </c:pt>
                <c:pt idx="1331">
                  <c:v>35.03389</c:v>
                </c:pt>
                <c:pt idx="1332">
                  <c:v>31.443829999999835</c:v>
                </c:pt>
                <c:pt idx="1333">
                  <c:v>26.943189999999817</c:v>
                </c:pt>
                <c:pt idx="1334">
                  <c:v>25.469809999999889</c:v>
                </c:pt>
                <c:pt idx="1335">
                  <c:v>23.155709999999889</c:v>
                </c:pt>
                <c:pt idx="1336">
                  <c:v>21.571639999999842</c:v>
                </c:pt>
              </c:numCache>
            </c:numRef>
          </c:yVal>
        </c:ser>
        <c:axId val="50717824"/>
        <c:axId val="50715648"/>
      </c:scatterChart>
      <c:dateAx>
        <c:axId val="50711936"/>
        <c:scaling>
          <c:orientation val="minMax"/>
        </c:scaling>
        <c:axPos val="b"/>
        <c:numFmt formatCode="[$-409]mmm\-yy;@" sourceLinked="0"/>
        <c:tickLblPos val="nextTo"/>
        <c:txPr>
          <a:bodyPr rot="-2700000" vert="horz"/>
          <a:lstStyle/>
          <a:p>
            <a:pPr>
              <a:defRPr/>
            </a:pPr>
            <a:endParaRPr lang="en-US"/>
          </a:p>
        </c:txPr>
        <c:crossAx val="50713728"/>
        <c:crosses val="autoZero"/>
        <c:auto val="1"/>
        <c:lblOffset val="100"/>
        <c:baseTimeUnit val="days"/>
      </c:dateAx>
      <c:valAx>
        <c:axId val="50713728"/>
        <c:scaling>
          <c:orientation val="minMax"/>
        </c:scaling>
        <c:axPos val="l"/>
        <c:majorGridlines/>
        <c:title>
          <c:tx>
            <c:rich>
              <a:bodyPr rot="-5400000" vert="horz"/>
              <a:lstStyle/>
              <a:p>
                <a:pPr>
                  <a:defRPr/>
                </a:pPr>
                <a:r>
                  <a:rPr lang="en-US"/>
                  <a:t>Rainfall (mm)</a:t>
                </a:r>
              </a:p>
            </c:rich>
          </c:tx>
        </c:title>
        <c:numFmt formatCode="General" sourceLinked="1"/>
        <c:tickLblPos val="nextTo"/>
        <c:crossAx val="50711936"/>
        <c:crosses val="autoZero"/>
        <c:crossBetween val="between"/>
        <c:majorUnit val="50"/>
      </c:valAx>
      <c:valAx>
        <c:axId val="50715648"/>
        <c:scaling>
          <c:orientation val="minMax"/>
        </c:scaling>
        <c:axPos val="r"/>
        <c:title>
          <c:tx>
            <c:rich>
              <a:bodyPr rot="-5400000" vert="horz"/>
              <a:lstStyle/>
              <a:p>
                <a:pPr>
                  <a:defRPr/>
                </a:pPr>
                <a:r>
                  <a:rPr lang="en-US"/>
                  <a:t>Discharge (ML/d)</a:t>
                </a:r>
              </a:p>
            </c:rich>
          </c:tx>
        </c:title>
        <c:numFmt formatCode="General" sourceLinked="1"/>
        <c:tickLblPos val="nextTo"/>
        <c:crossAx val="50717824"/>
        <c:crosses val="max"/>
        <c:crossBetween val="midCat"/>
        <c:majorUnit val="50"/>
      </c:valAx>
      <c:valAx>
        <c:axId val="50717824"/>
        <c:scaling>
          <c:orientation val="minMax"/>
        </c:scaling>
        <c:delete val="1"/>
        <c:axPos val="b"/>
        <c:numFmt formatCode="m/d/yyyy" sourceLinked="1"/>
        <c:tickLblPos val="none"/>
        <c:crossAx val="50715648"/>
        <c:crosses val="autoZero"/>
        <c:crossBetween val="midCat"/>
      </c:valAx>
    </c:plotArea>
    <c:legend>
      <c:legendPos val="b"/>
    </c:legend>
    <c:plotVisOnly val="1"/>
    <c:dispBlanksAs val="gap"/>
  </c:chart>
  <c:spPr>
    <a:solidFill>
      <a:schemeClr val="bg1"/>
    </a:solidFill>
    <a:ln>
      <a:noFill/>
    </a:ln>
  </c:spPr>
  <c:txPr>
    <a:bodyPr/>
    <a:lstStyle/>
    <a:p>
      <a:pPr>
        <a:defRPr sz="800" b="0">
          <a:latin typeface="Arial" panose="020B0604020202020204" pitchFamily="34" charset="0"/>
          <a:cs typeface="Arial" panose="020B0604020202020204" pitchFamily="34" charset="0"/>
        </a:defRPr>
      </a:pPr>
      <a:endParaRPr lang="en-US"/>
    </a:p>
  </c:txPr>
  <c:externalData r:id="rId1"/>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BF6CC515233F4F2A89A9CDDC9130FE26"/>
        <w:category>
          <w:name w:val="General"/>
          <w:gallery w:val="placeholder"/>
        </w:category>
        <w:types>
          <w:type w:val="bbPlcHdr"/>
        </w:types>
        <w:behaviors>
          <w:behavior w:val="content"/>
        </w:behaviors>
        <w:guid w:val="{0FF962C6-12E6-47F9-8702-3942254873BB}"/>
      </w:docPartPr>
      <w:docPartBody>
        <w:p w:rsidR="006E381D" w:rsidRDefault="00E42767" w:rsidP="00E42767">
          <w:pPr>
            <w:pStyle w:val="BF6CC515233F4F2A89A9CDDC9130FE26"/>
          </w:pPr>
          <w:r>
            <w:t>[Type text]</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SymbolMT">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E42767"/>
    <w:rsid w:val="00006FBF"/>
    <w:rsid w:val="00010AB9"/>
    <w:rsid w:val="000172F4"/>
    <w:rsid w:val="000203D7"/>
    <w:rsid w:val="000728A5"/>
    <w:rsid w:val="000B0907"/>
    <w:rsid w:val="000B17D5"/>
    <w:rsid w:val="000B1C90"/>
    <w:rsid w:val="00112425"/>
    <w:rsid w:val="00124675"/>
    <w:rsid w:val="00133EC9"/>
    <w:rsid w:val="00156535"/>
    <w:rsid w:val="001B0502"/>
    <w:rsid w:val="001E4905"/>
    <w:rsid w:val="001F15F5"/>
    <w:rsid w:val="001F3BAC"/>
    <w:rsid w:val="002150D5"/>
    <w:rsid w:val="00243249"/>
    <w:rsid w:val="00243DE2"/>
    <w:rsid w:val="0024569C"/>
    <w:rsid w:val="002627F6"/>
    <w:rsid w:val="00286F73"/>
    <w:rsid w:val="00333355"/>
    <w:rsid w:val="00364C49"/>
    <w:rsid w:val="00372963"/>
    <w:rsid w:val="00383BF9"/>
    <w:rsid w:val="004017D7"/>
    <w:rsid w:val="00401B20"/>
    <w:rsid w:val="00403F95"/>
    <w:rsid w:val="00407E84"/>
    <w:rsid w:val="00422CF6"/>
    <w:rsid w:val="00452876"/>
    <w:rsid w:val="0045613E"/>
    <w:rsid w:val="00456468"/>
    <w:rsid w:val="00467872"/>
    <w:rsid w:val="004C4C60"/>
    <w:rsid w:val="004D0F77"/>
    <w:rsid w:val="004E0478"/>
    <w:rsid w:val="004E6B76"/>
    <w:rsid w:val="004E74BC"/>
    <w:rsid w:val="004F5CD1"/>
    <w:rsid w:val="005033C6"/>
    <w:rsid w:val="005108A2"/>
    <w:rsid w:val="00511DAA"/>
    <w:rsid w:val="0057120B"/>
    <w:rsid w:val="00610B10"/>
    <w:rsid w:val="00616812"/>
    <w:rsid w:val="00670B58"/>
    <w:rsid w:val="0067192A"/>
    <w:rsid w:val="00693981"/>
    <w:rsid w:val="006B4973"/>
    <w:rsid w:val="006E381D"/>
    <w:rsid w:val="0077294A"/>
    <w:rsid w:val="0077731B"/>
    <w:rsid w:val="0085709E"/>
    <w:rsid w:val="008A7C0F"/>
    <w:rsid w:val="009010D1"/>
    <w:rsid w:val="009751D0"/>
    <w:rsid w:val="009E74E8"/>
    <w:rsid w:val="00A05BBA"/>
    <w:rsid w:val="00A40947"/>
    <w:rsid w:val="00A43EBC"/>
    <w:rsid w:val="00A67833"/>
    <w:rsid w:val="00A71E3A"/>
    <w:rsid w:val="00A82D57"/>
    <w:rsid w:val="00AF7950"/>
    <w:rsid w:val="00B25B3A"/>
    <w:rsid w:val="00B7080D"/>
    <w:rsid w:val="00B941B4"/>
    <w:rsid w:val="00BA0FE6"/>
    <w:rsid w:val="00BC2F01"/>
    <w:rsid w:val="00BC5AF5"/>
    <w:rsid w:val="00BF77BF"/>
    <w:rsid w:val="00C247C3"/>
    <w:rsid w:val="00D6286F"/>
    <w:rsid w:val="00D953BF"/>
    <w:rsid w:val="00DA6DD3"/>
    <w:rsid w:val="00DE2A1B"/>
    <w:rsid w:val="00DE3C39"/>
    <w:rsid w:val="00E42767"/>
    <w:rsid w:val="00F30009"/>
    <w:rsid w:val="00F40D73"/>
    <w:rsid w:val="00F43B23"/>
    <w:rsid w:val="00FA0607"/>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iPriority="2"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381D"/>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F6CC515233F4F2A89A9CDDC9130FE26">
    <w:name w:val="BF6CC515233F4F2A89A9CDDC9130FE26"/>
    <w:rsid w:val="00E42767"/>
  </w:style>
  <w:style w:type="paragraph" w:customStyle="1" w:styleId="1C6B2091F3A544E890A6568DEE73D01E">
    <w:name w:val="1C6B2091F3A544E890A6568DEE73D01E"/>
    <w:rsid w:val="00E42767"/>
  </w:style>
  <w:style w:type="character" w:styleId="PlaceholderText">
    <w:name w:val="Placeholder Text"/>
    <w:basedOn w:val="DefaultParagraphFont"/>
    <w:uiPriority w:val="2"/>
    <w:semiHidden/>
    <w:rsid w:val="00333355"/>
    <w:rPr>
      <w:color w:val="808080"/>
    </w:rPr>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0637EE-E32C-4F4B-9784-FE08041187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91</Pages>
  <Words>25336</Words>
  <Characters>148292</Characters>
  <Application>Microsoft Office Word</Application>
  <DocSecurity>0</DocSecurity>
  <Lines>1235</Lines>
  <Paragraphs>346</Paragraphs>
  <ScaleCrop>false</ScaleCrop>
  <Company/>
  <LinksUpToDate>false</LinksUpToDate>
  <CharactersWithSpaces>173282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SSR 206: Interim Report: Investigation into the environmental impacts of the leach tank failure at Ranger uranium mine, December 2013</dc:title>
  <dc:creator/>
  <dc:description/>
  <cp:lastModifiedBy/>
  <cp:revision>1</cp:revision>
  <dcterms:created xsi:type="dcterms:W3CDTF">2014-07-07T01:52:00Z</dcterms:created>
  <dcterms:modified xsi:type="dcterms:W3CDTF">2014-07-07T01:52:00Z</dcterms:modified>
</cp:coreProperties>
</file>