
<file path=[Content_Types].xml><?xml version="1.0" encoding="utf-8"?>
<Types xmlns="http://schemas.openxmlformats.org/package/2006/content-types">
  <Override PartName="/word/embeddings/oleObject2.bin" ContentType="application/vnd.openxmlformats-officedocument.oleObject"/>
  <Override PartName="/word/header18.xml" ContentType="application/vnd.openxmlformats-officedocument.wordprocessingml.header+xml"/>
  <Override PartName="/word/charts/chart10.xml" ContentType="application/vnd.openxmlformats-officedocument.drawingml.chart+xml"/>
  <Override PartName="/word/header29.xml" ContentType="application/vnd.openxmlformats-officedocument.wordprocessingml.header+xml"/>
  <Override PartName="/word/header36.xml" ContentType="application/vnd.openxmlformats-officedocument.wordprocessingml.header+xml"/>
  <Override PartName="/word/footer7.xml" ContentType="application/vnd.openxmlformats-officedocument.wordprocessingml.footer+xml"/>
  <Override PartName="/word/header14.xml" ContentType="application/vnd.openxmlformats-officedocument.wordprocessingml.header+xml"/>
  <Override PartName="/word/theme/themeOverride1.xml" ContentType="application/vnd.openxmlformats-officedocument.themeOverride+xml"/>
  <Override PartName="/word/header25.xml" ContentType="application/vnd.openxmlformats-officedocument.wordprocessingml.header+xml"/>
  <Override PartName="/word/footer19.xml" ContentType="application/vnd.openxmlformats-officedocument.wordprocessingml.footer+xml"/>
  <Override PartName="/word/header43.xml" ContentType="application/vnd.openxmlformats-officedocument.wordprocessingml.header+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header8.xml" ContentType="application/vnd.openxmlformats-officedocument.wordprocessingml.header+xml"/>
  <Override PartName="/word/charts/chart9.xml" ContentType="application/vnd.openxmlformats-officedocument.drawingml.chart+xml"/>
  <Override PartName="/word/header21.xml" ContentType="application/vnd.openxmlformats-officedocument.wordprocessingml.header+xml"/>
  <Override PartName="/word/header32.xml" ContentType="application/vnd.openxmlformats-officedocument.wordprocessingml.header+xml"/>
  <Override PartName="/word/footer26.xml" ContentType="application/vnd.openxmlformats-officedocument.wordprocessingml.footer+xml"/>
  <Override PartName="/word/footer3.xml" ContentType="application/vnd.openxmlformats-officedocument.wordprocessingml.footer+xml"/>
  <Override PartName="/word/header10.xml" ContentType="application/vnd.openxmlformats-officedocument.wordprocessingml.header+xml"/>
  <Override PartName="/word/footer15.xml" ContentType="application/vnd.openxmlformats-officedocument.wordprocessingml.footer+xml"/>
  <Override PartName="/word/footer33.xml" ContentType="application/vnd.openxmlformats-officedocument.wordprocessingml.footer+xml"/>
  <Override PartName="/word/header4.xml" ContentType="application/vnd.openxmlformats-officedocument.wordprocessingml.header+xml"/>
  <Override PartName="/word/footer11.xml" ContentType="application/vnd.openxmlformats-officedocument.wordprocessingml.footer+xml"/>
  <Override PartName="/word/embeddings/oleObject7.bin" ContentType="application/vnd.openxmlformats-officedocument.oleObject"/>
  <Override PartName="/word/charts/chart5.xml" ContentType="application/vnd.openxmlformats-officedocument.drawingml.chart+xml"/>
  <Override PartName="/word/footer22.xml" ContentType="application/vnd.openxmlformats-officedocument.wordprocessingml.footer+xml"/>
  <Override PartName="/word/header2.xml" ContentType="application/vnd.openxmlformats-officedocument.wordprocessingml.header+xml"/>
  <Override PartName="/word/embeddings/oleObject5.bin" ContentType="application/vnd.openxmlformats-officedocument.oleObject"/>
  <Override PartName="/word/charts/chart3.xml" ContentType="application/vnd.openxmlformats-officedocument.drawingml.chart+xml"/>
  <Override PartName="/word/charts/chart13.xml" ContentType="application/vnd.openxmlformats-officedocument.drawingml.chart+xml"/>
  <Override PartName="/word/footer20.xml" ContentType="application/vnd.openxmlformats-officedocument.wordprocessingml.footer+xml"/>
  <Override PartName="/word/embeddings/oleObject3.bin" ContentType="application/vnd.openxmlformats-officedocument.oleObject"/>
  <Override PartName="/word/charts/chart1.xml" ContentType="application/vnd.openxmlformats-officedocument.drawingml.chart+xml"/>
  <Override PartName="/word/charts/chart11.xml" ContentType="application/vnd.openxmlformats-officedocument.drawingml.chart+xml"/>
  <Override PartName="/word/header39.xml" ContentType="application/vnd.openxmlformats-officedocument.wordprocessingml.header+xml"/>
  <Default Extension="bin" ContentType="application/vnd.ms-word.attachedToolbars"/>
  <Default Extension="png" ContentType="image/png"/>
  <Override PartName="/word/embeddings/oleObject1.bin" ContentType="application/vnd.openxmlformats-officedocument.oleObject"/>
  <Override PartName="/word/header19.xml" ContentType="application/vnd.openxmlformats-officedocument.wordprocessingml.header+xml"/>
  <Override PartName="/word/theme/themeOverride4.xml" ContentType="application/vnd.openxmlformats-officedocument.themeOverride+xml"/>
  <Override PartName="/word/header28.xml" ContentType="application/vnd.openxmlformats-officedocument.wordprocessingml.header+xml"/>
  <Override PartName="/word/header37.xml" ContentType="application/vnd.openxmlformats-officedocument.wordprocessingml.header+xml"/>
  <Override PartName="/word/footer8.xml" ContentType="application/vnd.openxmlformats-officedocument.wordprocessingml.footer+xml"/>
  <Override PartName="/word/header17.xml" ContentType="application/vnd.openxmlformats-officedocument.wordprocessingml.header+xml"/>
  <Override PartName="/word/theme/themeOverride2.xml" ContentType="application/vnd.openxmlformats-officedocument.themeOverride+xml"/>
  <Override PartName="/word/header26.xml" ContentType="application/vnd.openxmlformats-officedocument.wordprocessingml.header+xml"/>
  <Override PartName="/word/header35.xml" ContentType="application/vnd.openxmlformats-officedocument.wordprocessingml.header+xml"/>
  <Override PartName="/word/footer29.xml" ContentType="application/vnd.openxmlformats-officedocument.wordprocessingml.footer+xml"/>
  <Override PartName="/word/header44.xml" ContentType="application/vnd.openxmlformats-officedocument.wordprocessingml.header+xml"/>
  <Override PartName="/word/header46.xml" ContentType="application/vnd.openxmlformats-officedocument.wordprocessingml.header+xml"/>
  <Default Extension="jpeg" ContentType="image/jpeg"/>
  <Override PartName="/word/footer6.xml" ContentType="application/vnd.openxmlformats-officedocument.wordprocessingml.footer+xml"/>
  <Default Extension="emf" ContentType="image/x-emf"/>
  <Override PartName="/word/header15.xml" ContentType="application/vnd.openxmlformats-officedocument.wordprocessingml.header+xml"/>
  <Override PartName="/word/header24.xml" ContentType="application/vnd.openxmlformats-officedocument.wordprocessingml.header+xml"/>
  <Override PartName="/word/footer18.xml" ContentType="application/vnd.openxmlformats-officedocument.wordprocessingml.footer+xml"/>
  <Override PartName="/word/header33.xml" ContentType="application/vnd.openxmlformats-officedocument.wordprocessingml.header+xml"/>
  <Override PartName="/word/footer27.xml" ContentType="application/vnd.openxmlformats-officedocument.wordprocessingml.footer+xml"/>
  <Override PartName="/word/header42.xml" ContentType="application/vnd.openxmlformats-officedocument.wordprocessingml.header+xml"/>
  <Override PartName="/word/numbering.xml" ContentType="application/vnd.openxmlformats-officedocument.wordprocessingml.numbering+xml"/>
  <Override PartName="/word/endnotes.xml" ContentType="application/vnd.openxmlformats-officedocument.wordprocessingml.endnotes+xml"/>
  <Override PartName="/word/footer4.xml" ContentType="application/vnd.openxmlformats-officedocument.wordprocessingml.footer+xml"/>
  <Override PartName="/word/header9.xml" ContentType="application/vnd.openxmlformats-officedocument.wordprocessingml.header+xml"/>
  <Override PartName="/word/charts/chart8.xml" ContentType="application/vnd.openxmlformats-officedocument.drawingml.chart+xml"/>
  <Override PartName="/word/header13.xml" ContentType="application/vnd.openxmlformats-officedocument.wordprocessingml.header+xml"/>
  <Override PartName="/word/footer16.xml" ContentType="application/vnd.openxmlformats-officedocument.wordprocessingml.footer+xml"/>
  <Override PartName="/word/header22.xml" ContentType="application/vnd.openxmlformats-officedocument.wordprocessingml.header+xml"/>
  <Override PartName="/word/header31.xml" ContentType="application/vnd.openxmlformats-officedocument.wordprocessingml.header+xml"/>
  <Override PartName="/word/footer25.xml" ContentType="application/vnd.openxmlformats-officedocument.wordprocessingml.footer+xml"/>
  <Override PartName="/word/header40.xml" ContentType="application/vnd.openxmlformats-officedocument.wordprocessingml.head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header7.xml" ContentType="application/vnd.openxmlformats-officedocument.wordprocessingml.header+xml"/>
  <Override PartName="/word/header11.xml" ContentType="application/vnd.openxmlformats-officedocument.wordprocessingml.header+xml"/>
  <Override PartName="/word/charts/chart6.xml" ContentType="application/vnd.openxmlformats-officedocument.drawingml.chart+xml"/>
  <Override PartName="/word/drawings/drawing1.xml" ContentType="application/vnd.openxmlformats-officedocument.drawingml.chartshapes+xml"/>
  <Override PartName="/word/footer14.xml" ContentType="application/vnd.openxmlformats-officedocument.wordprocessingml.footer+xml"/>
  <Override PartName="/word/header20.xml" ContentType="application/vnd.openxmlformats-officedocument.wordprocessingml.header+xml"/>
  <Override PartName="/word/footer23.xml" ContentType="application/vnd.openxmlformats-officedocument.wordprocessingml.footer+xml"/>
  <Override PartName="/word/footer32.xml" ContentType="application/vnd.openxmlformats-officedocument.wordprocessingml.footer+xml"/>
  <Default Extension="tiff" ContentType="image/tiff"/>
  <Override PartName="/word/header5.xml" ContentType="application/vnd.openxmlformats-officedocument.wordprocessingml.header+xml"/>
  <Override PartName="/word/embeddings/oleObject8.bin" ContentType="application/vnd.openxmlformats-officedocument.oleObject"/>
  <Override PartName="/word/charts/chart4.xml" ContentType="application/vnd.openxmlformats-officedocument.drawingml.chart+xml"/>
  <Default Extension="gif" ContentType="image/gif"/>
  <Override PartName="/word/footer12.xml" ContentType="application/vnd.openxmlformats-officedocument.wordprocessingml.footer+xml"/>
  <Override PartName="/word/footer21.xml" ContentType="application/vnd.openxmlformats-officedocument.wordprocessingml.footer+xml"/>
  <Override PartName="/word/footer30.xml" ContentType="application/vnd.openxmlformats-officedocument.wordprocessingml.footer+xml"/>
  <Override PartName="/word/theme/theme1.xml" ContentType="application/vnd.openxmlformats-officedocument.theme+xml"/>
  <Override PartName="/word/header3.xml" ContentType="application/vnd.openxmlformats-officedocument.wordprocessingml.header+xml"/>
  <Override PartName="/word/footer10.xml" ContentType="application/vnd.openxmlformats-officedocument.wordprocessingml.footer+xml"/>
  <Override PartName="/word/embeddings/oleObject6.bin" ContentType="application/vnd.openxmlformats-officedocument.oleObject"/>
  <Override PartName="/word/charts/chart2.xml" ContentType="application/vnd.openxmlformats-officedocument.drawingml.chart+xml"/>
  <Override PartName="/word/charts/chart14.xml" ContentType="application/vnd.openxmlformats-officedocument.drawingml.chart+xml"/>
  <Override PartName="/word/fontTable.xml" ContentType="application/vnd.openxmlformats-officedocument.wordprocessingml.fontTable+xml"/>
  <Override PartName="/word/customizations.xml" ContentType="application/vnd.ms-word.keyMapCustomizations+xml"/>
  <Override PartName="/word/webSettings.xml" ContentType="application/vnd.openxmlformats-officedocument.wordprocessingml.webSettings+xml"/>
  <Override PartName="/word/header1.xml" ContentType="application/vnd.openxmlformats-officedocument.wordprocessingml.header+xml"/>
  <Override PartName="/word/embeddings/oleObject4.bin" ContentType="application/vnd.openxmlformats-officedocument.oleObject"/>
  <Override PartName="/word/charts/chart12.xml" ContentType="application/vnd.openxmlformats-officedocument.drawingml.chart+xml"/>
  <Override PartName="/docProps/core.xml" ContentType="application/vnd.openxmlformats-package.core-properties+xml"/>
  <Override PartName="/word/footnotes.xml" ContentType="application/vnd.openxmlformats-officedocument.wordprocessingml.footnotes+xml"/>
  <Override PartName="/word/header38.xml" ContentType="application/vnd.openxmlformats-officedocument.wordprocessingml.header+xml"/>
  <Override PartName="/word/footer9.xml" ContentType="application/vnd.openxmlformats-officedocument.wordprocessingml.footer+xml"/>
  <Override PartName="/word/header16.xml" ContentType="application/vnd.openxmlformats-officedocument.wordprocessingml.header+xml"/>
  <Override PartName="/word/theme/themeOverride3.xml" ContentType="application/vnd.openxmlformats-officedocument.themeOverride+xml"/>
  <Override PartName="/word/header27.xml" ContentType="application/vnd.openxmlformats-officedocument.wordprocessingml.header+xml"/>
  <Override PartName="/word/header45.xml" ContentType="application/vnd.openxmlformats-officedocument.wordprocessingml.header+xml"/>
  <Default Extension="wmf" ContentType="image/x-wmf"/>
  <Override PartName="/word/header34.xml" ContentType="application/vnd.openxmlformats-officedocument.wordprocessingml.header+xml"/>
  <Override PartName="/word/footer28.xml" ContentType="application/vnd.openxmlformats-officedocument.wordprocessingml.footer+xml"/>
  <Default Extension="rels" ContentType="application/vnd.openxmlformats-package.relationships+xml"/>
  <Override PartName="/word/footer5.xml" ContentType="application/vnd.openxmlformats-officedocument.wordprocessingml.footer+xml"/>
  <Override PartName="/word/header12.xml" ContentType="application/vnd.openxmlformats-officedocument.wordprocessingml.header+xml"/>
  <Override PartName="/word/footer17.xml" ContentType="application/vnd.openxmlformats-officedocument.wordprocessingml.footer+xml"/>
  <Override PartName="/word/header23.xml" ContentType="application/vnd.openxmlformats-officedocument.wordprocessingml.header+xml"/>
  <Override PartName="/word/header41.xml" ContentType="application/vnd.openxmlformats-officedocument.wordprocessingml.header+xml"/>
  <Override PartName="/word/header6.xml" ContentType="application/vnd.openxmlformats-officedocument.wordprocessingml.header+xml"/>
  <Override PartName="/word/charts/chart7.xml" ContentType="application/vnd.openxmlformats-officedocument.drawingml.chart+xml"/>
  <Override PartName="/word/footer13.xml" ContentType="application/vnd.openxmlformats-officedocument.wordprocessingml.footer+xml"/>
  <Override PartName="/word/header30.xml" ContentType="application/vnd.openxmlformats-officedocument.wordprocessingml.header+xml"/>
  <Override PartName="/word/footer24.xml" ContentType="application/vnd.openxmlformats-officedocument.wordprocessingml.footer+xml"/>
  <Override PartName="/word/footer1.xml" ContentType="application/vnd.openxmlformats-officedocument.wordprocessingml.footer+xml"/>
  <Override PartName="/word/footer31.xml" ContentType="application/vnd.openxmlformats-officedocument.wordprocessingml.footer+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6A7D3E" w:rsidRDefault="0056191E" w:rsidP="006A7D3E">
      <w:pPr>
        <w:spacing w:after="0" w:line="240" w:lineRule="auto"/>
        <w:jc w:val="left"/>
      </w:pPr>
      <w:bookmarkStart w:id="0" w:name="_Toc368491805"/>
      <w:bookmarkStart w:id="1" w:name="_Toc368491898"/>
      <w:bookmarkStart w:id="2" w:name="_Toc369163096"/>
      <w:bookmarkStart w:id="3" w:name="_Toc370812553"/>
      <w:bookmarkStart w:id="4" w:name="_Toc372286172"/>
      <w:bookmarkStart w:id="5" w:name="_Toc372297106"/>
      <w:bookmarkStart w:id="6" w:name="_Toc372540170"/>
      <w:r>
        <w:br w:type="page"/>
      </w:r>
      <w:bookmarkStart w:id="7" w:name="_Toc225151938"/>
      <w:bookmarkEnd w:id="0"/>
      <w:bookmarkEnd w:id="1"/>
      <w:bookmarkEnd w:id="2"/>
      <w:bookmarkEnd w:id="3"/>
      <w:bookmarkEnd w:id="4"/>
      <w:bookmarkEnd w:id="5"/>
      <w:bookmarkEnd w:id="6"/>
    </w:p>
    <w:p w:rsidR="008D0133" w:rsidRDefault="006B5A61" w:rsidP="006A7D3E">
      <w:pPr>
        <w:spacing w:after="0" w:line="240" w:lineRule="auto"/>
        <w:jc w:val="left"/>
      </w:pPr>
      <w:r>
        <w:rPr>
          <w:noProof/>
          <w:lang w:eastAsia="en-AU"/>
        </w:rPr>
        <w:lastRenderedPageBreak/>
        <w:pict>
          <v:group id="_x0000_s1324" style="position:absolute;margin-left:386.9pt;margin-top:-24.3pt;width:154.6pt;height:81pt;z-index:251674624" coordorigin="8154,1824" coordsize="3092,1620">
            <v:shapetype id="_x0000_t202" coordsize="21600,21600" o:spt="202" path="m,l,21600r21600,l21600,xe">
              <v:stroke joinstyle="miter"/>
              <v:path gradientshapeok="t" o:connecttype="rect"/>
            </v:shapetype>
            <v:shape id="_x0000_s1325" type="#_x0000_t202" style="position:absolute;left:10194;top:2004;width:1052;height:1273" filled="f" fillcolor="#900" stroked="f" strokecolor="#900">
              <v:textbox style="mso-next-textbox:#_x0000_s1325" inset="0,0,0,0">
                <w:txbxContent>
                  <w:p w:rsidR="00F260FF" w:rsidRPr="00C368E1" w:rsidRDefault="00F260FF" w:rsidP="008D0133">
                    <w:pPr>
                      <w:jc w:val="center"/>
                      <w:rPr>
                        <w:rFonts w:ascii="Arial Narrow" w:hAnsi="Arial Narrow"/>
                        <w:color w:val="FFFFFF" w:themeColor="background1"/>
                        <w:spacing w:val="-4"/>
                        <w:w w:val="50"/>
                        <w:sz w:val="120"/>
                        <w:szCs w:val="120"/>
                      </w:rPr>
                    </w:pPr>
                    <w:r w:rsidRPr="00C368E1">
                      <w:rPr>
                        <w:rFonts w:ascii="Arial Narrow" w:hAnsi="Arial Narrow"/>
                        <w:color w:val="FFFFFF" w:themeColor="background1"/>
                        <w:spacing w:val="-4"/>
                        <w:w w:val="50"/>
                        <w:sz w:val="120"/>
                        <w:szCs w:val="120"/>
                      </w:rPr>
                      <w:t>209</w:t>
                    </w:r>
                  </w:p>
                </w:txbxContent>
              </v:textbox>
            </v:shape>
            <v:shape id="_x0000_s1326" type="#_x0000_t202" style="position:absolute;left:8154;top:1824;width:1847;height:1620" stroked="f">
              <v:textbox style="mso-next-textbox:#_x0000_s1326">
                <w:txbxContent>
                  <w:p w:rsidR="00F260FF" w:rsidRPr="0086045D" w:rsidRDefault="00F260FF" w:rsidP="008D0133">
                    <w:pPr>
                      <w:spacing w:after="0" w:line="400" w:lineRule="exact"/>
                      <w:jc w:val="right"/>
                      <w:rPr>
                        <w:i/>
                        <w:spacing w:val="20"/>
                        <w:sz w:val="32"/>
                        <w:szCs w:val="32"/>
                      </w:rPr>
                    </w:pPr>
                    <w:proofErr w:type="gramStart"/>
                    <w:r w:rsidRPr="0081510B">
                      <w:rPr>
                        <w:i/>
                        <w:spacing w:val="20"/>
                        <w:sz w:val="32"/>
                        <w:szCs w:val="32"/>
                      </w:rPr>
                      <w:t>supervising</w:t>
                    </w:r>
                    <w:proofErr w:type="gramEnd"/>
                    <w:r w:rsidRPr="0081510B">
                      <w:rPr>
                        <w:i/>
                        <w:spacing w:val="20"/>
                        <w:sz w:val="32"/>
                        <w:szCs w:val="32"/>
                      </w:rPr>
                      <w:t xml:space="preserve"> scientist </w:t>
                    </w:r>
                    <w:r w:rsidRPr="0086045D">
                      <w:rPr>
                        <w:i/>
                        <w:spacing w:val="20"/>
                        <w:sz w:val="32"/>
                        <w:szCs w:val="32"/>
                      </w:rPr>
                      <w:t xml:space="preserve"> report</w:t>
                    </w:r>
                  </w:p>
                </w:txbxContent>
              </v:textbox>
            </v:shape>
          </v:group>
        </w:pict>
      </w:r>
    </w:p>
    <w:p w:rsidR="008D0133" w:rsidRDefault="008D0133" w:rsidP="008D0133">
      <w:pPr>
        <w:rPr>
          <w:lang w:eastAsia="en-AU"/>
        </w:rPr>
      </w:pPr>
    </w:p>
    <w:p w:rsidR="008D0133" w:rsidRDefault="008D0133" w:rsidP="008D0133">
      <w:pPr>
        <w:rPr>
          <w:lang w:eastAsia="en-AU"/>
        </w:rPr>
      </w:pPr>
    </w:p>
    <w:p w:rsidR="008D0133" w:rsidRDefault="008D0133" w:rsidP="008D0133">
      <w:pPr>
        <w:rPr>
          <w:lang w:eastAsia="en-AU"/>
        </w:rPr>
      </w:pPr>
    </w:p>
    <w:p w:rsidR="008D0133" w:rsidRDefault="008D0133" w:rsidP="008D0133">
      <w:pPr>
        <w:rPr>
          <w:lang w:eastAsia="en-AU"/>
        </w:rPr>
      </w:pPr>
    </w:p>
    <w:p w:rsidR="008D0133" w:rsidRDefault="008D0133" w:rsidP="008D0133">
      <w:pPr>
        <w:rPr>
          <w:lang w:eastAsia="en-AU"/>
        </w:rPr>
      </w:pPr>
    </w:p>
    <w:p w:rsidR="008D0133" w:rsidRDefault="008D0133" w:rsidP="008D0133">
      <w:pPr>
        <w:rPr>
          <w:lang w:eastAsia="en-AU"/>
        </w:rPr>
      </w:pPr>
    </w:p>
    <w:p w:rsidR="008D0133" w:rsidRDefault="008D0133" w:rsidP="008D0133">
      <w:pPr>
        <w:rPr>
          <w:lang w:eastAsia="en-AU"/>
        </w:rPr>
      </w:pPr>
    </w:p>
    <w:p w:rsidR="008D0133" w:rsidRDefault="008D0133" w:rsidP="008D0133">
      <w:pPr>
        <w:rPr>
          <w:lang w:eastAsia="en-AU"/>
        </w:rPr>
      </w:pPr>
    </w:p>
    <w:p w:rsidR="008D0133" w:rsidRDefault="008D0133" w:rsidP="008D0133">
      <w:pPr>
        <w:rPr>
          <w:lang w:eastAsia="en-AU"/>
        </w:rPr>
      </w:pPr>
    </w:p>
    <w:p w:rsidR="008D0133" w:rsidRDefault="008D0133" w:rsidP="008D0133">
      <w:pPr>
        <w:rPr>
          <w:lang w:eastAsia="en-AU"/>
        </w:rPr>
      </w:pPr>
    </w:p>
    <w:p w:rsidR="008D0133" w:rsidRDefault="00C368E1" w:rsidP="008D0133">
      <w:pPr>
        <w:rPr>
          <w:lang w:eastAsia="en-AU"/>
        </w:rPr>
        <w:sectPr w:rsidR="008D0133" w:rsidSect="008D0133">
          <w:headerReference w:type="even" r:id="rId8"/>
          <w:headerReference w:type="default" r:id="rId9"/>
          <w:footerReference w:type="even" r:id="rId10"/>
          <w:footerReference w:type="default" r:id="rId11"/>
          <w:headerReference w:type="first" r:id="rId12"/>
          <w:footerReference w:type="first" r:id="rId13"/>
          <w:footnotePr>
            <w:numRestart w:val="eachSect"/>
          </w:footnotePr>
          <w:pgSz w:w="11906" w:h="16838" w:code="9"/>
          <w:pgMar w:top="567" w:right="567" w:bottom="567" w:left="567" w:header="1077" w:footer="833" w:gutter="0"/>
          <w:pgNumType w:fmt="lowerRoman"/>
          <w:cols w:space="360"/>
          <w:noEndnote/>
          <w:titlePg/>
        </w:sectPr>
      </w:pPr>
      <w:r>
        <w:rPr>
          <w:noProof/>
          <w:lang w:eastAsia="en-AU"/>
        </w:rPr>
        <w:drawing>
          <wp:anchor distT="0" distB="0" distL="114300" distR="114300" simplePos="0" relativeHeight="251646976" behindDoc="0" locked="0" layoutInCell="1" allowOverlap="1">
            <wp:simplePos x="0" y="0"/>
            <wp:positionH relativeFrom="margin">
              <wp:posOffset>1655445</wp:posOffset>
            </wp:positionH>
            <wp:positionV relativeFrom="paragraph">
              <wp:posOffset>5662295</wp:posOffset>
            </wp:positionV>
            <wp:extent cx="3486150" cy="990600"/>
            <wp:effectExtent l="19050" t="0" r="0" b="0"/>
            <wp:wrapSquare wrapText="bothSides"/>
            <wp:docPr id="10082" name="Picture 1" descr="logo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4.jpg"/>
                    <pic:cNvPicPr/>
                  </pic:nvPicPr>
                  <pic:blipFill>
                    <a:blip r:embed="rId14" cstate="screen"/>
                    <a:stretch>
                      <a:fillRect/>
                    </a:stretch>
                  </pic:blipFill>
                  <pic:spPr>
                    <a:xfrm>
                      <a:off x="0" y="0"/>
                      <a:ext cx="3486150" cy="990600"/>
                    </a:xfrm>
                    <a:prstGeom prst="rect">
                      <a:avLst/>
                    </a:prstGeom>
                  </pic:spPr>
                </pic:pic>
              </a:graphicData>
            </a:graphic>
          </wp:anchor>
        </w:drawing>
      </w:r>
      <w:r w:rsidR="006B5A61">
        <w:rPr>
          <w:noProof/>
          <w:lang w:eastAsia="en-AU"/>
        </w:rPr>
        <w:pict>
          <v:shape id="_x0000_s1327" type="#_x0000_t202" style="position:absolute;left:0;text-align:left;margin-left:-12.75pt;margin-top:42.65pt;width:225.6pt;height:307.2pt;z-index:251675648;mso-position-horizontal-relative:text;mso-position-vertical-relative:text" filled="f" stroked="f">
            <v:textbox style="mso-next-textbox:#_x0000_s1327">
              <w:txbxContent>
                <w:p w:rsidR="00F260FF" w:rsidRDefault="00F260FF" w:rsidP="00C368E1">
                  <w:pPr>
                    <w:pStyle w:val="Heading1"/>
                    <w:spacing w:line="640" w:lineRule="exact"/>
                    <w:ind w:left="142"/>
                    <w:jc w:val="right"/>
                    <w:rPr>
                      <w:b w:val="0"/>
                    </w:rPr>
                  </w:pPr>
                  <w:bookmarkStart w:id="8" w:name="_Toc416700117"/>
                  <w:bookmarkStart w:id="9" w:name="_Toc416704088"/>
                  <w:bookmarkStart w:id="10" w:name="_Toc418172684"/>
                  <w:proofErr w:type="spellStart"/>
                  <w:proofErr w:type="gramStart"/>
                  <w:r w:rsidRPr="003008DE">
                    <w:rPr>
                      <w:rFonts w:ascii="Times New Roman" w:hAnsi="Times New Roman"/>
                      <w:i/>
                      <w:sz w:val="48"/>
                      <w:szCs w:val="48"/>
                    </w:rPr>
                    <w:t>eriss</w:t>
                  </w:r>
                  <w:proofErr w:type="spellEnd"/>
                  <w:proofErr w:type="gramEnd"/>
                  <w:r>
                    <w:rPr>
                      <w:b w:val="0"/>
                    </w:rPr>
                    <w:t xml:space="preserve"> research summary </w:t>
                  </w:r>
                  <w:r>
                    <w:rPr>
                      <w:b w:val="0"/>
                    </w:rPr>
                    <w:br/>
                    <w:t>2013–2014</w:t>
                  </w:r>
                  <w:bookmarkEnd w:id="8"/>
                  <w:bookmarkEnd w:id="9"/>
                  <w:bookmarkEnd w:id="10"/>
                </w:p>
                <w:p w:rsidR="00F260FF" w:rsidRDefault="00F260FF" w:rsidP="00C368E1"/>
                <w:p w:rsidR="00F260FF" w:rsidRPr="00C368E1" w:rsidRDefault="00F260FF" w:rsidP="00C368E1"/>
                <w:p w:rsidR="00F260FF" w:rsidRDefault="00F260FF" w:rsidP="00C368E1"/>
                <w:p w:rsidR="00F260FF" w:rsidRDefault="00F260FF" w:rsidP="00C368E1"/>
                <w:p w:rsidR="00F260FF" w:rsidRPr="00C368E1" w:rsidRDefault="00F260FF" w:rsidP="00C368E1"/>
                <w:p w:rsidR="00F260FF" w:rsidRPr="003F33EE" w:rsidRDefault="00F260FF" w:rsidP="00C368E1">
                  <w:pPr>
                    <w:ind w:left="142"/>
                    <w:jc w:val="right"/>
                  </w:pPr>
                </w:p>
                <w:p w:rsidR="00F260FF" w:rsidRDefault="00F260FF" w:rsidP="00C368E1">
                  <w:pPr>
                    <w:ind w:left="142"/>
                    <w:jc w:val="right"/>
                  </w:pPr>
                </w:p>
                <w:p w:rsidR="00F260FF" w:rsidRPr="003F33EE" w:rsidRDefault="00F260FF" w:rsidP="00C368E1">
                  <w:pPr>
                    <w:ind w:left="142"/>
                    <w:jc w:val="right"/>
                  </w:pPr>
                </w:p>
                <w:p w:rsidR="00F260FF" w:rsidRDefault="00F260FF" w:rsidP="00C368E1">
                  <w:pPr>
                    <w:pStyle w:val="Heading1"/>
                    <w:spacing w:line="640" w:lineRule="exact"/>
                    <w:ind w:left="142"/>
                    <w:jc w:val="right"/>
                    <w:rPr>
                      <w:b w:val="0"/>
                      <w:sz w:val="32"/>
                      <w:szCs w:val="32"/>
                    </w:rPr>
                  </w:pPr>
                  <w:bookmarkStart w:id="11" w:name="_Toc409772774"/>
                  <w:bookmarkStart w:id="12" w:name="_Toc409773751"/>
                  <w:bookmarkStart w:id="13" w:name="_Toc413337667"/>
                  <w:bookmarkStart w:id="14" w:name="_Toc414959021"/>
                  <w:bookmarkStart w:id="15" w:name="_Toc416693442"/>
                  <w:bookmarkStart w:id="16" w:name="_Toc416700118"/>
                  <w:bookmarkStart w:id="17" w:name="_Toc416704089"/>
                  <w:bookmarkStart w:id="18" w:name="_Toc418172685"/>
                  <w:r>
                    <w:rPr>
                      <w:b w:val="0"/>
                      <w:sz w:val="32"/>
                      <w:szCs w:val="32"/>
                    </w:rPr>
                    <w:t>Supervising Scientist</w:t>
                  </w:r>
                  <w:bookmarkEnd w:id="11"/>
                  <w:bookmarkEnd w:id="12"/>
                  <w:bookmarkEnd w:id="13"/>
                  <w:bookmarkEnd w:id="14"/>
                  <w:bookmarkEnd w:id="15"/>
                  <w:bookmarkEnd w:id="16"/>
                  <w:bookmarkEnd w:id="17"/>
                  <w:bookmarkEnd w:id="18"/>
                </w:p>
                <w:p w:rsidR="00F260FF" w:rsidRPr="004950AC" w:rsidRDefault="00F260FF" w:rsidP="00C368E1">
                  <w:pPr>
                    <w:ind w:left="142"/>
                    <w:jc w:val="left"/>
                  </w:pPr>
                </w:p>
              </w:txbxContent>
            </v:textbox>
          </v:shape>
        </w:pict>
      </w:r>
    </w:p>
    <w:bookmarkEnd w:id="7"/>
    <w:p w:rsidR="008D0133" w:rsidRDefault="00286F55" w:rsidP="008D0133">
      <w:pPr>
        <w:spacing w:line="260" w:lineRule="atLeast"/>
        <w:ind w:right="567"/>
        <w:jc w:val="left"/>
        <w:rPr>
          <w:rFonts w:ascii="Arial" w:hAnsi="Arial" w:cs="Arial"/>
          <w:sz w:val="18"/>
          <w:szCs w:val="18"/>
          <w:lang w:eastAsia="en-AU"/>
        </w:rPr>
      </w:pPr>
      <w:r>
        <w:rPr>
          <w:rFonts w:ascii="Arial" w:hAnsi="Arial" w:cs="Arial"/>
          <w:sz w:val="18"/>
          <w:szCs w:val="18"/>
          <w:lang w:eastAsia="en-AU"/>
        </w:rPr>
        <w:lastRenderedPageBreak/>
        <w:t>I</w:t>
      </w:r>
      <w:r w:rsidR="008D0133">
        <w:rPr>
          <w:rFonts w:ascii="Arial" w:hAnsi="Arial" w:cs="Arial"/>
          <w:sz w:val="18"/>
          <w:szCs w:val="18"/>
          <w:lang w:eastAsia="en-AU"/>
        </w:rPr>
        <w:t xml:space="preserve">t is </w:t>
      </w:r>
      <w:r w:rsidR="008D0133" w:rsidRPr="00B75B5B">
        <w:rPr>
          <w:rFonts w:ascii="Arial" w:hAnsi="Arial" w:cs="Arial"/>
          <w:sz w:val="18"/>
          <w:szCs w:val="18"/>
          <w:lang w:eastAsia="en-AU"/>
        </w:rPr>
        <w:t xml:space="preserve">Supervising Scientist </w:t>
      </w:r>
      <w:r w:rsidR="008D0133">
        <w:rPr>
          <w:rFonts w:ascii="Arial" w:hAnsi="Arial" w:cs="Arial"/>
          <w:sz w:val="18"/>
          <w:szCs w:val="18"/>
          <w:lang w:eastAsia="en-AU"/>
        </w:rPr>
        <w:t xml:space="preserve">policy for reports in the SSR series to be reviewed as part of the publications process. </w:t>
      </w:r>
      <w:r w:rsidR="008D0133" w:rsidRPr="0049780C">
        <w:rPr>
          <w:rFonts w:ascii="Arial" w:hAnsi="Arial" w:cs="Arial"/>
          <w:sz w:val="18"/>
          <w:szCs w:val="18"/>
          <w:lang w:eastAsia="en-AU"/>
        </w:rPr>
        <w:t xml:space="preserve">This Supervising Scientist Report </w:t>
      </w:r>
      <w:r>
        <w:rPr>
          <w:rFonts w:ascii="Arial" w:hAnsi="Arial" w:cs="Arial"/>
          <w:sz w:val="18"/>
          <w:szCs w:val="18"/>
          <w:lang w:eastAsia="en-AU"/>
        </w:rPr>
        <w:t>is a summary of the 2013-14 research programme of the Environmental Research Institute of the Supervising Scientist and</w:t>
      </w:r>
      <w:r w:rsidR="009B438C">
        <w:rPr>
          <w:rFonts w:ascii="Arial" w:hAnsi="Arial" w:cs="Arial"/>
          <w:sz w:val="18"/>
          <w:szCs w:val="18"/>
          <w:lang w:eastAsia="en-AU"/>
        </w:rPr>
        <w:t>, although not externally peer-reviewed, it</w:t>
      </w:r>
      <w:r>
        <w:rPr>
          <w:rFonts w:ascii="Arial" w:hAnsi="Arial" w:cs="Arial"/>
          <w:sz w:val="18"/>
          <w:szCs w:val="18"/>
          <w:lang w:eastAsia="en-AU"/>
        </w:rPr>
        <w:t xml:space="preserve"> has been reviewed internally by senior staff</w:t>
      </w:r>
      <w:r w:rsidR="008D0133" w:rsidRPr="0049780C">
        <w:rPr>
          <w:rFonts w:ascii="Arial" w:hAnsi="Arial" w:cs="Arial"/>
          <w:sz w:val="18"/>
          <w:szCs w:val="18"/>
          <w:lang w:eastAsia="en-AU"/>
        </w:rPr>
        <w:t>.</w:t>
      </w:r>
    </w:p>
    <w:p w:rsidR="008D0133" w:rsidRPr="0049780C" w:rsidRDefault="008D0133" w:rsidP="008D0133">
      <w:pPr>
        <w:pBdr>
          <w:bottom w:val="single" w:sz="2" w:space="0" w:color="auto"/>
          <w:between w:val="single" w:sz="2" w:space="9" w:color="auto"/>
        </w:pBdr>
        <w:autoSpaceDE w:val="0"/>
        <w:autoSpaceDN w:val="0"/>
        <w:adjustRightInd w:val="0"/>
        <w:spacing w:after="80" w:line="240" w:lineRule="atLeast"/>
        <w:ind w:right="567"/>
        <w:jc w:val="left"/>
        <w:rPr>
          <w:rFonts w:ascii="Arial" w:hAnsi="Arial" w:cs="Arial"/>
          <w:sz w:val="18"/>
          <w:szCs w:val="18"/>
          <w:lang w:eastAsia="en-AU"/>
        </w:rPr>
      </w:pPr>
    </w:p>
    <w:p w:rsidR="0016696C" w:rsidRDefault="0016696C" w:rsidP="008D0133">
      <w:pPr>
        <w:spacing w:line="260" w:lineRule="atLeast"/>
        <w:ind w:right="567"/>
        <w:jc w:val="left"/>
        <w:rPr>
          <w:rFonts w:ascii="Arial" w:hAnsi="Arial" w:cs="Arial"/>
          <w:sz w:val="18"/>
          <w:szCs w:val="18"/>
          <w:lang w:eastAsia="en-AU"/>
        </w:rPr>
      </w:pPr>
      <w:r>
        <w:rPr>
          <w:rFonts w:ascii="Arial" w:hAnsi="Arial" w:cs="Arial"/>
          <w:sz w:val="18"/>
          <w:szCs w:val="18"/>
          <w:lang w:eastAsia="en-AU"/>
        </w:rPr>
        <w:t>Editor</w:t>
      </w:r>
    </w:p>
    <w:p w:rsidR="0016696C" w:rsidRDefault="0016696C" w:rsidP="008D0133">
      <w:pPr>
        <w:spacing w:line="260" w:lineRule="atLeast"/>
        <w:ind w:right="567"/>
        <w:jc w:val="left"/>
        <w:rPr>
          <w:rFonts w:ascii="Arial" w:hAnsi="Arial" w:cs="Arial"/>
          <w:sz w:val="18"/>
          <w:szCs w:val="18"/>
          <w:lang w:eastAsia="en-AU"/>
        </w:rPr>
      </w:pPr>
      <w:r>
        <w:rPr>
          <w:rFonts w:ascii="Arial" w:hAnsi="Arial" w:cs="Arial"/>
          <w:sz w:val="18"/>
          <w:szCs w:val="18"/>
          <w:lang w:eastAsia="en-AU"/>
        </w:rPr>
        <w:t>Supervising Scientist – Supervising Scientist, GPO Box 461, Darwin NT 0801, Australia</w:t>
      </w:r>
    </w:p>
    <w:p w:rsidR="008D0133" w:rsidRPr="0049780C" w:rsidRDefault="008D0133" w:rsidP="008D0133">
      <w:pPr>
        <w:spacing w:line="260" w:lineRule="atLeast"/>
        <w:ind w:right="567"/>
        <w:jc w:val="left"/>
        <w:rPr>
          <w:rFonts w:ascii="Arial" w:hAnsi="Arial" w:cs="Arial"/>
          <w:sz w:val="18"/>
          <w:szCs w:val="18"/>
          <w:lang w:eastAsia="en-AU"/>
        </w:rPr>
      </w:pPr>
      <w:r w:rsidRPr="0049780C">
        <w:rPr>
          <w:rFonts w:ascii="Arial" w:hAnsi="Arial" w:cs="Arial"/>
          <w:i/>
          <w:iCs/>
          <w:spacing w:val="15"/>
          <w:sz w:val="18"/>
          <w:szCs w:val="18"/>
          <w:lang w:eastAsia="en-AU"/>
        </w:rPr>
        <w:t>This report should be cited as follows:</w:t>
      </w:r>
    </w:p>
    <w:p w:rsidR="008D0133" w:rsidRDefault="00616DF5" w:rsidP="008D0133">
      <w:pPr>
        <w:spacing w:line="260" w:lineRule="atLeast"/>
        <w:ind w:left="357" w:right="567"/>
        <w:jc w:val="left"/>
        <w:rPr>
          <w:rFonts w:ascii="Arial" w:hAnsi="Arial" w:cs="Arial"/>
          <w:sz w:val="18"/>
          <w:szCs w:val="18"/>
          <w:lang w:eastAsia="en-AU"/>
        </w:rPr>
      </w:pPr>
      <w:proofErr w:type="gramStart"/>
      <w:r>
        <w:rPr>
          <w:rFonts w:ascii="Arial" w:hAnsi="Arial" w:cs="Arial"/>
          <w:sz w:val="18"/>
          <w:szCs w:val="18"/>
          <w:lang w:eastAsia="en-AU"/>
        </w:rPr>
        <w:t>Supervising</w:t>
      </w:r>
      <w:r w:rsidR="00BB1B3B">
        <w:rPr>
          <w:rFonts w:ascii="Arial" w:hAnsi="Arial" w:cs="Arial"/>
          <w:sz w:val="18"/>
          <w:szCs w:val="18"/>
          <w:lang w:eastAsia="en-AU"/>
        </w:rPr>
        <w:t xml:space="preserve"> Scientist</w:t>
      </w:r>
      <w:r w:rsidR="00734407">
        <w:rPr>
          <w:rFonts w:ascii="Arial" w:hAnsi="Arial" w:cs="Arial"/>
          <w:sz w:val="18"/>
          <w:szCs w:val="18"/>
          <w:lang w:eastAsia="en-AU"/>
        </w:rPr>
        <w:t xml:space="preserve"> </w:t>
      </w:r>
      <w:r w:rsidR="00BB1B3B">
        <w:rPr>
          <w:rFonts w:ascii="Arial" w:hAnsi="Arial" w:cs="Arial"/>
          <w:sz w:val="18"/>
          <w:szCs w:val="18"/>
          <w:lang w:eastAsia="en-AU"/>
        </w:rPr>
        <w:t>2015</w:t>
      </w:r>
      <w:r w:rsidR="008D0133">
        <w:rPr>
          <w:rFonts w:ascii="Arial" w:hAnsi="Arial" w:cs="Arial"/>
          <w:sz w:val="18"/>
          <w:szCs w:val="18"/>
          <w:lang w:eastAsia="en-AU"/>
        </w:rPr>
        <w:t>.</w:t>
      </w:r>
      <w:proofErr w:type="gramEnd"/>
      <w:r w:rsidR="008D0133">
        <w:rPr>
          <w:rFonts w:ascii="Arial" w:hAnsi="Arial" w:cs="Arial"/>
          <w:sz w:val="18"/>
          <w:szCs w:val="18"/>
          <w:lang w:eastAsia="en-AU"/>
        </w:rPr>
        <w:t xml:space="preserve"> </w:t>
      </w:r>
      <w:proofErr w:type="gramStart"/>
      <w:r w:rsidR="00BB1B3B" w:rsidRPr="0016696C">
        <w:rPr>
          <w:rFonts w:ascii="Times New Roman" w:hAnsi="Times New Roman"/>
          <w:b/>
          <w:bCs/>
          <w:i/>
          <w:iCs/>
          <w:spacing w:val="-2"/>
          <w:sz w:val="26"/>
          <w:lang w:val="en-US"/>
        </w:rPr>
        <w:t>eriss</w:t>
      </w:r>
      <w:proofErr w:type="gramEnd"/>
      <w:r w:rsidR="00BB1B3B">
        <w:rPr>
          <w:rFonts w:ascii="Arial" w:hAnsi="Arial" w:cs="Arial"/>
          <w:i/>
          <w:sz w:val="18"/>
          <w:szCs w:val="18"/>
          <w:lang w:eastAsia="en-AU"/>
        </w:rPr>
        <w:t xml:space="preserve"> </w:t>
      </w:r>
      <w:r w:rsidR="00E914B2">
        <w:rPr>
          <w:rFonts w:ascii="Arial" w:hAnsi="Arial" w:cs="Arial"/>
          <w:i/>
          <w:sz w:val="18"/>
          <w:szCs w:val="18"/>
          <w:lang w:eastAsia="en-AU"/>
        </w:rPr>
        <w:t>research summary</w:t>
      </w:r>
      <w:r w:rsidR="00811F92">
        <w:rPr>
          <w:rFonts w:ascii="Arial" w:hAnsi="Arial" w:cs="Arial"/>
          <w:i/>
          <w:sz w:val="18"/>
          <w:szCs w:val="18"/>
          <w:lang w:eastAsia="en-AU"/>
        </w:rPr>
        <w:t xml:space="preserve"> </w:t>
      </w:r>
      <w:r w:rsidR="00594C7E" w:rsidRPr="00594C7E">
        <w:rPr>
          <w:rFonts w:ascii="Arial" w:hAnsi="Arial" w:cs="Arial"/>
          <w:i/>
          <w:sz w:val="18"/>
          <w:szCs w:val="18"/>
          <w:lang w:eastAsia="en-AU"/>
        </w:rPr>
        <w:t>2013-2014</w:t>
      </w:r>
      <w:r w:rsidR="008D0133" w:rsidRPr="0049780C">
        <w:rPr>
          <w:rFonts w:ascii="Arial" w:hAnsi="Arial" w:cs="Arial"/>
          <w:sz w:val="18"/>
          <w:szCs w:val="18"/>
          <w:lang w:eastAsia="en-AU"/>
        </w:rPr>
        <w:t xml:space="preserve">. Supervising Scientist Report </w:t>
      </w:r>
      <w:r w:rsidR="00BB1B3B">
        <w:rPr>
          <w:rFonts w:ascii="Arial" w:hAnsi="Arial" w:cs="Arial"/>
          <w:sz w:val="18"/>
          <w:szCs w:val="18"/>
          <w:lang w:eastAsia="en-AU"/>
        </w:rPr>
        <w:t>209</w:t>
      </w:r>
      <w:r w:rsidR="008D0133" w:rsidRPr="0049780C">
        <w:rPr>
          <w:rFonts w:ascii="Arial" w:hAnsi="Arial" w:cs="Arial"/>
          <w:sz w:val="18"/>
          <w:szCs w:val="18"/>
          <w:lang w:eastAsia="en-AU"/>
        </w:rPr>
        <w:t>, Supervising Scientist, Darwin NT.</w:t>
      </w:r>
    </w:p>
    <w:p w:rsidR="0016696C" w:rsidRPr="0016696C" w:rsidRDefault="0016696C" w:rsidP="0016696C">
      <w:pPr>
        <w:spacing w:line="260" w:lineRule="atLeast"/>
        <w:ind w:right="567"/>
        <w:jc w:val="left"/>
        <w:rPr>
          <w:rFonts w:ascii="Arial" w:hAnsi="Arial" w:cs="Arial"/>
          <w:i/>
          <w:sz w:val="18"/>
          <w:szCs w:val="18"/>
          <w:lang w:eastAsia="en-AU"/>
        </w:rPr>
      </w:pPr>
      <w:r w:rsidRPr="0016696C">
        <w:rPr>
          <w:rFonts w:ascii="Arial" w:hAnsi="Arial" w:cs="Arial"/>
          <w:i/>
          <w:sz w:val="18"/>
          <w:szCs w:val="18"/>
          <w:lang w:eastAsia="en-AU"/>
        </w:rPr>
        <w:t>Example of citing a paper in this report:</w:t>
      </w:r>
    </w:p>
    <w:p w:rsidR="0016696C" w:rsidRDefault="0016696C" w:rsidP="0016696C">
      <w:pPr>
        <w:spacing w:line="260" w:lineRule="atLeast"/>
        <w:ind w:left="357" w:right="567"/>
        <w:jc w:val="left"/>
        <w:rPr>
          <w:rFonts w:ascii="Arial" w:hAnsi="Arial" w:cs="Arial"/>
          <w:sz w:val="18"/>
          <w:szCs w:val="18"/>
          <w:lang w:eastAsia="en-AU"/>
        </w:rPr>
      </w:pPr>
      <w:proofErr w:type="gramStart"/>
      <w:r>
        <w:rPr>
          <w:rFonts w:ascii="Arial" w:hAnsi="Arial" w:cs="Arial"/>
          <w:sz w:val="18"/>
          <w:szCs w:val="18"/>
          <w:lang w:eastAsia="en-AU"/>
        </w:rPr>
        <w:t>Turner K &amp; Marshall S 201</w:t>
      </w:r>
      <w:r w:rsidR="00734407">
        <w:rPr>
          <w:rFonts w:ascii="Arial" w:hAnsi="Arial" w:cs="Arial"/>
          <w:sz w:val="18"/>
          <w:szCs w:val="18"/>
          <w:lang w:eastAsia="en-AU"/>
        </w:rPr>
        <w:t>5</w:t>
      </w:r>
      <w:r>
        <w:rPr>
          <w:rFonts w:ascii="Arial" w:hAnsi="Arial" w:cs="Arial"/>
          <w:sz w:val="18"/>
          <w:szCs w:val="18"/>
          <w:lang w:eastAsia="en-AU"/>
        </w:rPr>
        <w:t>.</w:t>
      </w:r>
      <w:proofErr w:type="gramEnd"/>
      <w:r>
        <w:rPr>
          <w:rFonts w:ascii="Arial" w:hAnsi="Arial" w:cs="Arial"/>
          <w:sz w:val="18"/>
          <w:szCs w:val="18"/>
          <w:lang w:eastAsia="en-AU"/>
        </w:rPr>
        <w:t xml:space="preserve"> </w:t>
      </w:r>
      <w:proofErr w:type="gramStart"/>
      <w:r w:rsidRPr="0016696C">
        <w:rPr>
          <w:rFonts w:ascii="Arial" w:hAnsi="Arial" w:cs="Arial"/>
          <w:sz w:val="18"/>
          <w:szCs w:val="18"/>
          <w:lang w:eastAsia="en-AU"/>
        </w:rPr>
        <w:t>Investigation of water quality in the Gulungul Creek catchment to the west of Ranger’s tailings storage facility</w:t>
      </w:r>
      <w:r>
        <w:rPr>
          <w:rFonts w:ascii="Arial" w:hAnsi="Arial" w:cs="Arial"/>
          <w:sz w:val="18"/>
          <w:szCs w:val="18"/>
          <w:lang w:eastAsia="en-AU"/>
        </w:rPr>
        <w:t>.</w:t>
      </w:r>
      <w:proofErr w:type="gramEnd"/>
      <w:r>
        <w:rPr>
          <w:rFonts w:ascii="Arial" w:hAnsi="Arial" w:cs="Arial"/>
          <w:sz w:val="18"/>
          <w:szCs w:val="18"/>
          <w:lang w:eastAsia="en-AU"/>
        </w:rPr>
        <w:t xml:space="preserve"> </w:t>
      </w:r>
      <w:proofErr w:type="gramStart"/>
      <w:r>
        <w:rPr>
          <w:rFonts w:ascii="Arial" w:hAnsi="Arial" w:cs="Arial"/>
          <w:sz w:val="18"/>
          <w:szCs w:val="18"/>
          <w:lang w:eastAsia="en-AU"/>
        </w:rPr>
        <w:t xml:space="preserve">In </w:t>
      </w:r>
      <w:r w:rsidRPr="0016696C">
        <w:rPr>
          <w:rFonts w:ascii="Times New Roman" w:hAnsi="Times New Roman"/>
          <w:b/>
          <w:bCs/>
          <w:i/>
          <w:iCs/>
          <w:spacing w:val="-2"/>
          <w:sz w:val="26"/>
          <w:lang w:val="en-US"/>
        </w:rPr>
        <w:t>eriss</w:t>
      </w:r>
      <w:r>
        <w:rPr>
          <w:rFonts w:ascii="Arial" w:hAnsi="Arial" w:cs="Arial"/>
          <w:sz w:val="18"/>
          <w:szCs w:val="18"/>
          <w:lang w:eastAsia="en-AU"/>
        </w:rPr>
        <w:t xml:space="preserve"> </w:t>
      </w:r>
      <w:r w:rsidR="00594C7E" w:rsidRPr="00594C7E">
        <w:rPr>
          <w:rFonts w:ascii="Arial" w:hAnsi="Arial" w:cs="Arial"/>
          <w:i/>
          <w:sz w:val="18"/>
          <w:szCs w:val="18"/>
          <w:lang w:eastAsia="en-AU"/>
        </w:rPr>
        <w:t>research summary 2013-2014</w:t>
      </w:r>
      <w:r>
        <w:rPr>
          <w:rFonts w:ascii="Arial" w:hAnsi="Arial" w:cs="Arial"/>
          <w:sz w:val="18"/>
          <w:szCs w:val="18"/>
          <w:lang w:eastAsia="en-AU"/>
        </w:rPr>
        <w:t>.</w:t>
      </w:r>
      <w:proofErr w:type="gramEnd"/>
      <w:r>
        <w:rPr>
          <w:rFonts w:ascii="Arial" w:hAnsi="Arial" w:cs="Arial"/>
          <w:sz w:val="18"/>
          <w:szCs w:val="18"/>
          <w:lang w:eastAsia="en-AU"/>
        </w:rPr>
        <w:t xml:space="preserve"> Supervising Scientist Report 209, Supervising Scientist, Darwin NT, 3-26</w:t>
      </w:r>
      <w:r w:rsidR="00811F92">
        <w:rPr>
          <w:rFonts w:ascii="Arial" w:hAnsi="Arial" w:cs="Arial"/>
          <w:sz w:val="18"/>
          <w:szCs w:val="18"/>
          <w:lang w:eastAsia="en-AU"/>
        </w:rPr>
        <w:t>.</w:t>
      </w:r>
    </w:p>
    <w:p w:rsidR="0016696C" w:rsidRPr="0049780C" w:rsidRDefault="0016696C" w:rsidP="0016696C">
      <w:pPr>
        <w:spacing w:line="260" w:lineRule="atLeast"/>
        <w:ind w:right="567"/>
        <w:jc w:val="left"/>
        <w:rPr>
          <w:rFonts w:ascii="Arial" w:hAnsi="Arial" w:cs="Arial"/>
          <w:sz w:val="18"/>
          <w:szCs w:val="18"/>
          <w:lang w:eastAsia="en-AU"/>
        </w:rPr>
      </w:pPr>
    </w:p>
    <w:p w:rsidR="008D0133" w:rsidRDefault="008D0133" w:rsidP="008D0133">
      <w:pPr>
        <w:spacing w:line="260" w:lineRule="atLeast"/>
        <w:ind w:right="567"/>
        <w:jc w:val="left"/>
        <w:rPr>
          <w:rFonts w:ascii="Arial" w:hAnsi="Arial" w:cs="Arial"/>
          <w:b/>
          <w:bCs/>
          <w:sz w:val="18"/>
          <w:szCs w:val="18"/>
          <w:lang w:eastAsia="en-AU"/>
        </w:rPr>
      </w:pPr>
      <w:r w:rsidRPr="0049780C">
        <w:rPr>
          <w:rFonts w:ascii="Arial" w:hAnsi="Arial" w:cs="Arial"/>
          <w:b/>
          <w:bCs/>
          <w:sz w:val="18"/>
          <w:szCs w:val="18"/>
          <w:lang w:eastAsia="en-AU"/>
        </w:rPr>
        <w:t xml:space="preserve">Supervising Scientist is </w:t>
      </w:r>
      <w:r>
        <w:rPr>
          <w:rFonts w:ascii="Arial" w:hAnsi="Arial" w:cs="Arial"/>
          <w:b/>
          <w:bCs/>
          <w:sz w:val="18"/>
          <w:szCs w:val="18"/>
          <w:lang w:eastAsia="en-AU"/>
        </w:rPr>
        <w:t>a branch</w:t>
      </w:r>
      <w:r w:rsidRPr="0049780C">
        <w:rPr>
          <w:rFonts w:ascii="Arial" w:hAnsi="Arial" w:cs="Arial"/>
          <w:b/>
          <w:bCs/>
          <w:sz w:val="18"/>
          <w:szCs w:val="18"/>
          <w:lang w:eastAsia="en-AU"/>
        </w:rPr>
        <w:t xml:space="preserve"> of the Australian Government </w:t>
      </w:r>
      <w:r w:rsidRPr="00874862">
        <w:rPr>
          <w:rFonts w:ascii="Arial" w:hAnsi="Arial" w:cs="Arial"/>
          <w:b/>
          <w:bCs/>
          <w:sz w:val="18"/>
          <w:szCs w:val="18"/>
          <w:lang w:val="en-US" w:eastAsia="en-AU"/>
        </w:rPr>
        <w:t xml:space="preserve">Department of </w:t>
      </w:r>
      <w:r>
        <w:rPr>
          <w:rFonts w:ascii="Arial" w:hAnsi="Arial" w:cs="Arial"/>
          <w:b/>
          <w:bCs/>
          <w:sz w:val="18"/>
          <w:szCs w:val="18"/>
          <w:lang w:val="en-US" w:eastAsia="en-AU"/>
        </w:rPr>
        <w:t>the Environment</w:t>
      </w:r>
    </w:p>
    <w:p w:rsidR="008D0133" w:rsidRPr="0049780C" w:rsidRDefault="008D0133" w:rsidP="008D0133">
      <w:pPr>
        <w:pBdr>
          <w:bottom w:val="single" w:sz="2" w:space="0" w:color="auto"/>
          <w:between w:val="single" w:sz="2" w:space="9" w:color="auto"/>
        </w:pBdr>
        <w:autoSpaceDE w:val="0"/>
        <w:autoSpaceDN w:val="0"/>
        <w:adjustRightInd w:val="0"/>
        <w:spacing w:after="80" w:line="240" w:lineRule="atLeast"/>
        <w:ind w:right="567"/>
        <w:jc w:val="left"/>
        <w:rPr>
          <w:rFonts w:ascii="Arial" w:hAnsi="Arial" w:cs="Arial"/>
          <w:sz w:val="18"/>
          <w:szCs w:val="18"/>
          <w:lang w:eastAsia="en-AU"/>
        </w:rPr>
      </w:pPr>
    </w:p>
    <w:p w:rsidR="008D0133" w:rsidRDefault="008D0133" w:rsidP="008D0133">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s>
        <w:autoSpaceDE w:val="0"/>
        <w:autoSpaceDN w:val="0"/>
        <w:adjustRightInd w:val="0"/>
        <w:spacing w:after="80" w:line="240" w:lineRule="atLeast"/>
        <w:ind w:right="567"/>
        <w:jc w:val="left"/>
        <w:rPr>
          <w:rFonts w:ascii="Arial" w:hAnsi="Arial" w:cs="Arial"/>
          <w:sz w:val="18"/>
          <w:szCs w:val="18"/>
          <w:lang w:eastAsia="en-AU"/>
        </w:rPr>
      </w:pPr>
      <w:r w:rsidRPr="00F7567B">
        <w:rPr>
          <w:rFonts w:ascii="Arial" w:hAnsi="Arial" w:cs="Arial"/>
          <w:sz w:val="18"/>
          <w:szCs w:val="18"/>
          <w:lang w:eastAsia="en-AU"/>
        </w:rPr>
        <w:t>© Copyright Commonwealth of Australia, 2</w:t>
      </w:r>
      <w:r>
        <w:rPr>
          <w:rFonts w:ascii="Arial" w:hAnsi="Arial" w:cs="Arial"/>
          <w:sz w:val="18"/>
          <w:szCs w:val="18"/>
          <w:lang w:eastAsia="en-AU"/>
        </w:rPr>
        <w:t>015</w:t>
      </w:r>
      <w:r w:rsidRPr="00F7567B">
        <w:rPr>
          <w:rFonts w:ascii="Arial" w:hAnsi="Arial" w:cs="Arial"/>
          <w:sz w:val="18"/>
          <w:szCs w:val="18"/>
          <w:lang w:eastAsia="en-AU"/>
        </w:rPr>
        <w:t>.</w:t>
      </w:r>
    </w:p>
    <w:p w:rsidR="008D0133" w:rsidRPr="00F7567B" w:rsidRDefault="008D0133" w:rsidP="008D0133">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s>
        <w:autoSpaceDE w:val="0"/>
        <w:autoSpaceDN w:val="0"/>
        <w:adjustRightInd w:val="0"/>
        <w:spacing w:after="80" w:line="240" w:lineRule="atLeast"/>
        <w:ind w:right="567"/>
        <w:jc w:val="left"/>
        <w:rPr>
          <w:rFonts w:ascii="Arial" w:hAnsi="Arial" w:cs="Arial"/>
          <w:sz w:val="18"/>
          <w:szCs w:val="18"/>
          <w:lang w:eastAsia="en-AU"/>
        </w:rPr>
      </w:pPr>
      <w:r>
        <w:rPr>
          <w:rFonts w:ascii="Arial" w:hAnsi="Arial" w:cs="Arial"/>
          <w:noProof/>
          <w:sz w:val="18"/>
          <w:szCs w:val="18"/>
          <w:lang w:eastAsia="en-AU"/>
        </w:rPr>
        <w:drawing>
          <wp:inline distT="0" distB="0" distL="0" distR="0">
            <wp:extent cx="1524000" cy="533400"/>
            <wp:effectExtent l="19050" t="0" r="0" b="0"/>
            <wp:docPr id="10083" name="Picture 0" descr="Copyright Image.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pyright Image.tif"/>
                    <pic:cNvPicPr/>
                  </pic:nvPicPr>
                  <pic:blipFill>
                    <a:blip r:embed="rId15" cstate="screen"/>
                    <a:stretch>
                      <a:fillRect/>
                    </a:stretch>
                  </pic:blipFill>
                  <pic:spPr>
                    <a:xfrm>
                      <a:off x="0" y="0"/>
                      <a:ext cx="1524000" cy="533400"/>
                    </a:xfrm>
                    <a:prstGeom prst="rect">
                      <a:avLst/>
                    </a:prstGeom>
                  </pic:spPr>
                </pic:pic>
              </a:graphicData>
            </a:graphic>
          </wp:inline>
        </w:drawing>
      </w:r>
    </w:p>
    <w:p w:rsidR="008D0133" w:rsidRDefault="008D0133" w:rsidP="008D0133">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s>
        <w:autoSpaceDE w:val="0"/>
        <w:autoSpaceDN w:val="0"/>
        <w:adjustRightInd w:val="0"/>
        <w:spacing w:after="80" w:line="240" w:lineRule="atLeast"/>
        <w:ind w:right="567"/>
        <w:jc w:val="left"/>
        <w:rPr>
          <w:rFonts w:ascii="Arial" w:hAnsi="Arial" w:cs="Arial"/>
          <w:sz w:val="18"/>
          <w:szCs w:val="18"/>
          <w:lang w:eastAsia="en-AU"/>
        </w:rPr>
      </w:pPr>
      <w:r>
        <w:rPr>
          <w:rFonts w:ascii="Arial" w:hAnsi="Arial" w:cs="Arial"/>
          <w:sz w:val="18"/>
          <w:szCs w:val="18"/>
          <w:lang w:eastAsia="en-AU"/>
        </w:rPr>
        <w:t xml:space="preserve">SSR209 </w:t>
      </w:r>
      <w:r w:rsidRPr="00F7567B">
        <w:rPr>
          <w:rFonts w:ascii="Arial" w:hAnsi="Arial" w:cs="Arial"/>
          <w:sz w:val="18"/>
          <w:szCs w:val="18"/>
          <w:lang w:eastAsia="en-AU"/>
        </w:rPr>
        <w:t xml:space="preserve">is licensed by the Commonwealth of Australia for use under a Creative Commons By Attribution 3.0 Australia licence with the exception of the Coat of Arms of the Commonwealth of Australia, the logo of the agency responsible for publishing the report, content supplied by third parties, and any images depicting people. For licence conditions see: http://creativecommons.org/licenses/by/3.0/au/ </w:t>
      </w:r>
    </w:p>
    <w:p w:rsidR="008D0133" w:rsidRPr="00F7567B" w:rsidRDefault="008D0133" w:rsidP="008D0133">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s>
        <w:autoSpaceDE w:val="0"/>
        <w:autoSpaceDN w:val="0"/>
        <w:adjustRightInd w:val="0"/>
        <w:spacing w:after="80" w:line="240" w:lineRule="atLeast"/>
        <w:ind w:right="567"/>
        <w:jc w:val="left"/>
        <w:rPr>
          <w:rFonts w:ascii="Arial" w:hAnsi="Arial" w:cs="Arial"/>
          <w:sz w:val="18"/>
          <w:szCs w:val="18"/>
          <w:lang w:eastAsia="en-AU"/>
        </w:rPr>
      </w:pPr>
    </w:p>
    <w:p w:rsidR="008D0133" w:rsidRPr="0049780C" w:rsidRDefault="008D0133" w:rsidP="008D0133">
      <w:pPr>
        <w:spacing w:line="260" w:lineRule="atLeast"/>
        <w:ind w:right="567"/>
        <w:jc w:val="left"/>
        <w:rPr>
          <w:rFonts w:ascii="Arial" w:hAnsi="Arial" w:cs="Arial"/>
          <w:b/>
          <w:bCs/>
          <w:sz w:val="18"/>
          <w:szCs w:val="18"/>
          <w:lang w:eastAsia="en-AU"/>
        </w:rPr>
      </w:pPr>
      <w:r>
        <w:rPr>
          <w:rFonts w:ascii="Arial" w:hAnsi="Arial" w:cs="Arial"/>
          <w:b/>
          <w:bCs/>
          <w:sz w:val="18"/>
          <w:szCs w:val="18"/>
          <w:lang w:eastAsia="en-AU"/>
        </w:rPr>
        <w:t>ISSN</w:t>
      </w:r>
      <w:r w:rsidR="00BB1B3B">
        <w:rPr>
          <w:rFonts w:ascii="Arial" w:hAnsi="Arial" w:cs="Arial"/>
          <w:b/>
          <w:bCs/>
          <w:sz w:val="18"/>
          <w:szCs w:val="18"/>
          <w:lang w:eastAsia="en-AU"/>
        </w:rPr>
        <w:t>-2203-4781 (online)</w:t>
      </w:r>
    </w:p>
    <w:p w:rsidR="00BB1B3B" w:rsidRPr="00BB1B3B" w:rsidRDefault="008D0133" w:rsidP="00BB1B3B">
      <w:pPr>
        <w:jc w:val="left"/>
        <w:rPr>
          <w:rFonts w:ascii="Calibri" w:hAnsi="Calibri"/>
          <w:color w:val="000000"/>
          <w:sz w:val="22"/>
          <w:szCs w:val="22"/>
          <w:lang w:eastAsia="en-AU"/>
        </w:rPr>
      </w:pPr>
      <w:proofErr w:type="gramStart"/>
      <w:r w:rsidRPr="00874862">
        <w:rPr>
          <w:rFonts w:ascii="Arial" w:hAnsi="Arial" w:cs="Arial"/>
          <w:b/>
          <w:bCs/>
          <w:sz w:val="18"/>
          <w:szCs w:val="18"/>
          <w:lang w:eastAsia="en-AU"/>
        </w:rPr>
        <w:t>ISBN</w:t>
      </w:r>
      <w:r>
        <w:rPr>
          <w:rFonts w:ascii="Arial" w:hAnsi="Arial" w:cs="Arial"/>
          <w:b/>
          <w:bCs/>
          <w:sz w:val="18"/>
          <w:szCs w:val="18"/>
          <w:lang w:eastAsia="en-AU"/>
        </w:rPr>
        <w:t xml:space="preserve">  </w:t>
      </w:r>
      <w:r w:rsidR="00BB1B3B" w:rsidRPr="00BB1B3B">
        <w:rPr>
          <w:rFonts w:ascii="Calibri" w:hAnsi="Calibri"/>
          <w:b/>
          <w:color w:val="000000"/>
          <w:sz w:val="22"/>
          <w:szCs w:val="22"/>
          <w:lang w:eastAsia="en-AU"/>
        </w:rPr>
        <w:t>978</w:t>
      </w:r>
      <w:proofErr w:type="gramEnd"/>
      <w:r w:rsidR="00BB1B3B" w:rsidRPr="00BB1B3B">
        <w:rPr>
          <w:rFonts w:ascii="Calibri" w:hAnsi="Calibri"/>
          <w:b/>
          <w:color w:val="000000"/>
          <w:sz w:val="22"/>
          <w:szCs w:val="22"/>
          <w:lang w:eastAsia="en-AU"/>
        </w:rPr>
        <w:t>-1-921069-28-4</w:t>
      </w:r>
    </w:p>
    <w:p w:rsidR="008D0133" w:rsidRPr="00874862" w:rsidRDefault="008D0133" w:rsidP="008D0133">
      <w:pPr>
        <w:spacing w:line="260" w:lineRule="atLeast"/>
        <w:ind w:right="567"/>
        <w:jc w:val="left"/>
        <w:rPr>
          <w:rFonts w:ascii="Arial" w:hAnsi="Arial" w:cs="Arial"/>
          <w:b/>
          <w:bCs/>
          <w:sz w:val="18"/>
          <w:szCs w:val="18"/>
          <w:lang w:eastAsia="en-AU"/>
        </w:rPr>
      </w:pPr>
    </w:p>
    <w:p w:rsidR="008D0133" w:rsidRPr="00F7567B" w:rsidRDefault="008D0133" w:rsidP="008D0133">
      <w:pPr>
        <w:spacing w:line="260" w:lineRule="atLeast"/>
        <w:ind w:right="567"/>
        <w:jc w:val="left"/>
        <w:rPr>
          <w:rFonts w:ascii="Arial" w:hAnsi="Arial" w:cs="Arial"/>
          <w:sz w:val="18"/>
          <w:szCs w:val="18"/>
          <w:lang w:eastAsia="en-AU"/>
        </w:rPr>
      </w:pPr>
      <w:r w:rsidRPr="007B0644">
        <w:rPr>
          <w:rFonts w:ascii="Arial" w:hAnsi="Arial" w:cs="Arial"/>
          <w:sz w:val="18"/>
          <w:szCs w:val="18"/>
          <w:lang w:eastAsia="en-AU"/>
        </w:rPr>
        <w:t xml:space="preserve">Internet: </w:t>
      </w:r>
      <w:r w:rsidR="007B0644" w:rsidRPr="007B0644">
        <w:rPr>
          <w:rFonts w:ascii="Arial" w:hAnsi="Arial" w:cs="Arial"/>
          <w:b/>
          <w:sz w:val="18"/>
          <w:szCs w:val="18"/>
          <w:lang w:eastAsia="en-AU"/>
        </w:rPr>
        <w:t>http://www.environment.gov.au/science/supervising-scientist/publications</w:t>
      </w:r>
    </w:p>
    <w:p w:rsidR="008D0133" w:rsidRPr="00F7567B" w:rsidRDefault="008D0133" w:rsidP="008D0133">
      <w:pPr>
        <w:spacing w:line="260" w:lineRule="atLeast"/>
        <w:ind w:right="567"/>
        <w:jc w:val="left"/>
        <w:rPr>
          <w:rFonts w:ascii="Arial" w:hAnsi="Arial" w:cs="Arial"/>
          <w:sz w:val="18"/>
          <w:szCs w:val="18"/>
          <w:lang w:eastAsia="en-AU"/>
        </w:rPr>
      </w:pPr>
      <w:r w:rsidRPr="00F7567B">
        <w:rPr>
          <w:rFonts w:ascii="Arial" w:hAnsi="Arial" w:cs="Arial"/>
          <w:sz w:val="18"/>
          <w:szCs w:val="18"/>
          <w:lang w:eastAsia="en-AU"/>
        </w:rPr>
        <w:t xml:space="preserve">The views and opinions expressed in this publication are those of the authors and do not necessarily reflect those of the Australian Government or the Minister for the Environment. </w:t>
      </w:r>
    </w:p>
    <w:p w:rsidR="008D0133" w:rsidRPr="00F7567B" w:rsidRDefault="008D0133" w:rsidP="008D0133">
      <w:pPr>
        <w:spacing w:line="260" w:lineRule="atLeast"/>
        <w:ind w:right="567"/>
        <w:jc w:val="left"/>
        <w:rPr>
          <w:rFonts w:ascii="Arial" w:hAnsi="Arial" w:cs="Arial"/>
          <w:sz w:val="18"/>
          <w:szCs w:val="18"/>
          <w:lang w:eastAsia="en-AU"/>
        </w:rPr>
      </w:pPr>
      <w:r w:rsidRPr="00F7567B">
        <w:rPr>
          <w:rFonts w:ascii="Arial" w:hAnsi="Arial" w:cs="Arial"/>
          <w:sz w:val="18"/>
          <w:szCs w:val="18"/>
          <w:lang w:eastAsia="en-AU"/>
        </w:rPr>
        <w:t>While reasonable efforts have been made to ensure that the contents of this publication are factually correct, the Commonwealth does not accept responsibility for the accuracy or completeness of the contents, and shall not be liable for any loss or damage that may be occasioned directly or indirectly through the use of, or reliance on, the contents of this publication.</w:t>
      </w:r>
    </w:p>
    <w:p w:rsidR="008D0133" w:rsidRDefault="008D0133" w:rsidP="008D0133">
      <w:pPr>
        <w:pStyle w:val="Heading1"/>
        <w:jc w:val="both"/>
        <w:sectPr w:rsidR="008D0133" w:rsidSect="008D0133">
          <w:headerReference w:type="even" r:id="rId16"/>
          <w:headerReference w:type="default" r:id="rId17"/>
          <w:footerReference w:type="even" r:id="rId18"/>
          <w:footerReference w:type="default" r:id="rId19"/>
          <w:pgSz w:w="11906" w:h="16838" w:code="9"/>
          <w:pgMar w:top="1440" w:right="1800" w:bottom="1440" w:left="1800" w:header="1080" w:footer="835" w:gutter="0"/>
          <w:pgNumType w:fmt="lowerRoman"/>
          <w:cols w:space="360"/>
          <w:noEndnote/>
        </w:sectPr>
      </w:pPr>
    </w:p>
    <w:bookmarkStart w:id="20" w:name="_Toc312152478"/>
    <w:bookmarkStart w:id="21" w:name="_Toc313523385"/>
    <w:bookmarkStart w:id="22" w:name="_Toc316984980"/>
    <w:bookmarkStart w:id="23" w:name="_Toc316985236"/>
    <w:bookmarkStart w:id="24" w:name="_Toc316987198"/>
    <w:bookmarkStart w:id="25" w:name="_Toc316989317"/>
    <w:bookmarkStart w:id="26" w:name="_Toc316989396"/>
    <w:bookmarkStart w:id="27" w:name="_Toc319670696"/>
    <w:bookmarkStart w:id="28" w:name="_Toc348009148"/>
    <w:bookmarkStart w:id="29" w:name="_Toc349310570"/>
    <w:bookmarkStart w:id="30" w:name="_Toc349310720"/>
    <w:bookmarkStart w:id="31" w:name="_Toc373928531"/>
    <w:bookmarkStart w:id="32" w:name="_Toc373930063"/>
    <w:bookmarkStart w:id="33" w:name="_Toc373930124"/>
    <w:bookmarkStart w:id="34" w:name="_Toc378169031"/>
    <w:bookmarkStart w:id="35" w:name="_Toc380658749"/>
    <w:bookmarkStart w:id="36" w:name="_Toc380659356"/>
    <w:bookmarkStart w:id="37" w:name="_Toc383504040"/>
    <w:bookmarkStart w:id="38" w:name="_Toc384300362"/>
    <w:bookmarkStart w:id="39" w:name="_Toc413337666"/>
    <w:bookmarkStart w:id="40" w:name="_Toc414959020"/>
    <w:bookmarkStart w:id="41" w:name="_Toc416693441"/>
    <w:p w:rsidR="00E54B20" w:rsidRPr="00E54B20" w:rsidRDefault="006B5A61" w:rsidP="00E54B20">
      <w:pPr>
        <w:pStyle w:val="TOC1"/>
        <w:jc w:val="center"/>
        <w:rPr>
          <w:rFonts w:asciiTheme="minorHAnsi" w:eastAsiaTheme="minorEastAsia" w:hAnsiTheme="minorHAnsi" w:cstheme="minorBidi"/>
          <w:b w:val="0"/>
          <w:bCs w:val="0"/>
          <w:noProof/>
          <w:sz w:val="22"/>
          <w:szCs w:val="22"/>
          <w:lang w:eastAsia="en-AU"/>
        </w:rPr>
      </w:pPr>
      <w:r w:rsidRPr="006B5A61">
        <w:fldChar w:fldCharType="begin"/>
      </w:r>
      <w:r w:rsidR="008F6103">
        <w:instrText xml:space="preserve"> TOC \o "1-1" \h \z \u </w:instrText>
      </w:r>
      <w:r w:rsidRPr="006B5A61">
        <w:fldChar w:fldCharType="separate"/>
      </w:r>
      <w:r w:rsidR="00E54B20" w:rsidRPr="00E54B20">
        <w:rPr>
          <w:rStyle w:val="Hyperlink"/>
          <w:noProof/>
          <w:color w:val="auto"/>
          <w:u w:val="none"/>
        </w:rPr>
        <w:t>Contents</w:t>
      </w:r>
    </w:p>
    <w:p w:rsidR="00E54B20" w:rsidRDefault="006B5A61">
      <w:pPr>
        <w:pStyle w:val="TOC1"/>
        <w:rPr>
          <w:rFonts w:asciiTheme="minorHAnsi" w:eastAsiaTheme="minorEastAsia" w:hAnsiTheme="minorHAnsi" w:cstheme="minorBidi"/>
          <w:b w:val="0"/>
          <w:bCs w:val="0"/>
          <w:noProof/>
          <w:sz w:val="22"/>
          <w:szCs w:val="22"/>
          <w:lang w:eastAsia="en-AU"/>
        </w:rPr>
      </w:pPr>
      <w:hyperlink w:anchor="_Toc418172686" w:history="1">
        <w:r w:rsidR="00E54B20" w:rsidRPr="007B6CE4">
          <w:rPr>
            <w:rStyle w:val="Hyperlink"/>
            <w:noProof/>
          </w:rPr>
          <w:t>Preface</w:t>
        </w:r>
        <w:r w:rsidR="00E54B20">
          <w:rPr>
            <w:noProof/>
            <w:webHidden/>
          </w:rPr>
          <w:tab/>
        </w:r>
        <w:r>
          <w:rPr>
            <w:noProof/>
            <w:webHidden/>
          </w:rPr>
          <w:fldChar w:fldCharType="begin"/>
        </w:r>
        <w:r w:rsidR="00E54B20">
          <w:rPr>
            <w:noProof/>
            <w:webHidden/>
          </w:rPr>
          <w:instrText xml:space="preserve"> PAGEREF _Toc418172686 \h </w:instrText>
        </w:r>
        <w:r>
          <w:rPr>
            <w:noProof/>
            <w:webHidden/>
          </w:rPr>
        </w:r>
        <w:r>
          <w:rPr>
            <w:noProof/>
            <w:webHidden/>
          </w:rPr>
          <w:fldChar w:fldCharType="separate"/>
        </w:r>
        <w:r w:rsidR="00CE295A">
          <w:rPr>
            <w:noProof/>
            <w:webHidden/>
          </w:rPr>
          <w:t>vii</w:t>
        </w:r>
        <w:r>
          <w:rPr>
            <w:noProof/>
            <w:webHidden/>
          </w:rPr>
          <w:fldChar w:fldCharType="end"/>
        </w:r>
      </w:hyperlink>
    </w:p>
    <w:p w:rsidR="00E54B20" w:rsidRDefault="006B5A61">
      <w:pPr>
        <w:pStyle w:val="TOC1"/>
        <w:rPr>
          <w:rFonts w:asciiTheme="minorHAnsi" w:eastAsiaTheme="minorEastAsia" w:hAnsiTheme="minorHAnsi" w:cstheme="minorBidi"/>
          <w:b w:val="0"/>
          <w:bCs w:val="0"/>
          <w:noProof/>
          <w:sz w:val="22"/>
          <w:szCs w:val="22"/>
          <w:lang w:eastAsia="en-AU"/>
        </w:rPr>
      </w:pPr>
      <w:hyperlink w:anchor="_Toc418172687" w:history="1">
        <w:r w:rsidR="00E54B20" w:rsidRPr="007B6CE4">
          <w:rPr>
            <w:rStyle w:val="Hyperlink"/>
            <w:noProof/>
          </w:rPr>
          <w:t>Maps</w:t>
        </w:r>
        <w:r w:rsidR="00E54B20">
          <w:rPr>
            <w:noProof/>
            <w:webHidden/>
          </w:rPr>
          <w:tab/>
        </w:r>
        <w:r>
          <w:rPr>
            <w:noProof/>
            <w:webHidden/>
          </w:rPr>
          <w:fldChar w:fldCharType="begin"/>
        </w:r>
        <w:r w:rsidR="00E54B20">
          <w:rPr>
            <w:noProof/>
            <w:webHidden/>
          </w:rPr>
          <w:instrText xml:space="preserve"> PAGEREF _Toc418172687 \h </w:instrText>
        </w:r>
        <w:r>
          <w:rPr>
            <w:noProof/>
            <w:webHidden/>
          </w:rPr>
        </w:r>
        <w:r>
          <w:rPr>
            <w:noProof/>
            <w:webHidden/>
          </w:rPr>
          <w:fldChar w:fldCharType="separate"/>
        </w:r>
        <w:r w:rsidR="00CE295A">
          <w:rPr>
            <w:noProof/>
            <w:webHidden/>
          </w:rPr>
          <w:t>x</w:t>
        </w:r>
        <w:r>
          <w:rPr>
            <w:noProof/>
            <w:webHidden/>
          </w:rPr>
          <w:fldChar w:fldCharType="end"/>
        </w:r>
      </w:hyperlink>
    </w:p>
    <w:p w:rsidR="00E54B20" w:rsidRDefault="006B5A61" w:rsidP="00E54B20">
      <w:pPr>
        <w:pStyle w:val="TOC1"/>
        <w:rPr>
          <w:rFonts w:asciiTheme="minorHAnsi" w:eastAsiaTheme="minorEastAsia" w:hAnsiTheme="minorHAnsi" w:cstheme="minorBidi"/>
          <w:b w:val="0"/>
          <w:bCs w:val="0"/>
          <w:noProof/>
          <w:sz w:val="22"/>
          <w:szCs w:val="22"/>
          <w:lang w:eastAsia="en-AU"/>
        </w:rPr>
      </w:pPr>
      <w:hyperlink w:anchor="_Toc418172688" w:history="1">
        <w:r w:rsidR="00E54B20" w:rsidRPr="007B6CE4">
          <w:rPr>
            <w:rStyle w:val="Hyperlink"/>
            <w:rFonts w:cs="Arial"/>
            <w:noProof/>
          </w:rPr>
          <w:t>Part 1</w:t>
        </w:r>
        <w:r w:rsidR="00E54B20">
          <w:rPr>
            <w:rStyle w:val="Hyperlink"/>
            <w:rFonts w:cs="Arial"/>
            <w:noProof/>
          </w:rPr>
          <w:t>:</w:t>
        </w:r>
        <w:r w:rsidR="00E54B20" w:rsidRPr="00E54B20">
          <w:rPr>
            <w:noProof/>
          </w:rPr>
          <w:t xml:space="preserve"> </w:t>
        </w:r>
        <w:r w:rsidR="00E54B20" w:rsidRPr="00E54B20">
          <w:rPr>
            <w:rStyle w:val="Hyperlink"/>
            <w:rFonts w:cs="Arial"/>
            <w:noProof/>
          </w:rPr>
          <w:t>Ranger – Current operations</w:t>
        </w:r>
        <w:r w:rsidR="00E54B20">
          <w:rPr>
            <w:noProof/>
            <w:webHidden/>
          </w:rPr>
          <w:tab/>
        </w:r>
      </w:hyperlink>
    </w:p>
    <w:p w:rsidR="00E54B20" w:rsidRDefault="006B5A61">
      <w:pPr>
        <w:pStyle w:val="TOC1"/>
        <w:rPr>
          <w:rFonts w:asciiTheme="minorHAnsi" w:eastAsiaTheme="minorEastAsia" w:hAnsiTheme="minorHAnsi" w:cstheme="minorBidi"/>
          <w:b w:val="0"/>
          <w:bCs w:val="0"/>
          <w:noProof/>
          <w:sz w:val="22"/>
          <w:szCs w:val="22"/>
          <w:lang w:eastAsia="en-AU"/>
        </w:rPr>
      </w:pPr>
      <w:hyperlink w:anchor="_Toc418172690" w:history="1">
        <w:r w:rsidR="00E54B20">
          <w:rPr>
            <w:rStyle w:val="Hyperlink"/>
            <w:rFonts w:cs="Arial"/>
            <w:noProof/>
          </w:rPr>
          <w:t>KKN</w:t>
        </w:r>
        <w:r w:rsidR="00E54B20" w:rsidRPr="007B6CE4">
          <w:rPr>
            <w:rStyle w:val="Hyperlink"/>
            <w:rFonts w:cs="Arial"/>
            <w:noProof/>
          </w:rPr>
          <w:t xml:space="preserve"> 1.2: Ongoing operational issues</w:t>
        </w:r>
        <w:r w:rsidR="00E54B20">
          <w:rPr>
            <w:noProof/>
            <w:webHidden/>
          </w:rPr>
          <w:tab/>
        </w:r>
      </w:hyperlink>
    </w:p>
    <w:p w:rsidR="00E54B20" w:rsidRDefault="006B5A61" w:rsidP="002A5A01">
      <w:pPr>
        <w:pStyle w:val="TOC1"/>
        <w:tabs>
          <w:tab w:val="clear" w:pos="357"/>
          <w:tab w:val="left" w:pos="284"/>
        </w:tabs>
        <w:ind w:left="284" w:firstLine="0"/>
        <w:rPr>
          <w:rFonts w:asciiTheme="minorHAnsi" w:eastAsiaTheme="minorEastAsia" w:hAnsiTheme="minorHAnsi" w:cstheme="minorBidi"/>
          <w:b w:val="0"/>
          <w:bCs w:val="0"/>
          <w:noProof/>
          <w:sz w:val="22"/>
          <w:szCs w:val="22"/>
          <w:lang w:eastAsia="en-AU"/>
        </w:rPr>
      </w:pPr>
      <w:hyperlink w:anchor="_Toc418172691" w:history="1">
        <w:r w:rsidR="00E54B20" w:rsidRPr="007B6CE4">
          <w:rPr>
            <w:rStyle w:val="Hyperlink"/>
            <w:noProof/>
          </w:rPr>
          <w:t>Investigation of wate</w:t>
        </w:r>
        <w:r w:rsidR="00416DC9">
          <w:rPr>
            <w:rStyle w:val="Hyperlink"/>
            <w:noProof/>
          </w:rPr>
          <w:t xml:space="preserve">r quality in the Gulungul Creek </w:t>
        </w:r>
        <w:r w:rsidR="00E54B20" w:rsidRPr="007B6CE4">
          <w:rPr>
            <w:rStyle w:val="Hyperlink"/>
            <w:noProof/>
          </w:rPr>
          <w:t>catchment to the west of Ranger’s tailings storage facility</w:t>
        </w:r>
        <w:r w:rsidR="00E54B20">
          <w:rPr>
            <w:noProof/>
            <w:webHidden/>
          </w:rPr>
          <w:tab/>
        </w:r>
        <w:r>
          <w:rPr>
            <w:noProof/>
            <w:webHidden/>
          </w:rPr>
          <w:fldChar w:fldCharType="begin"/>
        </w:r>
        <w:r w:rsidR="00E54B20">
          <w:rPr>
            <w:noProof/>
            <w:webHidden/>
          </w:rPr>
          <w:instrText xml:space="preserve"> PAGEREF _Toc418172691 \h </w:instrText>
        </w:r>
        <w:r>
          <w:rPr>
            <w:noProof/>
            <w:webHidden/>
          </w:rPr>
        </w:r>
        <w:r>
          <w:rPr>
            <w:noProof/>
            <w:webHidden/>
          </w:rPr>
          <w:fldChar w:fldCharType="separate"/>
        </w:r>
        <w:r w:rsidR="00CE295A">
          <w:rPr>
            <w:noProof/>
            <w:webHidden/>
          </w:rPr>
          <w:t>3</w:t>
        </w:r>
        <w:r>
          <w:rPr>
            <w:noProof/>
            <w:webHidden/>
          </w:rPr>
          <w:fldChar w:fldCharType="end"/>
        </w:r>
      </w:hyperlink>
    </w:p>
    <w:p w:rsidR="00E54B20" w:rsidRDefault="006B5A61" w:rsidP="002A5A01">
      <w:pPr>
        <w:pStyle w:val="TOC1"/>
        <w:tabs>
          <w:tab w:val="clear" w:pos="357"/>
          <w:tab w:val="left" w:pos="284"/>
        </w:tabs>
        <w:ind w:left="284" w:firstLine="0"/>
        <w:rPr>
          <w:rFonts w:asciiTheme="minorHAnsi" w:eastAsiaTheme="minorEastAsia" w:hAnsiTheme="minorHAnsi" w:cstheme="minorBidi"/>
          <w:b w:val="0"/>
          <w:bCs w:val="0"/>
          <w:noProof/>
          <w:sz w:val="22"/>
          <w:szCs w:val="22"/>
          <w:lang w:eastAsia="en-AU"/>
        </w:rPr>
      </w:pPr>
      <w:hyperlink w:anchor="_Toc418172695" w:history="1">
        <w:r w:rsidR="00E54B20" w:rsidRPr="007B6CE4">
          <w:rPr>
            <w:rStyle w:val="Hyperlink"/>
            <w:noProof/>
          </w:rPr>
          <w:t>Toxicity of ammonia to local freshwater biota</w:t>
        </w:r>
        <w:r w:rsidR="00E54B20">
          <w:rPr>
            <w:noProof/>
            <w:webHidden/>
          </w:rPr>
          <w:tab/>
        </w:r>
        <w:r>
          <w:rPr>
            <w:noProof/>
            <w:webHidden/>
          </w:rPr>
          <w:fldChar w:fldCharType="begin"/>
        </w:r>
        <w:r w:rsidR="00E54B20">
          <w:rPr>
            <w:noProof/>
            <w:webHidden/>
          </w:rPr>
          <w:instrText xml:space="preserve"> PAGEREF _Toc418172695 \h </w:instrText>
        </w:r>
        <w:r>
          <w:rPr>
            <w:noProof/>
            <w:webHidden/>
          </w:rPr>
        </w:r>
        <w:r>
          <w:rPr>
            <w:noProof/>
            <w:webHidden/>
          </w:rPr>
          <w:fldChar w:fldCharType="separate"/>
        </w:r>
        <w:r w:rsidR="00CE295A">
          <w:rPr>
            <w:noProof/>
            <w:webHidden/>
          </w:rPr>
          <w:t>26</w:t>
        </w:r>
        <w:r>
          <w:rPr>
            <w:noProof/>
            <w:webHidden/>
          </w:rPr>
          <w:fldChar w:fldCharType="end"/>
        </w:r>
      </w:hyperlink>
    </w:p>
    <w:p w:rsidR="00E54B20" w:rsidRDefault="006B5A61" w:rsidP="002A5A01">
      <w:pPr>
        <w:pStyle w:val="TOC1"/>
        <w:tabs>
          <w:tab w:val="clear" w:pos="357"/>
          <w:tab w:val="left" w:pos="284"/>
        </w:tabs>
        <w:ind w:left="284" w:firstLine="0"/>
        <w:rPr>
          <w:rFonts w:asciiTheme="minorHAnsi" w:eastAsiaTheme="minorEastAsia" w:hAnsiTheme="minorHAnsi" w:cstheme="minorBidi"/>
          <w:b w:val="0"/>
          <w:bCs w:val="0"/>
          <w:noProof/>
          <w:sz w:val="22"/>
          <w:szCs w:val="22"/>
          <w:lang w:eastAsia="en-AU"/>
        </w:rPr>
      </w:pPr>
      <w:hyperlink w:anchor="_Toc418172696" w:history="1">
        <w:r w:rsidR="00E54B20" w:rsidRPr="007B6CE4">
          <w:rPr>
            <w:rStyle w:val="Hyperlink"/>
            <w:noProof/>
          </w:rPr>
          <w:t xml:space="preserve">The sensitivity of </w:t>
        </w:r>
        <w:r w:rsidR="00E54B20" w:rsidRPr="007B6CE4">
          <w:rPr>
            <w:rStyle w:val="Hyperlink"/>
            <w:i/>
            <w:noProof/>
          </w:rPr>
          <w:t>Moinodaphnia macleayi</w:t>
        </w:r>
        <w:r w:rsidR="00E54B20" w:rsidRPr="007B6CE4">
          <w:rPr>
            <w:rStyle w:val="Hyperlink"/>
            <w:noProof/>
          </w:rPr>
          <w:t xml:space="preserve"> to uranium</w:t>
        </w:r>
        <w:r w:rsidR="00E54B20">
          <w:rPr>
            <w:noProof/>
            <w:webHidden/>
          </w:rPr>
          <w:tab/>
        </w:r>
        <w:r>
          <w:rPr>
            <w:noProof/>
            <w:webHidden/>
          </w:rPr>
          <w:fldChar w:fldCharType="begin"/>
        </w:r>
        <w:r w:rsidR="00E54B20">
          <w:rPr>
            <w:noProof/>
            <w:webHidden/>
          </w:rPr>
          <w:instrText xml:space="preserve"> PAGEREF _Toc418172696 \h </w:instrText>
        </w:r>
        <w:r>
          <w:rPr>
            <w:noProof/>
            <w:webHidden/>
          </w:rPr>
        </w:r>
        <w:r>
          <w:rPr>
            <w:noProof/>
            <w:webHidden/>
          </w:rPr>
          <w:fldChar w:fldCharType="separate"/>
        </w:r>
        <w:r w:rsidR="00CE295A">
          <w:rPr>
            <w:noProof/>
            <w:webHidden/>
          </w:rPr>
          <w:t>34</w:t>
        </w:r>
        <w:r>
          <w:rPr>
            <w:noProof/>
            <w:webHidden/>
          </w:rPr>
          <w:fldChar w:fldCharType="end"/>
        </w:r>
      </w:hyperlink>
    </w:p>
    <w:p w:rsidR="00E54B20" w:rsidRDefault="006B5A61" w:rsidP="002A5A01">
      <w:pPr>
        <w:pStyle w:val="TOC1"/>
        <w:tabs>
          <w:tab w:val="clear" w:pos="357"/>
          <w:tab w:val="left" w:pos="284"/>
        </w:tabs>
        <w:ind w:left="284" w:firstLine="0"/>
        <w:rPr>
          <w:rFonts w:asciiTheme="minorHAnsi" w:eastAsiaTheme="minorEastAsia" w:hAnsiTheme="minorHAnsi" w:cstheme="minorBidi"/>
          <w:b w:val="0"/>
          <w:bCs w:val="0"/>
          <w:noProof/>
          <w:sz w:val="22"/>
          <w:szCs w:val="22"/>
          <w:lang w:eastAsia="en-AU"/>
        </w:rPr>
      </w:pPr>
      <w:hyperlink w:anchor="_Toc418172697" w:history="1">
        <w:r w:rsidR="00E54B20" w:rsidRPr="007B6CE4">
          <w:rPr>
            <w:rStyle w:val="Hyperlink"/>
            <w:noProof/>
          </w:rPr>
          <w:t xml:space="preserve">The toxicity of uranium to sediment biota of Magela Creek </w:t>
        </w:r>
        <w:r w:rsidR="002A5A01">
          <w:rPr>
            <w:rStyle w:val="Hyperlink"/>
            <w:noProof/>
          </w:rPr>
          <w:br/>
        </w:r>
        <w:r w:rsidR="00E54B20" w:rsidRPr="007B6CE4">
          <w:rPr>
            <w:rStyle w:val="Hyperlink"/>
            <w:noProof/>
          </w:rPr>
          <w:t>backflow billabong environments</w:t>
        </w:r>
        <w:r w:rsidR="00E54B20">
          <w:rPr>
            <w:noProof/>
            <w:webHidden/>
          </w:rPr>
          <w:tab/>
        </w:r>
        <w:r>
          <w:rPr>
            <w:noProof/>
            <w:webHidden/>
          </w:rPr>
          <w:fldChar w:fldCharType="begin"/>
        </w:r>
        <w:r w:rsidR="00E54B20">
          <w:rPr>
            <w:noProof/>
            <w:webHidden/>
          </w:rPr>
          <w:instrText xml:space="preserve"> PAGEREF _Toc418172697 \h </w:instrText>
        </w:r>
        <w:r>
          <w:rPr>
            <w:noProof/>
            <w:webHidden/>
          </w:rPr>
        </w:r>
        <w:r>
          <w:rPr>
            <w:noProof/>
            <w:webHidden/>
          </w:rPr>
          <w:fldChar w:fldCharType="separate"/>
        </w:r>
        <w:r w:rsidR="00CE295A">
          <w:rPr>
            <w:noProof/>
            <w:webHidden/>
          </w:rPr>
          <w:t>44</w:t>
        </w:r>
        <w:r>
          <w:rPr>
            <w:noProof/>
            <w:webHidden/>
          </w:rPr>
          <w:fldChar w:fldCharType="end"/>
        </w:r>
      </w:hyperlink>
    </w:p>
    <w:p w:rsidR="00E54B20" w:rsidRDefault="006B5A61" w:rsidP="002A5A01">
      <w:pPr>
        <w:pStyle w:val="TOC1"/>
        <w:tabs>
          <w:tab w:val="clear" w:pos="357"/>
          <w:tab w:val="left" w:pos="284"/>
        </w:tabs>
        <w:ind w:left="284" w:firstLine="0"/>
        <w:rPr>
          <w:rFonts w:asciiTheme="minorHAnsi" w:eastAsiaTheme="minorEastAsia" w:hAnsiTheme="minorHAnsi" w:cstheme="minorBidi"/>
          <w:b w:val="0"/>
          <w:bCs w:val="0"/>
          <w:noProof/>
          <w:sz w:val="22"/>
          <w:szCs w:val="22"/>
          <w:lang w:eastAsia="en-AU"/>
        </w:rPr>
      </w:pPr>
      <w:hyperlink w:anchor="_Toc418172698" w:history="1">
        <w:r w:rsidR="00E54B20" w:rsidRPr="007B6CE4">
          <w:rPr>
            <w:rStyle w:val="Hyperlink"/>
            <w:noProof/>
          </w:rPr>
          <w:t xml:space="preserve">The effect of uranium on the structure and function of </w:t>
        </w:r>
        <w:r w:rsidR="002A5A01">
          <w:rPr>
            <w:rStyle w:val="Hyperlink"/>
            <w:noProof/>
          </w:rPr>
          <w:br/>
        </w:r>
        <w:r w:rsidR="00E54B20" w:rsidRPr="007B6CE4">
          <w:rPr>
            <w:rStyle w:val="Hyperlink"/>
            <w:noProof/>
          </w:rPr>
          <w:t>bacterial sediment communities</w:t>
        </w:r>
        <w:r w:rsidR="00E54B20">
          <w:rPr>
            <w:noProof/>
            <w:webHidden/>
          </w:rPr>
          <w:tab/>
        </w:r>
        <w:r>
          <w:rPr>
            <w:noProof/>
            <w:webHidden/>
          </w:rPr>
          <w:fldChar w:fldCharType="begin"/>
        </w:r>
        <w:r w:rsidR="00E54B20">
          <w:rPr>
            <w:noProof/>
            <w:webHidden/>
          </w:rPr>
          <w:instrText xml:space="preserve"> PAGEREF _Toc418172698 \h </w:instrText>
        </w:r>
        <w:r>
          <w:rPr>
            <w:noProof/>
            <w:webHidden/>
          </w:rPr>
        </w:r>
        <w:r>
          <w:rPr>
            <w:noProof/>
            <w:webHidden/>
          </w:rPr>
          <w:fldChar w:fldCharType="separate"/>
        </w:r>
        <w:r w:rsidR="00CE295A">
          <w:rPr>
            <w:noProof/>
            <w:webHidden/>
          </w:rPr>
          <w:t>54</w:t>
        </w:r>
        <w:r>
          <w:rPr>
            <w:noProof/>
            <w:webHidden/>
          </w:rPr>
          <w:fldChar w:fldCharType="end"/>
        </w:r>
      </w:hyperlink>
    </w:p>
    <w:p w:rsidR="00E54B20" w:rsidRDefault="006B5A61" w:rsidP="002A5A01">
      <w:pPr>
        <w:pStyle w:val="TOC1"/>
        <w:tabs>
          <w:tab w:val="clear" w:pos="357"/>
          <w:tab w:val="left" w:pos="284"/>
        </w:tabs>
        <w:ind w:left="284" w:firstLine="0"/>
        <w:rPr>
          <w:rFonts w:asciiTheme="minorHAnsi" w:eastAsiaTheme="minorEastAsia" w:hAnsiTheme="minorHAnsi" w:cstheme="minorBidi"/>
          <w:b w:val="0"/>
          <w:bCs w:val="0"/>
          <w:noProof/>
          <w:sz w:val="22"/>
          <w:szCs w:val="22"/>
          <w:lang w:eastAsia="en-AU"/>
        </w:rPr>
      </w:pPr>
      <w:hyperlink w:anchor="_Toc418172699" w:history="1">
        <w:r w:rsidR="00E54B20" w:rsidRPr="007B6CE4">
          <w:rPr>
            <w:rStyle w:val="Hyperlink"/>
            <w:noProof/>
          </w:rPr>
          <w:t>Reference toxicity testing for routine toxicity test species</w:t>
        </w:r>
        <w:r w:rsidR="00E54B20">
          <w:rPr>
            <w:noProof/>
            <w:webHidden/>
          </w:rPr>
          <w:tab/>
        </w:r>
        <w:r>
          <w:rPr>
            <w:noProof/>
            <w:webHidden/>
          </w:rPr>
          <w:fldChar w:fldCharType="begin"/>
        </w:r>
        <w:r w:rsidR="00E54B20">
          <w:rPr>
            <w:noProof/>
            <w:webHidden/>
          </w:rPr>
          <w:instrText xml:space="preserve"> PAGEREF _Toc418172699 \h </w:instrText>
        </w:r>
        <w:r>
          <w:rPr>
            <w:noProof/>
            <w:webHidden/>
          </w:rPr>
        </w:r>
        <w:r>
          <w:rPr>
            <w:noProof/>
            <w:webHidden/>
          </w:rPr>
          <w:fldChar w:fldCharType="separate"/>
        </w:r>
        <w:r w:rsidR="00CE295A">
          <w:rPr>
            <w:noProof/>
            <w:webHidden/>
          </w:rPr>
          <w:t>59</w:t>
        </w:r>
        <w:r>
          <w:rPr>
            <w:noProof/>
            <w:webHidden/>
          </w:rPr>
          <w:fldChar w:fldCharType="end"/>
        </w:r>
      </w:hyperlink>
    </w:p>
    <w:p w:rsidR="00E54B20" w:rsidRDefault="006B5A61">
      <w:pPr>
        <w:pStyle w:val="TOC1"/>
        <w:rPr>
          <w:rFonts w:asciiTheme="minorHAnsi" w:eastAsiaTheme="minorEastAsia" w:hAnsiTheme="minorHAnsi" w:cstheme="minorBidi"/>
          <w:b w:val="0"/>
          <w:bCs w:val="0"/>
          <w:noProof/>
          <w:sz w:val="22"/>
          <w:szCs w:val="22"/>
          <w:lang w:eastAsia="en-AU"/>
        </w:rPr>
      </w:pPr>
      <w:hyperlink w:anchor="_Toc418172700" w:history="1">
        <w:r w:rsidR="00E54B20" w:rsidRPr="007B6CE4">
          <w:rPr>
            <w:rStyle w:val="Hyperlink"/>
            <w:noProof/>
          </w:rPr>
          <w:t>K</w:t>
        </w:r>
        <w:r w:rsidR="00E54B20">
          <w:rPr>
            <w:rStyle w:val="Hyperlink"/>
            <w:noProof/>
          </w:rPr>
          <w:t>KN</w:t>
        </w:r>
        <w:r w:rsidR="00E54B20" w:rsidRPr="007B6CE4">
          <w:rPr>
            <w:rStyle w:val="Hyperlink"/>
            <w:noProof/>
          </w:rPr>
          <w:t xml:space="preserve"> 1.3: Monitoring</w:t>
        </w:r>
        <w:r w:rsidR="00E54B20">
          <w:rPr>
            <w:noProof/>
            <w:webHidden/>
          </w:rPr>
          <w:tab/>
        </w:r>
      </w:hyperlink>
    </w:p>
    <w:p w:rsidR="00E54B20" w:rsidRDefault="006B5A61" w:rsidP="00416DC9">
      <w:pPr>
        <w:pStyle w:val="TOC1"/>
        <w:tabs>
          <w:tab w:val="clear" w:pos="357"/>
          <w:tab w:val="left" w:pos="142"/>
        </w:tabs>
        <w:ind w:left="284" w:firstLine="0"/>
        <w:rPr>
          <w:rFonts w:asciiTheme="minorHAnsi" w:eastAsiaTheme="minorEastAsia" w:hAnsiTheme="minorHAnsi" w:cstheme="minorBidi"/>
          <w:b w:val="0"/>
          <w:bCs w:val="0"/>
          <w:noProof/>
          <w:sz w:val="22"/>
          <w:szCs w:val="22"/>
          <w:lang w:eastAsia="en-AU"/>
        </w:rPr>
      </w:pPr>
      <w:hyperlink w:anchor="_Toc418172701" w:history="1">
        <w:r w:rsidR="00E54B20" w:rsidRPr="007B6CE4">
          <w:rPr>
            <w:rStyle w:val="Hyperlink"/>
            <w:noProof/>
          </w:rPr>
          <w:t xml:space="preserve">Results of the stream monitoring programme in Magela Creek and Gulungul Creek catchments, </w:t>
        </w:r>
        <w:r w:rsidR="00E54B20" w:rsidRPr="007B6CE4">
          <w:rPr>
            <w:rStyle w:val="Hyperlink"/>
            <w:rFonts w:eastAsia="Arial Unicode MS"/>
            <w:noProof/>
          </w:rPr>
          <w:t>2013–14</w:t>
        </w:r>
        <w:r w:rsidR="00E54B20">
          <w:rPr>
            <w:noProof/>
            <w:webHidden/>
          </w:rPr>
          <w:tab/>
        </w:r>
        <w:r>
          <w:rPr>
            <w:noProof/>
            <w:webHidden/>
          </w:rPr>
          <w:fldChar w:fldCharType="begin"/>
        </w:r>
        <w:r w:rsidR="00E54B20">
          <w:rPr>
            <w:noProof/>
            <w:webHidden/>
          </w:rPr>
          <w:instrText xml:space="preserve"> PAGEREF _Toc418172701 \h </w:instrText>
        </w:r>
        <w:r>
          <w:rPr>
            <w:noProof/>
            <w:webHidden/>
          </w:rPr>
        </w:r>
        <w:r>
          <w:rPr>
            <w:noProof/>
            <w:webHidden/>
          </w:rPr>
          <w:fldChar w:fldCharType="separate"/>
        </w:r>
        <w:r w:rsidR="00CE295A">
          <w:rPr>
            <w:noProof/>
            <w:webHidden/>
          </w:rPr>
          <w:t>69</w:t>
        </w:r>
        <w:r>
          <w:rPr>
            <w:noProof/>
            <w:webHidden/>
          </w:rPr>
          <w:fldChar w:fldCharType="end"/>
        </w:r>
      </w:hyperlink>
    </w:p>
    <w:p w:rsidR="00E54B20" w:rsidRDefault="006B5A61" w:rsidP="00416DC9">
      <w:pPr>
        <w:pStyle w:val="TOC1"/>
        <w:tabs>
          <w:tab w:val="clear" w:pos="357"/>
          <w:tab w:val="left" w:pos="142"/>
        </w:tabs>
        <w:ind w:left="284" w:firstLine="0"/>
        <w:rPr>
          <w:rFonts w:asciiTheme="minorHAnsi" w:eastAsiaTheme="minorEastAsia" w:hAnsiTheme="minorHAnsi" w:cstheme="minorBidi"/>
          <w:b w:val="0"/>
          <w:bCs w:val="0"/>
          <w:noProof/>
          <w:sz w:val="22"/>
          <w:szCs w:val="22"/>
          <w:lang w:eastAsia="en-AU"/>
        </w:rPr>
      </w:pPr>
      <w:hyperlink w:anchor="_Toc418172702" w:history="1">
        <w:r w:rsidR="00E54B20" w:rsidRPr="007B6CE4">
          <w:rPr>
            <w:rStyle w:val="Hyperlink"/>
            <w:noProof/>
          </w:rPr>
          <w:t>Surface water quality monitoring: Ranger</w:t>
        </w:r>
        <w:r w:rsidR="00E54B20">
          <w:rPr>
            <w:noProof/>
            <w:webHidden/>
          </w:rPr>
          <w:tab/>
        </w:r>
        <w:r>
          <w:rPr>
            <w:noProof/>
            <w:webHidden/>
          </w:rPr>
          <w:fldChar w:fldCharType="begin"/>
        </w:r>
        <w:r w:rsidR="00E54B20">
          <w:rPr>
            <w:noProof/>
            <w:webHidden/>
          </w:rPr>
          <w:instrText xml:space="preserve"> PAGEREF _Toc418172702 \h </w:instrText>
        </w:r>
        <w:r>
          <w:rPr>
            <w:noProof/>
            <w:webHidden/>
          </w:rPr>
        </w:r>
        <w:r>
          <w:rPr>
            <w:noProof/>
            <w:webHidden/>
          </w:rPr>
          <w:fldChar w:fldCharType="separate"/>
        </w:r>
        <w:r w:rsidR="00CE295A">
          <w:rPr>
            <w:noProof/>
            <w:webHidden/>
          </w:rPr>
          <w:t>71</w:t>
        </w:r>
        <w:r>
          <w:rPr>
            <w:noProof/>
            <w:webHidden/>
          </w:rPr>
          <w:fldChar w:fldCharType="end"/>
        </w:r>
      </w:hyperlink>
    </w:p>
    <w:p w:rsidR="00E54B20" w:rsidRDefault="006B5A61" w:rsidP="00416DC9">
      <w:pPr>
        <w:pStyle w:val="TOC1"/>
        <w:tabs>
          <w:tab w:val="clear" w:pos="357"/>
          <w:tab w:val="left" w:pos="142"/>
        </w:tabs>
        <w:ind w:left="284" w:firstLine="0"/>
        <w:rPr>
          <w:rFonts w:asciiTheme="minorHAnsi" w:eastAsiaTheme="minorEastAsia" w:hAnsiTheme="minorHAnsi" w:cstheme="minorBidi"/>
          <w:b w:val="0"/>
          <w:bCs w:val="0"/>
          <w:noProof/>
          <w:sz w:val="22"/>
          <w:szCs w:val="22"/>
          <w:lang w:eastAsia="en-AU"/>
        </w:rPr>
      </w:pPr>
      <w:hyperlink w:anchor="_Toc418172703" w:history="1">
        <w:r w:rsidR="00E54B20" w:rsidRPr="007B6CE4">
          <w:rPr>
            <w:rStyle w:val="Hyperlink"/>
            <w:noProof/>
            <w:u w:color="000000"/>
          </w:rPr>
          <w:t xml:space="preserve">In situ toxicity monitoring in Magela and Gulungul Creeks </w:t>
        </w:r>
        <w:r w:rsidR="00416DC9">
          <w:rPr>
            <w:rStyle w:val="Hyperlink"/>
            <w:noProof/>
            <w:u w:color="000000"/>
          </w:rPr>
          <w:br/>
        </w:r>
        <w:r w:rsidR="00E54B20" w:rsidRPr="007B6CE4">
          <w:rPr>
            <w:rStyle w:val="Hyperlink"/>
            <w:noProof/>
            <w:u w:color="000000"/>
          </w:rPr>
          <w:t xml:space="preserve">(routine </w:t>
        </w:r>
        <w:r w:rsidR="00E54B20" w:rsidRPr="007B6CE4">
          <w:rPr>
            <w:rStyle w:val="Hyperlink"/>
            <w:noProof/>
          </w:rPr>
          <w:t>monitoring</w:t>
        </w:r>
        <w:r w:rsidR="00E54B20" w:rsidRPr="007B6CE4">
          <w:rPr>
            <w:rStyle w:val="Hyperlink"/>
            <w:noProof/>
            <w:u w:color="000000"/>
          </w:rPr>
          <w:t>)</w:t>
        </w:r>
        <w:r w:rsidR="00E54B20">
          <w:rPr>
            <w:noProof/>
            <w:webHidden/>
          </w:rPr>
          <w:tab/>
        </w:r>
        <w:r>
          <w:rPr>
            <w:noProof/>
            <w:webHidden/>
          </w:rPr>
          <w:fldChar w:fldCharType="begin"/>
        </w:r>
        <w:r w:rsidR="00E54B20">
          <w:rPr>
            <w:noProof/>
            <w:webHidden/>
          </w:rPr>
          <w:instrText xml:space="preserve"> PAGEREF _Toc418172703 \h </w:instrText>
        </w:r>
        <w:r>
          <w:rPr>
            <w:noProof/>
            <w:webHidden/>
          </w:rPr>
        </w:r>
        <w:r>
          <w:rPr>
            <w:noProof/>
            <w:webHidden/>
          </w:rPr>
          <w:fldChar w:fldCharType="separate"/>
        </w:r>
        <w:r w:rsidR="00CE295A">
          <w:rPr>
            <w:noProof/>
            <w:webHidden/>
          </w:rPr>
          <w:t>91</w:t>
        </w:r>
        <w:r>
          <w:rPr>
            <w:noProof/>
            <w:webHidden/>
          </w:rPr>
          <w:fldChar w:fldCharType="end"/>
        </w:r>
      </w:hyperlink>
    </w:p>
    <w:p w:rsidR="00E54B20" w:rsidRDefault="006B5A61" w:rsidP="00416DC9">
      <w:pPr>
        <w:pStyle w:val="TOC1"/>
        <w:tabs>
          <w:tab w:val="clear" w:pos="357"/>
          <w:tab w:val="left" w:pos="142"/>
        </w:tabs>
        <w:ind w:left="284" w:firstLine="0"/>
        <w:rPr>
          <w:rFonts w:asciiTheme="minorHAnsi" w:eastAsiaTheme="minorEastAsia" w:hAnsiTheme="minorHAnsi" w:cstheme="minorBidi"/>
          <w:b w:val="0"/>
          <w:bCs w:val="0"/>
          <w:noProof/>
          <w:sz w:val="22"/>
          <w:szCs w:val="22"/>
          <w:lang w:eastAsia="en-AU"/>
        </w:rPr>
      </w:pPr>
      <w:hyperlink w:anchor="_Toc418172704" w:history="1">
        <w:r w:rsidR="00E54B20" w:rsidRPr="007B6CE4">
          <w:rPr>
            <w:rStyle w:val="Hyperlink"/>
            <w:noProof/>
          </w:rPr>
          <w:t>Bioaccumulation in freshwater mussels and fish</w:t>
        </w:r>
        <w:r w:rsidR="00E54B20">
          <w:rPr>
            <w:noProof/>
            <w:webHidden/>
          </w:rPr>
          <w:tab/>
        </w:r>
        <w:r>
          <w:rPr>
            <w:noProof/>
            <w:webHidden/>
          </w:rPr>
          <w:fldChar w:fldCharType="begin"/>
        </w:r>
        <w:r w:rsidR="00E54B20">
          <w:rPr>
            <w:noProof/>
            <w:webHidden/>
          </w:rPr>
          <w:instrText xml:space="preserve"> PAGEREF _Toc418172704 \h </w:instrText>
        </w:r>
        <w:r>
          <w:rPr>
            <w:noProof/>
            <w:webHidden/>
          </w:rPr>
        </w:r>
        <w:r>
          <w:rPr>
            <w:noProof/>
            <w:webHidden/>
          </w:rPr>
          <w:fldChar w:fldCharType="separate"/>
        </w:r>
        <w:r w:rsidR="00CE295A">
          <w:rPr>
            <w:noProof/>
            <w:webHidden/>
          </w:rPr>
          <w:t>95</w:t>
        </w:r>
        <w:r>
          <w:rPr>
            <w:noProof/>
            <w:webHidden/>
          </w:rPr>
          <w:fldChar w:fldCharType="end"/>
        </w:r>
      </w:hyperlink>
    </w:p>
    <w:p w:rsidR="00E54B20" w:rsidRDefault="006B5A61" w:rsidP="00416DC9">
      <w:pPr>
        <w:pStyle w:val="TOC1"/>
        <w:tabs>
          <w:tab w:val="clear" w:pos="357"/>
          <w:tab w:val="left" w:pos="142"/>
        </w:tabs>
        <w:ind w:left="284" w:firstLine="0"/>
        <w:rPr>
          <w:rFonts w:asciiTheme="minorHAnsi" w:eastAsiaTheme="minorEastAsia" w:hAnsiTheme="minorHAnsi" w:cstheme="minorBidi"/>
          <w:b w:val="0"/>
          <w:bCs w:val="0"/>
          <w:noProof/>
          <w:sz w:val="22"/>
          <w:szCs w:val="22"/>
          <w:lang w:eastAsia="en-AU"/>
        </w:rPr>
      </w:pPr>
      <w:hyperlink w:anchor="_Toc418172705" w:history="1">
        <w:r w:rsidR="00E54B20" w:rsidRPr="007B6CE4">
          <w:rPr>
            <w:rStyle w:val="Hyperlink"/>
            <w:noProof/>
          </w:rPr>
          <w:t>Monitoring using macroinvertebrate community structure</w:t>
        </w:r>
        <w:r w:rsidR="00E54B20">
          <w:rPr>
            <w:noProof/>
            <w:webHidden/>
          </w:rPr>
          <w:tab/>
        </w:r>
        <w:r>
          <w:rPr>
            <w:noProof/>
            <w:webHidden/>
          </w:rPr>
          <w:fldChar w:fldCharType="begin"/>
        </w:r>
        <w:r w:rsidR="00E54B20">
          <w:rPr>
            <w:noProof/>
            <w:webHidden/>
          </w:rPr>
          <w:instrText xml:space="preserve"> PAGEREF _Toc418172705 \h </w:instrText>
        </w:r>
        <w:r>
          <w:rPr>
            <w:noProof/>
            <w:webHidden/>
          </w:rPr>
        </w:r>
        <w:r>
          <w:rPr>
            <w:noProof/>
            <w:webHidden/>
          </w:rPr>
          <w:fldChar w:fldCharType="separate"/>
        </w:r>
        <w:r w:rsidR="00CE295A">
          <w:rPr>
            <w:noProof/>
            <w:webHidden/>
          </w:rPr>
          <w:t>100</w:t>
        </w:r>
        <w:r>
          <w:rPr>
            <w:noProof/>
            <w:webHidden/>
          </w:rPr>
          <w:fldChar w:fldCharType="end"/>
        </w:r>
      </w:hyperlink>
    </w:p>
    <w:p w:rsidR="00E54B20" w:rsidRDefault="006B5A61" w:rsidP="00416DC9">
      <w:pPr>
        <w:pStyle w:val="TOC1"/>
        <w:tabs>
          <w:tab w:val="clear" w:pos="357"/>
          <w:tab w:val="left" w:pos="142"/>
        </w:tabs>
        <w:ind w:left="284" w:firstLine="0"/>
        <w:rPr>
          <w:rFonts w:asciiTheme="minorHAnsi" w:eastAsiaTheme="minorEastAsia" w:hAnsiTheme="minorHAnsi" w:cstheme="minorBidi"/>
          <w:b w:val="0"/>
          <w:bCs w:val="0"/>
          <w:noProof/>
          <w:sz w:val="22"/>
          <w:szCs w:val="22"/>
          <w:lang w:eastAsia="en-AU"/>
        </w:rPr>
      </w:pPr>
      <w:hyperlink w:anchor="_Toc418172706" w:history="1">
        <w:r w:rsidR="00E54B20" w:rsidRPr="007B6CE4">
          <w:rPr>
            <w:rStyle w:val="Hyperlink"/>
            <w:noProof/>
          </w:rPr>
          <w:t>Monitoring using fish community structure</w:t>
        </w:r>
        <w:r w:rsidR="00E54B20">
          <w:rPr>
            <w:noProof/>
            <w:webHidden/>
          </w:rPr>
          <w:tab/>
        </w:r>
        <w:r>
          <w:rPr>
            <w:noProof/>
            <w:webHidden/>
          </w:rPr>
          <w:fldChar w:fldCharType="begin"/>
        </w:r>
        <w:r w:rsidR="00E54B20">
          <w:rPr>
            <w:noProof/>
            <w:webHidden/>
          </w:rPr>
          <w:instrText xml:space="preserve"> PAGEREF _Toc418172706 \h </w:instrText>
        </w:r>
        <w:r>
          <w:rPr>
            <w:noProof/>
            <w:webHidden/>
          </w:rPr>
        </w:r>
        <w:r>
          <w:rPr>
            <w:noProof/>
            <w:webHidden/>
          </w:rPr>
          <w:fldChar w:fldCharType="separate"/>
        </w:r>
        <w:r w:rsidR="00CE295A">
          <w:rPr>
            <w:noProof/>
            <w:webHidden/>
          </w:rPr>
          <w:t>106</w:t>
        </w:r>
        <w:r>
          <w:rPr>
            <w:noProof/>
            <w:webHidden/>
          </w:rPr>
          <w:fldChar w:fldCharType="end"/>
        </w:r>
      </w:hyperlink>
    </w:p>
    <w:p w:rsidR="00E54B20" w:rsidRDefault="006B5A61" w:rsidP="00416DC9">
      <w:pPr>
        <w:pStyle w:val="TOC1"/>
        <w:tabs>
          <w:tab w:val="clear" w:pos="357"/>
          <w:tab w:val="left" w:pos="142"/>
        </w:tabs>
        <w:ind w:left="284" w:firstLine="0"/>
        <w:rPr>
          <w:rFonts w:asciiTheme="minorHAnsi" w:eastAsiaTheme="minorEastAsia" w:hAnsiTheme="minorHAnsi" w:cstheme="minorBidi"/>
          <w:b w:val="0"/>
          <w:bCs w:val="0"/>
          <w:noProof/>
          <w:sz w:val="22"/>
          <w:szCs w:val="22"/>
          <w:lang w:eastAsia="en-AU"/>
        </w:rPr>
      </w:pPr>
      <w:hyperlink w:anchor="_Toc418172707" w:history="1">
        <w:r w:rsidR="00E54B20" w:rsidRPr="007B6CE4">
          <w:rPr>
            <w:rStyle w:val="Hyperlink"/>
            <w:noProof/>
          </w:rPr>
          <w:t>Monitoring of radionuclides and metals in groundwater at Ranger</w:t>
        </w:r>
        <w:r w:rsidR="00E54B20">
          <w:rPr>
            <w:noProof/>
            <w:webHidden/>
          </w:rPr>
          <w:tab/>
        </w:r>
        <w:r>
          <w:rPr>
            <w:noProof/>
            <w:webHidden/>
          </w:rPr>
          <w:fldChar w:fldCharType="begin"/>
        </w:r>
        <w:r w:rsidR="00E54B20">
          <w:rPr>
            <w:noProof/>
            <w:webHidden/>
          </w:rPr>
          <w:instrText xml:space="preserve"> PAGEREF _Toc418172707 \h </w:instrText>
        </w:r>
        <w:r>
          <w:rPr>
            <w:noProof/>
            <w:webHidden/>
          </w:rPr>
        </w:r>
        <w:r>
          <w:rPr>
            <w:noProof/>
            <w:webHidden/>
          </w:rPr>
          <w:fldChar w:fldCharType="separate"/>
        </w:r>
        <w:r w:rsidR="00CE295A">
          <w:rPr>
            <w:noProof/>
            <w:webHidden/>
          </w:rPr>
          <w:t>109</w:t>
        </w:r>
        <w:r>
          <w:rPr>
            <w:noProof/>
            <w:webHidden/>
          </w:rPr>
          <w:fldChar w:fldCharType="end"/>
        </w:r>
      </w:hyperlink>
    </w:p>
    <w:p w:rsidR="00E54B20" w:rsidRDefault="006B5A61" w:rsidP="00416DC9">
      <w:pPr>
        <w:pStyle w:val="TOC1"/>
        <w:tabs>
          <w:tab w:val="clear" w:pos="357"/>
          <w:tab w:val="left" w:pos="142"/>
        </w:tabs>
        <w:ind w:left="284" w:firstLine="0"/>
        <w:rPr>
          <w:rFonts w:asciiTheme="minorHAnsi" w:eastAsiaTheme="minorEastAsia" w:hAnsiTheme="minorHAnsi" w:cstheme="minorBidi"/>
          <w:b w:val="0"/>
          <w:bCs w:val="0"/>
          <w:noProof/>
          <w:sz w:val="22"/>
          <w:szCs w:val="22"/>
          <w:lang w:eastAsia="en-AU"/>
        </w:rPr>
      </w:pPr>
      <w:hyperlink w:anchor="_Toc418172708" w:history="1">
        <w:r w:rsidR="00E54B20" w:rsidRPr="007B6CE4">
          <w:rPr>
            <w:rStyle w:val="Hyperlink"/>
            <w:noProof/>
            <w:lang w:val="en-US"/>
          </w:rPr>
          <w:t xml:space="preserve">Atmospheric radioactivity monitoring in the </w:t>
        </w:r>
        <w:r w:rsidR="00416DC9">
          <w:rPr>
            <w:rStyle w:val="Hyperlink"/>
            <w:noProof/>
            <w:lang w:val="en-US"/>
          </w:rPr>
          <w:br/>
        </w:r>
        <w:r w:rsidR="00E54B20" w:rsidRPr="007B6CE4">
          <w:rPr>
            <w:rStyle w:val="Hyperlink"/>
            <w:noProof/>
            <w:lang w:val="en-US"/>
          </w:rPr>
          <w:t>vicinity of the Ranger mine</w:t>
        </w:r>
        <w:r w:rsidR="00E54B20">
          <w:rPr>
            <w:noProof/>
            <w:webHidden/>
          </w:rPr>
          <w:tab/>
        </w:r>
        <w:r>
          <w:rPr>
            <w:noProof/>
            <w:webHidden/>
          </w:rPr>
          <w:fldChar w:fldCharType="begin"/>
        </w:r>
        <w:r w:rsidR="00E54B20">
          <w:rPr>
            <w:noProof/>
            <w:webHidden/>
          </w:rPr>
          <w:instrText xml:space="preserve"> PAGEREF _Toc418172708 \h </w:instrText>
        </w:r>
        <w:r>
          <w:rPr>
            <w:noProof/>
            <w:webHidden/>
          </w:rPr>
        </w:r>
        <w:r>
          <w:rPr>
            <w:noProof/>
            <w:webHidden/>
          </w:rPr>
          <w:fldChar w:fldCharType="separate"/>
        </w:r>
        <w:r w:rsidR="00CE295A">
          <w:rPr>
            <w:noProof/>
            <w:webHidden/>
          </w:rPr>
          <w:t>117</w:t>
        </w:r>
        <w:r>
          <w:rPr>
            <w:noProof/>
            <w:webHidden/>
          </w:rPr>
          <w:fldChar w:fldCharType="end"/>
        </w:r>
      </w:hyperlink>
    </w:p>
    <w:p w:rsidR="00E54B20" w:rsidRDefault="006B5A61" w:rsidP="00416DC9">
      <w:pPr>
        <w:pStyle w:val="TOC1"/>
        <w:tabs>
          <w:tab w:val="clear" w:pos="357"/>
          <w:tab w:val="left" w:pos="142"/>
        </w:tabs>
        <w:ind w:left="284" w:firstLine="0"/>
        <w:rPr>
          <w:rFonts w:asciiTheme="minorHAnsi" w:eastAsiaTheme="minorEastAsia" w:hAnsiTheme="minorHAnsi" w:cstheme="minorBidi"/>
          <w:b w:val="0"/>
          <w:bCs w:val="0"/>
          <w:noProof/>
          <w:sz w:val="22"/>
          <w:szCs w:val="22"/>
          <w:lang w:eastAsia="en-AU"/>
        </w:rPr>
      </w:pPr>
      <w:hyperlink w:anchor="_Toc418172709" w:history="1">
        <w:r w:rsidR="00E54B20" w:rsidRPr="007B6CE4">
          <w:rPr>
            <w:rStyle w:val="Hyperlink"/>
            <w:noProof/>
          </w:rPr>
          <w:t xml:space="preserve">Environmental factors associated with toxicity monitoring </w:t>
        </w:r>
        <w:r w:rsidR="00416DC9">
          <w:rPr>
            <w:rStyle w:val="Hyperlink"/>
            <w:noProof/>
          </w:rPr>
          <w:br/>
        </w:r>
        <w:r w:rsidR="00E54B20" w:rsidRPr="007B6CE4">
          <w:rPr>
            <w:rStyle w:val="Hyperlink"/>
            <w:noProof/>
          </w:rPr>
          <w:t>in Magela and Gulungul Creeks</w:t>
        </w:r>
        <w:r w:rsidR="00E54B20">
          <w:rPr>
            <w:noProof/>
            <w:webHidden/>
          </w:rPr>
          <w:tab/>
        </w:r>
        <w:r>
          <w:rPr>
            <w:noProof/>
            <w:webHidden/>
          </w:rPr>
          <w:fldChar w:fldCharType="begin"/>
        </w:r>
        <w:r w:rsidR="00E54B20">
          <w:rPr>
            <w:noProof/>
            <w:webHidden/>
          </w:rPr>
          <w:instrText xml:space="preserve"> PAGEREF _Toc418172709 \h </w:instrText>
        </w:r>
        <w:r>
          <w:rPr>
            <w:noProof/>
            <w:webHidden/>
          </w:rPr>
        </w:r>
        <w:r>
          <w:rPr>
            <w:noProof/>
            <w:webHidden/>
          </w:rPr>
          <w:fldChar w:fldCharType="separate"/>
        </w:r>
        <w:r w:rsidR="00CE295A">
          <w:rPr>
            <w:noProof/>
            <w:webHidden/>
          </w:rPr>
          <w:t>123</w:t>
        </w:r>
        <w:r>
          <w:rPr>
            <w:noProof/>
            <w:webHidden/>
          </w:rPr>
          <w:fldChar w:fldCharType="end"/>
        </w:r>
      </w:hyperlink>
    </w:p>
    <w:p w:rsidR="00E54B20" w:rsidRDefault="006B5A61">
      <w:pPr>
        <w:pStyle w:val="TOC1"/>
        <w:rPr>
          <w:rFonts w:asciiTheme="minorHAnsi" w:eastAsiaTheme="minorEastAsia" w:hAnsiTheme="minorHAnsi" w:cstheme="minorBidi"/>
          <w:b w:val="0"/>
          <w:bCs w:val="0"/>
          <w:noProof/>
          <w:sz w:val="22"/>
          <w:szCs w:val="22"/>
          <w:lang w:eastAsia="en-AU"/>
        </w:rPr>
      </w:pPr>
      <w:hyperlink w:anchor="_Toc418172710" w:history="1">
        <w:r w:rsidR="00E54B20" w:rsidRPr="007B6CE4">
          <w:rPr>
            <w:rStyle w:val="Hyperlink"/>
            <w:rFonts w:cs="Arial"/>
            <w:noProof/>
          </w:rPr>
          <w:t>Part 2: Ranger – Rehabilitation</w:t>
        </w:r>
        <w:r w:rsidR="00E54B20">
          <w:rPr>
            <w:noProof/>
            <w:webHidden/>
          </w:rPr>
          <w:tab/>
        </w:r>
      </w:hyperlink>
    </w:p>
    <w:p w:rsidR="00E54B20" w:rsidRDefault="006B5A61">
      <w:pPr>
        <w:pStyle w:val="TOC1"/>
        <w:rPr>
          <w:rFonts w:asciiTheme="minorHAnsi" w:eastAsiaTheme="minorEastAsia" w:hAnsiTheme="minorHAnsi" w:cstheme="minorBidi"/>
          <w:b w:val="0"/>
          <w:bCs w:val="0"/>
          <w:noProof/>
          <w:sz w:val="22"/>
          <w:szCs w:val="22"/>
          <w:lang w:eastAsia="en-AU"/>
        </w:rPr>
      </w:pPr>
      <w:hyperlink w:anchor="_Toc418172711" w:history="1">
        <w:r w:rsidR="00E54B20" w:rsidRPr="007B6CE4">
          <w:rPr>
            <w:rStyle w:val="Hyperlink"/>
            <w:noProof/>
          </w:rPr>
          <w:t>K</w:t>
        </w:r>
        <w:r w:rsidR="00E54B20">
          <w:rPr>
            <w:rStyle w:val="Hyperlink"/>
            <w:noProof/>
          </w:rPr>
          <w:t>KN</w:t>
        </w:r>
        <w:r w:rsidR="00E54B20" w:rsidRPr="007B6CE4">
          <w:rPr>
            <w:rStyle w:val="Hyperlink"/>
            <w:noProof/>
          </w:rPr>
          <w:t xml:space="preserve"> 2.2: Landform design</w:t>
        </w:r>
        <w:r w:rsidR="00E54B20">
          <w:rPr>
            <w:noProof/>
            <w:webHidden/>
          </w:rPr>
          <w:tab/>
        </w:r>
      </w:hyperlink>
    </w:p>
    <w:p w:rsidR="00E54B20" w:rsidRDefault="006B5A61" w:rsidP="00416DC9">
      <w:pPr>
        <w:pStyle w:val="TOC1"/>
        <w:tabs>
          <w:tab w:val="clear" w:pos="357"/>
        </w:tabs>
        <w:ind w:left="284" w:firstLine="0"/>
        <w:rPr>
          <w:rFonts w:asciiTheme="minorHAnsi" w:eastAsiaTheme="minorEastAsia" w:hAnsiTheme="minorHAnsi" w:cstheme="minorBidi"/>
          <w:b w:val="0"/>
          <w:bCs w:val="0"/>
          <w:noProof/>
          <w:sz w:val="22"/>
          <w:szCs w:val="22"/>
          <w:lang w:eastAsia="en-AU"/>
        </w:rPr>
      </w:pPr>
      <w:hyperlink w:anchor="_Toc418172712" w:history="1">
        <w:r w:rsidR="00E54B20" w:rsidRPr="007B6CE4">
          <w:rPr>
            <w:rStyle w:val="Hyperlink"/>
            <w:noProof/>
            <w:lang w:val="en-US"/>
          </w:rPr>
          <w:t>Sediment losses from the trial landform</w:t>
        </w:r>
        <w:r w:rsidR="00E54B20">
          <w:rPr>
            <w:noProof/>
            <w:webHidden/>
          </w:rPr>
          <w:tab/>
        </w:r>
        <w:r>
          <w:rPr>
            <w:noProof/>
            <w:webHidden/>
          </w:rPr>
          <w:fldChar w:fldCharType="begin"/>
        </w:r>
        <w:r w:rsidR="00E54B20">
          <w:rPr>
            <w:noProof/>
            <w:webHidden/>
          </w:rPr>
          <w:instrText xml:space="preserve"> PAGEREF _Toc418172712 \h </w:instrText>
        </w:r>
        <w:r>
          <w:rPr>
            <w:noProof/>
            <w:webHidden/>
          </w:rPr>
        </w:r>
        <w:r>
          <w:rPr>
            <w:noProof/>
            <w:webHidden/>
          </w:rPr>
          <w:fldChar w:fldCharType="separate"/>
        </w:r>
        <w:r w:rsidR="00CE295A">
          <w:rPr>
            <w:noProof/>
            <w:webHidden/>
          </w:rPr>
          <w:t>131</w:t>
        </w:r>
        <w:r>
          <w:rPr>
            <w:noProof/>
            <w:webHidden/>
          </w:rPr>
          <w:fldChar w:fldCharType="end"/>
        </w:r>
      </w:hyperlink>
    </w:p>
    <w:p w:rsidR="00E54B20" w:rsidRDefault="006B5A61" w:rsidP="00416DC9">
      <w:pPr>
        <w:pStyle w:val="TOC1"/>
        <w:tabs>
          <w:tab w:val="clear" w:pos="357"/>
        </w:tabs>
        <w:ind w:left="284" w:firstLine="0"/>
        <w:rPr>
          <w:rFonts w:asciiTheme="minorHAnsi" w:eastAsiaTheme="minorEastAsia" w:hAnsiTheme="minorHAnsi" w:cstheme="minorBidi"/>
          <w:b w:val="0"/>
          <w:bCs w:val="0"/>
          <w:noProof/>
          <w:sz w:val="22"/>
          <w:szCs w:val="22"/>
          <w:lang w:eastAsia="en-AU"/>
        </w:rPr>
      </w:pPr>
      <w:hyperlink w:anchor="_Toc418172713" w:history="1">
        <w:r w:rsidR="00E54B20" w:rsidRPr="007B6CE4">
          <w:rPr>
            <w:rStyle w:val="Hyperlink"/>
            <w:noProof/>
          </w:rPr>
          <w:t>A multi-year assessment of landform evolution model predictions for a trial rehabilitated landform</w:t>
        </w:r>
        <w:r w:rsidR="00E54B20">
          <w:rPr>
            <w:noProof/>
            <w:webHidden/>
          </w:rPr>
          <w:tab/>
        </w:r>
        <w:r>
          <w:rPr>
            <w:noProof/>
            <w:webHidden/>
          </w:rPr>
          <w:fldChar w:fldCharType="begin"/>
        </w:r>
        <w:r w:rsidR="00E54B20">
          <w:rPr>
            <w:noProof/>
            <w:webHidden/>
          </w:rPr>
          <w:instrText xml:space="preserve"> PAGEREF _Toc418172713 \h </w:instrText>
        </w:r>
        <w:r>
          <w:rPr>
            <w:noProof/>
            <w:webHidden/>
          </w:rPr>
        </w:r>
        <w:r>
          <w:rPr>
            <w:noProof/>
            <w:webHidden/>
          </w:rPr>
          <w:fldChar w:fldCharType="separate"/>
        </w:r>
        <w:r w:rsidR="00CE295A">
          <w:rPr>
            <w:noProof/>
            <w:webHidden/>
          </w:rPr>
          <w:t>141</w:t>
        </w:r>
        <w:r>
          <w:rPr>
            <w:noProof/>
            <w:webHidden/>
          </w:rPr>
          <w:fldChar w:fldCharType="end"/>
        </w:r>
      </w:hyperlink>
    </w:p>
    <w:p w:rsidR="00E54B20" w:rsidRDefault="006B5A61" w:rsidP="00416DC9">
      <w:pPr>
        <w:pStyle w:val="TOC1"/>
        <w:tabs>
          <w:tab w:val="clear" w:pos="357"/>
        </w:tabs>
        <w:ind w:left="284" w:firstLine="0"/>
        <w:rPr>
          <w:rFonts w:asciiTheme="minorHAnsi" w:eastAsiaTheme="minorEastAsia" w:hAnsiTheme="minorHAnsi" w:cstheme="minorBidi"/>
          <w:b w:val="0"/>
          <w:bCs w:val="0"/>
          <w:noProof/>
          <w:sz w:val="22"/>
          <w:szCs w:val="22"/>
          <w:lang w:eastAsia="en-AU"/>
        </w:rPr>
      </w:pPr>
      <w:hyperlink w:anchor="_Toc418172714" w:history="1">
        <w:r w:rsidR="00E54B20" w:rsidRPr="007B6CE4">
          <w:rPr>
            <w:rStyle w:val="Hyperlink"/>
            <w:noProof/>
          </w:rPr>
          <w:t>Use of slackwater deposits and other forms of geologic evidence to determine the number, magnitude and frequency of palaeofloods in the Alligator Rivers Region</w:t>
        </w:r>
        <w:r w:rsidR="00E54B20">
          <w:rPr>
            <w:noProof/>
            <w:webHidden/>
          </w:rPr>
          <w:tab/>
        </w:r>
        <w:r>
          <w:rPr>
            <w:noProof/>
            <w:webHidden/>
          </w:rPr>
          <w:fldChar w:fldCharType="begin"/>
        </w:r>
        <w:r w:rsidR="00E54B20">
          <w:rPr>
            <w:noProof/>
            <w:webHidden/>
          </w:rPr>
          <w:instrText xml:space="preserve"> PAGEREF _Toc418172714 \h </w:instrText>
        </w:r>
        <w:r>
          <w:rPr>
            <w:noProof/>
            <w:webHidden/>
          </w:rPr>
        </w:r>
        <w:r>
          <w:rPr>
            <w:noProof/>
            <w:webHidden/>
          </w:rPr>
          <w:fldChar w:fldCharType="separate"/>
        </w:r>
        <w:r w:rsidR="00CE295A">
          <w:rPr>
            <w:noProof/>
            <w:webHidden/>
          </w:rPr>
          <w:t>147</w:t>
        </w:r>
        <w:r>
          <w:rPr>
            <w:noProof/>
            <w:webHidden/>
          </w:rPr>
          <w:fldChar w:fldCharType="end"/>
        </w:r>
      </w:hyperlink>
    </w:p>
    <w:p w:rsidR="00E54B20" w:rsidRDefault="006B5A61" w:rsidP="00416DC9">
      <w:pPr>
        <w:pStyle w:val="TOC1"/>
        <w:tabs>
          <w:tab w:val="clear" w:pos="357"/>
        </w:tabs>
        <w:ind w:left="284" w:firstLine="0"/>
        <w:rPr>
          <w:rFonts w:asciiTheme="minorHAnsi" w:eastAsiaTheme="minorEastAsia" w:hAnsiTheme="minorHAnsi" w:cstheme="minorBidi"/>
          <w:b w:val="0"/>
          <w:bCs w:val="0"/>
          <w:noProof/>
          <w:sz w:val="22"/>
          <w:szCs w:val="22"/>
          <w:lang w:eastAsia="en-AU"/>
        </w:rPr>
      </w:pPr>
      <w:hyperlink w:anchor="_Toc418172715" w:history="1">
        <w:r w:rsidR="00E54B20" w:rsidRPr="007B6CE4">
          <w:rPr>
            <w:rStyle w:val="Hyperlink"/>
            <w:noProof/>
          </w:rPr>
          <w:t>Sediment movement in Magela Creek Catchment</w:t>
        </w:r>
        <w:r w:rsidR="00E54B20">
          <w:rPr>
            <w:noProof/>
            <w:webHidden/>
          </w:rPr>
          <w:tab/>
        </w:r>
        <w:r>
          <w:rPr>
            <w:noProof/>
            <w:webHidden/>
          </w:rPr>
          <w:fldChar w:fldCharType="begin"/>
        </w:r>
        <w:r w:rsidR="00E54B20">
          <w:rPr>
            <w:noProof/>
            <w:webHidden/>
          </w:rPr>
          <w:instrText xml:space="preserve"> PAGEREF _Toc418172715 \h </w:instrText>
        </w:r>
        <w:r>
          <w:rPr>
            <w:noProof/>
            <w:webHidden/>
          </w:rPr>
        </w:r>
        <w:r>
          <w:rPr>
            <w:noProof/>
            <w:webHidden/>
          </w:rPr>
          <w:fldChar w:fldCharType="separate"/>
        </w:r>
        <w:r w:rsidR="00CE295A">
          <w:rPr>
            <w:noProof/>
            <w:webHidden/>
          </w:rPr>
          <w:t>154</w:t>
        </w:r>
        <w:r>
          <w:rPr>
            <w:noProof/>
            <w:webHidden/>
          </w:rPr>
          <w:fldChar w:fldCharType="end"/>
        </w:r>
      </w:hyperlink>
    </w:p>
    <w:p w:rsidR="00E54B20" w:rsidRDefault="006B5A61" w:rsidP="00416DC9">
      <w:pPr>
        <w:pStyle w:val="TOC1"/>
        <w:tabs>
          <w:tab w:val="clear" w:pos="357"/>
        </w:tabs>
        <w:ind w:left="284" w:firstLine="0"/>
        <w:rPr>
          <w:rFonts w:asciiTheme="minorHAnsi" w:eastAsiaTheme="minorEastAsia" w:hAnsiTheme="minorHAnsi" w:cstheme="minorBidi"/>
          <w:b w:val="0"/>
          <w:bCs w:val="0"/>
          <w:noProof/>
          <w:sz w:val="22"/>
          <w:szCs w:val="22"/>
          <w:lang w:eastAsia="en-AU"/>
        </w:rPr>
      </w:pPr>
      <w:hyperlink w:anchor="_Toc418172716" w:history="1">
        <w:r w:rsidR="00E54B20" w:rsidRPr="007B6CE4">
          <w:rPr>
            <w:rStyle w:val="Hyperlink"/>
            <w:noProof/>
          </w:rPr>
          <w:t>Radon exhalation from a rehabilitated landform</w:t>
        </w:r>
        <w:r w:rsidR="00E54B20">
          <w:rPr>
            <w:noProof/>
            <w:webHidden/>
          </w:rPr>
          <w:tab/>
        </w:r>
        <w:r>
          <w:rPr>
            <w:noProof/>
            <w:webHidden/>
          </w:rPr>
          <w:fldChar w:fldCharType="begin"/>
        </w:r>
        <w:r w:rsidR="00E54B20">
          <w:rPr>
            <w:noProof/>
            <w:webHidden/>
          </w:rPr>
          <w:instrText xml:space="preserve"> PAGEREF _Toc418172716 \h </w:instrText>
        </w:r>
        <w:r>
          <w:rPr>
            <w:noProof/>
            <w:webHidden/>
          </w:rPr>
        </w:r>
        <w:r>
          <w:rPr>
            <w:noProof/>
            <w:webHidden/>
          </w:rPr>
          <w:fldChar w:fldCharType="separate"/>
        </w:r>
        <w:r w:rsidR="00CE295A">
          <w:rPr>
            <w:noProof/>
            <w:webHidden/>
          </w:rPr>
          <w:t>156</w:t>
        </w:r>
        <w:r>
          <w:rPr>
            <w:noProof/>
            <w:webHidden/>
          </w:rPr>
          <w:fldChar w:fldCharType="end"/>
        </w:r>
      </w:hyperlink>
    </w:p>
    <w:p w:rsidR="00E54B20" w:rsidRDefault="006B5A61" w:rsidP="00416DC9">
      <w:pPr>
        <w:pStyle w:val="TOC1"/>
        <w:tabs>
          <w:tab w:val="clear" w:pos="357"/>
        </w:tabs>
        <w:ind w:left="284" w:firstLine="0"/>
        <w:rPr>
          <w:rFonts w:asciiTheme="minorHAnsi" w:eastAsiaTheme="minorEastAsia" w:hAnsiTheme="minorHAnsi" w:cstheme="minorBidi"/>
          <w:b w:val="0"/>
          <w:bCs w:val="0"/>
          <w:noProof/>
          <w:sz w:val="22"/>
          <w:szCs w:val="22"/>
          <w:lang w:eastAsia="en-AU"/>
        </w:rPr>
      </w:pPr>
      <w:hyperlink w:anchor="_Toc418172717" w:history="1">
        <w:r w:rsidR="00E54B20" w:rsidRPr="007B6CE4">
          <w:rPr>
            <w:rStyle w:val="Hyperlink"/>
            <w:noProof/>
          </w:rPr>
          <w:t>Radionuclide fluxes from the Ranger Trial Landform</w:t>
        </w:r>
        <w:r w:rsidR="00E54B20">
          <w:rPr>
            <w:noProof/>
            <w:webHidden/>
          </w:rPr>
          <w:tab/>
        </w:r>
        <w:r>
          <w:rPr>
            <w:noProof/>
            <w:webHidden/>
          </w:rPr>
          <w:fldChar w:fldCharType="begin"/>
        </w:r>
        <w:r w:rsidR="00E54B20">
          <w:rPr>
            <w:noProof/>
            <w:webHidden/>
          </w:rPr>
          <w:instrText xml:space="preserve"> PAGEREF _Toc418172717 \h </w:instrText>
        </w:r>
        <w:r>
          <w:rPr>
            <w:noProof/>
            <w:webHidden/>
          </w:rPr>
        </w:r>
        <w:r>
          <w:rPr>
            <w:noProof/>
            <w:webHidden/>
          </w:rPr>
          <w:fldChar w:fldCharType="separate"/>
        </w:r>
        <w:r w:rsidR="00CE295A">
          <w:rPr>
            <w:noProof/>
            <w:webHidden/>
          </w:rPr>
          <w:t>160</w:t>
        </w:r>
        <w:r>
          <w:rPr>
            <w:noProof/>
            <w:webHidden/>
          </w:rPr>
          <w:fldChar w:fldCharType="end"/>
        </w:r>
      </w:hyperlink>
    </w:p>
    <w:p w:rsidR="00E54B20" w:rsidRDefault="006B5A61">
      <w:pPr>
        <w:pStyle w:val="TOC1"/>
        <w:rPr>
          <w:rFonts w:asciiTheme="minorHAnsi" w:eastAsiaTheme="minorEastAsia" w:hAnsiTheme="minorHAnsi" w:cstheme="minorBidi"/>
          <w:b w:val="0"/>
          <w:bCs w:val="0"/>
          <w:noProof/>
          <w:sz w:val="22"/>
          <w:szCs w:val="22"/>
          <w:lang w:eastAsia="en-AU"/>
        </w:rPr>
      </w:pPr>
      <w:hyperlink w:anchor="_Toc418172718" w:history="1">
        <w:r w:rsidR="00E54B20" w:rsidRPr="007B6CE4">
          <w:rPr>
            <w:rStyle w:val="Hyperlink"/>
            <w:noProof/>
          </w:rPr>
          <w:t>K</w:t>
        </w:r>
        <w:r w:rsidR="00E54B20">
          <w:rPr>
            <w:rStyle w:val="Hyperlink"/>
            <w:noProof/>
          </w:rPr>
          <w:t>KN</w:t>
        </w:r>
        <w:r w:rsidR="00E54B20" w:rsidRPr="007B6CE4">
          <w:rPr>
            <w:rStyle w:val="Hyperlink"/>
            <w:noProof/>
          </w:rPr>
          <w:t xml:space="preserve"> 2.5: Ecosystem establishment</w:t>
        </w:r>
        <w:r w:rsidR="00E54B20">
          <w:rPr>
            <w:noProof/>
            <w:webHidden/>
          </w:rPr>
          <w:tab/>
        </w:r>
      </w:hyperlink>
    </w:p>
    <w:p w:rsidR="00E54B20" w:rsidRDefault="006B5A61" w:rsidP="00416DC9">
      <w:pPr>
        <w:pStyle w:val="TOC1"/>
        <w:tabs>
          <w:tab w:val="clear" w:pos="357"/>
          <w:tab w:val="left" w:pos="0"/>
        </w:tabs>
        <w:ind w:left="284" w:firstLine="0"/>
        <w:rPr>
          <w:rFonts w:asciiTheme="minorHAnsi" w:eastAsiaTheme="minorEastAsia" w:hAnsiTheme="minorHAnsi" w:cstheme="minorBidi"/>
          <w:b w:val="0"/>
          <w:bCs w:val="0"/>
          <w:noProof/>
          <w:sz w:val="22"/>
          <w:szCs w:val="22"/>
          <w:lang w:eastAsia="en-AU"/>
        </w:rPr>
      </w:pPr>
      <w:hyperlink w:anchor="_Toc418172719" w:history="1">
        <w:r w:rsidR="00E54B20" w:rsidRPr="007B6CE4">
          <w:rPr>
            <w:rStyle w:val="Hyperlink"/>
            <w:noProof/>
          </w:rPr>
          <w:t>Developing water quality closure criteria for Ranger billabongs using macroinvertebrate community data</w:t>
        </w:r>
        <w:r w:rsidR="00E54B20">
          <w:rPr>
            <w:noProof/>
            <w:webHidden/>
          </w:rPr>
          <w:tab/>
        </w:r>
        <w:r>
          <w:rPr>
            <w:noProof/>
            <w:webHidden/>
          </w:rPr>
          <w:fldChar w:fldCharType="begin"/>
        </w:r>
        <w:r w:rsidR="00E54B20">
          <w:rPr>
            <w:noProof/>
            <w:webHidden/>
          </w:rPr>
          <w:instrText xml:space="preserve"> PAGEREF _Toc418172719 \h </w:instrText>
        </w:r>
        <w:r>
          <w:rPr>
            <w:noProof/>
            <w:webHidden/>
          </w:rPr>
        </w:r>
        <w:r>
          <w:rPr>
            <w:noProof/>
            <w:webHidden/>
          </w:rPr>
          <w:fldChar w:fldCharType="separate"/>
        </w:r>
        <w:r w:rsidR="00CE295A">
          <w:rPr>
            <w:noProof/>
            <w:webHidden/>
          </w:rPr>
          <w:t>166</w:t>
        </w:r>
        <w:r>
          <w:rPr>
            <w:noProof/>
            <w:webHidden/>
          </w:rPr>
          <w:fldChar w:fldCharType="end"/>
        </w:r>
      </w:hyperlink>
    </w:p>
    <w:p w:rsidR="00E54B20" w:rsidRDefault="006B5A61" w:rsidP="00416DC9">
      <w:pPr>
        <w:pStyle w:val="TOC1"/>
        <w:tabs>
          <w:tab w:val="clear" w:pos="357"/>
          <w:tab w:val="left" w:pos="0"/>
        </w:tabs>
        <w:ind w:left="284" w:firstLine="0"/>
        <w:rPr>
          <w:rFonts w:asciiTheme="minorHAnsi" w:eastAsiaTheme="minorEastAsia" w:hAnsiTheme="minorHAnsi" w:cstheme="minorBidi"/>
          <w:b w:val="0"/>
          <w:bCs w:val="0"/>
          <w:noProof/>
          <w:sz w:val="22"/>
          <w:szCs w:val="22"/>
          <w:lang w:eastAsia="en-AU"/>
        </w:rPr>
      </w:pPr>
      <w:hyperlink w:anchor="_Toc418172720" w:history="1">
        <w:r w:rsidR="00E54B20" w:rsidRPr="007B6CE4">
          <w:rPr>
            <w:rStyle w:val="Hyperlink"/>
            <w:noProof/>
          </w:rPr>
          <w:t>Development of turbidity closure criteria for receiving surface waters following Ranger minesite rehabilitation</w:t>
        </w:r>
        <w:r w:rsidR="00E54B20">
          <w:rPr>
            <w:noProof/>
            <w:webHidden/>
          </w:rPr>
          <w:tab/>
        </w:r>
        <w:r>
          <w:rPr>
            <w:noProof/>
            <w:webHidden/>
          </w:rPr>
          <w:fldChar w:fldCharType="begin"/>
        </w:r>
        <w:r w:rsidR="00E54B20">
          <w:rPr>
            <w:noProof/>
            <w:webHidden/>
          </w:rPr>
          <w:instrText xml:space="preserve"> PAGEREF _Toc418172720 \h </w:instrText>
        </w:r>
        <w:r>
          <w:rPr>
            <w:noProof/>
            <w:webHidden/>
          </w:rPr>
        </w:r>
        <w:r>
          <w:rPr>
            <w:noProof/>
            <w:webHidden/>
          </w:rPr>
          <w:fldChar w:fldCharType="separate"/>
        </w:r>
        <w:r w:rsidR="00CE295A">
          <w:rPr>
            <w:noProof/>
            <w:webHidden/>
          </w:rPr>
          <w:t>181</w:t>
        </w:r>
        <w:r>
          <w:rPr>
            <w:noProof/>
            <w:webHidden/>
          </w:rPr>
          <w:fldChar w:fldCharType="end"/>
        </w:r>
      </w:hyperlink>
    </w:p>
    <w:p w:rsidR="00E54B20" w:rsidRDefault="006B5A61" w:rsidP="00416DC9">
      <w:pPr>
        <w:pStyle w:val="TOC1"/>
        <w:tabs>
          <w:tab w:val="clear" w:pos="357"/>
          <w:tab w:val="left" w:pos="0"/>
        </w:tabs>
        <w:ind w:left="284" w:firstLine="0"/>
        <w:rPr>
          <w:rFonts w:asciiTheme="minorHAnsi" w:eastAsiaTheme="minorEastAsia" w:hAnsiTheme="minorHAnsi" w:cstheme="minorBidi"/>
          <w:b w:val="0"/>
          <w:bCs w:val="0"/>
          <w:noProof/>
          <w:sz w:val="22"/>
          <w:szCs w:val="22"/>
          <w:lang w:eastAsia="en-AU"/>
        </w:rPr>
      </w:pPr>
      <w:hyperlink w:anchor="_Toc418172721" w:history="1">
        <w:r w:rsidR="00E54B20" w:rsidRPr="007B6CE4">
          <w:rPr>
            <w:rStyle w:val="Hyperlink"/>
            <w:noProof/>
          </w:rPr>
          <w:t>Aquatic ecosystem establishment</w:t>
        </w:r>
        <w:r w:rsidR="00E54B20">
          <w:rPr>
            <w:noProof/>
            <w:webHidden/>
          </w:rPr>
          <w:tab/>
        </w:r>
        <w:r>
          <w:rPr>
            <w:noProof/>
            <w:webHidden/>
          </w:rPr>
          <w:fldChar w:fldCharType="begin"/>
        </w:r>
        <w:r w:rsidR="00E54B20">
          <w:rPr>
            <w:noProof/>
            <w:webHidden/>
          </w:rPr>
          <w:instrText xml:space="preserve"> PAGEREF _Toc418172721 \h </w:instrText>
        </w:r>
        <w:r>
          <w:rPr>
            <w:noProof/>
            <w:webHidden/>
          </w:rPr>
        </w:r>
        <w:r>
          <w:rPr>
            <w:noProof/>
            <w:webHidden/>
          </w:rPr>
          <w:fldChar w:fldCharType="separate"/>
        </w:r>
        <w:r w:rsidR="00CE295A">
          <w:rPr>
            <w:noProof/>
            <w:webHidden/>
          </w:rPr>
          <w:t>187</w:t>
        </w:r>
        <w:r>
          <w:rPr>
            <w:noProof/>
            <w:webHidden/>
          </w:rPr>
          <w:fldChar w:fldCharType="end"/>
        </w:r>
      </w:hyperlink>
    </w:p>
    <w:p w:rsidR="00E54B20" w:rsidRDefault="006B5A61" w:rsidP="00416DC9">
      <w:pPr>
        <w:pStyle w:val="TOC1"/>
        <w:tabs>
          <w:tab w:val="clear" w:pos="357"/>
          <w:tab w:val="left" w:pos="0"/>
        </w:tabs>
        <w:ind w:left="284" w:firstLine="0"/>
        <w:rPr>
          <w:rFonts w:asciiTheme="minorHAnsi" w:eastAsiaTheme="minorEastAsia" w:hAnsiTheme="minorHAnsi" w:cstheme="minorBidi"/>
          <w:b w:val="0"/>
          <w:bCs w:val="0"/>
          <w:noProof/>
          <w:sz w:val="22"/>
          <w:szCs w:val="22"/>
          <w:lang w:eastAsia="en-AU"/>
        </w:rPr>
      </w:pPr>
      <w:hyperlink w:anchor="_Toc418172722" w:history="1">
        <w:r w:rsidR="00E54B20" w:rsidRPr="007B6CE4">
          <w:rPr>
            <w:rStyle w:val="Hyperlink"/>
            <w:noProof/>
          </w:rPr>
          <w:t>Ranger revegetation</w:t>
        </w:r>
        <w:r w:rsidR="00E54B20">
          <w:rPr>
            <w:noProof/>
            <w:webHidden/>
          </w:rPr>
          <w:tab/>
        </w:r>
        <w:r>
          <w:rPr>
            <w:noProof/>
            <w:webHidden/>
          </w:rPr>
          <w:fldChar w:fldCharType="begin"/>
        </w:r>
        <w:r w:rsidR="00E54B20">
          <w:rPr>
            <w:noProof/>
            <w:webHidden/>
          </w:rPr>
          <w:instrText xml:space="preserve"> PAGEREF _Toc418172722 \h </w:instrText>
        </w:r>
        <w:r>
          <w:rPr>
            <w:noProof/>
            <w:webHidden/>
          </w:rPr>
        </w:r>
        <w:r>
          <w:rPr>
            <w:noProof/>
            <w:webHidden/>
          </w:rPr>
          <w:fldChar w:fldCharType="separate"/>
        </w:r>
        <w:r w:rsidR="00CE295A">
          <w:rPr>
            <w:noProof/>
            <w:webHidden/>
          </w:rPr>
          <w:t>191</w:t>
        </w:r>
        <w:r>
          <w:rPr>
            <w:noProof/>
            <w:webHidden/>
          </w:rPr>
          <w:fldChar w:fldCharType="end"/>
        </w:r>
      </w:hyperlink>
    </w:p>
    <w:p w:rsidR="00E54B20" w:rsidRDefault="006B5A61" w:rsidP="00416DC9">
      <w:pPr>
        <w:pStyle w:val="TOC1"/>
        <w:tabs>
          <w:tab w:val="clear" w:pos="357"/>
          <w:tab w:val="left" w:pos="0"/>
        </w:tabs>
        <w:ind w:left="284" w:firstLine="0"/>
        <w:rPr>
          <w:rFonts w:asciiTheme="minorHAnsi" w:eastAsiaTheme="minorEastAsia" w:hAnsiTheme="minorHAnsi" w:cstheme="minorBidi"/>
          <w:b w:val="0"/>
          <w:bCs w:val="0"/>
          <w:noProof/>
          <w:sz w:val="22"/>
          <w:szCs w:val="22"/>
          <w:lang w:eastAsia="en-AU"/>
        </w:rPr>
      </w:pPr>
      <w:hyperlink w:anchor="_Toc418172723" w:history="1">
        <w:r w:rsidR="00E54B20" w:rsidRPr="007B6CE4">
          <w:rPr>
            <w:rStyle w:val="Hyperlink"/>
            <w:noProof/>
            <w:lang w:val="en-US"/>
          </w:rPr>
          <w:t>Post-rehabilitation radiation exposure due to Aboriginal bush foods from terrestrial ecosystems</w:t>
        </w:r>
        <w:r w:rsidR="00E54B20">
          <w:rPr>
            <w:noProof/>
            <w:webHidden/>
          </w:rPr>
          <w:tab/>
        </w:r>
        <w:r>
          <w:rPr>
            <w:noProof/>
            <w:webHidden/>
          </w:rPr>
          <w:fldChar w:fldCharType="begin"/>
        </w:r>
        <w:r w:rsidR="00E54B20">
          <w:rPr>
            <w:noProof/>
            <w:webHidden/>
          </w:rPr>
          <w:instrText xml:space="preserve"> PAGEREF _Toc418172723 \h </w:instrText>
        </w:r>
        <w:r>
          <w:rPr>
            <w:noProof/>
            <w:webHidden/>
          </w:rPr>
        </w:r>
        <w:r>
          <w:rPr>
            <w:noProof/>
            <w:webHidden/>
          </w:rPr>
          <w:fldChar w:fldCharType="separate"/>
        </w:r>
        <w:r w:rsidR="00CE295A">
          <w:rPr>
            <w:noProof/>
            <w:webHidden/>
          </w:rPr>
          <w:t>199</w:t>
        </w:r>
        <w:r>
          <w:rPr>
            <w:noProof/>
            <w:webHidden/>
          </w:rPr>
          <w:fldChar w:fldCharType="end"/>
        </w:r>
      </w:hyperlink>
    </w:p>
    <w:p w:rsidR="00E54B20" w:rsidRDefault="006B5A61" w:rsidP="00416DC9">
      <w:pPr>
        <w:pStyle w:val="TOC1"/>
        <w:tabs>
          <w:tab w:val="clear" w:pos="357"/>
          <w:tab w:val="left" w:pos="0"/>
        </w:tabs>
        <w:ind w:left="284" w:firstLine="0"/>
        <w:rPr>
          <w:rFonts w:asciiTheme="minorHAnsi" w:eastAsiaTheme="minorEastAsia" w:hAnsiTheme="minorHAnsi" w:cstheme="minorBidi"/>
          <w:b w:val="0"/>
          <w:bCs w:val="0"/>
          <w:noProof/>
          <w:sz w:val="22"/>
          <w:szCs w:val="22"/>
          <w:lang w:eastAsia="en-AU"/>
        </w:rPr>
      </w:pPr>
      <w:hyperlink w:anchor="_Toc418172724" w:history="1">
        <w:r w:rsidR="00E54B20" w:rsidRPr="007B6CE4">
          <w:rPr>
            <w:rStyle w:val="Hyperlink"/>
            <w:noProof/>
          </w:rPr>
          <w:t>A catalogue of traditional plant foods in Kakadu National Park</w:t>
        </w:r>
        <w:r w:rsidR="00E54B20">
          <w:rPr>
            <w:noProof/>
            <w:webHidden/>
          </w:rPr>
          <w:tab/>
        </w:r>
        <w:r>
          <w:rPr>
            <w:noProof/>
            <w:webHidden/>
          </w:rPr>
          <w:fldChar w:fldCharType="begin"/>
        </w:r>
        <w:r w:rsidR="00E54B20">
          <w:rPr>
            <w:noProof/>
            <w:webHidden/>
          </w:rPr>
          <w:instrText xml:space="preserve"> PAGEREF _Toc418172724 \h </w:instrText>
        </w:r>
        <w:r>
          <w:rPr>
            <w:noProof/>
            <w:webHidden/>
          </w:rPr>
        </w:r>
        <w:r>
          <w:rPr>
            <w:noProof/>
            <w:webHidden/>
          </w:rPr>
          <w:fldChar w:fldCharType="separate"/>
        </w:r>
        <w:r w:rsidR="00CE295A">
          <w:rPr>
            <w:noProof/>
            <w:webHidden/>
          </w:rPr>
          <w:t>206</w:t>
        </w:r>
        <w:r>
          <w:rPr>
            <w:noProof/>
            <w:webHidden/>
          </w:rPr>
          <w:fldChar w:fldCharType="end"/>
        </w:r>
      </w:hyperlink>
    </w:p>
    <w:p w:rsidR="00E54B20" w:rsidRDefault="006B5A61" w:rsidP="00416DC9">
      <w:pPr>
        <w:pStyle w:val="TOC1"/>
        <w:tabs>
          <w:tab w:val="clear" w:pos="357"/>
          <w:tab w:val="left" w:pos="0"/>
        </w:tabs>
        <w:ind w:left="284" w:firstLine="0"/>
        <w:rPr>
          <w:rFonts w:asciiTheme="minorHAnsi" w:eastAsiaTheme="minorEastAsia" w:hAnsiTheme="minorHAnsi" w:cstheme="minorBidi"/>
          <w:b w:val="0"/>
          <w:bCs w:val="0"/>
          <w:noProof/>
          <w:sz w:val="22"/>
          <w:szCs w:val="22"/>
          <w:lang w:eastAsia="en-AU"/>
        </w:rPr>
      </w:pPr>
      <w:hyperlink w:anchor="_Toc418172725" w:history="1">
        <w:r w:rsidR="00E54B20" w:rsidRPr="007B6CE4">
          <w:rPr>
            <w:rStyle w:val="Hyperlink"/>
            <w:noProof/>
            <w:lang w:val="en-US"/>
          </w:rPr>
          <w:t>Environmental media concentration limits for terrestrial wildlife</w:t>
        </w:r>
        <w:r w:rsidR="00E54B20">
          <w:rPr>
            <w:noProof/>
            <w:webHidden/>
          </w:rPr>
          <w:tab/>
        </w:r>
        <w:r>
          <w:rPr>
            <w:noProof/>
            <w:webHidden/>
          </w:rPr>
          <w:fldChar w:fldCharType="begin"/>
        </w:r>
        <w:r w:rsidR="00E54B20">
          <w:rPr>
            <w:noProof/>
            <w:webHidden/>
          </w:rPr>
          <w:instrText xml:space="preserve"> PAGEREF _Toc418172725 \h </w:instrText>
        </w:r>
        <w:r>
          <w:rPr>
            <w:noProof/>
            <w:webHidden/>
          </w:rPr>
        </w:r>
        <w:r>
          <w:rPr>
            <w:noProof/>
            <w:webHidden/>
          </w:rPr>
          <w:fldChar w:fldCharType="separate"/>
        </w:r>
        <w:r w:rsidR="00CE295A">
          <w:rPr>
            <w:noProof/>
            <w:webHidden/>
          </w:rPr>
          <w:t>213</w:t>
        </w:r>
        <w:r>
          <w:rPr>
            <w:noProof/>
            <w:webHidden/>
          </w:rPr>
          <w:fldChar w:fldCharType="end"/>
        </w:r>
      </w:hyperlink>
    </w:p>
    <w:p w:rsidR="00E54B20" w:rsidRDefault="006B5A61">
      <w:pPr>
        <w:pStyle w:val="TOC1"/>
        <w:rPr>
          <w:rFonts w:asciiTheme="minorHAnsi" w:eastAsiaTheme="minorEastAsia" w:hAnsiTheme="minorHAnsi" w:cstheme="minorBidi"/>
          <w:b w:val="0"/>
          <w:bCs w:val="0"/>
          <w:noProof/>
          <w:sz w:val="22"/>
          <w:szCs w:val="22"/>
          <w:lang w:eastAsia="en-AU"/>
        </w:rPr>
      </w:pPr>
      <w:hyperlink w:anchor="_Toc418172726" w:history="1">
        <w:r w:rsidR="00E54B20" w:rsidRPr="007B6CE4">
          <w:rPr>
            <w:rStyle w:val="Hyperlink"/>
            <w:noProof/>
          </w:rPr>
          <w:t>K</w:t>
        </w:r>
        <w:r w:rsidR="00E54B20">
          <w:rPr>
            <w:rStyle w:val="Hyperlink"/>
            <w:noProof/>
          </w:rPr>
          <w:t>KN</w:t>
        </w:r>
        <w:r w:rsidR="00E54B20" w:rsidRPr="007B6CE4">
          <w:rPr>
            <w:rStyle w:val="Hyperlink"/>
            <w:noProof/>
          </w:rPr>
          <w:t xml:space="preserve"> 2.6: Monitoring</w:t>
        </w:r>
        <w:r w:rsidR="00E54B20">
          <w:rPr>
            <w:noProof/>
            <w:webHidden/>
          </w:rPr>
          <w:tab/>
        </w:r>
      </w:hyperlink>
    </w:p>
    <w:p w:rsidR="00E54B20" w:rsidRDefault="006B5A61" w:rsidP="00416DC9">
      <w:pPr>
        <w:pStyle w:val="TOC1"/>
        <w:tabs>
          <w:tab w:val="clear" w:pos="357"/>
          <w:tab w:val="left" w:pos="142"/>
        </w:tabs>
        <w:ind w:left="284" w:firstLine="0"/>
        <w:rPr>
          <w:rFonts w:asciiTheme="minorHAnsi" w:eastAsiaTheme="minorEastAsia" w:hAnsiTheme="minorHAnsi" w:cstheme="minorBidi"/>
          <w:b w:val="0"/>
          <w:bCs w:val="0"/>
          <w:noProof/>
          <w:sz w:val="22"/>
          <w:szCs w:val="22"/>
          <w:lang w:eastAsia="en-AU"/>
        </w:rPr>
      </w:pPr>
      <w:hyperlink w:anchor="_Toc418172727" w:history="1">
        <w:r w:rsidR="00E54B20" w:rsidRPr="007B6CE4">
          <w:rPr>
            <w:rStyle w:val="Hyperlink"/>
            <w:noProof/>
          </w:rPr>
          <w:t>Developing monitoring methods using an Unmanned Aerial System (UAS): Jabiluka revegetation</w:t>
        </w:r>
        <w:r w:rsidR="00E54B20">
          <w:rPr>
            <w:noProof/>
            <w:webHidden/>
          </w:rPr>
          <w:tab/>
        </w:r>
        <w:r>
          <w:rPr>
            <w:noProof/>
            <w:webHidden/>
          </w:rPr>
          <w:fldChar w:fldCharType="begin"/>
        </w:r>
        <w:r w:rsidR="00E54B20">
          <w:rPr>
            <w:noProof/>
            <w:webHidden/>
          </w:rPr>
          <w:instrText xml:space="preserve"> PAGEREF _Toc418172727 \h </w:instrText>
        </w:r>
        <w:r>
          <w:rPr>
            <w:noProof/>
            <w:webHidden/>
          </w:rPr>
        </w:r>
        <w:r>
          <w:rPr>
            <w:noProof/>
            <w:webHidden/>
          </w:rPr>
          <w:fldChar w:fldCharType="separate"/>
        </w:r>
        <w:r w:rsidR="00CE295A">
          <w:rPr>
            <w:noProof/>
            <w:webHidden/>
          </w:rPr>
          <w:t>222</w:t>
        </w:r>
        <w:r>
          <w:rPr>
            <w:noProof/>
            <w:webHidden/>
          </w:rPr>
          <w:fldChar w:fldCharType="end"/>
        </w:r>
      </w:hyperlink>
    </w:p>
    <w:p w:rsidR="00E54B20" w:rsidRDefault="006B5A61" w:rsidP="00416DC9">
      <w:pPr>
        <w:pStyle w:val="TOC1"/>
        <w:tabs>
          <w:tab w:val="clear" w:pos="357"/>
          <w:tab w:val="left" w:pos="142"/>
        </w:tabs>
        <w:ind w:left="284" w:firstLine="0"/>
        <w:rPr>
          <w:rStyle w:val="Hyperlink"/>
          <w:noProof/>
        </w:rPr>
      </w:pPr>
      <w:hyperlink w:anchor="_Toc418172728" w:history="1">
        <w:r w:rsidR="00E54B20" w:rsidRPr="007B6CE4">
          <w:rPr>
            <w:rStyle w:val="Hyperlink"/>
            <w:noProof/>
          </w:rPr>
          <w:t>Remote sensing analysis of the inter-annual variation of Magela Creek floodplain vegetation: 2010–2013</w:t>
        </w:r>
        <w:r w:rsidR="00E54B20">
          <w:rPr>
            <w:noProof/>
            <w:webHidden/>
          </w:rPr>
          <w:tab/>
        </w:r>
        <w:r>
          <w:rPr>
            <w:noProof/>
            <w:webHidden/>
          </w:rPr>
          <w:fldChar w:fldCharType="begin"/>
        </w:r>
        <w:r w:rsidR="00E54B20">
          <w:rPr>
            <w:noProof/>
            <w:webHidden/>
          </w:rPr>
          <w:instrText xml:space="preserve"> PAGEREF _Toc418172728 \h </w:instrText>
        </w:r>
        <w:r>
          <w:rPr>
            <w:noProof/>
            <w:webHidden/>
          </w:rPr>
        </w:r>
        <w:r>
          <w:rPr>
            <w:noProof/>
            <w:webHidden/>
          </w:rPr>
          <w:fldChar w:fldCharType="separate"/>
        </w:r>
        <w:r w:rsidR="00CE295A">
          <w:rPr>
            <w:noProof/>
            <w:webHidden/>
          </w:rPr>
          <w:t>229</w:t>
        </w:r>
        <w:r>
          <w:rPr>
            <w:noProof/>
            <w:webHidden/>
          </w:rPr>
          <w:fldChar w:fldCharType="end"/>
        </w:r>
      </w:hyperlink>
    </w:p>
    <w:p w:rsidR="00E54B20" w:rsidRDefault="00E54B20">
      <w:pPr>
        <w:pStyle w:val="TOC1"/>
        <w:rPr>
          <w:rFonts w:asciiTheme="minorHAnsi" w:eastAsiaTheme="minorEastAsia" w:hAnsiTheme="minorHAnsi" w:cstheme="minorBidi"/>
          <w:b w:val="0"/>
          <w:bCs w:val="0"/>
          <w:noProof/>
          <w:sz w:val="22"/>
          <w:szCs w:val="22"/>
          <w:lang w:eastAsia="en-AU"/>
        </w:rPr>
      </w:pPr>
    </w:p>
    <w:p w:rsidR="00E54B20" w:rsidRDefault="006B5A61">
      <w:pPr>
        <w:pStyle w:val="TOC1"/>
        <w:rPr>
          <w:rFonts w:asciiTheme="minorHAnsi" w:eastAsiaTheme="minorEastAsia" w:hAnsiTheme="minorHAnsi" w:cstheme="minorBidi"/>
          <w:b w:val="0"/>
          <w:bCs w:val="0"/>
          <w:noProof/>
          <w:sz w:val="22"/>
          <w:szCs w:val="22"/>
          <w:lang w:eastAsia="en-AU"/>
        </w:rPr>
      </w:pPr>
      <w:hyperlink w:anchor="_Toc418172729" w:history="1">
        <w:r w:rsidR="00E54B20" w:rsidRPr="007B6CE4">
          <w:rPr>
            <w:rStyle w:val="Hyperlink"/>
            <w:noProof/>
          </w:rPr>
          <w:t>K</w:t>
        </w:r>
        <w:r w:rsidR="00E54B20">
          <w:rPr>
            <w:rStyle w:val="Hyperlink"/>
            <w:noProof/>
          </w:rPr>
          <w:t>KN</w:t>
        </w:r>
        <w:r w:rsidR="00E54B20" w:rsidRPr="007B6CE4">
          <w:rPr>
            <w:rStyle w:val="Hyperlink"/>
            <w:noProof/>
          </w:rPr>
          <w:t xml:space="preserve"> 2.7: Risk Assessment</w:t>
        </w:r>
        <w:r w:rsidR="00E54B20">
          <w:rPr>
            <w:noProof/>
            <w:webHidden/>
          </w:rPr>
          <w:tab/>
        </w:r>
      </w:hyperlink>
    </w:p>
    <w:p w:rsidR="00E54B20" w:rsidRDefault="006B5A61" w:rsidP="00416DC9">
      <w:pPr>
        <w:pStyle w:val="TOC1"/>
        <w:tabs>
          <w:tab w:val="clear" w:pos="357"/>
          <w:tab w:val="left" w:pos="142"/>
        </w:tabs>
        <w:ind w:left="284" w:firstLine="0"/>
        <w:rPr>
          <w:rFonts w:asciiTheme="minorHAnsi" w:eastAsiaTheme="minorEastAsia" w:hAnsiTheme="minorHAnsi" w:cstheme="minorBidi"/>
          <w:b w:val="0"/>
          <w:bCs w:val="0"/>
          <w:noProof/>
          <w:sz w:val="22"/>
          <w:szCs w:val="22"/>
          <w:lang w:eastAsia="en-AU"/>
        </w:rPr>
      </w:pPr>
      <w:hyperlink w:anchor="_Toc418172730" w:history="1">
        <w:r w:rsidR="00E54B20" w:rsidRPr="007B6CE4">
          <w:rPr>
            <w:rStyle w:val="Hyperlink"/>
            <w:noProof/>
          </w:rPr>
          <w:t>Rehabilitation and closure ecological risk assessment for the Ranger uranium mine: Identification and incorporation of key ecological processes</w:t>
        </w:r>
        <w:r w:rsidR="00E54B20">
          <w:rPr>
            <w:noProof/>
            <w:webHidden/>
          </w:rPr>
          <w:tab/>
        </w:r>
        <w:r>
          <w:rPr>
            <w:noProof/>
            <w:webHidden/>
          </w:rPr>
          <w:fldChar w:fldCharType="begin"/>
        </w:r>
        <w:r w:rsidR="00E54B20">
          <w:rPr>
            <w:noProof/>
            <w:webHidden/>
          </w:rPr>
          <w:instrText xml:space="preserve"> PAGEREF _Toc418172730 \h </w:instrText>
        </w:r>
        <w:r>
          <w:rPr>
            <w:noProof/>
            <w:webHidden/>
          </w:rPr>
        </w:r>
        <w:r>
          <w:rPr>
            <w:noProof/>
            <w:webHidden/>
          </w:rPr>
          <w:fldChar w:fldCharType="separate"/>
        </w:r>
        <w:r w:rsidR="00CE295A">
          <w:rPr>
            <w:noProof/>
            <w:webHidden/>
          </w:rPr>
          <w:t>242</w:t>
        </w:r>
        <w:r>
          <w:rPr>
            <w:noProof/>
            <w:webHidden/>
          </w:rPr>
          <w:fldChar w:fldCharType="end"/>
        </w:r>
      </w:hyperlink>
    </w:p>
    <w:p w:rsidR="00E54B20" w:rsidRDefault="006B5A61">
      <w:pPr>
        <w:pStyle w:val="TOC1"/>
        <w:rPr>
          <w:rFonts w:asciiTheme="minorHAnsi" w:eastAsiaTheme="minorEastAsia" w:hAnsiTheme="minorHAnsi" w:cstheme="minorBidi"/>
          <w:b w:val="0"/>
          <w:bCs w:val="0"/>
          <w:noProof/>
          <w:sz w:val="22"/>
          <w:szCs w:val="22"/>
          <w:lang w:eastAsia="en-AU"/>
        </w:rPr>
      </w:pPr>
      <w:hyperlink w:anchor="_Toc418172731" w:history="1">
        <w:r w:rsidR="00E54B20" w:rsidRPr="007B6CE4">
          <w:rPr>
            <w:rStyle w:val="Hyperlink"/>
            <w:noProof/>
          </w:rPr>
          <w:t>Part 3: Jabiluka</w:t>
        </w:r>
        <w:r w:rsidR="00E54B20">
          <w:rPr>
            <w:noProof/>
            <w:webHidden/>
          </w:rPr>
          <w:tab/>
        </w:r>
      </w:hyperlink>
    </w:p>
    <w:p w:rsidR="00E54B20" w:rsidRDefault="006B5A61" w:rsidP="00416DC9">
      <w:pPr>
        <w:pStyle w:val="TOC1"/>
        <w:tabs>
          <w:tab w:val="clear" w:pos="357"/>
          <w:tab w:val="left" w:pos="142"/>
        </w:tabs>
        <w:ind w:left="284" w:firstLine="0"/>
        <w:rPr>
          <w:rFonts w:asciiTheme="minorHAnsi" w:eastAsiaTheme="minorEastAsia" w:hAnsiTheme="minorHAnsi" w:cstheme="minorBidi"/>
          <w:b w:val="0"/>
          <w:bCs w:val="0"/>
          <w:noProof/>
          <w:sz w:val="22"/>
          <w:szCs w:val="22"/>
          <w:lang w:eastAsia="en-AU"/>
        </w:rPr>
      </w:pPr>
      <w:hyperlink w:anchor="_Toc418172732" w:history="1">
        <w:r w:rsidR="00E54B20" w:rsidRPr="007B6CE4">
          <w:rPr>
            <w:rStyle w:val="Hyperlink"/>
            <w:noProof/>
          </w:rPr>
          <w:t>Surface Water Quality Monitoring: Jabiluka</w:t>
        </w:r>
        <w:r w:rsidR="00E54B20">
          <w:rPr>
            <w:noProof/>
            <w:webHidden/>
          </w:rPr>
          <w:tab/>
        </w:r>
        <w:r>
          <w:rPr>
            <w:noProof/>
            <w:webHidden/>
          </w:rPr>
          <w:fldChar w:fldCharType="begin"/>
        </w:r>
        <w:r w:rsidR="00E54B20">
          <w:rPr>
            <w:noProof/>
            <w:webHidden/>
          </w:rPr>
          <w:instrText xml:space="preserve"> PAGEREF _Toc418172732 \h </w:instrText>
        </w:r>
        <w:r>
          <w:rPr>
            <w:noProof/>
            <w:webHidden/>
          </w:rPr>
        </w:r>
        <w:r>
          <w:rPr>
            <w:noProof/>
            <w:webHidden/>
          </w:rPr>
          <w:fldChar w:fldCharType="separate"/>
        </w:r>
        <w:r w:rsidR="00CE295A">
          <w:rPr>
            <w:noProof/>
            <w:webHidden/>
          </w:rPr>
          <w:t>246</w:t>
        </w:r>
        <w:r>
          <w:rPr>
            <w:noProof/>
            <w:webHidden/>
          </w:rPr>
          <w:fldChar w:fldCharType="end"/>
        </w:r>
      </w:hyperlink>
    </w:p>
    <w:p w:rsidR="00E54B20" w:rsidRDefault="006B5A61" w:rsidP="00416DC9">
      <w:pPr>
        <w:pStyle w:val="TOC1"/>
        <w:tabs>
          <w:tab w:val="clear" w:pos="357"/>
          <w:tab w:val="left" w:pos="142"/>
        </w:tabs>
        <w:ind w:left="284" w:firstLine="0"/>
        <w:rPr>
          <w:rFonts w:asciiTheme="minorHAnsi" w:eastAsiaTheme="minorEastAsia" w:hAnsiTheme="minorHAnsi" w:cstheme="minorBidi"/>
          <w:b w:val="0"/>
          <w:bCs w:val="0"/>
          <w:noProof/>
          <w:sz w:val="22"/>
          <w:szCs w:val="22"/>
          <w:lang w:eastAsia="en-AU"/>
        </w:rPr>
      </w:pPr>
      <w:hyperlink w:anchor="_Toc418172733" w:history="1">
        <w:r w:rsidR="00E54B20" w:rsidRPr="007B6CE4">
          <w:rPr>
            <w:rStyle w:val="Hyperlink"/>
            <w:noProof/>
          </w:rPr>
          <w:t>Sediment movement off the rehabilitated Jabiluka minesite</w:t>
        </w:r>
        <w:r w:rsidR="00E54B20">
          <w:rPr>
            <w:noProof/>
            <w:webHidden/>
          </w:rPr>
          <w:tab/>
        </w:r>
        <w:r>
          <w:rPr>
            <w:noProof/>
            <w:webHidden/>
          </w:rPr>
          <w:fldChar w:fldCharType="begin"/>
        </w:r>
        <w:r w:rsidR="00E54B20">
          <w:rPr>
            <w:noProof/>
            <w:webHidden/>
          </w:rPr>
          <w:instrText xml:space="preserve"> PAGEREF _Toc418172733 \h </w:instrText>
        </w:r>
        <w:r>
          <w:rPr>
            <w:noProof/>
            <w:webHidden/>
          </w:rPr>
        </w:r>
        <w:r>
          <w:rPr>
            <w:noProof/>
            <w:webHidden/>
          </w:rPr>
          <w:fldChar w:fldCharType="separate"/>
        </w:r>
        <w:r w:rsidR="00CE295A">
          <w:rPr>
            <w:noProof/>
            <w:webHidden/>
          </w:rPr>
          <w:t>248</w:t>
        </w:r>
        <w:r>
          <w:rPr>
            <w:noProof/>
            <w:webHidden/>
          </w:rPr>
          <w:fldChar w:fldCharType="end"/>
        </w:r>
      </w:hyperlink>
    </w:p>
    <w:p w:rsidR="00E54B20" w:rsidRDefault="006B5A61" w:rsidP="00E54B20">
      <w:pPr>
        <w:pStyle w:val="TOC1"/>
        <w:rPr>
          <w:rFonts w:asciiTheme="minorHAnsi" w:eastAsiaTheme="minorEastAsia" w:hAnsiTheme="minorHAnsi" w:cstheme="minorBidi"/>
          <w:b w:val="0"/>
          <w:bCs w:val="0"/>
          <w:noProof/>
          <w:sz w:val="22"/>
          <w:szCs w:val="22"/>
          <w:lang w:eastAsia="en-AU"/>
        </w:rPr>
      </w:pPr>
      <w:hyperlink w:anchor="_Toc418172734" w:history="1">
        <w:r w:rsidR="00E54B20" w:rsidRPr="007B6CE4">
          <w:rPr>
            <w:rStyle w:val="Hyperlink"/>
            <w:noProof/>
          </w:rPr>
          <w:t>Appendix 1</w:t>
        </w:r>
        <w:r w:rsidR="00E54B20" w:rsidRPr="00E54B20">
          <w:rPr>
            <w:noProof/>
          </w:rPr>
          <w:t xml:space="preserve"> </w:t>
        </w:r>
        <w:r w:rsidR="00E54B20" w:rsidRPr="00E54B20">
          <w:rPr>
            <w:rStyle w:val="Hyperlink"/>
            <w:noProof/>
          </w:rPr>
          <w:t>Supervisng Scientist publications and presentations for December 2013 to July 2014</w:t>
        </w:r>
        <w:r w:rsidR="00E54B20">
          <w:rPr>
            <w:noProof/>
            <w:webHidden/>
          </w:rPr>
          <w:tab/>
        </w:r>
        <w:r>
          <w:rPr>
            <w:noProof/>
            <w:webHidden/>
          </w:rPr>
          <w:fldChar w:fldCharType="begin"/>
        </w:r>
        <w:r w:rsidR="00E54B20">
          <w:rPr>
            <w:noProof/>
            <w:webHidden/>
          </w:rPr>
          <w:instrText xml:space="preserve"> PAGEREF _Toc418172734 \h </w:instrText>
        </w:r>
        <w:r>
          <w:rPr>
            <w:noProof/>
            <w:webHidden/>
          </w:rPr>
        </w:r>
        <w:r>
          <w:rPr>
            <w:noProof/>
            <w:webHidden/>
          </w:rPr>
          <w:fldChar w:fldCharType="separate"/>
        </w:r>
        <w:r w:rsidR="00CE295A">
          <w:rPr>
            <w:noProof/>
            <w:webHidden/>
          </w:rPr>
          <w:t>258</w:t>
        </w:r>
        <w:r>
          <w:rPr>
            <w:noProof/>
            <w:webHidden/>
          </w:rPr>
          <w:fldChar w:fldCharType="end"/>
        </w:r>
      </w:hyperlink>
    </w:p>
    <w:p w:rsidR="00E54B20" w:rsidRDefault="006B5A61">
      <w:pPr>
        <w:pStyle w:val="TOC1"/>
        <w:rPr>
          <w:rFonts w:asciiTheme="minorHAnsi" w:eastAsiaTheme="minorEastAsia" w:hAnsiTheme="minorHAnsi" w:cstheme="minorBidi"/>
          <w:b w:val="0"/>
          <w:bCs w:val="0"/>
          <w:noProof/>
          <w:sz w:val="22"/>
          <w:szCs w:val="22"/>
          <w:lang w:eastAsia="en-AU"/>
        </w:rPr>
      </w:pPr>
      <w:hyperlink w:anchor="_Toc418172736" w:history="1">
        <w:r w:rsidR="00E54B20" w:rsidRPr="007B6CE4">
          <w:rPr>
            <w:rStyle w:val="Hyperlink"/>
            <w:rFonts w:cs="Arial"/>
            <w:noProof/>
            <w:spacing w:val="-2"/>
          </w:rPr>
          <w:t>Appendix 2 List of inactive,delayed or other projects for which summaries are not provided in this report</w:t>
        </w:r>
        <w:r w:rsidR="00E54B20">
          <w:rPr>
            <w:noProof/>
            <w:webHidden/>
          </w:rPr>
          <w:tab/>
        </w:r>
        <w:r>
          <w:rPr>
            <w:noProof/>
            <w:webHidden/>
          </w:rPr>
          <w:fldChar w:fldCharType="begin"/>
        </w:r>
        <w:r w:rsidR="00E54B20">
          <w:rPr>
            <w:noProof/>
            <w:webHidden/>
          </w:rPr>
          <w:instrText xml:space="preserve"> PAGEREF _Toc418172736 \h </w:instrText>
        </w:r>
        <w:r>
          <w:rPr>
            <w:noProof/>
            <w:webHidden/>
          </w:rPr>
        </w:r>
        <w:r>
          <w:rPr>
            <w:noProof/>
            <w:webHidden/>
          </w:rPr>
          <w:fldChar w:fldCharType="separate"/>
        </w:r>
        <w:r w:rsidR="00CE295A">
          <w:rPr>
            <w:noProof/>
            <w:webHidden/>
          </w:rPr>
          <w:t>263</w:t>
        </w:r>
        <w:r>
          <w:rPr>
            <w:noProof/>
            <w:webHidden/>
          </w:rPr>
          <w:fldChar w:fldCharType="end"/>
        </w:r>
      </w:hyperlink>
    </w:p>
    <w:p w:rsidR="00E54B20" w:rsidRDefault="006B5A61">
      <w:pPr>
        <w:pStyle w:val="TOC1"/>
        <w:rPr>
          <w:rFonts w:asciiTheme="minorHAnsi" w:eastAsiaTheme="minorEastAsia" w:hAnsiTheme="minorHAnsi" w:cstheme="minorBidi"/>
          <w:b w:val="0"/>
          <w:bCs w:val="0"/>
          <w:noProof/>
          <w:sz w:val="22"/>
          <w:szCs w:val="22"/>
          <w:lang w:eastAsia="en-AU"/>
        </w:rPr>
      </w:pPr>
      <w:hyperlink w:anchor="_Toc418172737" w:history="1">
        <w:r w:rsidR="00E54B20" w:rsidRPr="007B6CE4">
          <w:rPr>
            <w:rStyle w:val="Hyperlink"/>
            <w:rFonts w:cs="Arial"/>
            <w:noProof/>
            <w:spacing w:val="-2"/>
          </w:rPr>
          <w:t xml:space="preserve">Appendix 3 </w:t>
        </w:r>
        <w:r w:rsidR="00E54B20" w:rsidRPr="007B6CE4">
          <w:rPr>
            <w:rStyle w:val="Hyperlink"/>
            <w:noProof/>
          </w:rPr>
          <w:t>Alligator Rivers Region Technical Committee Key Knowledge Needs 2008–2010: Uranium mining in the Alligator Rivers Region</w:t>
        </w:r>
        <w:r w:rsidR="00E54B20">
          <w:rPr>
            <w:noProof/>
            <w:webHidden/>
          </w:rPr>
          <w:tab/>
        </w:r>
        <w:r>
          <w:rPr>
            <w:noProof/>
            <w:webHidden/>
          </w:rPr>
          <w:fldChar w:fldCharType="begin"/>
        </w:r>
        <w:r w:rsidR="00E54B20">
          <w:rPr>
            <w:noProof/>
            <w:webHidden/>
          </w:rPr>
          <w:instrText xml:space="preserve"> PAGEREF _Toc418172737 \h </w:instrText>
        </w:r>
        <w:r>
          <w:rPr>
            <w:noProof/>
            <w:webHidden/>
          </w:rPr>
        </w:r>
        <w:r>
          <w:rPr>
            <w:noProof/>
            <w:webHidden/>
          </w:rPr>
          <w:fldChar w:fldCharType="separate"/>
        </w:r>
        <w:r w:rsidR="00CE295A">
          <w:rPr>
            <w:noProof/>
            <w:webHidden/>
          </w:rPr>
          <w:t>264</w:t>
        </w:r>
        <w:r>
          <w:rPr>
            <w:noProof/>
            <w:webHidden/>
          </w:rPr>
          <w:fldChar w:fldCharType="end"/>
        </w:r>
      </w:hyperlink>
    </w:p>
    <w:p w:rsidR="001139E6" w:rsidRDefault="006B5A61">
      <w:pPr>
        <w:spacing w:after="0" w:line="240" w:lineRule="auto"/>
        <w:jc w:val="left"/>
      </w:pPr>
      <w:r>
        <w:rPr>
          <w:rFonts w:ascii="Arial" w:hAnsi="Arial"/>
        </w:rPr>
        <w:fldChar w:fldCharType="end"/>
      </w:r>
    </w:p>
    <w:p w:rsidR="00D97567" w:rsidRDefault="00D97567">
      <w:pPr>
        <w:spacing w:after="0" w:line="240" w:lineRule="auto"/>
        <w:jc w:val="left"/>
        <w:sectPr w:rsidR="00D97567">
          <w:footerReference w:type="default" r:id="rId20"/>
          <w:pgSz w:w="11906" w:h="16838" w:code="9"/>
          <w:pgMar w:top="1440" w:right="1800" w:bottom="1440" w:left="1800" w:header="1080" w:footer="835" w:gutter="0"/>
          <w:pgNumType w:fmt="lowerRoman"/>
          <w:cols w:space="360"/>
          <w:noEndnote/>
        </w:sectPr>
      </w:pPr>
    </w:p>
    <w:p w:rsidR="008D0133" w:rsidRDefault="00DF47C5" w:rsidP="008D0133">
      <w:pPr>
        <w:pStyle w:val="Heading1"/>
      </w:pPr>
      <w:bookmarkStart w:id="42" w:name="_Toc409772775"/>
      <w:bookmarkStart w:id="43" w:name="_Toc418172686"/>
      <w:r>
        <w:t>Preface</w:t>
      </w:r>
      <w:bookmarkEnd w:id="42"/>
      <w:bookmarkEnd w:id="43"/>
    </w:p>
    <w:p w:rsidR="007B0644" w:rsidRPr="00AD4201" w:rsidRDefault="007B0644" w:rsidP="007B0644">
      <w:pPr>
        <w:rPr>
          <w:spacing w:val="-2"/>
        </w:rPr>
      </w:pPr>
      <w:r w:rsidRPr="00AD4201">
        <w:rPr>
          <w:spacing w:val="-2"/>
        </w:rPr>
        <w:t xml:space="preserve">The Environmental Research Institute of the Supervising Scientist </w:t>
      </w:r>
      <w:r w:rsidRPr="00AD4201">
        <w:rPr>
          <w:b/>
          <w:bCs/>
          <w:iCs/>
          <w:spacing w:val="-2"/>
          <w:szCs w:val="22"/>
          <w:lang w:val="en-US"/>
        </w:rPr>
        <w:t>(</w:t>
      </w:r>
      <w:r w:rsidRPr="00A53437">
        <w:rPr>
          <w:rFonts w:ascii="Times New Roman" w:hAnsi="Times New Roman"/>
          <w:b/>
          <w:bCs/>
          <w:i/>
          <w:iCs/>
          <w:spacing w:val="-2"/>
          <w:sz w:val="26"/>
          <w:lang w:val="en-US"/>
        </w:rPr>
        <w:t>eriss</w:t>
      </w:r>
      <w:r w:rsidRPr="00AD4201">
        <w:rPr>
          <w:bCs/>
          <w:iCs/>
          <w:spacing w:val="-2"/>
          <w:sz w:val="23"/>
          <w:lang w:val="en-US"/>
        </w:rPr>
        <w:t>)</w:t>
      </w:r>
      <w:r w:rsidRPr="00AD4201">
        <w:rPr>
          <w:spacing w:val="-2"/>
        </w:rPr>
        <w:t xml:space="preserve"> is part of the Supervising Scientist Division (SSD) of the Australian Government’s Department of </w:t>
      </w:r>
      <w:r>
        <w:rPr>
          <w:spacing w:val="-2"/>
        </w:rPr>
        <w:t>the</w:t>
      </w:r>
      <w:r w:rsidRPr="00AD4201">
        <w:rPr>
          <w:spacing w:val="-2"/>
        </w:rPr>
        <w:t xml:space="preserve"> Environment</w:t>
      </w:r>
      <w:r>
        <w:rPr>
          <w:spacing w:val="-2"/>
        </w:rPr>
        <w:t xml:space="preserve"> </w:t>
      </w:r>
      <w:r w:rsidRPr="00AD4201">
        <w:rPr>
          <w:spacing w:val="-2"/>
        </w:rPr>
        <w:t>(</w:t>
      </w:r>
      <w:r>
        <w:rPr>
          <w:spacing w:val="-2"/>
          <w:lang w:val="en-US"/>
        </w:rPr>
        <w:t>DoE</w:t>
      </w:r>
      <w:r w:rsidRPr="00AD4201">
        <w:rPr>
          <w:spacing w:val="-2"/>
          <w:lang w:val="en-US"/>
        </w:rPr>
        <w:t>)</w:t>
      </w:r>
      <w:r w:rsidRPr="00AD4201">
        <w:rPr>
          <w:spacing w:val="-2"/>
        </w:rPr>
        <w:t xml:space="preserve">. </w:t>
      </w:r>
      <w:proofErr w:type="gramStart"/>
      <w:r w:rsidRPr="00A53437">
        <w:rPr>
          <w:rFonts w:ascii="Times New Roman" w:hAnsi="Times New Roman"/>
          <w:b/>
          <w:bCs/>
          <w:i/>
          <w:iCs/>
          <w:spacing w:val="-2"/>
          <w:sz w:val="26"/>
          <w:lang w:val="en-US"/>
        </w:rPr>
        <w:t>eriss</w:t>
      </w:r>
      <w:proofErr w:type="gramEnd"/>
      <w:r w:rsidRPr="00A53437">
        <w:rPr>
          <w:rFonts w:ascii="Times New Roman" w:hAnsi="Times New Roman"/>
          <w:spacing w:val="-2"/>
        </w:rPr>
        <w:t xml:space="preserve"> </w:t>
      </w:r>
      <w:r w:rsidRPr="00AD4201">
        <w:rPr>
          <w:spacing w:val="-2"/>
        </w:rPr>
        <w:t xml:space="preserve">provides specialist technical advice to the Supervising Scientist on the protection of the environment and people of the Alligator Rivers Region (ARR) from the impact of uranium mining. Its major function is to conduct research into developing leading practice methodologies for monitoring and assessing the impact of uranium (U) mining on water and air (transport pathways) and soil, and on the bushfoods that are consumed by the local Indigenous people. This research spans the operational, decommissioning and </w:t>
      </w:r>
      <w:r w:rsidR="004551F1" w:rsidRPr="00AD4201">
        <w:rPr>
          <w:spacing w:val="-2"/>
        </w:rPr>
        <w:t>post</w:t>
      </w:r>
      <w:r w:rsidR="004551F1">
        <w:rPr>
          <w:spacing w:val="-2"/>
        </w:rPr>
        <w:t>-</w:t>
      </w:r>
      <w:r w:rsidRPr="00AD4201">
        <w:rPr>
          <w:spacing w:val="-2"/>
        </w:rPr>
        <w:t xml:space="preserve">rehabilitation phases of mining. </w:t>
      </w:r>
    </w:p>
    <w:p w:rsidR="007B0644" w:rsidRDefault="007B0644" w:rsidP="007B0644">
      <w:pPr>
        <w:rPr>
          <w:spacing w:val="-2"/>
        </w:rPr>
      </w:pPr>
      <w:proofErr w:type="gramStart"/>
      <w:r w:rsidRPr="00A53437">
        <w:rPr>
          <w:rFonts w:ascii="Times New Roman" w:hAnsi="Times New Roman"/>
          <w:b/>
          <w:bCs/>
          <w:i/>
          <w:iCs/>
          <w:spacing w:val="-2"/>
          <w:sz w:val="26"/>
          <w:lang w:val="en-US"/>
        </w:rPr>
        <w:t>eriss</w:t>
      </w:r>
      <w:proofErr w:type="gramEnd"/>
      <w:r>
        <w:rPr>
          <w:spacing w:val="-2"/>
        </w:rPr>
        <w:t xml:space="preserve"> also applies its expertise to conducting research into the sustainable use and environmental protection of tropical rivers and their associated wetlands, and to undertaking a limited </w:t>
      </w:r>
      <w:r w:rsidR="00E16AC4">
        <w:rPr>
          <w:spacing w:val="-2"/>
        </w:rPr>
        <w:t>programme</w:t>
      </w:r>
      <w:r>
        <w:rPr>
          <w:spacing w:val="-2"/>
        </w:rPr>
        <w:t xml:space="preserve"> of contract research on the impacts of mining elsewhere in the north Australian tropics. </w:t>
      </w:r>
    </w:p>
    <w:p w:rsidR="007B0644" w:rsidRDefault="007B0644" w:rsidP="007B0644">
      <w:r>
        <w:t xml:space="preserve">The balance and strategic prioritisation of work within the uranium component of </w:t>
      </w:r>
      <w:r w:rsidRPr="00A53437">
        <w:rPr>
          <w:rFonts w:ascii="Times New Roman" w:hAnsi="Times New Roman"/>
          <w:b/>
          <w:i/>
          <w:sz w:val="26"/>
        </w:rPr>
        <w:t>eriss</w:t>
      </w:r>
      <w:r w:rsidRPr="00A53437">
        <w:rPr>
          <w:rFonts w:ascii="Times New Roman" w:hAnsi="Times New Roman"/>
        </w:rPr>
        <w:t>’</w:t>
      </w:r>
      <w:r>
        <w:t xml:space="preserve"> project portfolio are defined by Key Knowledge Needs (KKNs) developed through consultation between the Alligator Rivers Region Technical Committee (see ARRTC membership and function in Appendix 2), the Supervising Scientist, Energy Resources of Australia Ltd (ERA) and other stakeholders. </w:t>
      </w:r>
      <w:r>
        <w:rPr>
          <w:szCs w:val="22"/>
        </w:rPr>
        <w:t xml:space="preserve">The KKNs are subject to ongoing review by ARRTC to ensure their currency in the context of any significant changes that may have occurred in U mining related activities and issues in the ARR. </w:t>
      </w:r>
    </w:p>
    <w:p w:rsidR="007B0644" w:rsidRDefault="007B0644" w:rsidP="007B0644">
      <w:r>
        <w:t xml:space="preserve">Not all of the KKN research areas (Appendix 3) are able to be covered by </w:t>
      </w:r>
      <w:r w:rsidRPr="00A53437">
        <w:rPr>
          <w:rFonts w:ascii="Times New Roman" w:hAnsi="Times New Roman"/>
          <w:b/>
          <w:bCs/>
          <w:i/>
          <w:iCs/>
          <w:sz w:val="26"/>
          <w:lang w:val="en-US"/>
        </w:rPr>
        <w:t>eriss</w:t>
      </w:r>
      <w:r>
        <w:t xml:space="preserve">, since not all of the required disciplines are available within the Institute. To address these particular gaps, collaborative projects are conducted between </w:t>
      </w:r>
      <w:r w:rsidRPr="00A53437">
        <w:rPr>
          <w:rFonts w:ascii="Times New Roman" w:hAnsi="Times New Roman"/>
          <w:b/>
          <w:bCs/>
          <w:i/>
          <w:iCs/>
          <w:sz w:val="26"/>
          <w:lang w:val="en-US"/>
        </w:rPr>
        <w:t>eriss</w:t>
      </w:r>
      <w:r>
        <w:t xml:space="preserve"> and researchers from other organisations, and consultants are commissioned by </w:t>
      </w:r>
      <w:r w:rsidRPr="00A53437">
        <w:rPr>
          <w:rFonts w:ascii="Times New Roman" w:hAnsi="Times New Roman"/>
          <w:b/>
          <w:bCs/>
          <w:i/>
          <w:iCs/>
          <w:sz w:val="26"/>
          <w:lang w:val="en-US"/>
        </w:rPr>
        <w:t>eriss</w:t>
      </w:r>
      <w:r>
        <w:rPr>
          <w:b/>
          <w:bCs/>
          <w:i/>
          <w:iCs/>
          <w:sz w:val="26"/>
          <w:lang w:val="en-US"/>
        </w:rPr>
        <w:t xml:space="preserve"> </w:t>
      </w:r>
      <w:r>
        <w:t xml:space="preserve">and others to undertake specific pieces of work. For example, KKN projects related to detailed hydrogeology or tailings management on the Ranger lease are conducted and reported separately by consultants engaged by ERA. </w:t>
      </w:r>
      <w:r w:rsidRPr="00505AAB">
        <w:t xml:space="preserve">A more complete picture of the scope of research work that is conducted by all parties can be obtained by referring to the minutes that are produced for the meetings of ARRTC: </w:t>
      </w:r>
      <w:r w:rsidRPr="00B500AC">
        <w:t>www.environment.gov.au/ssd/communication</w:t>
      </w:r>
      <w:r>
        <w:br/>
      </w:r>
      <w:r w:rsidRPr="00505AAB">
        <w:t>/committees/arrtc/meeting.html.</w:t>
      </w:r>
    </w:p>
    <w:p w:rsidR="007B0644" w:rsidRDefault="007B0644" w:rsidP="007B0644">
      <w:r>
        <w:t xml:space="preserve">This report documents the monitoring and research projects undertaken by </w:t>
      </w:r>
      <w:r w:rsidRPr="00A53437">
        <w:rPr>
          <w:rFonts w:ascii="Times New Roman" w:hAnsi="Times New Roman"/>
          <w:b/>
          <w:bCs/>
          <w:i/>
          <w:iCs/>
          <w:sz w:val="26"/>
          <w:lang w:val="en-US"/>
        </w:rPr>
        <w:t>eriss</w:t>
      </w:r>
      <w:r>
        <w:t xml:space="preserve"> over the 2013–14 financial </w:t>
      </w:r>
      <w:proofErr w:type="gramStart"/>
      <w:r>
        <w:t>year</w:t>
      </w:r>
      <w:proofErr w:type="gramEnd"/>
      <w:r>
        <w:t xml:space="preserve"> (1.7.13 to 30.6.14). Most of the work presented in the report was also presented to ARRTC at its 33</w:t>
      </w:r>
      <w:r w:rsidRPr="008A4882">
        <w:rPr>
          <w:vertAlign w:val="superscript"/>
        </w:rPr>
        <w:t>rd</w:t>
      </w:r>
      <w:r>
        <w:t xml:space="preserve"> Meeting in November 2014. Where possible, papers have been updated following significant feedback from ARRTC, although this may not be the case for all papers. The report is structured according to the five major topic areas in the KKN framework, noting that this year there are no papers for the last two topics. </w:t>
      </w:r>
    </w:p>
    <w:p w:rsidR="007B0644" w:rsidRPr="00505AAB" w:rsidRDefault="007B0644" w:rsidP="007B0644">
      <w:pPr>
        <w:pStyle w:val="Normallist1"/>
        <w:jc w:val="left"/>
      </w:pPr>
      <w:r w:rsidRPr="00505AAB">
        <w:t>Ranger – current operations</w:t>
      </w:r>
    </w:p>
    <w:p w:rsidR="007B0644" w:rsidRPr="00505AAB" w:rsidRDefault="007B0644" w:rsidP="007B0644">
      <w:pPr>
        <w:pStyle w:val="Normallist1"/>
        <w:jc w:val="left"/>
      </w:pPr>
      <w:r w:rsidRPr="00505AAB">
        <w:t>Ranger – rehabilitation</w:t>
      </w:r>
    </w:p>
    <w:p w:rsidR="007B0644" w:rsidRPr="00505AAB" w:rsidRDefault="007B0644" w:rsidP="007B0644">
      <w:pPr>
        <w:pStyle w:val="Normallist1"/>
        <w:jc w:val="left"/>
      </w:pPr>
      <w:r w:rsidRPr="00505AAB">
        <w:t>Jabiluka</w:t>
      </w:r>
    </w:p>
    <w:p w:rsidR="007B0644" w:rsidRPr="00505AAB" w:rsidRDefault="007B0644" w:rsidP="007B0644">
      <w:pPr>
        <w:pStyle w:val="Normallist1"/>
        <w:jc w:val="left"/>
      </w:pPr>
      <w:r w:rsidRPr="00505AAB">
        <w:t>Nabarlek</w:t>
      </w:r>
    </w:p>
    <w:p w:rsidR="007B0644" w:rsidRPr="00505AAB" w:rsidRDefault="007B0644" w:rsidP="007B0644">
      <w:pPr>
        <w:pStyle w:val="Normallist1"/>
        <w:jc w:val="left"/>
      </w:pPr>
      <w:r w:rsidRPr="00505AAB">
        <w:t>General Alligators Rivers Region</w:t>
      </w:r>
    </w:p>
    <w:p w:rsidR="007B0644" w:rsidRPr="00ED65DF" w:rsidRDefault="00746DB1" w:rsidP="007B0644">
      <w:r>
        <w:t>N</w:t>
      </w:r>
      <w:r w:rsidRPr="00ED65DF">
        <w:t xml:space="preserve">ot all of the projects in </w:t>
      </w:r>
      <w:r w:rsidRPr="00463F8B">
        <w:rPr>
          <w:rFonts w:ascii="Times New Roman" w:hAnsi="Times New Roman"/>
          <w:b/>
          <w:i/>
          <w:sz w:val="26"/>
          <w:szCs w:val="26"/>
        </w:rPr>
        <w:t>eriss’</w:t>
      </w:r>
      <w:r w:rsidRPr="00ED65DF">
        <w:t xml:space="preserve"> KKN project suite have been reported on since</w:t>
      </w:r>
      <w:r>
        <w:t>;</w:t>
      </w:r>
      <w:r w:rsidRPr="00ED65DF">
        <w:t xml:space="preserve"> for reasons of staff resourcing or other demands in the context of absolute project priority, no substantive work may have been done on a particular project during the past year. </w:t>
      </w:r>
      <w:r w:rsidR="007B0644">
        <w:t>A</w:t>
      </w:r>
      <w:r w:rsidR="007B0644" w:rsidRPr="00ED65DF">
        <w:t xml:space="preserve"> list of those projects that have not been reported on, and a summary of the reasons for the reduced act</w:t>
      </w:r>
      <w:r w:rsidR="007B0644">
        <w:t>ivity, is provided in Appendix 2</w:t>
      </w:r>
      <w:r w:rsidR="007B0644" w:rsidRPr="00ED65DF">
        <w:t>.</w:t>
      </w:r>
    </w:p>
    <w:p w:rsidR="007B0644" w:rsidRDefault="007B0644" w:rsidP="007B0644">
      <w:r w:rsidRPr="00ED65DF">
        <w:t xml:space="preserve">Much of the monitoring and research work conducted by </w:t>
      </w:r>
      <w:r w:rsidRPr="001010BF">
        <w:rPr>
          <w:rFonts w:ascii="Times New Roman" w:hAnsi="Times New Roman"/>
          <w:b/>
          <w:i/>
          <w:sz w:val="26"/>
          <w:szCs w:val="26"/>
        </w:rPr>
        <w:t>eriss</w:t>
      </w:r>
      <w:r w:rsidRPr="001010BF">
        <w:rPr>
          <w:rFonts w:ascii="Times New Roman" w:hAnsi="Times New Roman"/>
          <w:b/>
          <w:sz w:val="26"/>
          <w:szCs w:val="26"/>
        </w:rPr>
        <w:t xml:space="preserve"> </w:t>
      </w:r>
      <w:r w:rsidRPr="00ED65DF">
        <w:t xml:space="preserve">is </w:t>
      </w:r>
      <w:r w:rsidR="005805F5">
        <w:t>focused</w:t>
      </w:r>
      <w:r w:rsidRPr="00ED65DF">
        <w:t xml:space="preserve"> on the wet season and its immediate aftermath</w:t>
      </w:r>
      <w:r>
        <w:t>,</w:t>
      </w:r>
      <w:r w:rsidRPr="00ED65DF">
        <w:t xml:space="preserve"> since it is during this period that the environment is potentially at most risk from past and current uranium mining activities. The 201</w:t>
      </w:r>
      <w:r>
        <w:t>3–</w:t>
      </w:r>
      <w:r w:rsidRPr="00ED65DF">
        <w:t>1</w:t>
      </w:r>
      <w:r>
        <w:t>4</w:t>
      </w:r>
      <w:r w:rsidRPr="00ED65DF">
        <w:t xml:space="preserve"> wet </w:t>
      </w:r>
      <w:proofErr w:type="gramStart"/>
      <w:r w:rsidRPr="00ED65DF">
        <w:t>season</w:t>
      </w:r>
      <w:proofErr w:type="gramEnd"/>
      <w:r w:rsidRPr="00ED65DF">
        <w:t xml:space="preserve"> was </w:t>
      </w:r>
      <w:r>
        <w:t>well above</w:t>
      </w:r>
      <w:r w:rsidRPr="00ED65DF">
        <w:t xml:space="preserve"> average with a total of rainfall at Jabiru Airport of 1</w:t>
      </w:r>
      <w:r>
        <w:t>963</w:t>
      </w:r>
      <w:r w:rsidRPr="00ED65DF">
        <w:t xml:space="preserve"> mm (annual average 1536 mm).</w:t>
      </w:r>
    </w:p>
    <w:p w:rsidR="007B0644" w:rsidRPr="00CD000E" w:rsidRDefault="007B0644" w:rsidP="007B0644">
      <w:r>
        <w:t xml:space="preserve">During 2013–14, progress of the research </w:t>
      </w:r>
      <w:r w:rsidR="00E16AC4">
        <w:t>programme</w:t>
      </w:r>
      <w:r>
        <w:t xml:space="preserve"> was again limited by budget constraints making additional/new recruitment difficult. However, the opportunity during the third quarter to recruit several short-term (3 month) non-ongoing contracts in the Revegetation and Landscape Ecology (RLE) </w:t>
      </w:r>
      <w:r w:rsidR="00E16AC4">
        <w:t>programme</w:t>
      </w:r>
      <w:r>
        <w:t xml:space="preserve"> and Hydrologic, Geomorphic</w:t>
      </w:r>
      <w:r w:rsidR="00E16AC4">
        <w:t xml:space="preserve"> and Chemical Processes (HGCP) p</w:t>
      </w:r>
      <w:r>
        <w:t>rogram</w:t>
      </w:r>
      <w:r w:rsidR="00E16AC4">
        <w:t>me</w:t>
      </w:r>
      <w:r>
        <w:t>, and retain existing contr</w:t>
      </w:r>
      <w:r w:rsidR="00E16AC4">
        <w:t>act staff in the Ecotoxicology p</w:t>
      </w:r>
      <w:r>
        <w:t>rogram</w:t>
      </w:r>
      <w:r w:rsidR="00E16AC4">
        <w:t>me</w:t>
      </w:r>
      <w:r>
        <w:t xml:space="preserve">, made a significant and noticeable difference to research progress (and staff morale) towards the end of the year. This highlighted the issue of ‘critical mass’ within the research </w:t>
      </w:r>
      <w:r w:rsidR="00E16AC4">
        <w:t>programme</w:t>
      </w:r>
      <w:r>
        <w:t xml:space="preserve">, and provided us with a benchmark of the point of critical mass across much of the </w:t>
      </w:r>
      <w:r w:rsidR="00E16AC4">
        <w:t>programme</w:t>
      </w:r>
      <w:r>
        <w:t>.</w:t>
      </w:r>
      <w:r w:rsidRPr="00CD000E">
        <w:rPr>
          <w:rFonts w:eastAsiaTheme="minorHAnsi"/>
          <w:szCs w:val="24"/>
          <w:lang w:eastAsia="en-AU"/>
        </w:rPr>
        <w:t xml:space="preserve"> </w:t>
      </w:r>
      <w:r w:rsidRPr="00CD000E">
        <w:t xml:space="preserve">By the year’s end, project </w:t>
      </w:r>
      <w:r w:rsidRPr="00CD000E">
        <w:rPr>
          <w:lang w:val="en-US"/>
        </w:rPr>
        <w:t>milestone completion totaled 55/77 (71%) c</w:t>
      </w:r>
      <w:r>
        <w:rPr>
          <w:lang w:val="en-US"/>
        </w:rPr>
        <w:t>ompared to 64/101 (63%) in 2012–</w:t>
      </w:r>
      <w:r w:rsidRPr="00CD000E">
        <w:rPr>
          <w:lang w:val="en-US"/>
        </w:rPr>
        <w:t>13, reflecting an improvement in completion rate as well as a more manageable workload.</w:t>
      </w:r>
    </w:p>
    <w:p w:rsidR="007B0644" w:rsidRPr="00BE4139" w:rsidRDefault="007B0644" w:rsidP="007B0644">
      <w:r>
        <w:t xml:space="preserve">Selected key areas of research progress during the year are very briefly described below, with further specific details of these and other projects provided throughout this report. </w:t>
      </w:r>
      <w:r w:rsidRPr="00BE4139">
        <w:t xml:space="preserve">Of the 30 or </w:t>
      </w:r>
      <w:r w:rsidR="009601DF">
        <w:t xml:space="preserve">so </w:t>
      </w:r>
      <w:r w:rsidRPr="00BE4139">
        <w:t xml:space="preserve">active </w:t>
      </w:r>
      <w:r>
        <w:t xml:space="preserve">research </w:t>
      </w:r>
      <w:r w:rsidRPr="00BE4139">
        <w:t>projects during 201</w:t>
      </w:r>
      <w:r>
        <w:t>3–</w:t>
      </w:r>
      <w:r w:rsidRPr="00BE4139">
        <w:t>1</w:t>
      </w:r>
      <w:r>
        <w:t>4</w:t>
      </w:r>
      <w:r w:rsidRPr="00BE4139">
        <w:t xml:space="preserve">, the majority (&gt;95%) were addressing issues associated with the current operational phase and/or proposed rehabilitation and post-rehabilitation phases of Ranger mine. </w:t>
      </w:r>
    </w:p>
    <w:p w:rsidR="007B0644" w:rsidRPr="00627DC4" w:rsidRDefault="007B0644" w:rsidP="007B0644">
      <w:pPr>
        <w:pStyle w:val="Heading3"/>
      </w:pPr>
      <w:bookmarkStart w:id="44" w:name="_Toc401910158"/>
      <w:r>
        <w:t>Key research projects for 2013–</w:t>
      </w:r>
      <w:r w:rsidRPr="00627DC4">
        <w:t>14:</w:t>
      </w:r>
      <w:bookmarkEnd w:id="44"/>
    </w:p>
    <w:p w:rsidR="007B0644" w:rsidRPr="00692847" w:rsidRDefault="007B0644" w:rsidP="007B0644">
      <w:pPr>
        <w:pStyle w:val="bulletlist1"/>
        <w:numPr>
          <w:ilvl w:val="0"/>
          <w:numId w:val="1"/>
        </w:numPr>
        <w:ind w:left="357" w:hanging="357"/>
      </w:pPr>
      <w:r w:rsidRPr="00CD000E">
        <w:rPr>
          <w:i/>
        </w:rPr>
        <w:t xml:space="preserve">Toxicity of ammonia to freshwater </w:t>
      </w:r>
      <w:r w:rsidR="00FF6E30">
        <w:rPr>
          <w:i/>
        </w:rPr>
        <w:t>species</w:t>
      </w:r>
      <w:r w:rsidRPr="00692847">
        <w:t xml:space="preserve"> – R&amp;D to design a test system in which test water pH could be maintained within strict limits (due to strong influence of pH on ammonia speciation and toxicity) was successful, and solid progress on the toxicity testing of ammonia under typical Magela Creek water quality conditions was finalised for three of the six species </w:t>
      </w:r>
      <w:r w:rsidRPr="00FF6E30">
        <w:t>(</w:t>
      </w:r>
      <w:r w:rsidR="00FF6E30" w:rsidRPr="00FF6E30">
        <w:t>see p. 26</w:t>
      </w:r>
      <w:r w:rsidRPr="00692847">
        <w:t>);</w:t>
      </w:r>
    </w:p>
    <w:p w:rsidR="007B0644" w:rsidRPr="00FA5462" w:rsidRDefault="007B0644" w:rsidP="007B0644">
      <w:pPr>
        <w:pStyle w:val="bulletlist1"/>
        <w:numPr>
          <w:ilvl w:val="0"/>
          <w:numId w:val="1"/>
        </w:numPr>
        <w:ind w:left="357" w:hanging="357"/>
      </w:pPr>
      <w:r w:rsidRPr="00CD000E">
        <w:rPr>
          <w:i/>
        </w:rPr>
        <w:t>Erosion and chemistry studies on the trial landform</w:t>
      </w:r>
      <w:r>
        <w:t xml:space="preserve"> – 2013–</w:t>
      </w:r>
      <w:r w:rsidRPr="00692847">
        <w:t xml:space="preserve">14 saw the collection of a fifth year of data from the trial landform erosion plots, with the bedload data in particular confirming the rapid decline in materials leaving the site in the years post-construction. Significant in-roads were made on processing of back-logged </w:t>
      </w:r>
      <w:r w:rsidRPr="00FA5462">
        <w:t>samples, and a workshop was held in August 2014 to review all available results (</w:t>
      </w:r>
      <w:r w:rsidRPr="00FF6E30">
        <w:t xml:space="preserve">see p. </w:t>
      </w:r>
      <w:r w:rsidR="00205CAA" w:rsidRPr="00FF6E30">
        <w:t>1</w:t>
      </w:r>
      <w:r w:rsidR="00FF6E30" w:rsidRPr="00FF6E30">
        <w:t>31</w:t>
      </w:r>
      <w:r w:rsidRPr="00FA5462">
        <w:t>);</w:t>
      </w:r>
    </w:p>
    <w:p w:rsidR="007B0644" w:rsidRDefault="007B0644" w:rsidP="007B0644">
      <w:pPr>
        <w:pStyle w:val="bulletlist1"/>
        <w:numPr>
          <w:ilvl w:val="0"/>
          <w:numId w:val="1"/>
        </w:numPr>
        <w:ind w:left="357" w:hanging="357"/>
      </w:pPr>
      <w:r w:rsidRPr="00BE35B9">
        <w:rPr>
          <w:i/>
        </w:rPr>
        <w:t>Developing monitoring methods using an Unmanned Aerial System (UAS)</w:t>
      </w:r>
      <w:r>
        <w:t xml:space="preserve"> – The rehabilitated Jabiluka site is being used as a test site to assess and develop methods for monitoring revegetation and erosion using an UAS. Such methods may represent cost-effective ways of monitoring rehabilitation success at Ranger (</w:t>
      </w:r>
      <w:r w:rsidR="00FF6E30" w:rsidRPr="00FF6E30">
        <w:t>see p. 222</w:t>
      </w:r>
      <w:r w:rsidRPr="00FF6E30">
        <w:t>);</w:t>
      </w:r>
    </w:p>
    <w:p w:rsidR="007B0644" w:rsidRDefault="007B0644" w:rsidP="007B0644">
      <w:pPr>
        <w:pStyle w:val="bulletlist1"/>
        <w:numPr>
          <w:ilvl w:val="0"/>
          <w:numId w:val="1"/>
        </w:numPr>
        <w:ind w:left="357" w:hanging="357"/>
      </w:pPr>
      <w:r>
        <w:rPr>
          <w:i/>
        </w:rPr>
        <w:t>Developing water quality closure criteria for solutes in billabongs</w:t>
      </w:r>
      <w:r>
        <w:t xml:space="preserve"> – The assessment of Ranger mine-affected billabongs in comparison to reference billabongs to identify water quality thresholds at or below which aquatic communities can be maintained was updated with macroinvertebrate data from the 2012–13 billabong survey. Moreover, two potential confounding factors for the analyses were assessed and discounted as significant causative factors in macroinvertebrate community responses. This work is currently informing the development of water quality closure criteria (</w:t>
      </w:r>
      <w:r w:rsidR="00FF6E30" w:rsidRPr="00FF6E30">
        <w:t>see p. 166</w:t>
      </w:r>
      <w:r>
        <w:t>).</w:t>
      </w:r>
    </w:p>
    <w:p w:rsidR="007B0644" w:rsidRDefault="007B0644" w:rsidP="007B0644">
      <w:pPr>
        <w:pStyle w:val="bulletlist1"/>
        <w:numPr>
          <w:ilvl w:val="0"/>
          <w:numId w:val="1"/>
        </w:numPr>
        <w:ind w:left="357" w:hanging="357"/>
      </w:pPr>
      <w:r>
        <w:rPr>
          <w:i/>
          <w:iCs/>
        </w:rPr>
        <w:t>Further population and application of the BRUCE tool to inform predictions of radiological dose to humans and non-human biota</w:t>
      </w:r>
      <w:r>
        <w:t xml:space="preserve"> – The BRUCE tool database now stores radionuclide and metal concentration data for almost 10,000 biota (plants and animals) and environmental media (water, soil and sediment) samples. In 2013–14, it was used for numerous projects, including </w:t>
      </w:r>
      <w:r>
        <w:rPr>
          <w:lang w:val="en-US"/>
        </w:rPr>
        <w:t>the prediction of (i) post-rehabilitation radiation exposure due to the consumption of terrestrial Aboriginal bush foods (</w:t>
      </w:r>
      <w:r w:rsidR="00FF6E30" w:rsidRPr="00FF6E30">
        <w:rPr>
          <w:lang w:val="en-US"/>
        </w:rPr>
        <w:t>see p. 199</w:t>
      </w:r>
      <w:r>
        <w:rPr>
          <w:lang w:val="en-US"/>
        </w:rPr>
        <w:t>) and (ii) environmental media concentration limits for terrestrial wildlife (</w:t>
      </w:r>
      <w:r w:rsidR="00FF6E30" w:rsidRPr="00FF6E30">
        <w:rPr>
          <w:lang w:val="en-US"/>
        </w:rPr>
        <w:t>see p. 213</w:t>
      </w:r>
      <w:r w:rsidRPr="00FF6E30">
        <w:rPr>
          <w:lang w:val="en-US"/>
        </w:rPr>
        <w:t>).</w:t>
      </w:r>
    </w:p>
    <w:p w:rsidR="007B0644" w:rsidRPr="00505AAB" w:rsidRDefault="007B0644" w:rsidP="007B0644">
      <w:pPr>
        <w:pStyle w:val="bulletlist1"/>
        <w:numPr>
          <w:ilvl w:val="0"/>
          <w:numId w:val="0"/>
        </w:numPr>
      </w:pPr>
      <w:r w:rsidRPr="00505AAB">
        <w:t>Jabiluka is in long-term care and maintenance and the current work of the Supervising Scientist is focused on maintaining a routine continuous</w:t>
      </w:r>
      <w:r>
        <w:t xml:space="preserve"> monitoring </w:t>
      </w:r>
      <w:r w:rsidR="00E16AC4">
        <w:t>programme</w:t>
      </w:r>
      <w:r>
        <w:t xml:space="preserve"> for flow,</w:t>
      </w:r>
      <w:r w:rsidRPr="00505AAB">
        <w:t xml:space="preserve"> electrical conductivity </w:t>
      </w:r>
      <w:r>
        <w:t xml:space="preserve">and turbidity </w:t>
      </w:r>
      <w:r w:rsidRPr="00505AAB">
        <w:t xml:space="preserve">downstream of the formerly disturbed area. </w:t>
      </w:r>
      <w:r>
        <w:t xml:space="preserve">These results are reported in </w:t>
      </w:r>
      <w:r w:rsidR="009601DF">
        <w:t>Part 3</w:t>
      </w:r>
      <w:r>
        <w:t>.</w:t>
      </w:r>
      <w:r w:rsidRPr="00505AAB">
        <w:t xml:space="preserve"> </w:t>
      </w:r>
      <w:r>
        <w:t>The Jabiluka rehabilitated area is being used a study site for the project developing UAS-based monitoring methods for the Ranger rehabilit</w:t>
      </w:r>
      <w:r w:rsidR="00E16AC4">
        <w:t>ation, while staff of the HGCP p</w:t>
      </w:r>
      <w:r>
        <w:t>rogram</w:t>
      </w:r>
      <w:r w:rsidR="00E16AC4">
        <w:t>me</w:t>
      </w:r>
      <w:r>
        <w:t xml:space="preserve"> undertook an erosion assessment at the site and downstream drainage tributaries following the first wet season since rehabilitation of the formerly disturbed area</w:t>
      </w:r>
      <w:r w:rsidR="00FB4D42">
        <w:t>.</w:t>
      </w:r>
    </w:p>
    <w:p w:rsidR="007B0644" w:rsidRDefault="007B0644" w:rsidP="007B0644">
      <w:pPr>
        <w:pStyle w:val="bulletlist1"/>
        <w:numPr>
          <w:ilvl w:val="0"/>
          <w:numId w:val="0"/>
        </w:numPr>
        <w:rPr>
          <w:bCs/>
          <w:iCs/>
          <w:szCs w:val="22"/>
          <w:lang w:val="en-US"/>
        </w:rPr>
      </w:pPr>
      <w:r>
        <w:t xml:space="preserve">The key non-uranium mining related external activity for 2012–13 was the involvement of several </w:t>
      </w:r>
      <w:r w:rsidRPr="00A53437">
        <w:rPr>
          <w:rFonts w:ascii="Times New Roman" w:hAnsi="Times New Roman"/>
          <w:b/>
          <w:bCs/>
          <w:i/>
          <w:iCs/>
          <w:spacing w:val="-2"/>
          <w:sz w:val="26"/>
          <w:lang w:val="en-US"/>
        </w:rPr>
        <w:t>eriss</w:t>
      </w:r>
      <w:r>
        <w:t xml:space="preserve"> staff in the current revision of the Australian and New Zealand Guidelines for Fresh and Marine Water Quality.</w:t>
      </w:r>
      <w:r>
        <w:rPr>
          <w:bCs/>
          <w:iCs/>
          <w:szCs w:val="22"/>
          <w:lang w:val="en-US"/>
        </w:rPr>
        <w:t xml:space="preserve"> Details of the involvement in the Water Quality Guidelines revision, and other science and technical activities not related to the core research and monitoring </w:t>
      </w:r>
      <w:r w:rsidR="00E16AC4">
        <w:rPr>
          <w:bCs/>
          <w:iCs/>
          <w:szCs w:val="22"/>
          <w:lang w:val="en-US"/>
        </w:rPr>
        <w:t>programme</w:t>
      </w:r>
      <w:r>
        <w:rPr>
          <w:bCs/>
          <w:iCs/>
          <w:szCs w:val="22"/>
          <w:lang w:val="en-US"/>
        </w:rPr>
        <w:t xml:space="preserve">, are provided in the </w:t>
      </w:r>
      <w:r w:rsidRPr="00427FA0">
        <w:rPr>
          <w:bCs/>
          <w:iCs/>
          <w:szCs w:val="22"/>
          <w:lang w:val="en-US"/>
        </w:rPr>
        <w:t xml:space="preserve">Supervising Scientist </w:t>
      </w:r>
      <w:r>
        <w:rPr>
          <w:bCs/>
          <w:iCs/>
          <w:szCs w:val="22"/>
          <w:lang w:val="en-US"/>
        </w:rPr>
        <w:t>2013–14 Annual Report.</w:t>
      </w:r>
    </w:p>
    <w:p w:rsidR="007B0644" w:rsidRPr="00AD4201" w:rsidRDefault="007B0644" w:rsidP="007B0644">
      <w:pPr>
        <w:pStyle w:val="bulletlist1"/>
        <w:numPr>
          <w:ilvl w:val="0"/>
          <w:numId w:val="0"/>
        </w:numPr>
      </w:pPr>
      <w:r w:rsidRPr="00AD4201">
        <w:t xml:space="preserve">Three maps (following this Preface) provide the regional context for the locations that are referenced in the research papers. Map 1 shows Kakadu National Park and the locations of the Ranger mine, Jabiluka project area, the decommissioned Nabarlek mine, and the South Alligator River valley. A schematic of the Ranger minesite is provided for reference in Map 2. Map 3 shows the locations of billabongs and other waterbodies used for the aquatic ecosystem monitoring and atmospheric and research </w:t>
      </w:r>
      <w:r w:rsidR="00E16AC4">
        <w:t>programme</w:t>
      </w:r>
      <w:r w:rsidRPr="00AD4201">
        <w:t>s for assessing impacts from Ranger mine.</w:t>
      </w:r>
    </w:p>
    <w:p w:rsidR="007B0644" w:rsidRDefault="007B0644" w:rsidP="007B0644">
      <w:pPr>
        <w:pStyle w:val="bulletlist1"/>
        <w:numPr>
          <w:ilvl w:val="0"/>
          <w:numId w:val="0"/>
        </w:numPr>
      </w:pPr>
      <w:r>
        <w:t xml:space="preserve">For additional information, readers are referred to the annual publications list (Appendix 1) that details all of the material </w:t>
      </w:r>
      <w:proofErr w:type="gramStart"/>
      <w:r>
        <w:t>published,</w:t>
      </w:r>
      <w:proofErr w:type="gramEnd"/>
      <w:r>
        <w:t xml:space="preserve"> and conference and workshop papers presented, by </w:t>
      </w:r>
      <w:r w:rsidRPr="00A53437">
        <w:rPr>
          <w:rFonts w:ascii="Times New Roman" w:hAnsi="Times New Roman"/>
          <w:b/>
          <w:bCs/>
          <w:i/>
          <w:iCs/>
          <w:sz w:val="26"/>
          <w:lang w:val="en-US"/>
        </w:rPr>
        <w:t>eriss</w:t>
      </w:r>
      <w:r>
        <w:t xml:space="preserve"> staff in 2013–14.</w:t>
      </w:r>
    </w:p>
    <w:p w:rsidR="007B0644" w:rsidRDefault="007B0644" w:rsidP="007B0644">
      <w:pPr>
        <w:jc w:val="left"/>
      </w:pPr>
      <w:r>
        <w:rPr>
          <w:b/>
        </w:rPr>
        <w:t xml:space="preserve">Rick van Dam, </w:t>
      </w:r>
      <w:r>
        <w:rPr>
          <w:i/>
        </w:rPr>
        <w:t xml:space="preserve">Director, </w:t>
      </w:r>
      <w:r>
        <w:rPr>
          <w:i/>
        </w:rPr>
        <w:br/>
        <w:t>Environmental Research Institute of the Supervising Scientist</w:t>
      </w:r>
    </w:p>
    <w:p w:rsidR="008D0133" w:rsidRDefault="008D0133" w:rsidP="008D0133">
      <w:pPr>
        <w:pStyle w:val="referencelist1"/>
        <w:ind w:left="0" w:firstLine="0"/>
      </w:pPr>
    </w:p>
    <w:p w:rsidR="008D0133" w:rsidRDefault="008D0133" w:rsidP="008D0133">
      <w:pPr>
        <w:pStyle w:val="referencelist1"/>
      </w:pPr>
    </w:p>
    <w:p w:rsidR="008D0133" w:rsidRDefault="004063FC" w:rsidP="008D0133">
      <w:pPr>
        <w:sectPr w:rsidR="008D0133">
          <w:pgSz w:w="11906" w:h="16838" w:code="9"/>
          <w:pgMar w:top="1440" w:right="1800" w:bottom="1440" w:left="1800" w:header="1080" w:footer="835" w:gutter="0"/>
          <w:pgNumType w:fmt="lowerRoman"/>
          <w:cols w:space="360"/>
          <w:noEndnote/>
        </w:sectPr>
      </w:pPr>
      <w:proofErr w:type="gramStart"/>
      <w:r>
        <w:t>k</w:t>
      </w:r>
      <w:proofErr w:type="gramEnd"/>
    </w:p>
    <w:p w:rsidR="004063FC" w:rsidRDefault="004063FC" w:rsidP="001010BF">
      <w:pPr>
        <w:jc w:val="center"/>
        <w:rPr>
          <w:rStyle w:val="Heading1Char"/>
        </w:rPr>
      </w:pPr>
      <w:bookmarkStart w:id="45" w:name="_Toc418172687"/>
      <w:r w:rsidRPr="004063FC">
        <w:rPr>
          <w:rStyle w:val="Heading1Char"/>
        </w:rPr>
        <w:t>Maps</w:t>
      </w:r>
      <w:bookmarkEnd w:id="45"/>
    </w:p>
    <w:p w:rsidR="004063FC" w:rsidRDefault="004063FC" w:rsidP="001010BF">
      <w:pPr>
        <w:jc w:val="center"/>
        <w:rPr>
          <w:rStyle w:val="Heading1Char"/>
        </w:rPr>
      </w:pPr>
    </w:p>
    <w:p w:rsidR="001010BF" w:rsidRPr="009E3B44" w:rsidRDefault="001010BF" w:rsidP="001010BF">
      <w:pPr>
        <w:jc w:val="center"/>
        <w:rPr>
          <w:rFonts w:ascii="Arial" w:hAnsi="Arial" w:cs="Arial"/>
          <w:b/>
        </w:rPr>
      </w:pPr>
      <w:r w:rsidRPr="009E3B44">
        <w:rPr>
          <w:rFonts w:ascii="Arial" w:hAnsi="Arial" w:cs="Arial"/>
          <w:noProof/>
          <w:lang w:eastAsia="en-AU"/>
        </w:rPr>
        <w:drawing>
          <wp:inline distT="0" distB="0" distL="0" distR="0">
            <wp:extent cx="4973864" cy="6376706"/>
            <wp:effectExtent l="38100" t="19050" r="17236" b="24094"/>
            <wp:docPr id="238" name="Picture 2" descr="AnnualReport-map1-May2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nualReport-map1-May2011.jpg"/>
                    <pic:cNvPicPr/>
                  </pic:nvPicPr>
                  <pic:blipFill>
                    <a:blip r:embed="rId21" cstate="screen"/>
                    <a:srcRect/>
                    <a:stretch>
                      <a:fillRect/>
                    </a:stretch>
                  </pic:blipFill>
                  <pic:spPr>
                    <a:xfrm>
                      <a:off x="0" y="0"/>
                      <a:ext cx="4976086" cy="6379554"/>
                    </a:xfrm>
                    <a:prstGeom prst="rect">
                      <a:avLst/>
                    </a:prstGeom>
                    <a:ln>
                      <a:solidFill>
                        <a:schemeClr val="tx1"/>
                      </a:solidFill>
                    </a:ln>
                  </pic:spPr>
                </pic:pic>
              </a:graphicData>
            </a:graphic>
          </wp:inline>
        </w:drawing>
      </w:r>
    </w:p>
    <w:p w:rsidR="001010BF" w:rsidRPr="009E3B44" w:rsidRDefault="001010BF" w:rsidP="001010BF">
      <w:pPr>
        <w:pStyle w:val="figurecaption"/>
        <w:rPr>
          <w:rFonts w:cs="Arial"/>
        </w:rPr>
      </w:pPr>
      <w:r w:rsidRPr="009E3B44">
        <w:rPr>
          <w:rFonts w:cs="Arial"/>
          <w:b/>
        </w:rPr>
        <w:t xml:space="preserve">Map </w:t>
      </w:r>
      <w:proofErr w:type="gramStart"/>
      <w:r w:rsidRPr="009E3B44">
        <w:rPr>
          <w:rFonts w:cs="Arial"/>
          <w:b/>
        </w:rPr>
        <w:t xml:space="preserve">1 </w:t>
      </w:r>
      <w:r w:rsidRPr="009E3B44">
        <w:rPr>
          <w:rFonts w:cs="Arial"/>
        </w:rPr>
        <w:t xml:space="preserve"> Alligator</w:t>
      </w:r>
      <w:proofErr w:type="gramEnd"/>
      <w:r w:rsidRPr="009E3B44">
        <w:rPr>
          <w:rFonts w:cs="Arial"/>
        </w:rPr>
        <w:t xml:space="preserve"> Rivers Region</w:t>
      </w:r>
    </w:p>
    <w:p w:rsidR="001010BF" w:rsidRPr="009E3B44" w:rsidRDefault="001010BF" w:rsidP="001010BF">
      <w:pPr>
        <w:rPr>
          <w:rFonts w:ascii="Arial" w:hAnsi="Arial" w:cs="Arial"/>
        </w:rPr>
      </w:pPr>
      <w:r w:rsidRPr="009E3B44">
        <w:rPr>
          <w:rFonts w:ascii="Arial" w:hAnsi="Arial" w:cs="Arial"/>
          <w:noProof/>
          <w:lang w:eastAsia="en-AU"/>
        </w:rPr>
        <w:drawing>
          <wp:inline distT="0" distB="0" distL="0" distR="0">
            <wp:extent cx="5177064" cy="6410457"/>
            <wp:effectExtent l="19050" t="0" r="4536" b="0"/>
            <wp:docPr id="239" name="Picture 0" descr="annual-report-map2-May2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nual-report-map2-May2011.jpg"/>
                    <pic:cNvPicPr/>
                  </pic:nvPicPr>
                  <pic:blipFill>
                    <a:blip r:embed="rId22" cstate="screen"/>
                    <a:srcRect/>
                    <a:stretch>
                      <a:fillRect/>
                    </a:stretch>
                  </pic:blipFill>
                  <pic:spPr>
                    <a:xfrm>
                      <a:off x="0" y="0"/>
                      <a:ext cx="5177064" cy="6410457"/>
                    </a:xfrm>
                    <a:prstGeom prst="rect">
                      <a:avLst/>
                    </a:prstGeom>
                  </pic:spPr>
                </pic:pic>
              </a:graphicData>
            </a:graphic>
          </wp:inline>
        </w:drawing>
      </w:r>
    </w:p>
    <w:p w:rsidR="001010BF" w:rsidRPr="009E3B44" w:rsidRDefault="001010BF" w:rsidP="001010BF">
      <w:pPr>
        <w:pStyle w:val="figurecaption"/>
        <w:rPr>
          <w:rFonts w:cs="Arial"/>
        </w:rPr>
      </w:pPr>
      <w:r w:rsidRPr="009E3B44">
        <w:rPr>
          <w:rFonts w:cs="Arial"/>
          <w:b/>
        </w:rPr>
        <w:t xml:space="preserve">Map </w:t>
      </w:r>
      <w:proofErr w:type="gramStart"/>
      <w:r w:rsidRPr="009E3B44">
        <w:rPr>
          <w:rFonts w:cs="Arial"/>
          <w:b/>
        </w:rPr>
        <w:t>2</w:t>
      </w:r>
      <w:r w:rsidRPr="009E3B44">
        <w:rPr>
          <w:rFonts w:cs="Arial"/>
        </w:rPr>
        <w:t xml:space="preserve">  Ranger</w:t>
      </w:r>
      <w:proofErr w:type="gramEnd"/>
      <w:r w:rsidRPr="009E3B44">
        <w:rPr>
          <w:rFonts w:cs="Arial"/>
        </w:rPr>
        <w:t xml:space="preserve"> minesite</w:t>
      </w:r>
    </w:p>
    <w:p w:rsidR="001010BF" w:rsidRPr="009E3B44" w:rsidRDefault="001010BF" w:rsidP="001010BF">
      <w:pPr>
        <w:jc w:val="center"/>
        <w:rPr>
          <w:rFonts w:ascii="Arial" w:hAnsi="Arial" w:cs="Arial"/>
        </w:rPr>
      </w:pPr>
      <w:r w:rsidRPr="009E3B44">
        <w:rPr>
          <w:rFonts w:ascii="Arial" w:hAnsi="Arial" w:cs="Arial"/>
          <w:noProof/>
          <w:lang w:eastAsia="en-AU"/>
        </w:rPr>
        <w:drawing>
          <wp:inline distT="0" distB="0" distL="0" distR="0">
            <wp:extent cx="4751254" cy="7042803"/>
            <wp:effectExtent l="19050" t="0" r="0" b="0"/>
            <wp:docPr id="240" name="Picture 1" descr="annualreport- map3-sample-locations_may2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nualreport- map3-sample-locations_may2011.jpg"/>
                    <pic:cNvPicPr/>
                  </pic:nvPicPr>
                  <pic:blipFill>
                    <a:blip r:embed="rId23" cstate="screen"/>
                    <a:srcRect/>
                    <a:stretch>
                      <a:fillRect/>
                    </a:stretch>
                  </pic:blipFill>
                  <pic:spPr>
                    <a:xfrm>
                      <a:off x="0" y="0"/>
                      <a:ext cx="4751254" cy="7042803"/>
                    </a:xfrm>
                    <a:prstGeom prst="rect">
                      <a:avLst/>
                    </a:prstGeom>
                  </pic:spPr>
                </pic:pic>
              </a:graphicData>
            </a:graphic>
          </wp:inline>
        </w:drawing>
      </w:r>
    </w:p>
    <w:p w:rsidR="001010BF" w:rsidRPr="009E3B44" w:rsidRDefault="001010BF" w:rsidP="001010BF">
      <w:pPr>
        <w:pStyle w:val="figurecaption"/>
        <w:rPr>
          <w:rFonts w:cs="Arial"/>
        </w:rPr>
      </w:pPr>
      <w:r w:rsidRPr="009E3B44">
        <w:rPr>
          <w:rFonts w:cs="Arial"/>
          <w:b/>
        </w:rPr>
        <w:t xml:space="preserve">Map </w:t>
      </w:r>
      <w:proofErr w:type="gramStart"/>
      <w:r w:rsidRPr="009E3B44">
        <w:rPr>
          <w:rFonts w:cs="Arial"/>
          <w:b/>
        </w:rPr>
        <w:t>3</w:t>
      </w:r>
      <w:r w:rsidRPr="009E3B44">
        <w:rPr>
          <w:rFonts w:cs="Arial"/>
        </w:rPr>
        <w:t xml:space="preserve">  Sampling</w:t>
      </w:r>
      <w:proofErr w:type="gramEnd"/>
      <w:r w:rsidRPr="009E3B44">
        <w:rPr>
          <w:rFonts w:cs="Arial"/>
        </w:rPr>
        <w:t xml:space="preserve"> locations used in SSD’s research and monitoring </w:t>
      </w:r>
      <w:r w:rsidR="00E16AC4">
        <w:rPr>
          <w:rFonts w:cs="Arial"/>
        </w:rPr>
        <w:t>programme</w:t>
      </w:r>
      <w:r w:rsidRPr="009E3B44">
        <w:rPr>
          <w:rFonts w:cs="Arial"/>
        </w:rPr>
        <w:t>s</w:t>
      </w:r>
    </w:p>
    <w:p w:rsidR="00754C47" w:rsidRDefault="00754C47" w:rsidP="00E33A1E">
      <w:pPr>
        <w:pStyle w:val="Heading2"/>
        <w:sectPr w:rsidR="00754C47" w:rsidSect="001010BF">
          <w:headerReference w:type="even" r:id="rId24"/>
          <w:footerReference w:type="even" r:id="rId25"/>
          <w:footerReference w:type="default" r:id="rId26"/>
          <w:headerReference w:type="first" r:id="rId27"/>
          <w:footerReference w:type="first" r:id="rId28"/>
          <w:pgSz w:w="11906" w:h="16838" w:code="9"/>
          <w:pgMar w:top="1440" w:right="1800" w:bottom="1440" w:left="1800" w:header="1080" w:footer="835" w:gutter="0"/>
          <w:pgNumType w:fmt="lowerRoman"/>
          <w:cols w:space="360"/>
          <w:noEndnote/>
        </w:sectPr>
      </w:pPr>
    </w:p>
    <w:p w:rsidR="00C752EC" w:rsidRDefault="00C752EC" w:rsidP="003E2E6F">
      <w:pPr>
        <w:pStyle w:val="Heading1"/>
      </w:pPr>
      <w:bookmarkStart w:id="46" w:name="_Toc308710346"/>
      <w:bookmarkStart w:id="47" w:name="_Toc370812555"/>
      <w:bookmarkStart w:id="48" w:name="_Toc372540171"/>
      <w:bookmarkStart w:id="49" w:name="_Toc401910160"/>
    </w:p>
    <w:p w:rsidR="003E2E6F" w:rsidRDefault="003E2E6F" w:rsidP="003E2E6F">
      <w:pPr>
        <w:pStyle w:val="Heading1"/>
      </w:pPr>
    </w:p>
    <w:p w:rsidR="003E2E6F" w:rsidRDefault="003E2E6F" w:rsidP="003E2E6F">
      <w:pPr>
        <w:pStyle w:val="Heading1"/>
      </w:pPr>
    </w:p>
    <w:p w:rsidR="003E2E6F" w:rsidRPr="003E2E6F" w:rsidRDefault="003E2E6F" w:rsidP="003E2E6F">
      <w:pPr>
        <w:pStyle w:val="Heading1"/>
      </w:pPr>
    </w:p>
    <w:p w:rsidR="00C752EC" w:rsidRDefault="00C752EC" w:rsidP="003E2E6F">
      <w:pPr>
        <w:pStyle w:val="Heading1"/>
      </w:pPr>
    </w:p>
    <w:p w:rsidR="00C752EC" w:rsidRDefault="00A47A1E" w:rsidP="00C752EC">
      <w:pPr>
        <w:pStyle w:val="Heading1"/>
        <w:rPr>
          <w:rFonts w:cs="Arial"/>
          <w:sz w:val="48"/>
          <w:szCs w:val="48"/>
        </w:rPr>
      </w:pPr>
      <w:bookmarkStart w:id="50" w:name="_Toc409772776"/>
      <w:bookmarkStart w:id="51" w:name="_Toc418172688"/>
      <w:r w:rsidRPr="00A47A1E">
        <w:rPr>
          <w:rFonts w:cs="Arial"/>
          <w:sz w:val="48"/>
          <w:szCs w:val="48"/>
        </w:rPr>
        <w:t>Part 1</w:t>
      </w:r>
      <w:bookmarkEnd w:id="50"/>
      <w:bookmarkEnd w:id="51"/>
    </w:p>
    <w:p w:rsidR="00A47A1E" w:rsidRPr="00A47A1E" w:rsidRDefault="00A47A1E" w:rsidP="00A47A1E"/>
    <w:p w:rsidR="008707FD" w:rsidRPr="00A47A1E" w:rsidRDefault="008707FD" w:rsidP="00C752EC">
      <w:pPr>
        <w:pStyle w:val="Heading1"/>
        <w:rPr>
          <w:rFonts w:cs="Arial"/>
          <w:sz w:val="48"/>
          <w:szCs w:val="48"/>
        </w:rPr>
      </w:pPr>
      <w:bookmarkStart w:id="52" w:name="_Toc409772777"/>
      <w:bookmarkStart w:id="53" w:name="_Toc409773754"/>
      <w:bookmarkStart w:id="54" w:name="_Toc414959025"/>
      <w:bookmarkStart w:id="55" w:name="_Toc416693446"/>
      <w:bookmarkStart w:id="56" w:name="_Toc416700122"/>
      <w:bookmarkStart w:id="57" w:name="_Toc416704093"/>
      <w:bookmarkStart w:id="58" w:name="_Toc418172689"/>
      <w:r w:rsidRPr="00A47A1E">
        <w:rPr>
          <w:rFonts w:cs="Arial"/>
          <w:sz w:val="48"/>
          <w:szCs w:val="48"/>
        </w:rPr>
        <w:t>Ranger – Current operations</w:t>
      </w:r>
      <w:bookmarkEnd w:id="46"/>
      <w:bookmarkEnd w:id="47"/>
      <w:bookmarkEnd w:id="48"/>
      <w:bookmarkEnd w:id="49"/>
      <w:bookmarkEnd w:id="52"/>
      <w:bookmarkEnd w:id="53"/>
      <w:bookmarkEnd w:id="54"/>
      <w:bookmarkEnd w:id="55"/>
      <w:bookmarkEnd w:id="56"/>
      <w:bookmarkEnd w:id="57"/>
      <w:bookmarkEnd w:id="58"/>
    </w:p>
    <w:p w:rsidR="00A47A1E" w:rsidRDefault="00A47A1E">
      <w:pPr>
        <w:spacing w:after="0" w:line="240" w:lineRule="auto"/>
        <w:jc w:val="left"/>
      </w:pPr>
      <w:r>
        <w:br w:type="page"/>
      </w:r>
    </w:p>
    <w:p w:rsidR="00A47A1E" w:rsidRDefault="00A47A1E" w:rsidP="003E2E6F">
      <w:pPr>
        <w:pStyle w:val="Heading1"/>
      </w:pPr>
    </w:p>
    <w:p w:rsidR="00A47A1E" w:rsidRDefault="00A47A1E" w:rsidP="003E2E6F">
      <w:pPr>
        <w:pStyle w:val="Heading1"/>
      </w:pPr>
    </w:p>
    <w:p w:rsidR="003E2E6F" w:rsidRPr="003E2E6F" w:rsidRDefault="003E2E6F" w:rsidP="003E2E6F">
      <w:pPr>
        <w:pStyle w:val="Heading1"/>
      </w:pPr>
    </w:p>
    <w:p w:rsidR="00A47A1E" w:rsidRDefault="00A47A1E" w:rsidP="003E2E6F">
      <w:pPr>
        <w:pStyle w:val="Heading1"/>
      </w:pPr>
    </w:p>
    <w:p w:rsidR="00C65E6B" w:rsidRDefault="005325F5" w:rsidP="007A7453">
      <w:pPr>
        <w:pStyle w:val="Heading1"/>
        <w:rPr>
          <w:rFonts w:cs="Arial"/>
        </w:rPr>
        <w:sectPr w:rsidR="00C65E6B" w:rsidSect="001010BF">
          <w:headerReference w:type="default" r:id="rId29"/>
          <w:footerReference w:type="default" r:id="rId30"/>
          <w:pgSz w:w="11906" w:h="16838" w:code="9"/>
          <w:pgMar w:top="1440" w:right="1800" w:bottom="1440" w:left="1800" w:header="1080" w:footer="835" w:gutter="0"/>
          <w:pgNumType w:start="1"/>
          <w:cols w:space="360"/>
          <w:noEndnote/>
        </w:sectPr>
      </w:pPr>
      <w:bookmarkStart w:id="59" w:name="_Toc418172690"/>
      <w:r>
        <w:rPr>
          <w:rFonts w:cs="Arial"/>
        </w:rPr>
        <w:t>Key Knowledge Need</w:t>
      </w:r>
      <w:bookmarkStart w:id="60" w:name="_Toc409772778"/>
      <w:r w:rsidR="007A7453">
        <w:rPr>
          <w:rFonts w:cs="Arial"/>
        </w:rPr>
        <w:t xml:space="preserve"> </w:t>
      </w:r>
      <w:r w:rsidR="009A3243">
        <w:rPr>
          <w:rFonts w:cs="Arial"/>
        </w:rPr>
        <w:t>1.</w:t>
      </w:r>
      <w:r w:rsidR="00A75A7D">
        <w:rPr>
          <w:rFonts w:cs="Arial"/>
        </w:rPr>
        <w:t>2</w:t>
      </w:r>
      <w:r w:rsidR="007A7453">
        <w:rPr>
          <w:rFonts w:cs="Arial"/>
        </w:rPr>
        <w:t>:</w:t>
      </w:r>
      <w:r w:rsidR="00A75A7D">
        <w:rPr>
          <w:rFonts w:cs="Arial"/>
        </w:rPr>
        <w:t xml:space="preserve"> </w:t>
      </w:r>
      <w:r w:rsidR="00A47A1E">
        <w:rPr>
          <w:rFonts w:cs="Arial"/>
        </w:rPr>
        <w:t>Ongoing operational iss</w:t>
      </w:r>
      <w:r w:rsidR="00C65E6B">
        <w:rPr>
          <w:rFonts w:cs="Arial"/>
        </w:rPr>
        <w:t>ues</w:t>
      </w:r>
      <w:bookmarkStart w:id="61" w:name="_Toc401910163"/>
      <w:bookmarkEnd w:id="60"/>
      <w:bookmarkEnd w:id="59"/>
    </w:p>
    <w:p w:rsidR="00C66097" w:rsidRDefault="00C66097" w:rsidP="008038A5">
      <w:pPr>
        <w:pStyle w:val="Heading1"/>
      </w:pPr>
      <w:bookmarkStart w:id="62" w:name="_Toc418172691"/>
      <w:bookmarkStart w:id="63" w:name="_Toc409772779"/>
      <w:r>
        <w:t>Investigation of water quality in the Gulungul Creek catchment to the west of Ranger’s tailings storage facility</w:t>
      </w:r>
      <w:bookmarkEnd w:id="62"/>
    </w:p>
    <w:p w:rsidR="00C66097" w:rsidRPr="0088212B" w:rsidRDefault="00C66097" w:rsidP="00C66097">
      <w:pPr>
        <w:pStyle w:val="Heading3"/>
        <w:spacing w:after="480"/>
        <w:jc w:val="center"/>
      </w:pPr>
      <w:r>
        <w:t>K Turner &amp; S Marshall</w:t>
      </w:r>
    </w:p>
    <w:p w:rsidR="00C66097" w:rsidRPr="0088212B" w:rsidRDefault="00C66097" w:rsidP="00C66097">
      <w:pPr>
        <w:pStyle w:val="Heading2"/>
      </w:pPr>
      <w:bookmarkStart w:id="64" w:name="_Introduction"/>
      <w:bookmarkEnd w:id="64"/>
      <w:r w:rsidRPr="0088212B">
        <w:t>Executive summary</w:t>
      </w:r>
    </w:p>
    <w:p w:rsidR="00C66097" w:rsidRDefault="00B644E2" w:rsidP="00C66097">
      <w:pPr>
        <w:rPr>
          <w:lang w:val="en-US"/>
        </w:rPr>
      </w:pPr>
      <w:r>
        <w:rPr>
          <w:lang w:val="en-US"/>
        </w:rPr>
        <w:t>During the 2013–</w:t>
      </w:r>
      <w:r w:rsidR="00C66097">
        <w:rPr>
          <w:lang w:val="en-US"/>
        </w:rPr>
        <w:t xml:space="preserve">14 wet season, there were a number of electrical conductivity (EC) spikes in Gulungul Creek that were higher than historically-recorded levels, the most significant of these being </w:t>
      </w:r>
      <w:r w:rsidR="00C66097" w:rsidRPr="0027682B">
        <w:rPr>
          <w:lang w:val="en-US"/>
        </w:rPr>
        <w:t>a 3</w:t>
      </w:r>
      <w:r w:rsidR="00C66097">
        <w:rPr>
          <w:lang w:val="en-US"/>
        </w:rPr>
        <w:t>-</w:t>
      </w:r>
      <w:r w:rsidR="00C66097" w:rsidRPr="0027682B">
        <w:rPr>
          <w:lang w:val="en-US"/>
        </w:rPr>
        <w:t xml:space="preserve">hour EC event that peaked </w:t>
      </w:r>
      <w:proofErr w:type="gramStart"/>
      <w:r w:rsidR="00C66097" w:rsidRPr="0027682B">
        <w:rPr>
          <w:lang w:val="en-US"/>
        </w:rPr>
        <w:t>at 184 µS</w:t>
      </w:r>
      <w:r w:rsidR="00C66097">
        <w:rPr>
          <w:lang w:val="en-US"/>
        </w:rPr>
        <w:t>/cm, measured at ERA’s continuous monitoring site Gulungul Creek Lease Boundary (GCLB) o</w:t>
      </w:r>
      <w:r w:rsidR="00C66097" w:rsidRPr="0027682B">
        <w:rPr>
          <w:lang w:val="en-US"/>
        </w:rPr>
        <w:t>n 19 January 2014</w:t>
      </w:r>
      <w:r w:rsidR="00C66097">
        <w:rPr>
          <w:lang w:val="en-US"/>
        </w:rPr>
        <w:t xml:space="preserve"> (</w:t>
      </w:r>
      <w:r w:rsidR="00412055">
        <w:t xml:space="preserve">Figure </w:t>
      </w:r>
      <w:r w:rsidR="00177803">
        <w:t>1</w:t>
      </w:r>
      <w:r w:rsidR="00C66097">
        <w:rPr>
          <w:lang w:val="en-US"/>
        </w:rPr>
        <w:t>)</w:t>
      </w:r>
      <w:proofErr w:type="gramEnd"/>
      <w:r w:rsidR="00C66097">
        <w:rPr>
          <w:lang w:val="en-US"/>
        </w:rPr>
        <w:t xml:space="preserve">. Whilst of a greater magnitude than previously observed, this event fell below the Magela Creek toxicity derived threshold for possible environmental effect </w:t>
      </w:r>
      <w:proofErr w:type="gramStart"/>
      <w:r w:rsidR="00C66097">
        <w:rPr>
          <w:lang w:val="en-US"/>
        </w:rPr>
        <w:t>of 1,138</w:t>
      </w:r>
      <w:r w:rsidR="00C66097" w:rsidRPr="001E2C34">
        <w:rPr>
          <w:lang w:val="en-US"/>
        </w:rPr>
        <w:t xml:space="preserve"> </w:t>
      </w:r>
      <w:r w:rsidR="00C66097">
        <w:rPr>
          <w:lang w:val="en-US"/>
        </w:rPr>
        <w:t>µS/cm for 3 hour exposure</w:t>
      </w:r>
      <w:proofErr w:type="gramEnd"/>
      <w:r w:rsidR="00C66097">
        <w:rPr>
          <w:lang w:val="en-US"/>
        </w:rPr>
        <w:t xml:space="preserve">. These </w:t>
      </w:r>
      <w:r w:rsidR="00C66097" w:rsidRPr="0027682B">
        <w:rPr>
          <w:lang w:val="en-US"/>
        </w:rPr>
        <w:t xml:space="preserve">EC events </w:t>
      </w:r>
      <w:r w:rsidR="00C66097">
        <w:rPr>
          <w:lang w:val="en-US"/>
        </w:rPr>
        <w:t>indicated a notable change in Gulungul Creek water quality in the vicinity of the min</w:t>
      </w:r>
      <w:r w:rsidR="00EE7D7C">
        <w:rPr>
          <w:lang w:val="en-US"/>
        </w:rPr>
        <w:t>e</w:t>
      </w:r>
      <w:r w:rsidR="00C66097">
        <w:rPr>
          <w:lang w:val="en-US"/>
        </w:rPr>
        <w:t xml:space="preserve">site, which had a previous maximum recorded EC </w:t>
      </w:r>
      <w:proofErr w:type="gramStart"/>
      <w:r w:rsidR="00C66097">
        <w:rPr>
          <w:lang w:val="en-US"/>
        </w:rPr>
        <w:t>of 56 µS/cm at GCLB</w:t>
      </w:r>
      <w:proofErr w:type="gramEnd"/>
      <w:r w:rsidR="00C66097">
        <w:rPr>
          <w:lang w:val="en-US"/>
        </w:rPr>
        <w:t>. No such change was detected at ERA’s downstream monitoring compliance point (GCH) where the EC measured in week</w:t>
      </w:r>
      <w:r>
        <w:rPr>
          <w:lang w:val="en-US"/>
        </w:rPr>
        <w:t>ly grab samples during the 2013–</w:t>
      </w:r>
      <w:r w:rsidR="00C66097">
        <w:rPr>
          <w:lang w:val="en-US"/>
        </w:rPr>
        <w:t xml:space="preserve">14 remained within previously reported ranges (towards the upper end), which may indicate that the far-field effects on water quality are limited. </w:t>
      </w:r>
    </w:p>
    <w:p w:rsidR="00C66097" w:rsidRDefault="00C66097" w:rsidP="00C66097">
      <w:pPr>
        <w:rPr>
          <w:lang w:val="en-US"/>
        </w:rPr>
      </w:pPr>
      <w:r>
        <w:rPr>
          <w:lang w:val="en-US"/>
        </w:rPr>
        <w:t>In order to determine the source of the elevated solutes in Gulungul Creek, i</w:t>
      </w:r>
      <w:r w:rsidRPr="0027682B">
        <w:rPr>
          <w:lang w:val="en-US"/>
        </w:rPr>
        <w:t xml:space="preserve">nvestigations </w:t>
      </w:r>
      <w:r>
        <w:rPr>
          <w:lang w:val="en-US"/>
        </w:rPr>
        <w:t xml:space="preserve">were carried out </w:t>
      </w:r>
      <w:r w:rsidRPr="0027682B">
        <w:rPr>
          <w:lang w:val="en-US"/>
        </w:rPr>
        <w:t xml:space="preserve">by </w:t>
      </w:r>
      <w:r>
        <w:rPr>
          <w:lang w:val="en-US"/>
        </w:rPr>
        <w:t>both the Supervising Scient</w:t>
      </w:r>
      <w:r w:rsidR="00B644E2">
        <w:rPr>
          <w:lang w:val="en-US"/>
        </w:rPr>
        <w:t>ist and ERA throughout the 2013–</w:t>
      </w:r>
      <w:r>
        <w:rPr>
          <w:lang w:val="en-US"/>
        </w:rPr>
        <w:t xml:space="preserve">14 wet </w:t>
      </w:r>
      <w:proofErr w:type="gramStart"/>
      <w:r>
        <w:rPr>
          <w:lang w:val="en-US"/>
        </w:rPr>
        <w:t>season</w:t>
      </w:r>
      <w:proofErr w:type="gramEnd"/>
      <w:r>
        <w:rPr>
          <w:lang w:val="en-US"/>
        </w:rPr>
        <w:t xml:space="preserve"> and into the 2014 dry season. It was determined that the solutes were entering Gulungul Creek along Gulungul Creek Tributary 2 (GCT2), a flow path that originates at the western wall of the Tailings Storage Facility (TSF) (</w:t>
      </w:r>
      <w:r w:rsidR="00412055">
        <w:t xml:space="preserve">Figure </w:t>
      </w:r>
      <w:r w:rsidR="00177803">
        <w:t>1</w:t>
      </w:r>
      <w:r>
        <w:rPr>
          <w:lang w:val="en-US"/>
        </w:rPr>
        <w:t>). As well as increasing the conductivity of Gulungul Creek surface waters, the high solute loading in the GCT2 tributary also resulted in the formation of salt crystals, or evaporites, along the full extent of the flow path</w:t>
      </w:r>
      <w:r w:rsidRPr="002F784F">
        <w:rPr>
          <w:lang w:val="en-US"/>
        </w:rPr>
        <w:t xml:space="preserve"> </w:t>
      </w:r>
      <w:r>
        <w:rPr>
          <w:lang w:val="en-US"/>
        </w:rPr>
        <w:t xml:space="preserve">during the dry season. The salts encrusted surface soils and accumulated around the base of trees and on other vegetation and leaf litter. </w:t>
      </w:r>
    </w:p>
    <w:p w:rsidR="00C66097" w:rsidRDefault="00C66097" w:rsidP="00C66097">
      <w:pPr>
        <w:rPr>
          <w:lang w:val="en-US"/>
        </w:rPr>
      </w:pPr>
      <w:r>
        <w:rPr>
          <w:lang w:val="en-US"/>
        </w:rPr>
        <w:t>Historical literature detailing investigations into contaminated surface water and groundwater to the west of the TSF is currently being reviewed in detail by the Supervising Scientist to ensure that the most recent data are interpreted in the context of work previously carried out. The review is ongoing and will be used to underpin the formulation of future research projects undertaken by either the Supervising Scientist or ERA.</w:t>
      </w:r>
      <w:r w:rsidRPr="00F22FA5">
        <w:rPr>
          <w:lang w:val="en-US"/>
        </w:rPr>
        <w:t xml:space="preserve"> </w:t>
      </w:r>
      <w:r>
        <w:rPr>
          <w:lang w:val="en-US"/>
        </w:rPr>
        <w:t>The present report examines data collected as part of ERA’s and t</w:t>
      </w:r>
      <w:r w:rsidR="00B644E2">
        <w:rPr>
          <w:lang w:val="en-US"/>
        </w:rPr>
        <w:t>he Supervising Scientist’s 2013–</w:t>
      </w:r>
      <w:r>
        <w:rPr>
          <w:lang w:val="en-US"/>
        </w:rPr>
        <w:t>14 investigation into the high EC levels recorded in Gulungul Creek and contains some preliminary evidence that suggests TSF seepage should not be ruled out as a contributor to solutes in the Gulungul Creek catchment.</w:t>
      </w:r>
    </w:p>
    <w:p w:rsidR="00C66097" w:rsidRDefault="00C66097" w:rsidP="00C66097">
      <w:pPr>
        <w:pStyle w:val="Heading2"/>
      </w:pPr>
      <w:r>
        <w:t>Introduction</w:t>
      </w:r>
    </w:p>
    <w:p w:rsidR="00C66097" w:rsidRDefault="00C66097" w:rsidP="00C66097">
      <w:pPr>
        <w:rPr>
          <w:snapToGrid w:val="0"/>
          <w:color w:val="000000"/>
          <w:szCs w:val="0"/>
          <w:u w:color="000000"/>
          <w:lang w:val="en-US"/>
        </w:rPr>
      </w:pPr>
      <w:r>
        <w:t xml:space="preserve">The TSF at Ranger uranium mine has been in operation since 1979. </w:t>
      </w:r>
      <w:r>
        <w:rPr>
          <w:snapToGrid w:val="0"/>
          <w:color w:val="000000"/>
          <w:szCs w:val="0"/>
          <w:u w:color="000000"/>
        </w:rPr>
        <w:t>The design of the TSF is a ring-dyke or turkey’s nest structure, covering an area of approximately 1 km</w:t>
      </w:r>
      <w:r>
        <w:rPr>
          <w:snapToGrid w:val="0"/>
          <w:color w:val="000000"/>
          <w:position w:val="6"/>
          <w:sz w:val="16"/>
          <w:szCs w:val="0"/>
          <w:u w:color="000000"/>
        </w:rPr>
        <w:t>2</w:t>
      </w:r>
      <w:r>
        <w:rPr>
          <w:snapToGrid w:val="0"/>
          <w:color w:val="000000"/>
          <w:szCs w:val="0"/>
          <w:u w:color="000000"/>
        </w:rPr>
        <w:t xml:space="preserve"> </w:t>
      </w:r>
      <w:r w:rsidR="006B5A61">
        <w:fldChar w:fldCharType="begin"/>
      </w:r>
      <w:r>
        <w:instrText xml:space="preserve"> ADDIN EN.CITE &lt;EndNote&gt;&lt;Cite&gt;&lt;Author&gt;Townley&lt;/Author&gt;&lt;Year&gt;1996&lt;/Year&gt;&lt;RecNum&gt;158&lt;/RecNum&gt;&lt;DisplayText&gt;(Townley, 1996)&lt;/DisplayText&gt;&lt;record&gt;&lt;rec-number&gt;158&lt;/rec-number&gt;&lt;foreign-keys&gt;&lt;key app="EN" db-id="zap0xs5t8rrzs4ee9f75f99u9eptp0ra5dr0"&gt;158&lt;/key&gt;&lt;/foreign-keys&gt;&lt;ref-type name="Report"&gt;27&lt;/ref-type&gt;&lt;contributors&gt;&lt;authors&gt;&lt;author&gt;Townley, L. R.&lt;/author&gt;&lt;/authors&gt;&lt;/contributors&gt;&lt;titles&gt;&lt;title&gt;Review of Previous Studies of Seepage from Ranger Tailings Dam&lt;/title&gt;&lt;secondary-title&gt;CSIRO Minesite Rehabilitation Research Program&lt;/secondary-title&gt;&lt;/titles&gt;&lt;dates&gt;&lt;year&gt;1996&lt;/year&gt;&lt;pub-dates&gt;&lt;date&gt;22 February 1996&lt;/date&gt;&lt;/pub-dates&gt;&lt;/dates&gt;&lt;urls&gt;&lt;/urls&gt;&lt;/record&gt;&lt;/Cite&gt;&lt;/EndNote&gt;</w:instrText>
      </w:r>
      <w:r w:rsidR="006B5A61">
        <w:fldChar w:fldCharType="separate"/>
      </w:r>
      <w:r>
        <w:rPr>
          <w:noProof/>
        </w:rPr>
        <w:t>(</w:t>
      </w:r>
      <w:hyperlink w:anchor="_ENREF_1" w:tooltip="Townley, 1996 #158" w:history="1">
        <w:r w:rsidR="00B644E2">
          <w:rPr>
            <w:noProof/>
          </w:rPr>
          <w:t>Townley</w:t>
        </w:r>
        <w:r>
          <w:rPr>
            <w:noProof/>
          </w:rPr>
          <w:t xml:space="preserve"> 1996</w:t>
        </w:r>
      </w:hyperlink>
      <w:r>
        <w:rPr>
          <w:noProof/>
        </w:rPr>
        <w:t>)</w:t>
      </w:r>
      <w:r w:rsidR="006B5A61">
        <w:fldChar w:fldCharType="end"/>
      </w:r>
      <w:r>
        <w:t xml:space="preserve">. It straddles the </w:t>
      </w:r>
      <w:r>
        <w:rPr>
          <w:snapToGrid w:val="0"/>
          <w:color w:val="000000"/>
          <w:szCs w:val="0"/>
          <w:u w:color="000000"/>
          <w:lang w:val="en-US"/>
        </w:rPr>
        <w:t xml:space="preserve">Coonjimba Creek, Gulungul Creek and Corridor Creek surface water catchment divides. When built, the wall foundations were prepared through the clearance of vegetation and the excavation of alluvial and lateritic sediments (classified as Aquifer 1a and 1b, respectively) to a depth of approximately 1.5–2 m below ground level (Volk </w:t>
      </w:r>
      <w:r w:rsidRPr="00B644E2">
        <w:rPr>
          <w:snapToGrid w:val="0"/>
          <w:color w:val="000000"/>
          <w:szCs w:val="0"/>
          <w:u w:color="000000"/>
          <w:lang w:val="en-US"/>
        </w:rPr>
        <w:t>et al.</w:t>
      </w:r>
      <w:r>
        <w:rPr>
          <w:i/>
          <w:snapToGrid w:val="0"/>
          <w:color w:val="000000"/>
          <w:szCs w:val="0"/>
          <w:u w:color="000000"/>
          <w:lang w:val="en-US"/>
        </w:rPr>
        <w:t xml:space="preserve"> </w:t>
      </w:r>
      <w:r>
        <w:rPr>
          <w:snapToGrid w:val="0"/>
          <w:color w:val="000000"/>
          <w:szCs w:val="0"/>
          <w:u w:color="000000"/>
          <w:lang w:val="en-US"/>
        </w:rPr>
        <w:t xml:space="preserve">1980, in URS 2010). The TSF foundations were only grouted along the northern wall in zones where it was thought that faults were </w:t>
      </w:r>
      <w:r w:rsidRPr="00C6255C">
        <w:rPr>
          <w:snapToGrid w:val="0"/>
          <w:color w:val="000000"/>
          <w:szCs w:val="0"/>
          <w:u w:color="000000"/>
          <w:lang w:val="en-US"/>
        </w:rPr>
        <w:t xml:space="preserve">present in the bedrock (Coffey Mining, 2010 in Puhalovich </w:t>
      </w:r>
      <w:r w:rsidRPr="00B644E2">
        <w:rPr>
          <w:snapToGrid w:val="0"/>
          <w:color w:val="000000"/>
          <w:szCs w:val="0"/>
          <w:u w:color="000000"/>
          <w:lang w:val="en-US"/>
        </w:rPr>
        <w:t>et al.</w:t>
      </w:r>
      <w:r w:rsidRPr="00C6255C">
        <w:rPr>
          <w:snapToGrid w:val="0"/>
          <w:color w:val="000000"/>
          <w:szCs w:val="0"/>
          <w:u w:color="000000"/>
          <w:lang w:val="en-US"/>
        </w:rPr>
        <w:t xml:space="preserve"> 2012). The TSF walls contain a compacted clay core located at the upstream face and these cores were keyed into the weathered gneiss and schist bedrock (Burgess 2008, in URS</w:t>
      </w:r>
      <w:r w:rsidRPr="00C6255C">
        <w:rPr>
          <w:i/>
          <w:snapToGrid w:val="0"/>
          <w:color w:val="000000"/>
          <w:szCs w:val="0"/>
          <w:u w:color="000000"/>
          <w:lang w:val="en-US"/>
        </w:rPr>
        <w:t xml:space="preserve"> </w:t>
      </w:r>
      <w:r w:rsidRPr="00C6255C">
        <w:rPr>
          <w:snapToGrid w:val="0"/>
          <w:color w:val="000000"/>
          <w:szCs w:val="0"/>
          <w:u w:color="000000"/>
          <w:lang w:val="en-US"/>
        </w:rPr>
        <w:t>2010). The floor of the TSF was not excavated to b</w:t>
      </w:r>
      <w:r>
        <w:rPr>
          <w:snapToGrid w:val="0"/>
          <w:color w:val="000000"/>
          <w:szCs w:val="0"/>
          <w:u w:color="000000"/>
          <w:lang w:val="en-US"/>
        </w:rPr>
        <w:t>edrock, nor was it lined, but it was cleared of vegetation prior to the deposition of tailings (Burgess 2008, in URS</w:t>
      </w:r>
      <w:r>
        <w:rPr>
          <w:i/>
          <w:snapToGrid w:val="0"/>
          <w:color w:val="000000"/>
          <w:szCs w:val="0"/>
          <w:u w:color="000000"/>
          <w:lang w:val="en-US"/>
        </w:rPr>
        <w:t xml:space="preserve"> </w:t>
      </w:r>
      <w:r>
        <w:rPr>
          <w:snapToGrid w:val="0"/>
          <w:color w:val="000000"/>
          <w:szCs w:val="0"/>
          <w:u w:color="000000"/>
          <w:lang w:val="en-US"/>
        </w:rPr>
        <w:t>2010). The lateritic clays remaining at the floor of the TSF have been classified as having a low horizontal hydraulic conductivity of approximately 10</w:t>
      </w:r>
      <w:r w:rsidRPr="003E04AD">
        <w:rPr>
          <w:snapToGrid w:val="0"/>
          <w:color w:val="000000"/>
          <w:position w:val="6"/>
          <w:sz w:val="16"/>
          <w:szCs w:val="0"/>
          <w:u w:color="000000"/>
          <w:lang w:val="en-US"/>
        </w:rPr>
        <w:t>-9</w:t>
      </w:r>
      <w:r>
        <w:rPr>
          <w:snapToGrid w:val="0"/>
          <w:color w:val="000000"/>
          <w:szCs w:val="0"/>
          <w:u w:color="000000"/>
          <w:lang w:val="en-US"/>
        </w:rPr>
        <w:t>–10</w:t>
      </w:r>
      <w:r w:rsidRPr="003E04AD">
        <w:rPr>
          <w:snapToGrid w:val="0"/>
          <w:color w:val="000000"/>
          <w:position w:val="6"/>
          <w:sz w:val="16"/>
          <w:szCs w:val="0"/>
          <w:u w:color="000000"/>
          <w:lang w:val="en-US"/>
        </w:rPr>
        <w:t>-10</w:t>
      </w:r>
      <w:r>
        <w:rPr>
          <w:snapToGrid w:val="0"/>
          <w:color w:val="000000"/>
          <w:szCs w:val="0"/>
          <w:u w:color="000000"/>
          <w:lang w:val="en-US"/>
        </w:rPr>
        <w:t xml:space="preserve"> m/s (Peter </w:t>
      </w:r>
      <w:r w:rsidRPr="00B644E2">
        <w:rPr>
          <w:snapToGrid w:val="0"/>
          <w:color w:val="000000"/>
          <w:szCs w:val="0"/>
          <w:u w:color="000000"/>
          <w:lang w:val="en-US"/>
        </w:rPr>
        <w:t>et al.</w:t>
      </w:r>
      <w:r>
        <w:rPr>
          <w:i/>
          <w:snapToGrid w:val="0"/>
          <w:color w:val="000000"/>
          <w:szCs w:val="0"/>
          <w:u w:color="000000"/>
          <w:lang w:val="en-US"/>
        </w:rPr>
        <w:t xml:space="preserve"> </w:t>
      </w:r>
      <w:r>
        <w:rPr>
          <w:snapToGrid w:val="0"/>
          <w:color w:val="000000"/>
          <w:szCs w:val="0"/>
          <w:u w:color="000000"/>
          <w:lang w:val="en-US"/>
        </w:rPr>
        <w:t>1994 in URS</w:t>
      </w:r>
      <w:r>
        <w:rPr>
          <w:i/>
          <w:snapToGrid w:val="0"/>
          <w:color w:val="000000"/>
          <w:szCs w:val="0"/>
          <w:u w:color="000000"/>
          <w:lang w:val="en-US"/>
        </w:rPr>
        <w:t xml:space="preserve"> </w:t>
      </w:r>
      <w:r>
        <w:rPr>
          <w:snapToGrid w:val="0"/>
          <w:color w:val="000000"/>
          <w:szCs w:val="0"/>
          <w:u w:color="000000"/>
          <w:lang w:val="en-US"/>
        </w:rPr>
        <w:t>2010). However, the vertical hydraulic conductivity may be approximately 100 times greater due to sand drain struc</w:t>
      </w:r>
      <w:r w:rsidR="00B644E2">
        <w:rPr>
          <w:snapToGrid w:val="0"/>
          <w:color w:val="000000"/>
          <w:szCs w:val="0"/>
          <w:u w:color="000000"/>
          <w:lang w:val="en-US"/>
        </w:rPr>
        <w:t>tures present (Brown and Lowson</w:t>
      </w:r>
      <w:r>
        <w:rPr>
          <w:snapToGrid w:val="0"/>
          <w:color w:val="000000"/>
          <w:szCs w:val="0"/>
          <w:u w:color="000000"/>
          <w:lang w:val="en-US"/>
        </w:rPr>
        <w:t xml:space="preserve"> 1990 and Peter Burgess </w:t>
      </w:r>
      <w:r>
        <w:rPr>
          <w:i/>
          <w:snapToGrid w:val="0"/>
          <w:color w:val="000000"/>
          <w:szCs w:val="0"/>
          <w:u w:color="000000"/>
          <w:lang w:val="en-US"/>
        </w:rPr>
        <w:t xml:space="preserve">pers. comm. </w:t>
      </w:r>
      <w:r>
        <w:rPr>
          <w:snapToGrid w:val="0"/>
          <w:color w:val="000000"/>
          <w:szCs w:val="0"/>
          <w:u w:color="000000"/>
          <w:lang w:val="en-US"/>
        </w:rPr>
        <w:t>2010, in URS</w:t>
      </w:r>
      <w:r>
        <w:rPr>
          <w:i/>
          <w:snapToGrid w:val="0"/>
          <w:color w:val="000000"/>
          <w:szCs w:val="0"/>
          <w:u w:color="000000"/>
          <w:lang w:val="en-US"/>
        </w:rPr>
        <w:t xml:space="preserve"> </w:t>
      </w:r>
      <w:r>
        <w:rPr>
          <w:snapToGrid w:val="0"/>
          <w:color w:val="000000"/>
          <w:szCs w:val="0"/>
          <w:u w:color="000000"/>
          <w:lang w:val="en-US"/>
        </w:rPr>
        <w:t xml:space="preserve">2010). </w:t>
      </w:r>
    </w:p>
    <w:p w:rsidR="00C66097" w:rsidRPr="002D2B86" w:rsidRDefault="00C66097" w:rsidP="00C66097">
      <w:pPr>
        <w:rPr>
          <w:snapToGrid w:val="0"/>
          <w:color w:val="000000"/>
          <w:szCs w:val="0"/>
          <w:u w:color="000000"/>
          <w:lang w:val="en-US"/>
        </w:rPr>
      </w:pPr>
      <w:r>
        <w:rPr>
          <w:snapToGrid w:val="0"/>
          <w:color w:val="000000"/>
          <w:szCs w:val="0"/>
          <w:u w:color="000000"/>
          <w:lang w:val="en-US"/>
        </w:rPr>
        <w:t xml:space="preserve">The various capacity expansions of the TSF are summarised in </w:t>
      </w:r>
      <w:r w:rsidR="005813E2">
        <w:t xml:space="preserve">Table </w:t>
      </w:r>
      <w:r w:rsidR="00177803">
        <w:t>1</w:t>
      </w:r>
      <w:r>
        <w:rPr>
          <w:snapToGrid w:val="0"/>
          <w:color w:val="000000"/>
          <w:szCs w:val="0"/>
          <w:u w:color="000000"/>
          <w:lang w:val="en-US"/>
        </w:rPr>
        <w:t>. For Stages II to IV, the lateritic sediments were excavated following the same procedure as for Stage I. During the Stage III and IV lifts, low grade ore was used in the TSF walls, and water from RP1 and RP4 was used for dust supp</w:t>
      </w:r>
      <w:r w:rsidR="00B644E2">
        <w:rPr>
          <w:snapToGrid w:val="0"/>
          <w:color w:val="000000"/>
          <w:szCs w:val="0"/>
          <w:u w:color="000000"/>
          <w:lang w:val="en-US"/>
        </w:rPr>
        <w:t>ression and compaction (Townley</w:t>
      </w:r>
      <w:r>
        <w:rPr>
          <w:snapToGrid w:val="0"/>
          <w:color w:val="000000"/>
          <w:szCs w:val="0"/>
          <w:u w:color="000000"/>
          <w:lang w:val="en-US"/>
        </w:rPr>
        <w:t xml:space="preserve"> 1996). Stages VA, VB and VI included the use of low grade ore and waste rock as the foundation for the lifts.</w:t>
      </w:r>
    </w:p>
    <w:p w:rsidR="00C66097" w:rsidRPr="00250027" w:rsidRDefault="00C66097" w:rsidP="00C66097">
      <w:pPr>
        <w:pStyle w:val="Caption"/>
        <w:keepNext/>
        <w:rPr>
          <w:rFonts w:ascii="Arial" w:hAnsi="Arial"/>
          <w:bCs w:val="0"/>
          <w:color w:val="auto"/>
          <w:szCs w:val="20"/>
          <w:lang w:val="en-US"/>
        </w:rPr>
      </w:pPr>
      <w:bookmarkStart w:id="65" w:name="_Ref401565516"/>
      <w:r w:rsidRPr="00250027">
        <w:rPr>
          <w:rFonts w:ascii="Arial" w:hAnsi="Arial"/>
          <w:bCs w:val="0"/>
          <w:color w:val="auto"/>
          <w:szCs w:val="20"/>
          <w:lang w:val="en-US"/>
        </w:rPr>
        <w:t xml:space="preserve">Table </w:t>
      </w:r>
      <w:bookmarkEnd w:id="65"/>
      <w:r>
        <w:rPr>
          <w:rFonts w:ascii="Arial" w:hAnsi="Arial"/>
          <w:bCs w:val="0"/>
          <w:color w:val="auto"/>
          <w:szCs w:val="20"/>
          <w:lang w:val="en-US"/>
        </w:rPr>
        <w:t xml:space="preserve">1 </w:t>
      </w:r>
      <w:r w:rsidRPr="00250027">
        <w:rPr>
          <w:rFonts w:ascii="Arial" w:hAnsi="Arial"/>
          <w:b w:val="0"/>
          <w:bCs w:val="0"/>
          <w:color w:val="auto"/>
          <w:szCs w:val="20"/>
          <w:lang w:val="en-US"/>
        </w:rPr>
        <w:t>Summary of the TSF lifts (from URS 2010).</w:t>
      </w:r>
    </w:p>
    <w:tbl>
      <w:tblPr>
        <w:tblStyle w:val="TableGrid"/>
        <w:tblW w:w="0" w:type="auto"/>
        <w:jc w:val="center"/>
        <w:tblLook w:val="04A0"/>
      </w:tblPr>
      <w:tblGrid>
        <w:gridCol w:w="652"/>
        <w:gridCol w:w="1968"/>
        <w:gridCol w:w="1434"/>
      </w:tblGrid>
      <w:tr w:rsidR="00C66097" w:rsidRPr="00FD11B6" w:rsidTr="00C66097">
        <w:trPr>
          <w:jc w:val="center"/>
        </w:trPr>
        <w:tc>
          <w:tcPr>
            <w:tcW w:w="0" w:type="auto"/>
            <w:tcBorders>
              <w:left w:val="nil"/>
              <w:bottom w:val="single" w:sz="4" w:space="0" w:color="auto"/>
              <w:right w:val="nil"/>
            </w:tcBorders>
          </w:tcPr>
          <w:p w:rsidR="00C66097" w:rsidRPr="00FD11B6" w:rsidRDefault="00C66097" w:rsidP="00C66097">
            <w:pPr>
              <w:pStyle w:val="table1"/>
              <w:keepNext/>
              <w:jc w:val="center"/>
              <w:outlineLvl w:val="0"/>
              <w:rPr>
                <w:b/>
                <w:lang w:val="en-US"/>
              </w:rPr>
            </w:pPr>
            <w:bookmarkStart w:id="66" w:name="_Toc414959028"/>
            <w:bookmarkStart w:id="67" w:name="_Toc416693449"/>
            <w:bookmarkStart w:id="68" w:name="_Toc416700125"/>
            <w:bookmarkStart w:id="69" w:name="_Toc416704096"/>
            <w:bookmarkStart w:id="70" w:name="_Toc418172692"/>
            <w:r w:rsidRPr="00357667">
              <w:rPr>
                <w:b/>
                <w:lang w:val="en-US"/>
              </w:rPr>
              <w:t>Stage</w:t>
            </w:r>
            <w:bookmarkEnd w:id="66"/>
            <w:bookmarkEnd w:id="67"/>
            <w:bookmarkEnd w:id="68"/>
            <w:bookmarkEnd w:id="69"/>
            <w:bookmarkEnd w:id="70"/>
          </w:p>
        </w:tc>
        <w:tc>
          <w:tcPr>
            <w:tcW w:w="0" w:type="auto"/>
            <w:tcBorders>
              <w:left w:val="nil"/>
              <w:bottom w:val="single" w:sz="4" w:space="0" w:color="auto"/>
              <w:right w:val="nil"/>
            </w:tcBorders>
          </w:tcPr>
          <w:p w:rsidR="00C66097" w:rsidRPr="00FD11B6" w:rsidRDefault="00C66097" w:rsidP="00C66097">
            <w:pPr>
              <w:pStyle w:val="table1"/>
              <w:keepNext/>
              <w:jc w:val="center"/>
              <w:outlineLvl w:val="0"/>
              <w:rPr>
                <w:b/>
                <w:lang w:val="en-US"/>
              </w:rPr>
            </w:pPr>
            <w:bookmarkStart w:id="71" w:name="_Toc414959029"/>
            <w:bookmarkStart w:id="72" w:name="_Toc416693450"/>
            <w:bookmarkStart w:id="73" w:name="_Toc416700126"/>
            <w:bookmarkStart w:id="74" w:name="_Toc416704097"/>
            <w:bookmarkStart w:id="75" w:name="_Toc418172693"/>
            <w:r w:rsidRPr="00357667">
              <w:rPr>
                <w:b/>
                <w:lang w:val="en-US"/>
              </w:rPr>
              <w:t>Relative Level (m AHD)</w:t>
            </w:r>
            <w:bookmarkEnd w:id="71"/>
            <w:bookmarkEnd w:id="72"/>
            <w:bookmarkEnd w:id="73"/>
            <w:bookmarkEnd w:id="74"/>
            <w:bookmarkEnd w:id="75"/>
          </w:p>
        </w:tc>
        <w:tc>
          <w:tcPr>
            <w:tcW w:w="0" w:type="auto"/>
            <w:tcBorders>
              <w:left w:val="nil"/>
              <w:bottom w:val="single" w:sz="4" w:space="0" w:color="auto"/>
              <w:right w:val="nil"/>
            </w:tcBorders>
          </w:tcPr>
          <w:p w:rsidR="00C66097" w:rsidRPr="00FD11B6" w:rsidRDefault="00C66097" w:rsidP="00C66097">
            <w:pPr>
              <w:pStyle w:val="table1"/>
              <w:keepNext/>
              <w:jc w:val="center"/>
              <w:outlineLvl w:val="0"/>
              <w:rPr>
                <w:b/>
                <w:lang w:val="en-US"/>
              </w:rPr>
            </w:pPr>
            <w:bookmarkStart w:id="76" w:name="_Toc414959030"/>
            <w:bookmarkStart w:id="77" w:name="_Toc416693451"/>
            <w:bookmarkStart w:id="78" w:name="_Toc416700127"/>
            <w:bookmarkStart w:id="79" w:name="_Toc416704098"/>
            <w:bookmarkStart w:id="80" w:name="_Toc418172694"/>
            <w:r w:rsidRPr="00357667">
              <w:rPr>
                <w:b/>
                <w:lang w:val="en-US"/>
              </w:rPr>
              <w:t>Date Completed</w:t>
            </w:r>
            <w:bookmarkEnd w:id="76"/>
            <w:bookmarkEnd w:id="77"/>
            <w:bookmarkEnd w:id="78"/>
            <w:bookmarkEnd w:id="79"/>
            <w:bookmarkEnd w:id="80"/>
          </w:p>
        </w:tc>
      </w:tr>
      <w:tr w:rsidR="00C66097" w:rsidTr="00C66097">
        <w:trPr>
          <w:jc w:val="center"/>
        </w:trPr>
        <w:tc>
          <w:tcPr>
            <w:tcW w:w="0" w:type="auto"/>
            <w:tcBorders>
              <w:left w:val="nil"/>
              <w:bottom w:val="nil"/>
              <w:right w:val="nil"/>
            </w:tcBorders>
          </w:tcPr>
          <w:p w:rsidR="00C66097" w:rsidRDefault="00C66097" w:rsidP="00C66097">
            <w:pPr>
              <w:pStyle w:val="table1"/>
              <w:rPr>
                <w:lang w:val="en-US"/>
              </w:rPr>
            </w:pPr>
            <w:r>
              <w:rPr>
                <w:lang w:val="en-US"/>
              </w:rPr>
              <w:t>I</w:t>
            </w:r>
          </w:p>
        </w:tc>
        <w:tc>
          <w:tcPr>
            <w:tcW w:w="0" w:type="auto"/>
            <w:tcBorders>
              <w:left w:val="nil"/>
              <w:bottom w:val="nil"/>
              <w:right w:val="nil"/>
            </w:tcBorders>
          </w:tcPr>
          <w:p w:rsidR="00C66097" w:rsidRDefault="00C66097" w:rsidP="00C66097">
            <w:pPr>
              <w:pStyle w:val="table1"/>
              <w:rPr>
                <w:lang w:val="en-US"/>
              </w:rPr>
            </w:pPr>
            <w:r>
              <w:rPr>
                <w:lang w:val="en-US"/>
              </w:rPr>
              <w:t>36</w:t>
            </w:r>
          </w:p>
        </w:tc>
        <w:tc>
          <w:tcPr>
            <w:tcW w:w="0" w:type="auto"/>
            <w:tcBorders>
              <w:left w:val="nil"/>
              <w:bottom w:val="nil"/>
              <w:right w:val="nil"/>
            </w:tcBorders>
          </w:tcPr>
          <w:p w:rsidR="00C66097" w:rsidRDefault="00C66097" w:rsidP="00C66097">
            <w:pPr>
              <w:pStyle w:val="table1"/>
              <w:rPr>
                <w:lang w:val="en-US"/>
              </w:rPr>
            </w:pPr>
            <w:r>
              <w:rPr>
                <w:lang w:val="en-US"/>
              </w:rPr>
              <w:t>1980</w:t>
            </w:r>
          </w:p>
        </w:tc>
      </w:tr>
      <w:tr w:rsidR="00C66097" w:rsidTr="00C66097">
        <w:trPr>
          <w:jc w:val="center"/>
        </w:trPr>
        <w:tc>
          <w:tcPr>
            <w:tcW w:w="0" w:type="auto"/>
            <w:tcBorders>
              <w:top w:val="nil"/>
              <w:left w:val="nil"/>
              <w:bottom w:val="nil"/>
              <w:right w:val="nil"/>
            </w:tcBorders>
          </w:tcPr>
          <w:p w:rsidR="00C66097" w:rsidRDefault="00C66097" w:rsidP="00C66097">
            <w:pPr>
              <w:pStyle w:val="table1"/>
              <w:rPr>
                <w:lang w:val="en-US"/>
              </w:rPr>
            </w:pPr>
            <w:r>
              <w:rPr>
                <w:lang w:val="en-US"/>
              </w:rPr>
              <w:t>II</w:t>
            </w:r>
          </w:p>
        </w:tc>
        <w:tc>
          <w:tcPr>
            <w:tcW w:w="0" w:type="auto"/>
            <w:tcBorders>
              <w:top w:val="nil"/>
              <w:left w:val="nil"/>
              <w:bottom w:val="nil"/>
              <w:right w:val="nil"/>
            </w:tcBorders>
          </w:tcPr>
          <w:p w:rsidR="00C66097" w:rsidRDefault="00C66097" w:rsidP="00C66097">
            <w:pPr>
              <w:pStyle w:val="table1"/>
              <w:rPr>
                <w:lang w:val="en-US"/>
              </w:rPr>
            </w:pPr>
            <w:r>
              <w:rPr>
                <w:lang w:val="en-US"/>
              </w:rPr>
              <w:t>39</w:t>
            </w:r>
          </w:p>
        </w:tc>
        <w:tc>
          <w:tcPr>
            <w:tcW w:w="0" w:type="auto"/>
            <w:tcBorders>
              <w:top w:val="nil"/>
              <w:left w:val="nil"/>
              <w:bottom w:val="nil"/>
              <w:right w:val="nil"/>
            </w:tcBorders>
          </w:tcPr>
          <w:p w:rsidR="00C66097" w:rsidRDefault="00C66097" w:rsidP="00C66097">
            <w:pPr>
              <w:pStyle w:val="table1"/>
              <w:rPr>
                <w:lang w:val="en-US"/>
              </w:rPr>
            </w:pPr>
            <w:r>
              <w:rPr>
                <w:lang w:val="en-US"/>
              </w:rPr>
              <w:t>1983</w:t>
            </w:r>
          </w:p>
        </w:tc>
      </w:tr>
      <w:tr w:rsidR="00C66097" w:rsidTr="00C66097">
        <w:trPr>
          <w:jc w:val="center"/>
        </w:trPr>
        <w:tc>
          <w:tcPr>
            <w:tcW w:w="0" w:type="auto"/>
            <w:tcBorders>
              <w:top w:val="nil"/>
              <w:left w:val="nil"/>
              <w:bottom w:val="nil"/>
              <w:right w:val="nil"/>
            </w:tcBorders>
          </w:tcPr>
          <w:p w:rsidR="00C66097" w:rsidRDefault="00C66097" w:rsidP="00C66097">
            <w:pPr>
              <w:pStyle w:val="table1"/>
              <w:rPr>
                <w:lang w:val="en-US"/>
              </w:rPr>
            </w:pPr>
            <w:r>
              <w:rPr>
                <w:lang w:val="en-US"/>
              </w:rPr>
              <w:t>III</w:t>
            </w:r>
          </w:p>
        </w:tc>
        <w:tc>
          <w:tcPr>
            <w:tcW w:w="0" w:type="auto"/>
            <w:tcBorders>
              <w:top w:val="nil"/>
              <w:left w:val="nil"/>
              <w:bottom w:val="nil"/>
              <w:right w:val="nil"/>
            </w:tcBorders>
          </w:tcPr>
          <w:p w:rsidR="00C66097" w:rsidRDefault="00C66097" w:rsidP="00C66097">
            <w:pPr>
              <w:pStyle w:val="table1"/>
              <w:rPr>
                <w:lang w:val="en-US"/>
              </w:rPr>
            </w:pPr>
            <w:r>
              <w:rPr>
                <w:lang w:val="en-US"/>
              </w:rPr>
              <w:t>41</w:t>
            </w:r>
          </w:p>
        </w:tc>
        <w:tc>
          <w:tcPr>
            <w:tcW w:w="0" w:type="auto"/>
            <w:tcBorders>
              <w:top w:val="nil"/>
              <w:left w:val="nil"/>
              <w:bottom w:val="nil"/>
              <w:right w:val="nil"/>
            </w:tcBorders>
          </w:tcPr>
          <w:p w:rsidR="00C66097" w:rsidRDefault="00C66097" w:rsidP="00C66097">
            <w:pPr>
              <w:pStyle w:val="table1"/>
              <w:rPr>
                <w:lang w:val="en-US"/>
              </w:rPr>
            </w:pPr>
            <w:r>
              <w:rPr>
                <w:lang w:val="en-US"/>
              </w:rPr>
              <w:t>1985</w:t>
            </w:r>
          </w:p>
        </w:tc>
      </w:tr>
      <w:tr w:rsidR="00C66097" w:rsidTr="00C66097">
        <w:trPr>
          <w:jc w:val="center"/>
        </w:trPr>
        <w:tc>
          <w:tcPr>
            <w:tcW w:w="0" w:type="auto"/>
            <w:tcBorders>
              <w:top w:val="nil"/>
              <w:left w:val="nil"/>
              <w:bottom w:val="nil"/>
              <w:right w:val="nil"/>
            </w:tcBorders>
          </w:tcPr>
          <w:p w:rsidR="00C66097" w:rsidRDefault="00C66097" w:rsidP="00C66097">
            <w:pPr>
              <w:pStyle w:val="table1"/>
              <w:rPr>
                <w:lang w:val="en-US"/>
              </w:rPr>
            </w:pPr>
            <w:r>
              <w:rPr>
                <w:lang w:val="en-US"/>
              </w:rPr>
              <w:t>IV</w:t>
            </w:r>
          </w:p>
        </w:tc>
        <w:tc>
          <w:tcPr>
            <w:tcW w:w="0" w:type="auto"/>
            <w:tcBorders>
              <w:top w:val="nil"/>
              <w:left w:val="nil"/>
              <w:bottom w:val="nil"/>
              <w:right w:val="nil"/>
            </w:tcBorders>
          </w:tcPr>
          <w:p w:rsidR="00C66097" w:rsidRDefault="00C66097" w:rsidP="00C66097">
            <w:pPr>
              <w:pStyle w:val="table1"/>
              <w:rPr>
                <w:lang w:val="en-US"/>
              </w:rPr>
            </w:pPr>
            <w:r>
              <w:rPr>
                <w:lang w:val="en-US"/>
              </w:rPr>
              <w:t>44.5</w:t>
            </w:r>
          </w:p>
        </w:tc>
        <w:tc>
          <w:tcPr>
            <w:tcW w:w="0" w:type="auto"/>
            <w:tcBorders>
              <w:top w:val="nil"/>
              <w:left w:val="nil"/>
              <w:bottom w:val="nil"/>
              <w:right w:val="nil"/>
            </w:tcBorders>
          </w:tcPr>
          <w:p w:rsidR="00C66097" w:rsidRDefault="00C66097" w:rsidP="00C66097">
            <w:pPr>
              <w:pStyle w:val="table1"/>
              <w:rPr>
                <w:lang w:val="en-US"/>
              </w:rPr>
            </w:pPr>
            <w:r>
              <w:rPr>
                <w:lang w:val="en-US"/>
              </w:rPr>
              <w:t>1990</w:t>
            </w:r>
          </w:p>
        </w:tc>
      </w:tr>
      <w:tr w:rsidR="00C66097" w:rsidTr="00C66097">
        <w:trPr>
          <w:jc w:val="center"/>
        </w:trPr>
        <w:tc>
          <w:tcPr>
            <w:tcW w:w="0" w:type="auto"/>
            <w:tcBorders>
              <w:top w:val="nil"/>
              <w:left w:val="nil"/>
              <w:bottom w:val="nil"/>
              <w:right w:val="nil"/>
            </w:tcBorders>
          </w:tcPr>
          <w:p w:rsidR="00C66097" w:rsidRDefault="00C66097" w:rsidP="00C66097">
            <w:pPr>
              <w:pStyle w:val="table1"/>
              <w:rPr>
                <w:lang w:val="en-US"/>
              </w:rPr>
            </w:pPr>
            <w:r>
              <w:rPr>
                <w:lang w:val="en-US"/>
              </w:rPr>
              <w:t>VA</w:t>
            </w:r>
          </w:p>
        </w:tc>
        <w:tc>
          <w:tcPr>
            <w:tcW w:w="0" w:type="auto"/>
            <w:tcBorders>
              <w:top w:val="nil"/>
              <w:left w:val="nil"/>
              <w:bottom w:val="nil"/>
              <w:right w:val="nil"/>
            </w:tcBorders>
          </w:tcPr>
          <w:p w:rsidR="00C66097" w:rsidRDefault="00C66097" w:rsidP="00C66097">
            <w:pPr>
              <w:pStyle w:val="table1"/>
              <w:rPr>
                <w:lang w:val="en-US"/>
              </w:rPr>
            </w:pPr>
            <w:r>
              <w:rPr>
                <w:lang w:val="en-US"/>
              </w:rPr>
              <w:t>47.5</w:t>
            </w:r>
          </w:p>
        </w:tc>
        <w:tc>
          <w:tcPr>
            <w:tcW w:w="0" w:type="auto"/>
            <w:tcBorders>
              <w:top w:val="nil"/>
              <w:left w:val="nil"/>
              <w:bottom w:val="nil"/>
              <w:right w:val="nil"/>
            </w:tcBorders>
          </w:tcPr>
          <w:p w:rsidR="00C66097" w:rsidRDefault="00C66097" w:rsidP="00C66097">
            <w:pPr>
              <w:pStyle w:val="table1"/>
              <w:rPr>
                <w:lang w:val="en-US"/>
              </w:rPr>
            </w:pPr>
            <w:r>
              <w:rPr>
                <w:lang w:val="en-US"/>
              </w:rPr>
              <w:t>2006</w:t>
            </w:r>
          </w:p>
        </w:tc>
      </w:tr>
      <w:tr w:rsidR="00C66097" w:rsidTr="00C66097">
        <w:trPr>
          <w:jc w:val="center"/>
        </w:trPr>
        <w:tc>
          <w:tcPr>
            <w:tcW w:w="0" w:type="auto"/>
            <w:tcBorders>
              <w:top w:val="nil"/>
              <w:left w:val="nil"/>
              <w:bottom w:val="nil"/>
              <w:right w:val="nil"/>
            </w:tcBorders>
          </w:tcPr>
          <w:p w:rsidR="00C66097" w:rsidRDefault="00C66097" w:rsidP="00C66097">
            <w:pPr>
              <w:pStyle w:val="table1"/>
              <w:rPr>
                <w:lang w:val="en-US"/>
              </w:rPr>
            </w:pPr>
            <w:r>
              <w:rPr>
                <w:lang w:val="en-US"/>
              </w:rPr>
              <w:t>VB</w:t>
            </w:r>
          </w:p>
        </w:tc>
        <w:tc>
          <w:tcPr>
            <w:tcW w:w="0" w:type="auto"/>
            <w:tcBorders>
              <w:top w:val="nil"/>
              <w:left w:val="nil"/>
              <w:bottom w:val="nil"/>
              <w:right w:val="nil"/>
            </w:tcBorders>
          </w:tcPr>
          <w:p w:rsidR="00C66097" w:rsidRDefault="00C66097" w:rsidP="00C66097">
            <w:pPr>
              <w:pStyle w:val="table1"/>
              <w:rPr>
                <w:lang w:val="en-US"/>
              </w:rPr>
            </w:pPr>
            <w:r>
              <w:rPr>
                <w:lang w:val="en-US"/>
              </w:rPr>
              <w:t>51</w:t>
            </w:r>
          </w:p>
        </w:tc>
        <w:tc>
          <w:tcPr>
            <w:tcW w:w="0" w:type="auto"/>
            <w:tcBorders>
              <w:top w:val="nil"/>
              <w:left w:val="nil"/>
              <w:bottom w:val="nil"/>
              <w:right w:val="nil"/>
            </w:tcBorders>
          </w:tcPr>
          <w:p w:rsidR="00C66097" w:rsidRDefault="00C66097" w:rsidP="00C66097">
            <w:pPr>
              <w:pStyle w:val="table1"/>
              <w:rPr>
                <w:lang w:val="en-US"/>
              </w:rPr>
            </w:pPr>
            <w:r>
              <w:rPr>
                <w:lang w:val="en-US"/>
              </w:rPr>
              <w:t>2007</w:t>
            </w:r>
          </w:p>
        </w:tc>
      </w:tr>
      <w:tr w:rsidR="00C66097" w:rsidTr="00C66097">
        <w:trPr>
          <w:jc w:val="center"/>
        </w:trPr>
        <w:tc>
          <w:tcPr>
            <w:tcW w:w="0" w:type="auto"/>
            <w:tcBorders>
              <w:top w:val="nil"/>
              <w:left w:val="nil"/>
              <w:bottom w:val="single" w:sz="4" w:space="0" w:color="auto"/>
              <w:right w:val="nil"/>
            </w:tcBorders>
          </w:tcPr>
          <w:p w:rsidR="00C66097" w:rsidRDefault="00C66097" w:rsidP="00C66097">
            <w:pPr>
              <w:pStyle w:val="table1"/>
              <w:rPr>
                <w:lang w:val="en-US"/>
              </w:rPr>
            </w:pPr>
            <w:r>
              <w:rPr>
                <w:lang w:val="en-US"/>
              </w:rPr>
              <w:t>VI</w:t>
            </w:r>
          </w:p>
        </w:tc>
        <w:tc>
          <w:tcPr>
            <w:tcW w:w="0" w:type="auto"/>
            <w:tcBorders>
              <w:top w:val="nil"/>
              <w:left w:val="nil"/>
              <w:bottom w:val="single" w:sz="4" w:space="0" w:color="auto"/>
              <w:right w:val="nil"/>
            </w:tcBorders>
          </w:tcPr>
          <w:p w:rsidR="00C66097" w:rsidRDefault="00C66097" w:rsidP="00C66097">
            <w:pPr>
              <w:pStyle w:val="table1"/>
              <w:rPr>
                <w:lang w:val="en-US"/>
              </w:rPr>
            </w:pPr>
            <w:r>
              <w:rPr>
                <w:lang w:val="en-US"/>
              </w:rPr>
              <w:t>54</w:t>
            </w:r>
          </w:p>
        </w:tc>
        <w:tc>
          <w:tcPr>
            <w:tcW w:w="0" w:type="auto"/>
            <w:tcBorders>
              <w:top w:val="nil"/>
              <w:left w:val="nil"/>
              <w:bottom w:val="single" w:sz="4" w:space="0" w:color="auto"/>
              <w:right w:val="nil"/>
            </w:tcBorders>
          </w:tcPr>
          <w:p w:rsidR="00C66097" w:rsidRDefault="00C66097" w:rsidP="00C66097">
            <w:pPr>
              <w:pStyle w:val="table1"/>
              <w:rPr>
                <w:lang w:val="en-US"/>
              </w:rPr>
            </w:pPr>
            <w:r>
              <w:rPr>
                <w:lang w:val="en-US"/>
              </w:rPr>
              <w:t>2009</w:t>
            </w:r>
          </w:p>
        </w:tc>
      </w:tr>
    </w:tbl>
    <w:p w:rsidR="00C66097" w:rsidRDefault="00C66097" w:rsidP="00C66097">
      <w:pPr>
        <w:rPr>
          <w:lang w:val="en-US"/>
        </w:rPr>
      </w:pPr>
    </w:p>
    <w:p w:rsidR="00C66097" w:rsidRDefault="00C66097" w:rsidP="00C66097">
      <w:pPr>
        <w:rPr>
          <w:lang w:val="en-US"/>
        </w:rPr>
      </w:pPr>
      <w:r>
        <w:t xml:space="preserve">Numerous investigations related to the potential for, and the occurrence of, seepage from the TSF have been carried out over time. In a review of </w:t>
      </w:r>
      <w:r>
        <w:rPr>
          <w:lang w:val="en-US"/>
        </w:rPr>
        <w:t xml:space="preserve">all TSF-related groundwater studies carried out prior to 1996, </w:t>
      </w:r>
      <w:r>
        <w:t xml:space="preserve">Townley (1996) indicated that the TSF had not been engineered to prevent seepage and that seepage was occurring within the design expectations. </w:t>
      </w:r>
      <w:r>
        <w:rPr>
          <w:lang w:val="en-US"/>
        </w:rPr>
        <w:t xml:space="preserve">Groundwater contamination in proximity to the TSF has been reported since the 1990s. Martin &amp; Akber (1994) identified bores to the north of the TSF along the Coonjimba Creek line that showed an increase in uranium concentrations. </w:t>
      </w:r>
      <w:r w:rsidRPr="00830AF6">
        <w:rPr>
          <w:lang w:val="en-US"/>
        </w:rPr>
        <w:t xml:space="preserve">Salama </w:t>
      </w:r>
      <w:r>
        <w:rPr>
          <w:lang w:val="en-US"/>
        </w:rPr>
        <w:t xml:space="preserve">&amp; </w:t>
      </w:r>
      <w:r w:rsidRPr="00830AF6">
        <w:rPr>
          <w:lang w:val="en-US"/>
        </w:rPr>
        <w:t xml:space="preserve">Foley </w:t>
      </w:r>
      <w:r>
        <w:rPr>
          <w:lang w:val="en-US"/>
        </w:rPr>
        <w:t xml:space="preserve">(1997) showed a </w:t>
      </w:r>
      <w:r w:rsidRPr="00830AF6">
        <w:rPr>
          <w:lang w:val="en-US"/>
        </w:rPr>
        <w:t xml:space="preserve">steady </w:t>
      </w:r>
      <w:r>
        <w:rPr>
          <w:lang w:val="en-US"/>
        </w:rPr>
        <w:t xml:space="preserve">temporal </w:t>
      </w:r>
      <w:r w:rsidRPr="00830AF6">
        <w:rPr>
          <w:lang w:val="en-US"/>
        </w:rPr>
        <w:t xml:space="preserve">increase </w:t>
      </w:r>
      <w:r>
        <w:rPr>
          <w:lang w:val="en-US"/>
        </w:rPr>
        <w:t>in groundwater sulfate concentrations in the vicinity of the TSF,</w:t>
      </w:r>
      <w:r w:rsidRPr="00830AF6">
        <w:rPr>
          <w:lang w:val="en-US"/>
        </w:rPr>
        <w:t xml:space="preserve"> </w:t>
      </w:r>
      <w:r>
        <w:rPr>
          <w:lang w:val="en-US"/>
        </w:rPr>
        <w:t>which was later supported by a study carried out by Klessa (</w:t>
      </w:r>
      <w:r w:rsidRPr="00830AF6">
        <w:rPr>
          <w:lang w:val="en-US"/>
        </w:rPr>
        <w:t>2001</w:t>
      </w:r>
      <w:r>
        <w:rPr>
          <w:lang w:val="en-US"/>
        </w:rPr>
        <w:t>).</w:t>
      </w:r>
      <w:r w:rsidRPr="00830AF6">
        <w:rPr>
          <w:lang w:val="en-US"/>
        </w:rPr>
        <w:t xml:space="preserve"> </w:t>
      </w:r>
      <w:r>
        <w:rPr>
          <w:lang w:val="en-US"/>
        </w:rPr>
        <w:t xml:space="preserve">Buselli &amp; Lu (1999, 2000) and Buselli </w:t>
      </w:r>
      <w:r w:rsidRPr="00BF25CA">
        <w:rPr>
          <w:lang w:val="en-US"/>
        </w:rPr>
        <w:t>et al.</w:t>
      </w:r>
      <w:r>
        <w:rPr>
          <w:i/>
          <w:lang w:val="en-US"/>
        </w:rPr>
        <w:t xml:space="preserve"> </w:t>
      </w:r>
      <w:r>
        <w:rPr>
          <w:lang w:val="en-US"/>
        </w:rPr>
        <w:t>(2001) conducted a series of studies using geophysical techniques to detect groundwater contamination around the TSF and to configure distribution of aquifers across the site. Lu &amp; Puhalovich (2002) also used geophysics in combination with groundwater data to characterise the nature and behavior of the groundwater mound beneath the TSF. Puhalovich &amp; Cook (2009) used recent geophysical surveys to assess seepage pathways around the tailings dam. This in only a very brief summary of some of the work conducted.</w:t>
      </w:r>
    </w:p>
    <w:p w:rsidR="00C66097" w:rsidRDefault="00C66097" w:rsidP="00C66097">
      <w:r>
        <w:t>According to URS (2010), who conducted the most recent extensive review of previous hydrogeological investigations in the area of the TSF, seepage from the tailings through the base of the TSF is considered to be the primary source of existing, and potential, groundwater contamination to the west and north of the TSF. At the time of the review, time-series sulfate concentrations measured in shallow and deep groundwater were used to depict the TSF seepage plume in a conceptual hydrogeological model with a cross section running through the centre of the TSF from south to north. This model indicated that while the seepage plume was located directly underneath the TSF footprint, seepage-affected groundwater (with increased sulfate concentrations) extended vertically to a depth of approximately 40 meters below ground level and extended laterally to the north under Retention Pond 1 (RP1) (</w:t>
      </w:r>
      <w:r w:rsidR="00412055">
        <w:t xml:space="preserve">Figure </w:t>
      </w:r>
      <w:r w:rsidR="00177803">
        <w:t>1</w:t>
      </w:r>
      <w:r>
        <w:t xml:space="preserve">). The report did not show a similar conceptual model for the cross section from east to west. </w:t>
      </w:r>
    </w:p>
    <w:p w:rsidR="00C66097" w:rsidRDefault="00D732C1" w:rsidP="00C66097">
      <w:r>
        <w:rPr>
          <w:lang w:val="en-US"/>
        </w:rPr>
        <w:t>During the 2013–</w:t>
      </w:r>
      <w:r w:rsidR="00C66097">
        <w:rPr>
          <w:lang w:val="en-US"/>
        </w:rPr>
        <w:t>14 wet season, there were a number of EC spikes in Gulungul Creek that were higher than historically-recorded levels, indicating a notable change in Gulungul Creek water quality compared to previous wet seasons. In order to determine the source of the elevated solutes in Gulungul Creek, i</w:t>
      </w:r>
      <w:r w:rsidR="00C66097" w:rsidRPr="0027682B">
        <w:rPr>
          <w:lang w:val="en-US"/>
        </w:rPr>
        <w:t xml:space="preserve">nvestigations </w:t>
      </w:r>
      <w:r w:rsidR="00C66097">
        <w:rPr>
          <w:lang w:val="en-US"/>
        </w:rPr>
        <w:t xml:space="preserve">were carried out </w:t>
      </w:r>
      <w:r w:rsidR="00C66097" w:rsidRPr="0027682B">
        <w:rPr>
          <w:lang w:val="en-US"/>
        </w:rPr>
        <w:t xml:space="preserve">by </w:t>
      </w:r>
      <w:r w:rsidR="00C66097">
        <w:rPr>
          <w:lang w:val="en-US"/>
        </w:rPr>
        <w:t>both the Supervising Scient</w:t>
      </w:r>
      <w:r>
        <w:rPr>
          <w:lang w:val="en-US"/>
        </w:rPr>
        <w:t>ist and ERA throughout the 2013–</w:t>
      </w:r>
      <w:r w:rsidR="00C66097">
        <w:rPr>
          <w:lang w:val="en-US"/>
        </w:rPr>
        <w:t xml:space="preserve">14 wet </w:t>
      </w:r>
      <w:proofErr w:type="gramStart"/>
      <w:r w:rsidR="00C66097">
        <w:rPr>
          <w:lang w:val="en-US"/>
        </w:rPr>
        <w:t>season</w:t>
      </w:r>
      <w:proofErr w:type="gramEnd"/>
      <w:r w:rsidR="00C66097">
        <w:rPr>
          <w:lang w:val="en-US"/>
        </w:rPr>
        <w:t xml:space="preserve"> and into the 2014 dry season. </w:t>
      </w:r>
    </w:p>
    <w:p w:rsidR="00C66097" w:rsidRPr="0088212B" w:rsidRDefault="00D732C1" w:rsidP="00C66097">
      <w:pPr>
        <w:pStyle w:val="Heading2"/>
      </w:pPr>
      <w:r>
        <w:t>2013–</w:t>
      </w:r>
      <w:r w:rsidR="00C66097" w:rsidRPr="0088212B">
        <w:t>14 Investigation</w:t>
      </w:r>
    </w:p>
    <w:p w:rsidR="00C66097" w:rsidRDefault="00C66097" w:rsidP="00C66097">
      <w:pPr>
        <w:rPr>
          <w:lang w:val="en-US"/>
        </w:rPr>
      </w:pPr>
      <w:r>
        <w:rPr>
          <w:lang w:val="en-US"/>
        </w:rPr>
        <w:t>As part of the Supervising Scientist’s investigation, surface water samples were collected from various sites in the Gulungul Creek catchment, both on and off the Ranger minesite (</w:t>
      </w:r>
      <w:r w:rsidR="00412055">
        <w:t xml:space="preserve">Figure </w:t>
      </w:r>
      <w:r w:rsidR="00177803">
        <w:t>1</w:t>
      </w:r>
      <w:r>
        <w:rPr>
          <w:lang w:val="en-US"/>
        </w:rPr>
        <w:t>). Soil samples were also collected however these data are still undergoing analyses and are not reported here.</w:t>
      </w:r>
    </w:p>
    <w:p w:rsidR="008038A5" w:rsidRDefault="00D732C1" w:rsidP="008038A5">
      <w:pPr>
        <w:rPr>
          <w:lang w:val="en-US"/>
        </w:rPr>
      </w:pPr>
      <w:r>
        <w:rPr>
          <w:lang w:val="en-US"/>
        </w:rPr>
        <w:t>During the 2013–</w:t>
      </w:r>
      <w:r w:rsidR="008038A5">
        <w:rPr>
          <w:lang w:val="en-US"/>
        </w:rPr>
        <w:t xml:space="preserve">14 wet </w:t>
      </w:r>
      <w:proofErr w:type="gramStart"/>
      <w:r w:rsidR="008038A5">
        <w:rPr>
          <w:lang w:val="en-US"/>
        </w:rPr>
        <w:t>season</w:t>
      </w:r>
      <w:proofErr w:type="gramEnd"/>
      <w:r w:rsidR="008038A5">
        <w:rPr>
          <w:lang w:val="en-US"/>
        </w:rPr>
        <w:t>, a slight deterioration was observed in water quality at the Supervising Scientist’s downstream monitoring site at Gulungul Creek (GCDS)</w:t>
      </w:r>
      <w:r w:rsidR="00412055">
        <w:rPr>
          <w:lang w:val="en-US"/>
        </w:rPr>
        <w:t xml:space="preserve"> (Figure 1</w:t>
      </w:r>
      <w:r w:rsidR="008038A5">
        <w:rPr>
          <w:lang w:val="en-US"/>
        </w:rPr>
        <w:t>). Continuous monitoring of EC at GCDS showed that the frequency and magnitude of EC spikes above 42 µS/cm (the 72 hour chronic exposure limit for Magela Creek) had increased compared</w:t>
      </w:r>
      <w:r>
        <w:rPr>
          <w:lang w:val="en-US"/>
        </w:rPr>
        <w:t xml:space="preserve"> to previous years, with a 2014–</w:t>
      </w:r>
      <w:r w:rsidR="008038A5">
        <w:rPr>
          <w:lang w:val="en-US"/>
        </w:rPr>
        <w:t xml:space="preserve">13 season maximum of 65 µS/cm, the highest EC recorded at this site since monitoring commenced. The maximum EC value measured further upstream at ERA’s continuous monitoring site, GCLB, was </w:t>
      </w:r>
      <w:proofErr w:type="gramStart"/>
      <w:r w:rsidR="008038A5">
        <w:rPr>
          <w:lang w:val="en-US"/>
        </w:rPr>
        <w:t>184 µS/cm</w:t>
      </w:r>
      <w:proofErr w:type="gramEnd"/>
      <w:r w:rsidR="008038A5">
        <w:rPr>
          <w:lang w:val="en-US"/>
        </w:rPr>
        <w:t xml:space="preserve">. The maximum EC measured at ERA’s downstream compliance site was </w:t>
      </w:r>
      <w:proofErr w:type="gramStart"/>
      <w:r w:rsidR="008038A5">
        <w:rPr>
          <w:lang w:val="en-US"/>
        </w:rPr>
        <w:t>32 µS/cm, which unlike GCDS and GCLB was measured i</w:t>
      </w:r>
      <w:r>
        <w:rPr>
          <w:lang w:val="en-US"/>
        </w:rPr>
        <w:t>n weekly grab samples</w:t>
      </w:r>
      <w:proofErr w:type="gramEnd"/>
      <w:r>
        <w:rPr>
          <w:lang w:val="en-US"/>
        </w:rPr>
        <w:t>. The 2013–</w:t>
      </w:r>
      <w:r w:rsidR="008038A5">
        <w:rPr>
          <w:lang w:val="en-US"/>
        </w:rPr>
        <w:t xml:space="preserve">14 continuous EC data measured at GCDS, GCLB and the Supervising Scientist’s upstream monitoring site, GCUS, are shown in </w:t>
      </w:r>
      <w:r w:rsidR="00412055">
        <w:t>Figure 2</w:t>
      </w:r>
      <w:r w:rsidR="008038A5">
        <w:rPr>
          <w:lang w:val="en-US"/>
        </w:rPr>
        <w:t>.</w:t>
      </w:r>
    </w:p>
    <w:p w:rsidR="008038A5" w:rsidRDefault="008038A5" w:rsidP="00C66097">
      <w:pPr>
        <w:rPr>
          <w:lang w:val="en-US"/>
        </w:rPr>
      </w:pPr>
    </w:p>
    <w:p w:rsidR="00C66097" w:rsidRDefault="00C66097" w:rsidP="00C66097">
      <w:pPr>
        <w:jc w:val="center"/>
        <w:rPr>
          <w:lang w:val="en-US"/>
        </w:rPr>
      </w:pPr>
      <w:r>
        <w:rPr>
          <w:noProof/>
          <w:lang w:eastAsia="en-AU"/>
        </w:rPr>
        <w:drawing>
          <wp:inline distT="0" distB="0" distL="0" distR="0">
            <wp:extent cx="4073281" cy="6176514"/>
            <wp:effectExtent l="19050" t="0" r="3419" b="0"/>
            <wp:docPr id="250" name="Picture 1" descr="SW ARRTC 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W ARRTC map.jpg"/>
                    <pic:cNvPicPr/>
                  </pic:nvPicPr>
                  <pic:blipFill>
                    <a:blip r:embed="rId31" cstate="screen"/>
                    <a:srcRect/>
                    <a:stretch>
                      <a:fillRect/>
                    </a:stretch>
                  </pic:blipFill>
                  <pic:spPr>
                    <a:xfrm>
                      <a:off x="0" y="0"/>
                      <a:ext cx="4075492" cy="6179867"/>
                    </a:xfrm>
                    <a:prstGeom prst="rect">
                      <a:avLst/>
                    </a:prstGeom>
                  </pic:spPr>
                </pic:pic>
              </a:graphicData>
            </a:graphic>
          </wp:inline>
        </w:drawing>
      </w:r>
    </w:p>
    <w:p w:rsidR="008038A5" w:rsidRDefault="00C66097" w:rsidP="00C66097">
      <w:pPr>
        <w:pStyle w:val="figurecaption"/>
        <w:rPr>
          <w:lang w:val="en-US"/>
        </w:rPr>
        <w:sectPr w:rsidR="008038A5" w:rsidSect="004336E9">
          <w:headerReference w:type="default" r:id="rId32"/>
          <w:footerReference w:type="default" r:id="rId33"/>
          <w:pgSz w:w="11906" w:h="16838" w:code="9"/>
          <w:pgMar w:top="1440" w:right="1800" w:bottom="1440" w:left="1800" w:header="1080" w:footer="835" w:gutter="0"/>
          <w:cols w:space="360"/>
          <w:noEndnote/>
        </w:sectPr>
      </w:pPr>
      <w:bookmarkStart w:id="81" w:name="_Ref401916227"/>
      <w:r w:rsidRPr="00A00506">
        <w:rPr>
          <w:b/>
          <w:bCs/>
          <w:lang w:val="en-US"/>
        </w:rPr>
        <w:t xml:space="preserve">Figure </w:t>
      </w:r>
      <w:bookmarkEnd w:id="81"/>
      <w:proofErr w:type="gramStart"/>
      <w:r>
        <w:rPr>
          <w:b/>
          <w:bCs/>
          <w:lang w:val="en-US"/>
        </w:rPr>
        <w:t>1</w:t>
      </w:r>
      <w:r w:rsidRPr="002E5D29">
        <w:rPr>
          <w:lang w:val="en-US"/>
        </w:rPr>
        <w:t xml:space="preserve">  </w:t>
      </w:r>
      <w:r>
        <w:t>Surface</w:t>
      </w:r>
      <w:proofErr w:type="gramEnd"/>
      <w:r>
        <w:t xml:space="preserve"> water sites in the Gulungul Creek catchment area</w:t>
      </w:r>
      <w:r>
        <w:rPr>
          <w:lang w:val="en-US"/>
        </w:rPr>
        <w:t>.</w:t>
      </w:r>
    </w:p>
    <w:p w:rsidR="00C66097" w:rsidRPr="002E5D29" w:rsidRDefault="00C66097" w:rsidP="00C66097">
      <w:pPr>
        <w:pStyle w:val="figurecaption"/>
        <w:rPr>
          <w:lang w:val="en-US"/>
        </w:rPr>
      </w:pPr>
    </w:p>
    <w:p w:rsidR="00C66097" w:rsidRDefault="00C66097" w:rsidP="00C66097">
      <w:pPr>
        <w:rPr>
          <w:lang w:val="en-US"/>
        </w:rPr>
      </w:pPr>
      <w:r>
        <w:rPr>
          <w:noProof/>
          <w:lang w:eastAsia="en-AU"/>
        </w:rPr>
        <w:drawing>
          <wp:inline distT="0" distB="0" distL="0" distR="0">
            <wp:extent cx="5274310" cy="4026535"/>
            <wp:effectExtent l="19050" t="0" r="2540" b="0"/>
            <wp:docPr id="251" name="Picture 14" descr="Gulungul Creek EC 2013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ulungul Creek EC 201314.JPG"/>
                    <pic:cNvPicPr/>
                  </pic:nvPicPr>
                  <pic:blipFill>
                    <a:blip r:embed="rId34" cstate="screen"/>
                    <a:stretch>
                      <a:fillRect/>
                    </a:stretch>
                  </pic:blipFill>
                  <pic:spPr>
                    <a:xfrm>
                      <a:off x="0" y="0"/>
                      <a:ext cx="5274310" cy="4026535"/>
                    </a:xfrm>
                    <a:prstGeom prst="rect">
                      <a:avLst/>
                    </a:prstGeom>
                  </pic:spPr>
                </pic:pic>
              </a:graphicData>
            </a:graphic>
          </wp:inline>
        </w:drawing>
      </w:r>
    </w:p>
    <w:p w:rsidR="00C66097" w:rsidRPr="002E5D29" w:rsidRDefault="00C66097" w:rsidP="00C66097">
      <w:pPr>
        <w:pStyle w:val="figurecaption"/>
        <w:rPr>
          <w:lang w:val="en-US"/>
        </w:rPr>
      </w:pPr>
      <w:bookmarkStart w:id="82" w:name="_Ref401654720"/>
      <w:r w:rsidRPr="00A00506">
        <w:rPr>
          <w:b/>
          <w:bCs/>
          <w:lang w:val="en-US"/>
        </w:rPr>
        <w:t xml:space="preserve">Figure </w:t>
      </w:r>
      <w:bookmarkEnd w:id="82"/>
      <w:r>
        <w:rPr>
          <w:b/>
          <w:bCs/>
          <w:lang w:val="en-US"/>
        </w:rPr>
        <w:t>2</w:t>
      </w:r>
      <w:r>
        <w:rPr>
          <w:bCs/>
          <w:lang w:val="en-US"/>
        </w:rPr>
        <w:t xml:space="preserve"> </w:t>
      </w:r>
      <w:r>
        <w:t xml:space="preserve">Electrical conductivity measured at 20 minute intervals at the Supervising Scientist’s upstream (GCUS) and downstream (GCDS) monitoring sites and at ERA’s lease boundary (GCLB) monitoring </w:t>
      </w:r>
      <w:r w:rsidRPr="007B1586">
        <w:rPr>
          <w:lang w:val="en-US"/>
        </w:rPr>
        <w:t>site</w:t>
      </w:r>
      <w:r>
        <w:rPr>
          <w:lang w:val="en-US"/>
        </w:rPr>
        <w:t>. See</w:t>
      </w:r>
      <w:r w:rsidR="00412055">
        <w:t xml:space="preserve"> Figure 1</w:t>
      </w:r>
      <w:r>
        <w:rPr>
          <w:lang w:val="en-US"/>
        </w:rPr>
        <w:t xml:space="preserve"> for site locations.</w:t>
      </w:r>
    </w:p>
    <w:p w:rsidR="00C66097" w:rsidRPr="002E5D29" w:rsidRDefault="00C66097" w:rsidP="00C66097">
      <w:pPr>
        <w:rPr>
          <w:lang w:val="en-US"/>
        </w:rPr>
      </w:pPr>
      <w:r>
        <w:rPr>
          <w:lang w:val="en-US"/>
        </w:rPr>
        <w:t xml:space="preserve">ERA carried out a number of field investigations throughout the wet season to determine the source of the solutes causing the deterioration in Gulungul Creek water quality. On 13 February 2014, ERA staff identified high EC surface runoff flowing from the base of the western TSF wall into the GCT2 tributary, with values </w:t>
      </w:r>
      <w:proofErr w:type="gramStart"/>
      <w:r>
        <w:rPr>
          <w:lang w:val="en-US"/>
        </w:rPr>
        <w:t>of up to 2,900 µS/cm</w:t>
      </w:r>
      <w:proofErr w:type="gramEnd"/>
      <w:r>
        <w:rPr>
          <w:lang w:val="en-US"/>
        </w:rPr>
        <w:t xml:space="preserve">. </w:t>
      </w:r>
      <w:r w:rsidRPr="0027682B">
        <w:rPr>
          <w:lang w:val="en-US"/>
        </w:rPr>
        <w:t>On 3 March 2014</w:t>
      </w:r>
      <w:r>
        <w:rPr>
          <w:lang w:val="en-US"/>
        </w:rPr>
        <w:t xml:space="preserve">, Supervising Scientist </w:t>
      </w:r>
      <w:r w:rsidRPr="0027682B">
        <w:rPr>
          <w:lang w:val="en-US"/>
        </w:rPr>
        <w:t xml:space="preserve">staff </w:t>
      </w:r>
      <w:r>
        <w:rPr>
          <w:lang w:val="en-US"/>
        </w:rPr>
        <w:t xml:space="preserve">conducted a field investigation to confirm the source of the high EC water. Low </w:t>
      </w:r>
      <w:r w:rsidRPr="0027682B">
        <w:rPr>
          <w:lang w:val="en-US"/>
        </w:rPr>
        <w:t xml:space="preserve">EC </w:t>
      </w:r>
      <w:r>
        <w:rPr>
          <w:lang w:val="en-US"/>
        </w:rPr>
        <w:t xml:space="preserve">was recorded in pooled water throughout the Gulungul Creek catchment, </w:t>
      </w:r>
      <w:r w:rsidRPr="0027682B">
        <w:rPr>
          <w:lang w:val="en-US"/>
        </w:rPr>
        <w:t>with a range of 15–25 µS</w:t>
      </w:r>
      <w:r>
        <w:rPr>
          <w:lang w:val="en-US"/>
        </w:rPr>
        <w:t>/cm</w:t>
      </w:r>
      <w:r w:rsidRPr="0027682B">
        <w:rPr>
          <w:lang w:val="en-US"/>
        </w:rPr>
        <w:t>.</w:t>
      </w:r>
      <w:r>
        <w:rPr>
          <w:lang w:val="en-US"/>
        </w:rPr>
        <w:t xml:space="preserve"> In contrast, the EC measured in the GCT2 tributary at the Radon Springs access track crossing (GCT2RST) (</w:t>
      </w:r>
      <w:r w:rsidR="00412055">
        <w:t>Figure 1</w:t>
      </w:r>
      <w:r>
        <w:rPr>
          <w:lang w:val="en-US"/>
        </w:rPr>
        <w:t xml:space="preserve">) </w:t>
      </w:r>
      <w:r w:rsidRPr="0027682B">
        <w:rPr>
          <w:lang w:val="en-US"/>
        </w:rPr>
        <w:t>was in the range of 1</w:t>
      </w:r>
      <w:r>
        <w:rPr>
          <w:lang w:val="en-US"/>
        </w:rPr>
        <w:t>,</w:t>
      </w:r>
      <w:r w:rsidRPr="0027682B">
        <w:rPr>
          <w:lang w:val="en-US"/>
        </w:rPr>
        <w:t>250–1</w:t>
      </w:r>
      <w:r>
        <w:rPr>
          <w:lang w:val="en-US"/>
        </w:rPr>
        <w:t>,</w:t>
      </w:r>
      <w:r w:rsidRPr="0027682B">
        <w:rPr>
          <w:lang w:val="en-US"/>
        </w:rPr>
        <w:t>300 µ</w:t>
      </w:r>
      <w:r>
        <w:rPr>
          <w:lang w:val="en-US"/>
        </w:rPr>
        <w:t>S/</w:t>
      </w:r>
      <w:r w:rsidRPr="0027682B">
        <w:rPr>
          <w:lang w:val="en-US"/>
        </w:rPr>
        <w:t>cm</w:t>
      </w:r>
      <w:r>
        <w:rPr>
          <w:lang w:val="en-US"/>
        </w:rPr>
        <w:t xml:space="preserve">. At the same location the pH was 5.4, and an </w:t>
      </w:r>
      <w:r w:rsidRPr="00F4343C">
        <w:rPr>
          <w:lang w:val="en-US"/>
        </w:rPr>
        <w:t>orange flocculant</w:t>
      </w:r>
      <w:r>
        <w:rPr>
          <w:lang w:val="en-US"/>
        </w:rPr>
        <w:t xml:space="preserve"> was observed</w:t>
      </w:r>
      <w:r w:rsidRPr="00F4343C">
        <w:rPr>
          <w:lang w:val="en-US"/>
        </w:rPr>
        <w:t xml:space="preserve"> along </w:t>
      </w:r>
      <w:r>
        <w:rPr>
          <w:lang w:val="en-US"/>
        </w:rPr>
        <w:t xml:space="preserve">the tributary </w:t>
      </w:r>
      <w:r w:rsidRPr="00F4343C">
        <w:rPr>
          <w:lang w:val="en-US"/>
        </w:rPr>
        <w:t>flow path (</w:t>
      </w:r>
      <w:r w:rsidR="00412055">
        <w:t>Figure 3)</w:t>
      </w:r>
      <w:r>
        <w:rPr>
          <w:lang w:val="en-US"/>
        </w:rPr>
        <w:t xml:space="preserve">. The GCT2 tributary was </w:t>
      </w:r>
      <w:r w:rsidRPr="0027682B">
        <w:rPr>
          <w:lang w:val="en-US"/>
        </w:rPr>
        <w:t>tracked to its confluence with Gulungul Creek</w:t>
      </w:r>
      <w:r>
        <w:rPr>
          <w:lang w:val="en-US"/>
        </w:rPr>
        <w:t xml:space="preserve"> and the EC measured in the tributary approximately one meter upstream of its confluence with Gulungul Creek (GCT2GCC) was </w:t>
      </w:r>
      <w:proofErr w:type="gramStart"/>
      <w:r>
        <w:rPr>
          <w:lang w:val="en-US"/>
        </w:rPr>
        <w:t xml:space="preserve">around </w:t>
      </w:r>
      <w:r w:rsidRPr="0027682B">
        <w:rPr>
          <w:lang w:val="en-US"/>
        </w:rPr>
        <w:t>500 µS</w:t>
      </w:r>
      <w:r>
        <w:rPr>
          <w:lang w:val="en-US"/>
        </w:rPr>
        <w:t>/</w:t>
      </w:r>
      <w:r w:rsidRPr="0027682B">
        <w:rPr>
          <w:lang w:val="en-US"/>
        </w:rPr>
        <w:t>cm</w:t>
      </w:r>
      <w:r>
        <w:rPr>
          <w:lang w:val="en-US"/>
        </w:rPr>
        <w:t xml:space="preserve"> (</w:t>
      </w:r>
      <w:r w:rsidR="00412055">
        <w:t>Figure 1</w:t>
      </w:r>
      <w:r>
        <w:rPr>
          <w:lang w:val="en-US"/>
        </w:rPr>
        <w:t>)</w:t>
      </w:r>
      <w:proofErr w:type="gramEnd"/>
      <w:r w:rsidRPr="0027682B">
        <w:rPr>
          <w:lang w:val="en-US"/>
        </w:rPr>
        <w:t>.</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653"/>
        <w:gridCol w:w="4869"/>
      </w:tblGrid>
      <w:tr w:rsidR="00C66097" w:rsidTr="00C66097">
        <w:tc>
          <w:tcPr>
            <w:tcW w:w="2143" w:type="pct"/>
          </w:tcPr>
          <w:p w:rsidR="00C66097" w:rsidRDefault="00C66097" w:rsidP="0086681E">
            <w:pPr>
              <w:pStyle w:val="ListParagraph"/>
              <w:numPr>
                <w:ilvl w:val="0"/>
                <w:numId w:val="0"/>
              </w:numPr>
              <w:rPr>
                <w:noProof/>
                <w:lang w:eastAsia="en-AU"/>
              </w:rPr>
            </w:pPr>
            <w:r>
              <w:rPr>
                <w:noProof/>
                <w:lang w:eastAsia="en-AU"/>
              </w:rPr>
              <w:drawing>
                <wp:inline distT="0" distB="0" distL="0" distR="0">
                  <wp:extent cx="1892377" cy="2520000"/>
                  <wp:effectExtent l="19050" t="0" r="0" b="0"/>
                  <wp:docPr id="10094" name="Picture 8" descr="\\pvnt01flpr01\user$\A02156\Profile\Desktop\Temp saves\Gulungul Investigation\IMG_48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pvnt01flpr01\user$\A02156\Profile\Desktop\Temp saves\Gulungul Investigation\IMG_4883.JPG"/>
                          <pic:cNvPicPr>
                            <a:picLocks noChangeAspect="1" noChangeArrowheads="1"/>
                          </pic:cNvPicPr>
                        </pic:nvPicPr>
                        <pic:blipFill>
                          <a:blip r:embed="rId35" cstate="screen"/>
                          <a:srcRect/>
                          <a:stretch>
                            <a:fillRect/>
                          </a:stretch>
                        </pic:blipFill>
                        <pic:spPr bwMode="auto">
                          <a:xfrm>
                            <a:off x="0" y="0"/>
                            <a:ext cx="1892377" cy="2520000"/>
                          </a:xfrm>
                          <a:prstGeom prst="rect">
                            <a:avLst/>
                          </a:prstGeom>
                          <a:noFill/>
                          <a:ln w="9525">
                            <a:noFill/>
                            <a:miter lim="800000"/>
                            <a:headEnd/>
                            <a:tailEnd/>
                          </a:ln>
                        </pic:spPr>
                      </pic:pic>
                    </a:graphicData>
                  </a:graphic>
                </wp:inline>
              </w:drawing>
            </w:r>
          </w:p>
        </w:tc>
        <w:tc>
          <w:tcPr>
            <w:tcW w:w="2857" w:type="pct"/>
          </w:tcPr>
          <w:p w:rsidR="00C66097" w:rsidRDefault="00C66097" w:rsidP="00C66097">
            <w:pPr>
              <w:pStyle w:val="ListParagraph"/>
              <w:ind w:left="0"/>
              <w:jc w:val="center"/>
              <w:rPr>
                <w:noProof/>
                <w:lang w:eastAsia="en-AU"/>
              </w:rPr>
            </w:pPr>
            <w:r>
              <w:rPr>
                <w:noProof/>
                <w:lang w:eastAsia="en-AU"/>
              </w:rPr>
              <w:drawing>
                <wp:inline distT="0" distB="0" distL="0" distR="0">
                  <wp:extent cx="2891813" cy="2524125"/>
                  <wp:effectExtent l="0" t="0" r="0" b="0"/>
                  <wp:docPr id="10095" name="Picture 7" descr="\\pvnt01flpr01\user$\A02156\Profile\Desktop\Temp saves\Gulungul Investigation\IMG_48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vnt01flpr01\user$\A02156\Profile\Desktop\Temp saves\Gulungul Investigation\IMG_4886.JPG"/>
                          <pic:cNvPicPr>
                            <a:picLocks noChangeAspect="1" noChangeArrowheads="1"/>
                          </pic:cNvPicPr>
                        </pic:nvPicPr>
                        <pic:blipFill>
                          <a:blip r:embed="rId36" cstate="screen"/>
                          <a:srcRect/>
                          <a:stretch>
                            <a:fillRect/>
                          </a:stretch>
                        </pic:blipFill>
                        <pic:spPr bwMode="auto">
                          <a:xfrm>
                            <a:off x="0" y="0"/>
                            <a:ext cx="2899269" cy="2530633"/>
                          </a:xfrm>
                          <a:prstGeom prst="rect">
                            <a:avLst/>
                          </a:prstGeom>
                          <a:noFill/>
                          <a:ln w="9525">
                            <a:noFill/>
                            <a:miter lim="800000"/>
                            <a:headEnd/>
                            <a:tailEnd/>
                          </a:ln>
                        </pic:spPr>
                      </pic:pic>
                    </a:graphicData>
                  </a:graphic>
                </wp:inline>
              </w:drawing>
            </w:r>
          </w:p>
        </w:tc>
      </w:tr>
    </w:tbl>
    <w:p w:rsidR="00C66097" w:rsidRPr="002E5D29" w:rsidRDefault="00C66097" w:rsidP="00C66097">
      <w:pPr>
        <w:pStyle w:val="figurecaption"/>
        <w:rPr>
          <w:lang w:val="en-US"/>
        </w:rPr>
      </w:pPr>
      <w:bookmarkStart w:id="83" w:name="_Ref401828517"/>
      <w:r w:rsidRPr="00A00506">
        <w:rPr>
          <w:b/>
          <w:bCs/>
          <w:lang w:val="en-US"/>
        </w:rPr>
        <w:t xml:space="preserve">Figure </w:t>
      </w:r>
      <w:bookmarkEnd w:id="83"/>
      <w:proofErr w:type="gramStart"/>
      <w:r>
        <w:rPr>
          <w:b/>
          <w:bCs/>
          <w:lang w:val="en-US"/>
        </w:rPr>
        <w:t>3</w:t>
      </w:r>
      <w:r w:rsidRPr="002E5D29">
        <w:rPr>
          <w:lang w:val="en-US"/>
        </w:rPr>
        <w:t xml:space="preserve">  </w:t>
      </w:r>
      <w:r>
        <w:t>Orange</w:t>
      </w:r>
      <w:proofErr w:type="gramEnd"/>
      <w:r>
        <w:t xml:space="preserve"> flocculant at GCT2RST on 3 March 2014.</w:t>
      </w:r>
    </w:p>
    <w:p w:rsidR="00C66097" w:rsidRPr="0027682B" w:rsidRDefault="00C66097" w:rsidP="00C66097">
      <w:pPr>
        <w:rPr>
          <w:lang w:val="en-US"/>
        </w:rPr>
      </w:pPr>
      <w:r>
        <w:rPr>
          <w:lang w:val="en-US"/>
        </w:rPr>
        <w:t xml:space="preserve">On 3 March 2014, the Supervising Scientist deployed continuous EC data </w:t>
      </w:r>
      <w:r w:rsidRPr="0027682B">
        <w:rPr>
          <w:lang w:val="en-US"/>
        </w:rPr>
        <w:t>logger</w:t>
      </w:r>
      <w:r>
        <w:rPr>
          <w:lang w:val="en-US"/>
        </w:rPr>
        <w:t xml:space="preserve">s at both GCT2RST and at GCT2GCC and the data are shown in </w:t>
      </w:r>
      <w:r w:rsidR="005813E2">
        <w:t>Figure 4</w:t>
      </w:r>
      <w:r>
        <w:rPr>
          <w:lang w:val="en-US"/>
        </w:rPr>
        <w:t xml:space="preserve"> along with cumulative rainfall data measured at a nearby hydrological monitoring station</w:t>
      </w:r>
      <w:r w:rsidRPr="0027682B">
        <w:rPr>
          <w:lang w:val="en-US"/>
        </w:rPr>
        <w:t>.</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8522"/>
      </w:tblGrid>
      <w:tr w:rsidR="00C66097" w:rsidTr="00C66097">
        <w:tc>
          <w:tcPr>
            <w:tcW w:w="5000" w:type="pct"/>
          </w:tcPr>
          <w:p w:rsidR="00C66097" w:rsidRDefault="00C66097" w:rsidP="0086681E">
            <w:pPr>
              <w:pStyle w:val="ListParagraph"/>
              <w:numPr>
                <w:ilvl w:val="0"/>
                <w:numId w:val="0"/>
              </w:numPr>
              <w:contextualSpacing w:val="0"/>
            </w:pPr>
            <w:r>
              <w:rPr>
                <w:noProof/>
                <w:lang w:eastAsia="en-AU"/>
              </w:rPr>
              <w:drawing>
                <wp:inline distT="0" distB="0" distL="0" distR="0">
                  <wp:extent cx="4432132" cy="2948025"/>
                  <wp:effectExtent l="19050" t="0" r="6518" b="0"/>
                  <wp:docPr id="10096" name="Picture 5" descr="GCT2RST and GCT2GCC EC da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CT2RST and GCT2GCC EC data.JPG"/>
                          <pic:cNvPicPr/>
                        </pic:nvPicPr>
                        <pic:blipFill>
                          <a:blip r:embed="rId37" cstate="screen"/>
                          <a:srcRect/>
                          <a:stretch>
                            <a:fillRect/>
                          </a:stretch>
                        </pic:blipFill>
                        <pic:spPr>
                          <a:xfrm>
                            <a:off x="0" y="0"/>
                            <a:ext cx="4439941" cy="2953219"/>
                          </a:xfrm>
                          <a:prstGeom prst="rect">
                            <a:avLst/>
                          </a:prstGeom>
                        </pic:spPr>
                      </pic:pic>
                    </a:graphicData>
                  </a:graphic>
                </wp:inline>
              </w:drawing>
            </w:r>
          </w:p>
        </w:tc>
      </w:tr>
    </w:tbl>
    <w:p w:rsidR="00C66097" w:rsidRPr="0086681E" w:rsidRDefault="00C66097" w:rsidP="00C66097">
      <w:pPr>
        <w:pStyle w:val="figurecaption"/>
        <w:rPr>
          <w:spacing w:val="-4"/>
        </w:rPr>
      </w:pPr>
      <w:bookmarkStart w:id="84" w:name="_Ref401654926"/>
      <w:r w:rsidRPr="0086681E">
        <w:rPr>
          <w:b/>
          <w:bCs/>
          <w:spacing w:val="-4"/>
          <w:lang w:val="en-US"/>
        </w:rPr>
        <w:t xml:space="preserve">Figure </w:t>
      </w:r>
      <w:bookmarkEnd w:id="84"/>
      <w:proofErr w:type="gramStart"/>
      <w:r w:rsidRPr="0086681E">
        <w:rPr>
          <w:b/>
          <w:bCs/>
          <w:spacing w:val="-4"/>
          <w:lang w:val="en-US"/>
        </w:rPr>
        <w:t>4</w:t>
      </w:r>
      <w:r w:rsidRPr="0086681E">
        <w:rPr>
          <w:spacing w:val="-4"/>
        </w:rPr>
        <w:t xml:space="preserve">  EC</w:t>
      </w:r>
      <w:proofErr w:type="gramEnd"/>
      <w:r w:rsidRPr="0086681E">
        <w:rPr>
          <w:spacing w:val="-4"/>
        </w:rPr>
        <w:t xml:space="preserve"> data measured </w:t>
      </w:r>
      <w:r w:rsidRPr="0086681E">
        <w:rPr>
          <w:spacing w:val="-4"/>
          <w:lang w:val="en-US"/>
        </w:rPr>
        <w:t>in the GCT2 tributary at the Radon Springs access track crossing (GCT2RST)</w:t>
      </w:r>
      <w:r w:rsidRPr="0086681E">
        <w:rPr>
          <w:spacing w:val="-4"/>
        </w:rPr>
        <w:t xml:space="preserve"> and at the confluence of the GCT2 tributary with Gulungul Creek (GCT2GCC) between March and August 2014. Also shown is the cumulative rainfall measured at a nearby hydrological station on Gulungul Creek.</w:t>
      </w:r>
    </w:p>
    <w:p w:rsidR="00C66097" w:rsidRPr="0086681E" w:rsidRDefault="00C66097" w:rsidP="00C66097">
      <w:pPr>
        <w:rPr>
          <w:spacing w:val="-4"/>
          <w:lang w:val="en-US"/>
        </w:rPr>
      </w:pPr>
      <w:r w:rsidRPr="0086681E">
        <w:rPr>
          <w:spacing w:val="-4"/>
          <w:lang w:val="en-US"/>
        </w:rPr>
        <w:t xml:space="preserve">The baseflow at each site along the GCT2 tributary is dominated by high EC water that is diluted briefly during rainfall events, as shown by the intermittent troughs coinciding with rainfall. Based on the EC measured at GCT2GCC, the mean EC of the input to the eastern side of the Gulungul Creek channel between March and July was </w:t>
      </w:r>
      <w:proofErr w:type="gramStart"/>
      <w:r w:rsidRPr="0086681E">
        <w:rPr>
          <w:spacing w:val="-4"/>
          <w:lang w:val="en-US"/>
        </w:rPr>
        <w:t>about 400 µS/cm,</w:t>
      </w:r>
      <w:proofErr w:type="gramEnd"/>
      <w:r w:rsidRPr="0086681E">
        <w:rPr>
          <w:spacing w:val="-4"/>
          <w:lang w:val="en-US"/>
        </w:rPr>
        <w:t xml:space="preserve"> which is 20 times higher than the 20 µS/cm baseflow in Gulungul Creek (</w:t>
      </w:r>
      <w:r w:rsidR="005813E2">
        <w:t>Figure 5</w:t>
      </w:r>
      <w:r w:rsidRPr="0086681E">
        <w:rPr>
          <w:spacing w:val="-4"/>
          <w:lang w:val="en-US"/>
        </w:rPr>
        <w:t xml:space="preserve">). The direct effect of the input from the GCT2 tributary on Gulungul Creek EC at GCDS is shown in </w:t>
      </w:r>
      <w:fldSimple w:instr=" REF _Ref401654788 \h  \* MERGEFORMAT ">
        <w:r w:rsidR="00822683" w:rsidRPr="00822683">
          <w:rPr>
            <w:spacing w:val="-4"/>
            <w:lang w:val="en-US"/>
          </w:rPr>
          <w:t xml:space="preserve">Figure </w:t>
        </w:r>
      </w:fldSimple>
      <w:r w:rsidRPr="0086681E">
        <w:rPr>
          <w:spacing w:val="-4"/>
        </w:rPr>
        <w:t>,</w:t>
      </w:r>
      <w:r w:rsidRPr="0086681E">
        <w:rPr>
          <w:spacing w:val="-4"/>
          <w:lang w:val="en-US"/>
        </w:rPr>
        <w:t xml:space="preserve"> where GCDS EC events coincide with the flushing of the tributary waters into the creek.</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8522"/>
      </w:tblGrid>
      <w:tr w:rsidR="00C66097" w:rsidTr="00FB4D42">
        <w:tc>
          <w:tcPr>
            <w:tcW w:w="5000" w:type="pct"/>
          </w:tcPr>
          <w:p w:rsidR="00C66097" w:rsidRDefault="00C66097" w:rsidP="0086681E">
            <w:pPr>
              <w:pStyle w:val="ListParagraph"/>
              <w:numPr>
                <w:ilvl w:val="0"/>
                <w:numId w:val="0"/>
              </w:numPr>
              <w:contextualSpacing w:val="0"/>
            </w:pPr>
            <w:r>
              <w:rPr>
                <w:noProof/>
                <w:lang w:eastAsia="en-AU"/>
              </w:rPr>
              <w:drawing>
                <wp:inline distT="0" distB="0" distL="0" distR="0">
                  <wp:extent cx="4083056" cy="3020262"/>
                  <wp:effectExtent l="19050" t="0" r="0" b="0"/>
                  <wp:docPr id="10097" name="Picture 20" descr="GCT2GCC and Gulungul Cree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CT2GCC and Gulungul Creek.JPG"/>
                          <pic:cNvPicPr/>
                        </pic:nvPicPr>
                        <pic:blipFill>
                          <a:blip r:embed="rId38" cstate="screen"/>
                          <a:stretch>
                            <a:fillRect/>
                          </a:stretch>
                        </pic:blipFill>
                        <pic:spPr>
                          <a:xfrm>
                            <a:off x="0" y="0"/>
                            <a:ext cx="4085609" cy="3022151"/>
                          </a:xfrm>
                          <a:prstGeom prst="rect">
                            <a:avLst/>
                          </a:prstGeom>
                        </pic:spPr>
                      </pic:pic>
                    </a:graphicData>
                  </a:graphic>
                </wp:inline>
              </w:drawing>
            </w:r>
          </w:p>
        </w:tc>
      </w:tr>
    </w:tbl>
    <w:p w:rsidR="00C66097" w:rsidRPr="007E2FE9" w:rsidRDefault="00C66097" w:rsidP="0086681E">
      <w:pPr>
        <w:pStyle w:val="figurecaption"/>
      </w:pPr>
      <w:bookmarkStart w:id="85" w:name="_Ref401654788"/>
      <w:r w:rsidRPr="00A00506">
        <w:rPr>
          <w:b/>
          <w:bCs/>
          <w:lang w:val="en-US"/>
        </w:rPr>
        <w:t xml:space="preserve">Figure </w:t>
      </w:r>
      <w:bookmarkEnd w:id="85"/>
      <w:proofErr w:type="gramStart"/>
      <w:r>
        <w:rPr>
          <w:b/>
          <w:bCs/>
          <w:lang w:val="en-US"/>
        </w:rPr>
        <w:t>5</w:t>
      </w:r>
      <w:r w:rsidRPr="007E2FE9">
        <w:t xml:space="preserve">  </w:t>
      </w:r>
      <w:r>
        <w:t>Peaks</w:t>
      </w:r>
      <w:proofErr w:type="gramEnd"/>
      <w:r>
        <w:t xml:space="preserve"> in EC at GCDS caused by input from the GCT2 tributary during the 2013/14 wet season.</w:t>
      </w:r>
    </w:p>
    <w:p w:rsidR="00C66097" w:rsidRPr="0086681E" w:rsidRDefault="00C66097" w:rsidP="00C66097">
      <w:pPr>
        <w:rPr>
          <w:spacing w:val="-4"/>
          <w:lang w:val="en-US"/>
        </w:rPr>
      </w:pPr>
      <w:r w:rsidRPr="0086681E">
        <w:rPr>
          <w:spacing w:val="-4"/>
          <w:lang w:val="en-US"/>
        </w:rPr>
        <w:t>To further delineate the source of the high EC water, ERA installed a number of continuous EC data loggers at various locations in Gulungul Creek and along the GCT3 and GCT2 tributaries on 4 March 2014 (</w:t>
      </w:r>
      <w:r w:rsidR="005813E2">
        <w:rPr>
          <w:spacing w:val="-4"/>
          <w:lang w:val="en-US"/>
        </w:rPr>
        <w:t xml:space="preserve">Figure </w:t>
      </w:r>
      <w:r w:rsidRPr="0086681E">
        <w:rPr>
          <w:spacing w:val="-4"/>
          <w:lang w:val="en-US"/>
        </w:rPr>
        <w:t>6).</w:t>
      </w:r>
    </w:p>
    <w:p w:rsidR="00C66097" w:rsidRDefault="00C66097" w:rsidP="00C66097">
      <w:pPr>
        <w:pStyle w:val="figurecaption"/>
        <w:rPr>
          <w:b/>
          <w:bCs/>
          <w:lang w:val="en-US"/>
        </w:rPr>
      </w:pPr>
      <w:bookmarkStart w:id="86" w:name="_Ref401826868"/>
      <w:r>
        <w:rPr>
          <w:rFonts w:ascii="Times New Roman" w:hAnsi="Times New Roman"/>
          <w:noProof/>
          <w:sz w:val="22"/>
          <w:lang w:eastAsia="en-AU"/>
        </w:rPr>
        <w:drawing>
          <wp:inline distT="0" distB="0" distL="0" distR="0">
            <wp:extent cx="3476625" cy="4130596"/>
            <wp:effectExtent l="0" t="0" r="0" b="0"/>
            <wp:docPr id="100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cstate="screen"/>
                    <a:srcRect/>
                    <a:stretch>
                      <a:fillRect/>
                    </a:stretch>
                  </pic:blipFill>
                  <pic:spPr bwMode="auto">
                    <a:xfrm>
                      <a:off x="0" y="0"/>
                      <a:ext cx="3485120" cy="4140689"/>
                    </a:xfrm>
                    <a:prstGeom prst="rect">
                      <a:avLst/>
                    </a:prstGeom>
                    <a:noFill/>
                    <a:ln w="9525">
                      <a:noFill/>
                      <a:miter lim="800000"/>
                      <a:headEnd/>
                      <a:tailEnd/>
                    </a:ln>
                  </pic:spPr>
                </pic:pic>
              </a:graphicData>
            </a:graphic>
          </wp:inline>
        </w:drawing>
      </w:r>
    </w:p>
    <w:p w:rsidR="00C66097" w:rsidRPr="002E5D29" w:rsidRDefault="00C66097" w:rsidP="00C66097">
      <w:pPr>
        <w:pStyle w:val="figurecaption"/>
        <w:rPr>
          <w:lang w:val="en-US"/>
        </w:rPr>
      </w:pPr>
      <w:r w:rsidRPr="00A00506">
        <w:rPr>
          <w:b/>
          <w:bCs/>
          <w:lang w:val="en-US"/>
        </w:rPr>
        <w:t xml:space="preserve">Figure </w:t>
      </w:r>
      <w:bookmarkEnd w:id="86"/>
      <w:proofErr w:type="gramStart"/>
      <w:r>
        <w:rPr>
          <w:b/>
          <w:bCs/>
          <w:lang w:val="en-US"/>
        </w:rPr>
        <w:t>6</w:t>
      </w:r>
      <w:r w:rsidRPr="002E5D29">
        <w:rPr>
          <w:lang w:val="en-US"/>
        </w:rPr>
        <w:t xml:space="preserve">  </w:t>
      </w:r>
      <w:r>
        <w:rPr>
          <w:lang w:val="en-US"/>
        </w:rPr>
        <w:t>Locations</w:t>
      </w:r>
      <w:proofErr w:type="gramEnd"/>
      <w:r>
        <w:rPr>
          <w:lang w:val="en-US"/>
        </w:rPr>
        <w:t xml:space="preserve"> of ERA investigative EC data loggers deployed in March 2014.</w:t>
      </w:r>
    </w:p>
    <w:p w:rsidR="00C66097" w:rsidRDefault="00C66097" w:rsidP="00C66097">
      <w:r>
        <w:t xml:space="preserve">The average EC measured in the GCT3 tributary at Point 6 was </w:t>
      </w:r>
      <w:proofErr w:type="gramStart"/>
      <w:r>
        <w:t>around 25 µS/cm</w:t>
      </w:r>
      <w:proofErr w:type="gramEnd"/>
      <w:r>
        <w:t xml:space="preserve"> and it represents a control against which to compare the EC measured elsewhere in the catchment. In contrast to the GCT3 control, the average EC measured in the GCT2 tributary at Point 7 was 600 µS/cm, which lies between the GCT2RST mean of around 1,200 µS/cm (closest to the minesite) and the GCT2GCC mean of around 400 µS/cm (closest to Gulungul Creek). This spatial gradient of EC may be caused by dilution of the source water by ambient fresh water in the catchment or attenuation of non-conservative solutes by soils and organic material along the GCT2 tributary.  </w:t>
      </w:r>
    </w:p>
    <w:p w:rsidR="00C66097" w:rsidRDefault="00C66097" w:rsidP="00C66097">
      <w:r>
        <w:t xml:space="preserve">The Point 2 and Point 3 EC data are shown in </w:t>
      </w:r>
      <w:r w:rsidR="005813E2">
        <w:t>Figure 7</w:t>
      </w:r>
      <w:r>
        <w:t xml:space="preserve"> below, along with corresponding EC measured at GCUS, GCLB and GCT2GCC. The plot also shows the water level measured at a nearby hydrological monitoring station. The period shown reflects the period of record for Point 2 and the gaps in the Point 2 trace indicate periods where the water level dropped below the logger.</w:t>
      </w:r>
    </w:p>
    <w:p w:rsidR="00C66097" w:rsidRDefault="00C66097" w:rsidP="00C66097">
      <w:r>
        <w:rPr>
          <w:noProof/>
          <w:lang w:eastAsia="en-AU"/>
        </w:rPr>
        <w:drawing>
          <wp:inline distT="0" distB="0" distL="0" distR="0">
            <wp:extent cx="5269207" cy="3705225"/>
            <wp:effectExtent l="0" t="0" r="0" b="0"/>
            <wp:docPr id="10099" name="Picture 30" descr="HOBO EC plot - M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BO EC plot - MP2.JPG"/>
                    <pic:cNvPicPr/>
                  </pic:nvPicPr>
                  <pic:blipFill rotWithShape="1">
                    <a:blip r:embed="rId40" cstate="screen"/>
                    <a:srcRect/>
                    <a:stretch/>
                  </pic:blipFill>
                  <pic:spPr bwMode="auto">
                    <a:xfrm>
                      <a:off x="0" y="0"/>
                      <a:ext cx="5274310" cy="3708814"/>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C66097" w:rsidRPr="002E5D29" w:rsidRDefault="00C66097" w:rsidP="00C66097">
      <w:pPr>
        <w:pStyle w:val="figurecaption"/>
        <w:rPr>
          <w:lang w:val="en-US"/>
        </w:rPr>
      </w:pPr>
      <w:bookmarkStart w:id="87" w:name="_Ref401827132"/>
      <w:r w:rsidRPr="00A00506">
        <w:rPr>
          <w:b/>
          <w:bCs/>
          <w:lang w:val="en-US"/>
        </w:rPr>
        <w:t xml:space="preserve">Figure </w:t>
      </w:r>
      <w:bookmarkEnd w:id="87"/>
      <w:proofErr w:type="gramStart"/>
      <w:r>
        <w:rPr>
          <w:b/>
          <w:bCs/>
          <w:lang w:val="en-US"/>
        </w:rPr>
        <w:t>7</w:t>
      </w:r>
      <w:r w:rsidRPr="002E5D29">
        <w:rPr>
          <w:lang w:val="en-US"/>
        </w:rPr>
        <w:t xml:space="preserve">  </w:t>
      </w:r>
      <w:r>
        <w:rPr>
          <w:lang w:val="en-US"/>
        </w:rPr>
        <w:t>Electrical</w:t>
      </w:r>
      <w:proofErr w:type="gramEnd"/>
      <w:r>
        <w:rPr>
          <w:lang w:val="en-US"/>
        </w:rPr>
        <w:t xml:space="preserve"> conductivity data measured at various points along Gulungul Creek, including GCUS and ranging downstream to GCLB. The water level measured at a nearby hydrological monitoring station is also shown.</w:t>
      </w:r>
    </w:p>
    <w:p w:rsidR="00C66097" w:rsidRDefault="00C66097" w:rsidP="00C66097">
      <w:r>
        <w:t xml:space="preserve">Point 2 and Point 3, the two sites in Gulungul Creek closest to the confluence with the GCT2 tributary, both experienced EC </w:t>
      </w:r>
      <w:proofErr w:type="gramStart"/>
      <w:r>
        <w:t>above 100 µS/cm</w:t>
      </w:r>
      <w:proofErr w:type="gramEnd"/>
      <w:r>
        <w:t xml:space="preserve">. The rising portion of the hydrograph for the larger flow events in Gulungul Creek coincide with an increase in EC in the creek, suggesting that high EC water is flushed from GCT2 into the creek during rising water levels. The maximum EC measured immediately downstream of the confluence of Gulungul Creek and GCT2, at Point 2, was 413 µS/cm. As the water level peaks in Gulungul Creek the EC measured at Point 2 returns to background levels (similar to GCUS), indicating that the entry point of the high EC water from GCT2 shifts or is hydraulically dammed, possibly due to over-bank creek flow, and the GCT2 signal is no longer observed at Point 2. It is likely that during high flow events the creek water inundates the GCT2 tributary itself as the EC measured at GCT2GCC under these conditions also reflected background levels. As the creek water level recedes it appears that the high EC water from GCT2 recommences flow into the creek, as its signal is once more detectable at Point 2. </w:t>
      </w:r>
    </w:p>
    <w:p w:rsidR="00C66097" w:rsidRDefault="00C66097" w:rsidP="00C66097">
      <w:pPr>
        <w:rPr>
          <w:lang w:val="en-US"/>
        </w:rPr>
      </w:pPr>
      <w:r>
        <w:t xml:space="preserve">The variability in the EC at Point 2 and at GCT2GCC reflects the dynamic mixing of creek water with the high EC water flowing from the GCT2 tributary. The data indicate a preferential flow path for the high EC water along the eastern side of the creek, resulting in the formation of a cross channel gradient in solute concentrations. This is supported by observations made by ERA staff on 19 February 2014 in response to a high EC event in the creek, which showed that after the </w:t>
      </w:r>
      <w:r>
        <w:rPr>
          <w:lang w:val="en-US"/>
        </w:rPr>
        <w:t xml:space="preserve">EC in the creek had returned to background levels </w:t>
      </w:r>
      <w:proofErr w:type="gramStart"/>
      <w:r>
        <w:rPr>
          <w:lang w:val="en-US"/>
        </w:rPr>
        <w:t>(around 10 µS/cm)</w:t>
      </w:r>
      <w:proofErr w:type="gramEnd"/>
      <w:r>
        <w:rPr>
          <w:lang w:val="en-US"/>
        </w:rPr>
        <w:t xml:space="preserve"> some residual high EC water remained in a naturally low lying inundated area immediately upstream of GCLB. The overbank flow during the EC event would have pushed high EC water into this area</w:t>
      </w:r>
      <w:r w:rsidR="005813E2">
        <w:rPr>
          <w:lang w:val="en-US"/>
        </w:rPr>
        <w:t xml:space="preserve"> (Figure 8)</w:t>
      </w:r>
      <w:r>
        <w:rPr>
          <w:lang w:val="en-US"/>
        </w:rPr>
        <w:t xml:space="preserve">. </w:t>
      </w:r>
    </w:p>
    <w:p w:rsidR="00C66097" w:rsidRDefault="00C66097" w:rsidP="00C66097">
      <w:pPr>
        <w:jc w:val="center"/>
        <w:rPr>
          <w:lang w:val="en-US"/>
        </w:rPr>
      </w:pPr>
      <w:r>
        <w:rPr>
          <w:noProof/>
          <w:lang w:eastAsia="en-AU"/>
        </w:rPr>
        <w:drawing>
          <wp:inline distT="0" distB="0" distL="0" distR="0">
            <wp:extent cx="2616724" cy="4307134"/>
            <wp:effectExtent l="19050" t="0" r="0" b="0"/>
            <wp:docPr id="1010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1" cstate="screen"/>
                    <a:srcRect/>
                    <a:stretch>
                      <a:fillRect/>
                    </a:stretch>
                  </pic:blipFill>
                  <pic:spPr bwMode="auto">
                    <a:xfrm>
                      <a:off x="0" y="0"/>
                      <a:ext cx="2618680" cy="4310354"/>
                    </a:xfrm>
                    <a:prstGeom prst="rect">
                      <a:avLst/>
                    </a:prstGeom>
                    <a:noFill/>
                    <a:ln w="9525">
                      <a:noFill/>
                      <a:miter lim="800000"/>
                      <a:headEnd/>
                      <a:tailEnd/>
                    </a:ln>
                  </pic:spPr>
                </pic:pic>
              </a:graphicData>
            </a:graphic>
          </wp:inline>
        </w:drawing>
      </w:r>
    </w:p>
    <w:p w:rsidR="00C66097" w:rsidRDefault="00C66097" w:rsidP="00C66097">
      <w:pPr>
        <w:pStyle w:val="figurecaption"/>
        <w:rPr>
          <w:b/>
          <w:lang w:val="en-US"/>
        </w:rPr>
      </w:pPr>
    </w:p>
    <w:p w:rsidR="00C66097" w:rsidRDefault="00C66097" w:rsidP="00C66097">
      <w:pPr>
        <w:pStyle w:val="figurecaption"/>
        <w:rPr>
          <w:lang w:val="en-US"/>
        </w:rPr>
      </w:pPr>
      <w:bookmarkStart w:id="88" w:name="_Ref401826614"/>
      <w:r w:rsidRPr="00A00506">
        <w:rPr>
          <w:b/>
          <w:bCs/>
          <w:lang w:val="en-US"/>
        </w:rPr>
        <w:t xml:space="preserve">Figure </w:t>
      </w:r>
      <w:bookmarkEnd w:id="88"/>
      <w:r>
        <w:rPr>
          <w:b/>
          <w:bCs/>
          <w:lang w:val="en-US"/>
        </w:rPr>
        <w:t xml:space="preserve">8 </w:t>
      </w:r>
      <w:r>
        <w:rPr>
          <w:lang w:val="en-US"/>
        </w:rPr>
        <w:t>EC measured by ERA staff in the Gulungul Creek channel and in standing water on the low lying right bank in the immediate vicinity of GCLB on 19 February 2014.</w:t>
      </w:r>
    </w:p>
    <w:p w:rsidR="00C66097" w:rsidRDefault="00C66097" w:rsidP="00C66097">
      <w:pPr>
        <w:rPr>
          <w:lang w:val="en-US"/>
        </w:rPr>
      </w:pPr>
      <w:r w:rsidRPr="007E2FE9">
        <w:rPr>
          <w:lang w:val="en-US"/>
        </w:rPr>
        <w:t xml:space="preserve">The </w:t>
      </w:r>
      <w:r>
        <w:rPr>
          <w:lang w:val="en-US"/>
        </w:rPr>
        <w:t xml:space="preserve">GCT2RST site </w:t>
      </w:r>
      <w:r w:rsidRPr="007E2FE9">
        <w:rPr>
          <w:lang w:val="en-US"/>
        </w:rPr>
        <w:t>was inspected on 2 July</w:t>
      </w:r>
      <w:r>
        <w:rPr>
          <w:lang w:val="en-US"/>
        </w:rPr>
        <w:t xml:space="preserve"> 2014 and 19 </w:t>
      </w:r>
      <w:r w:rsidRPr="007E2FE9">
        <w:rPr>
          <w:lang w:val="en-US"/>
        </w:rPr>
        <w:t>August 2014</w:t>
      </w:r>
      <w:r>
        <w:rPr>
          <w:lang w:val="en-US"/>
        </w:rPr>
        <w:t xml:space="preserve"> (</w:t>
      </w:r>
      <w:r w:rsidR="005813E2">
        <w:t>Figure 9 a</w:t>
      </w:r>
      <w:r>
        <w:rPr>
          <w:lang w:val="en-US"/>
        </w:rPr>
        <w:t xml:space="preserve">nd </w:t>
      </w:r>
      <w:r w:rsidR="005813E2">
        <w:t>Figure 10</w:t>
      </w:r>
      <w:r>
        <w:t>, respectively)</w:t>
      </w:r>
      <w:r w:rsidRPr="007E2FE9">
        <w:rPr>
          <w:lang w:val="en-US"/>
        </w:rPr>
        <w:t xml:space="preserve">. The last </w:t>
      </w:r>
      <w:r>
        <w:rPr>
          <w:lang w:val="en-US"/>
        </w:rPr>
        <w:t xml:space="preserve">recorded </w:t>
      </w:r>
      <w:r w:rsidRPr="007E2FE9">
        <w:rPr>
          <w:lang w:val="en-US"/>
        </w:rPr>
        <w:t>rain</w:t>
      </w:r>
      <w:r>
        <w:rPr>
          <w:lang w:val="en-US"/>
        </w:rPr>
        <w:t>fall</w:t>
      </w:r>
      <w:r w:rsidRPr="007E2FE9">
        <w:rPr>
          <w:lang w:val="en-US"/>
        </w:rPr>
        <w:t xml:space="preserve"> in the catchment </w:t>
      </w:r>
      <w:r>
        <w:rPr>
          <w:lang w:val="en-US"/>
        </w:rPr>
        <w:t xml:space="preserve">occurred in </w:t>
      </w:r>
      <w:r w:rsidRPr="007E2FE9">
        <w:rPr>
          <w:lang w:val="en-US"/>
        </w:rPr>
        <w:t>mid-May</w:t>
      </w:r>
      <w:r>
        <w:rPr>
          <w:lang w:val="en-US"/>
        </w:rPr>
        <w:t xml:space="preserve"> and in the drier conditions pH of the water at GCT2RST was 4.5. The orange </w:t>
      </w:r>
      <w:r w:rsidRPr="007E2FE9">
        <w:rPr>
          <w:lang w:val="en-US"/>
        </w:rPr>
        <w:t xml:space="preserve">flocculant </w:t>
      </w:r>
      <w:r>
        <w:rPr>
          <w:lang w:val="en-US"/>
        </w:rPr>
        <w:t xml:space="preserve">was more </w:t>
      </w:r>
      <w:r w:rsidRPr="007E2FE9">
        <w:rPr>
          <w:lang w:val="en-US"/>
        </w:rPr>
        <w:t>concentrated and white salt crystals</w:t>
      </w:r>
      <w:r>
        <w:rPr>
          <w:lang w:val="en-US"/>
        </w:rPr>
        <w:t xml:space="preserve"> had </w:t>
      </w:r>
      <w:r w:rsidRPr="007E2FE9">
        <w:rPr>
          <w:lang w:val="en-US"/>
        </w:rPr>
        <w:t xml:space="preserve">formed along the </w:t>
      </w:r>
      <w:r>
        <w:rPr>
          <w:lang w:val="en-US"/>
        </w:rPr>
        <w:t xml:space="preserve">GCT2 tributary </w:t>
      </w:r>
      <w:r w:rsidRPr="007E2FE9">
        <w:rPr>
          <w:lang w:val="en-US"/>
        </w:rPr>
        <w:t>flow path</w:t>
      </w:r>
      <w:r>
        <w:rPr>
          <w:lang w:val="en-US"/>
        </w:rPr>
        <w:t xml:space="preserve">. </w:t>
      </w:r>
      <w:r w:rsidRPr="007E2FE9">
        <w:rPr>
          <w:lang w:val="en-US"/>
        </w:rPr>
        <w:t xml:space="preserve">The crystals formed in patches of varying </w:t>
      </w:r>
      <w:r>
        <w:rPr>
          <w:lang w:val="en-US"/>
        </w:rPr>
        <w:t>density, covering the</w:t>
      </w:r>
      <w:r w:rsidRPr="007E2FE9">
        <w:rPr>
          <w:lang w:val="en-US"/>
        </w:rPr>
        <w:t xml:space="preserve"> area </w:t>
      </w:r>
      <w:r>
        <w:rPr>
          <w:lang w:val="en-US"/>
        </w:rPr>
        <w:t xml:space="preserve">depicted in yellow in </w:t>
      </w:r>
      <w:r w:rsidR="005813E2">
        <w:t>Figure 11</w:t>
      </w:r>
      <w:r w:rsidRPr="007E2FE9">
        <w:rPr>
          <w:lang w:val="en-US"/>
        </w:rPr>
        <w:t>.</w:t>
      </w:r>
      <w:r>
        <w:rPr>
          <w:lang w:val="en-US"/>
        </w:rPr>
        <w:t xml:space="preserve"> </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8300"/>
        <w:gridCol w:w="222"/>
      </w:tblGrid>
      <w:tr w:rsidR="00C66097" w:rsidTr="001A7E73">
        <w:tc>
          <w:tcPr>
            <w:tcW w:w="4870" w:type="pct"/>
            <w:vAlign w:val="center"/>
          </w:tcPr>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942"/>
              <w:gridCol w:w="4142"/>
            </w:tblGrid>
            <w:tr w:rsidR="00C66097" w:rsidTr="00C66097">
              <w:tc>
                <w:tcPr>
                  <w:tcW w:w="2473" w:type="pct"/>
                  <w:vAlign w:val="center"/>
                </w:tcPr>
                <w:p w:rsidR="00C66097" w:rsidRDefault="00C66097" w:rsidP="001A7E73">
                  <w:pPr>
                    <w:pStyle w:val="ListParagraph"/>
                    <w:spacing w:after="0"/>
                    <w:ind w:left="0"/>
                    <w:jc w:val="center"/>
                  </w:pPr>
                  <w:r>
                    <w:rPr>
                      <w:noProof/>
                      <w:lang w:eastAsia="en-AU"/>
                    </w:rPr>
                    <w:drawing>
                      <wp:inline distT="0" distB="0" distL="0" distR="0">
                        <wp:extent cx="2409825" cy="1809609"/>
                        <wp:effectExtent l="0" t="0" r="0" b="0"/>
                        <wp:docPr id="10101" name="Picture 1" descr="C:\Users\a02156\AppData\Local\Microsoft\Windows\Temporary Internet Files\Content.Word\Orange floc at spring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02156\AppData\Local\Microsoft\Windows\Temporary Internet Files\Content.Word\Orange floc at spring 1.jpg"/>
                                <pic:cNvPicPr>
                                  <a:picLocks noChangeAspect="1" noChangeArrowheads="1"/>
                                </pic:cNvPicPr>
                              </pic:nvPicPr>
                              <pic:blipFill>
                                <a:blip r:embed="rId42" cstate="screen"/>
                                <a:srcRect/>
                                <a:stretch>
                                  <a:fillRect/>
                                </a:stretch>
                              </pic:blipFill>
                              <pic:spPr bwMode="auto">
                                <a:xfrm>
                                  <a:off x="0" y="0"/>
                                  <a:ext cx="2405887" cy="1806652"/>
                                </a:xfrm>
                                <a:prstGeom prst="rect">
                                  <a:avLst/>
                                </a:prstGeom>
                                <a:noFill/>
                                <a:ln w="9525">
                                  <a:noFill/>
                                  <a:miter lim="800000"/>
                                  <a:headEnd/>
                                  <a:tailEnd/>
                                </a:ln>
                              </pic:spPr>
                            </pic:pic>
                          </a:graphicData>
                        </a:graphic>
                      </wp:inline>
                    </w:drawing>
                  </w:r>
                </w:p>
              </w:tc>
              <w:tc>
                <w:tcPr>
                  <w:tcW w:w="2527" w:type="pct"/>
                  <w:vAlign w:val="center"/>
                </w:tcPr>
                <w:p w:rsidR="00C66097" w:rsidRDefault="00C66097" w:rsidP="001A7E73">
                  <w:pPr>
                    <w:pStyle w:val="ListParagraph"/>
                    <w:spacing w:after="0"/>
                    <w:ind w:left="0"/>
                    <w:jc w:val="center"/>
                  </w:pPr>
                  <w:r>
                    <w:rPr>
                      <w:noProof/>
                      <w:lang w:eastAsia="en-AU"/>
                    </w:rPr>
                    <w:drawing>
                      <wp:inline distT="0" distB="0" distL="0" distR="0">
                        <wp:extent cx="2520000" cy="1894532"/>
                        <wp:effectExtent l="19050" t="0" r="0" b="0"/>
                        <wp:docPr id="10112" name="Picture 4" descr="\\pvnt01flpr01\user$\A02156\Profile\Desktop\GCT2 Photos\IMG_55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vnt01flpr01\user$\A02156\Profile\Desktop\GCT2 Photos\IMG_5534.JPG"/>
                                <pic:cNvPicPr>
                                  <a:picLocks noChangeAspect="1" noChangeArrowheads="1"/>
                                </pic:cNvPicPr>
                              </pic:nvPicPr>
                              <pic:blipFill>
                                <a:blip r:embed="rId43" cstate="screen"/>
                                <a:srcRect/>
                                <a:stretch>
                                  <a:fillRect/>
                                </a:stretch>
                              </pic:blipFill>
                              <pic:spPr bwMode="auto">
                                <a:xfrm>
                                  <a:off x="0" y="0"/>
                                  <a:ext cx="2520000" cy="1894532"/>
                                </a:xfrm>
                                <a:prstGeom prst="rect">
                                  <a:avLst/>
                                </a:prstGeom>
                                <a:noFill/>
                                <a:ln w="9525">
                                  <a:noFill/>
                                  <a:miter lim="800000"/>
                                  <a:headEnd/>
                                  <a:tailEnd/>
                                </a:ln>
                              </pic:spPr>
                            </pic:pic>
                          </a:graphicData>
                        </a:graphic>
                      </wp:inline>
                    </w:drawing>
                  </w:r>
                </w:p>
              </w:tc>
            </w:tr>
            <w:tr w:rsidR="00C66097" w:rsidTr="00C66097">
              <w:tc>
                <w:tcPr>
                  <w:tcW w:w="2473" w:type="pct"/>
                  <w:vAlign w:val="center"/>
                </w:tcPr>
                <w:p w:rsidR="00C66097" w:rsidRDefault="00C66097" w:rsidP="001A7E73">
                  <w:pPr>
                    <w:pStyle w:val="ListParagraph"/>
                    <w:spacing w:after="0"/>
                    <w:ind w:left="0"/>
                    <w:jc w:val="center"/>
                    <w:rPr>
                      <w:noProof/>
                      <w:lang w:eastAsia="en-AU"/>
                    </w:rPr>
                  </w:pPr>
                  <w:r>
                    <w:rPr>
                      <w:noProof/>
                      <w:lang w:eastAsia="en-AU"/>
                    </w:rPr>
                    <w:drawing>
                      <wp:inline distT="0" distB="0" distL="0" distR="0">
                        <wp:extent cx="2349498" cy="1857375"/>
                        <wp:effectExtent l="0" t="0" r="0" b="0"/>
                        <wp:docPr id="10113" name="Picture 16" descr="\\pvnt01flpr01\user$\A02156\Profile\Desktop\GCT2 Photos\IMG_55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pvnt01flpr01\user$\A02156\Profile\Desktop\GCT2 Photos\IMG_5583.JPG"/>
                                <pic:cNvPicPr>
                                  <a:picLocks noChangeAspect="1" noChangeArrowheads="1"/>
                                </pic:cNvPicPr>
                              </pic:nvPicPr>
                              <pic:blipFill>
                                <a:blip r:embed="rId44" cstate="screen"/>
                                <a:srcRect/>
                                <a:stretch>
                                  <a:fillRect/>
                                </a:stretch>
                              </pic:blipFill>
                              <pic:spPr bwMode="auto">
                                <a:xfrm>
                                  <a:off x="0" y="0"/>
                                  <a:ext cx="2355277" cy="1861943"/>
                                </a:xfrm>
                                <a:prstGeom prst="rect">
                                  <a:avLst/>
                                </a:prstGeom>
                                <a:noFill/>
                                <a:ln w="9525">
                                  <a:noFill/>
                                  <a:miter lim="800000"/>
                                  <a:headEnd/>
                                  <a:tailEnd/>
                                </a:ln>
                              </pic:spPr>
                            </pic:pic>
                          </a:graphicData>
                        </a:graphic>
                      </wp:inline>
                    </w:drawing>
                  </w:r>
                </w:p>
              </w:tc>
              <w:tc>
                <w:tcPr>
                  <w:tcW w:w="2527" w:type="pct"/>
                  <w:vAlign w:val="center"/>
                </w:tcPr>
                <w:p w:rsidR="00C66097" w:rsidRDefault="00C66097" w:rsidP="001A7E73">
                  <w:pPr>
                    <w:pStyle w:val="ListParagraph"/>
                    <w:spacing w:after="0"/>
                    <w:ind w:left="0"/>
                    <w:jc w:val="center"/>
                    <w:rPr>
                      <w:noProof/>
                      <w:lang w:eastAsia="en-AU"/>
                    </w:rPr>
                  </w:pPr>
                  <w:r>
                    <w:rPr>
                      <w:noProof/>
                      <w:lang w:eastAsia="en-AU"/>
                    </w:rPr>
                    <w:drawing>
                      <wp:inline distT="0" distB="0" distL="0" distR="0">
                        <wp:extent cx="2520000" cy="1890000"/>
                        <wp:effectExtent l="19050" t="0" r="0" b="0"/>
                        <wp:docPr id="10114" name="Picture 10" descr="\\pvnt01flpr01\user$\A18820\Profile\Desktop\101_PANA\P1010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pvnt01flpr01\user$\A18820\Profile\Desktop\101_PANA\P1010051.JPG"/>
                                <pic:cNvPicPr>
                                  <a:picLocks noChangeAspect="1" noChangeArrowheads="1"/>
                                </pic:cNvPicPr>
                              </pic:nvPicPr>
                              <pic:blipFill>
                                <a:blip r:embed="rId45" cstate="screen"/>
                                <a:srcRect/>
                                <a:stretch>
                                  <a:fillRect/>
                                </a:stretch>
                              </pic:blipFill>
                              <pic:spPr bwMode="auto">
                                <a:xfrm>
                                  <a:off x="0" y="0"/>
                                  <a:ext cx="2520000" cy="1890000"/>
                                </a:xfrm>
                                <a:prstGeom prst="rect">
                                  <a:avLst/>
                                </a:prstGeom>
                                <a:noFill/>
                                <a:ln w="9525">
                                  <a:noFill/>
                                  <a:miter lim="800000"/>
                                  <a:headEnd/>
                                  <a:tailEnd/>
                                </a:ln>
                              </pic:spPr>
                            </pic:pic>
                          </a:graphicData>
                        </a:graphic>
                      </wp:inline>
                    </w:drawing>
                  </w:r>
                </w:p>
              </w:tc>
            </w:tr>
          </w:tbl>
          <w:p w:rsidR="00C66097" w:rsidRDefault="00C66097" w:rsidP="001A7E73">
            <w:pPr>
              <w:pStyle w:val="ListParagraph"/>
              <w:numPr>
                <w:ilvl w:val="0"/>
                <w:numId w:val="0"/>
              </w:numPr>
              <w:spacing w:after="0"/>
              <w:jc w:val="center"/>
            </w:pPr>
          </w:p>
        </w:tc>
        <w:tc>
          <w:tcPr>
            <w:tcW w:w="130" w:type="pct"/>
            <w:vAlign w:val="center"/>
          </w:tcPr>
          <w:p w:rsidR="00C66097" w:rsidRDefault="00C66097" w:rsidP="001A7E73">
            <w:pPr>
              <w:pStyle w:val="ListParagraph"/>
              <w:spacing w:after="0"/>
              <w:ind w:left="0"/>
              <w:jc w:val="center"/>
            </w:pPr>
          </w:p>
        </w:tc>
      </w:tr>
      <w:tr w:rsidR="00C66097" w:rsidTr="001A7E73">
        <w:tc>
          <w:tcPr>
            <w:tcW w:w="4870" w:type="pct"/>
            <w:vAlign w:val="center"/>
          </w:tcPr>
          <w:p w:rsidR="00C66097" w:rsidRDefault="00C66097" w:rsidP="001A7E73">
            <w:pPr>
              <w:pStyle w:val="ListParagraph"/>
              <w:numPr>
                <w:ilvl w:val="0"/>
                <w:numId w:val="0"/>
              </w:numPr>
              <w:spacing w:after="0"/>
              <w:rPr>
                <w:noProof/>
                <w:lang w:eastAsia="en-AU"/>
              </w:rPr>
            </w:pPr>
          </w:p>
        </w:tc>
        <w:tc>
          <w:tcPr>
            <w:tcW w:w="130" w:type="pct"/>
            <w:vAlign w:val="center"/>
          </w:tcPr>
          <w:p w:rsidR="00C66097" w:rsidRDefault="00C66097" w:rsidP="001A7E73">
            <w:pPr>
              <w:pStyle w:val="ListParagraph"/>
              <w:spacing w:after="0"/>
              <w:ind w:left="0"/>
              <w:jc w:val="center"/>
              <w:rPr>
                <w:noProof/>
                <w:lang w:eastAsia="en-AU"/>
              </w:rPr>
            </w:pPr>
          </w:p>
        </w:tc>
      </w:tr>
    </w:tbl>
    <w:p w:rsidR="007B770F" w:rsidRDefault="00C66097" w:rsidP="001A7E73">
      <w:pPr>
        <w:pStyle w:val="figurecaption"/>
        <w:spacing w:after="120"/>
      </w:pPr>
      <w:bookmarkStart w:id="89" w:name="_Ref401829797"/>
      <w:r w:rsidRPr="00A00506">
        <w:rPr>
          <w:b/>
          <w:bCs/>
          <w:lang w:val="en-US"/>
        </w:rPr>
        <w:t xml:space="preserve">Figure </w:t>
      </w:r>
      <w:bookmarkEnd w:id="89"/>
      <w:proofErr w:type="gramStart"/>
      <w:r>
        <w:rPr>
          <w:b/>
          <w:bCs/>
          <w:lang w:val="en-US"/>
        </w:rPr>
        <w:t>9</w:t>
      </w:r>
      <w:r w:rsidRPr="007E2FE9">
        <w:t xml:space="preserve">  </w:t>
      </w:r>
      <w:r>
        <w:t>Orange</w:t>
      </w:r>
      <w:proofErr w:type="gramEnd"/>
      <w:r>
        <w:t xml:space="preserve"> flocculant at GCT2RST (upper frames) and salt crystals along the GCT2 tributary (lower frames) on 2 July 2014.</w:t>
      </w:r>
    </w:p>
    <w:tbl>
      <w:tblPr>
        <w:tblStyle w:val="TableGrid"/>
        <w:tblW w:w="1666"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201"/>
        <w:gridCol w:w="3456"/>
      </w:tblGrid>
      <w:tr w:rsidR="001A7E73" w:rsidTr="001A7E73">
        <w:trPr>
          <w:trHeight w:val="3597"/>
        </w:trPr>
        <w:tc>
          <w:tcPr>
            <w:tcW w:w="2473" w:type="pct"/>
            <w:vAlign w:val="center"/>
          </w:tcPr>
          <w:p w:rsidR="001A7E73" w:rsidRDefault="001A7E73" w:rsidP="001A7E73">
            <w:pPr>
              <w:pStyle w:val="ListParagraph"/>
              <w:numPr>
                <w:ilvl w:val="0"/>
                <w:numId w:val="0"/>
              </w:numPr>
              <w:spacing w:after="0"/>
            </w:pPr>
            <w:r>
              <w:br w:type="page"/>
            </w:r>
            <w:r>
              <w:rPr>
                <w:noProof/>
                <w:lang w:eastAsia="en-AU"/>
              </w:rPr>
              <w:drawing>
                <wp:inline distT="0" distB="0" distL="0" distR="0">
                  <wp:extent cx="1552575" cy="2067239"/>
                  <wp:effectExtent l="19050" t="0" r="9525" b="0"/>
                  <wp:docPr id="6" name="Picture 13" descr="\\pvnt01flpr01\user$\A02156\Profile\Desktop\GCT2 Photos\IMG_57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vnt01flpr01\user$\A02156\Profile\Desktop\GCT2 Photos\IMG_5739.JPG"/>
                          <pic:cNvPicPr>
                            <a:picLocks noChangeAspect="1" noChangeArrowheads="1"/>
                          </pic:cNvPicPr>
                        </pic:nvPicPr>
                        <pic:blipFill>
                          <a:blip r:embed="rId46" cstate="screen"/>
                          <a:srcRect/>
                          <a:stretch>
                            <a:fillRect/>
                          </a:stretch>
                        </pic:blipFill>
                        <pic:spPr bwMode="auto">
                          <a:xfrm>
                            <a:off x="0" y="0"/>
                            <a:ext cx="1557082" cy="2073240"/>
                          </a:xfrm>
                          <a:prstGeom prst="rect">
                            <a:avLst/>
                          </a:prstGeom>
                          <a:noFill/>
                          <a:ln w="9525">
                            <a:noFill/>
                            <a:miter lim="800000"/>
                            <a:headEnd/>
                            <a:tailEnd/>
                          </a:ln>
                        </pic:spPr>
                      </pic:pic>
                    </a:graphicData>
                  </a:graphic>
                </wp:inline>
              </w:drawing>
            </w:r>
          </w:p>
        </w:tc>
        <w:tc>
          <w:tcPr>
            <w:tcW w:w="2527" w:type="pct"/>
            <w:vAlign w:val="center"/>
          </w:tcPr>
          <w:p w:rsidR="001A7E73" w:rsidRDefault="001A7E73" w:rsidP="001A7E73">
            <w:pPr>
              <w:pStyle w:val="ListParagraph"/>
              <w:numPr>
                <w:ilvl w:val="0"/>
                <w:numId w:val="0"/>
              </w:numPr>
              <w:spacing w:after="0"/>
            </w:pPr>
            <w:r>
              <w:rPr>
                <w:noProof/>
                <w:lang w:eastAsia="en-AU"/>
              </w:rPr>
              <w:drawing>
                <wp:inline distT="0" distB="0" distL="0" distR="0">
                  <wp:extent cx="1573438" cy="2095500"/>
                  <wp:effectExtent l="19050" t="0" r="7712" b="0"/>
                  <wp:docPr id="7" name="Picture 9" descr="\\pvnt01flpr01\user$\A02156\Profile\Desktop\GCT2 Photos\IMG_57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vnt01flpr01\user$\A02156\Profile\Desktop\GCT2 Photos\IMG_5748.JPG"/>
                          <pic:cNvPicPr>
                            <a:picLocks noChangeAspect="1" noChangeArrowheads="1"/>
                          </pic:cNvPicPr>
                        </pic:nvPicPr>
                        <pic:blipFill>
                          <a:blip r:embed="rId47" cstate="screen"/>
                          <a:srcRect/>
                          <a:stretch>
                            <a:fillRect/>
                          </a:stretch>
                        </pic:blipFill>
                        <pic:spPr bwMode="auto">
                          <a:xfrm flipH="1">
                            <a:off x="0" y="0"/>
                            <a:ext cx="1580265" cy="2104592"/>
                          </a:xfrm>
                          <a:prstGeom prst="rect">
                            <a:avLst/>
                          </a:prstGeom>
                          <a:noFill/>
                          <a:ln w="9525">
                            <a:noFill/>
                            <a:miter lim="800000"/>
                            <a:headEnd/>
                            <a:tailEnd/>
                          </a:ln>
                        </pic:spPr>
                      </pic:pic>
                    </a:graphicData>
                  </a:graphic>
                </wp:inline>
              </w:drawing>
            </w:r>
          </w:p>
        </w:tc>
      </w:tr>
      <w:tr w:rsidR="001A7E73" w:rsidTr="001A7E73">
        <w:trPr>
          <w:trHeight w:val="2897"/>
        </w:trPr>
        <w:tc>
          <w:tcPr>
            <w:tcW w:w="2473" w:type="pct"/>
            <w:vAlign w:val="center"/>
          </w:tcPr>
          <w:p w:rsidR="001A7E73" w:rsidRDefault="001A7E73" w:rsidP="001A7E73">
            <w:pPr>
              <w:pStyle w:val="ListParagraph"/>
              <w:numPr>
                <w:ilvl w:val="0"/>
                <w:numId w:val="0"/>
              </w:numPr>
              <w:spacing w:after="0"/>
              <w:rPr>
                <w:noProof/>
                <w:lang w:eastAsia="en-AU"/>
              </w:rPr>
            </w:pPr>
            <w:r>
              <w:rPr>
                <w:noProof/>
                <w:lang w:eastAsia="en-AU"/>
              </w:rPr>
              <w:drawing>
                <wp:inline distT="0" distB="0" distL="0" distR="0">
                  <wp:extent cx="1876425" cy="1843686"/>
                  <wp:effectExtent l="19050" t="0" r="0" b="0"/>
                  <wp:docPr id="8" name="Picture 15" descr="\\pvnt01flpr01\user$\A02156\Profile\Desktop\GCT2 Photos\IMG_57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pvnt01flpr01\user$\A02156\Profile\Desktop\GCT2 Photos\IMG_5747.JPG"/>
                          <pic:cNvPicPr>
                            <a:picLocks noChangeAspect="1" noChangeArrowheads="1"/>
                          </pic:cNvPicPr>
                        </pic:nvPicPr>
                        <pic:blipFill>
                          <a:blip r:embed="rId48" cstate="screen"/>
                          <a:srcRect/>
                          <a:stretch>
                            <a:fillRect/>
                          </a:stretch>
                        </pic:blipFill>
                        <pic:spPr bwMode="auto">
                          <a:xfrm>
                            <a:off x="0" y="0"/>
                            <a:ext cx="1879613" cy="1846819"/>
                          </a:xfrm>
                          <a:prstGeom prst="rect">
                            <a:avLst/>
                          </a:prstGeom>
                          <a:noFill/>
                          <a:ln w="9525">
                            <a:noFill/>
                            <a:miter lim="800000"/>
                            <a:headEnd/>
                            <a:tailEnd/>
                          </a:ln>
                        </pic:spPr>
                      </pic:pic>
                    </a:graphicData>
                  </a:graphic>
                </wp:inline>
              </w:drawing>
            </w:r>
          </w:p>
        </w:tc>
        <w:tc>
          <w:tcPr>
            <w:tcW w:w="2527" w:type="pct"/>
            <w:vAlign w:val="center"/>
          </w:tcPr>
          <w:p w:rsidR="001A7E73" w:rsidRPr="0012790A" w:rsidRDefault="001A7E73" w:rsidP="001A7E73">
            <w:pPr>
              <w:pStyle w:val="ListParagraph"/>
              <w:numPr>
                <w:ilvl w:val="0"/>
                <w:numId w:val="0"/>
              </w:numPr>
              <w:spacing w:after="0"/>
            </w:pPr>
            <w:r>
              <w:rPr>
                <w:noProof/>
                <w:lang w:eastAsia="en-AU"/>
              </w:rPr>
              <w:drawing>
                <wp:inline distT="0" distB="0" distL="0" distR="0">
                  <wp:extent cx="2038350" cy="1732280"/>
                  <wp:effectExtent l="19050" t="0" r="0" b="0"/>
                  <wp:docPr id="9" name="Picture 17" descr="\\pvnt01flpr01\user$\A02156\Profile\Desktop\GCT2 Photos\IMG_57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pvnt01flpr01\user$\A02156\Profile\Desktop\GCT2 Photos\IMG_5742.JPG"/>
                          <pic:cNvPicPr>
                            <a:picLocks noChangeAspect="1" noChangeArrowheads="1"/>
                          </pic:cNvPicPr>
                        </pic:nvPicPr>
                        <pic:blipFill>
                          <a:blip r:embed="rId49" cstate="screen"/>
                          <a:srcRect/>
                          <a:stretch>
                            <a:fillRect/>
                          </a:stretch>
                        </pic:blipFill>
                        <pic:spPr bwMode="auto">
                          <a:xfrm>
                            <a:off x="0" y="0"/>
                            <a:ext cx="2044027" cy="1737105"/>
                          </a:xfrm>
                          <a:prstGeom prst="rect">
                            <a:avLst/>
                          </a:prstGeom>
                          <a:noFill/>
                          <a:ln w="9525">
                            <a:noFill/>
                            <a:miter lim="800000"/>
                            <a:headEnd/>
                            <a:tailEnd/>
                          </a:ln>
                        </pic:spPr>
                      </pic:pic>
                    </a:graphicData>
                  </a:graphic>
                </wp:inline>
              </w:drawing>
            </w:r>
          </w:p>
        </w:tc>
      </w:tr>
    </w:tbl>
    <w:p w:rsidR="001A7E73" w:rsidRPr="007E2FE9" w:rsidRDefault="001A7E73" w:rsidP="001A7E73">
      <w:pPr>
        <w:pStyle w:val="figurecaption"/>
      </w:pPr>
      <w:bookmarkStart w:id="90" w:name="_Ref401829800"/>
      <w:r w:rsidRPr="00A00506">
        <w:rPr>
          <w:b/>
          <w:bCs/>
          <w:lang w:val="en-US"/>
        </w:rPr>
        <w:t xml:space="preserve">Figure </w:t>
      </w:r>
      <w:bookmarkEnd w:id="90"/>
      <w:proofErr w:type="gramStart"/>
      <w:r>
        <w:rPr>
          <w:b/>
          <w:bCs/>
          <w:lang w:val="en-US"/>
        </w:rPr>
        <w:t>10</w:t>
      </w:r>
      <w:r w:rsidRPr="007E2FE9">
        <w:t xml:space="preserve">  </w:t>
      </w:r>
      <w:r>
        <w:t>Salt</w:t>
      </w:r>
      <w:proofErr w:type="gramEnd"/>
      <w:r>
        <w:t xml:space="preserve"> crystals and orange flocculant along the GCT2 tributary on 19 August 2014.</w:t>
      </w:r>
    </w:p>
    <w:p w:rsidR="001A7E73" w:rsidRPr="001A7E73" w:rsidRDefault="001A7E73" w:rsidP="001A7E73">
      <w:pPr>
        <w:sectPr w:rsidR="001A7E73" w:rsidRPr="001A7E73" w:rsidSect="004336E9">
          <w:pgSz w:w="11906" w:h="16838" w:code="9"/>
          <w:pgMar w:top="1440" w:right="1800" w:bottom="1440" w:left="1800" w:header="1080" w:footer="835" w:gutter="0"/>
          <w:cols w:space="360"/>
          <w:noEndnote/>
        </w:sectPr>
      </w:pPr>
    </w:p>
    <w:p w:rsidR="00C66097" w:rsidRDefault="00C66097" w:rsidP="00C66097">
      <w:pPr>
        <w:pStyle w:val="figurecaption"/>
      </w:pPr>
    </w:p>
    <w:p w:rsidR="00C66097" w:rsidRDefault="00C66097" w:rsidP="00C66097">
      <w:pPr>
        <w:jc w:val="center"/>
        <w:rPr>
          <w:lang w:val="en-US"/>
        </w:rPr>
      </w:pPr>
      <w:r>
        <w:rPr>
          <w:noProof/>
          <w:lang w:eastAsia="en-AU"/>
        </w:rPr>
        <w:drawing>
          <wp:inline distT="0" distB="0" distL="0" distR="0">
            <wp:extent cx="4842314" cy="4494362"/>
            <wp:effectExtent l="19050" t="0" r="0" b="0"/>
            <wp:docPr id="10119" name="Picture 2" descr="C:\Users\a02156\AppData\Local\Microsoft\Windows\Temporary Internet Files\Content.Outlook\608XCGHI\Salt_Exte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02156\AppData\Local\Microsoft\Windows\Temporary Internet Files\Content.Outlook\608XCGHI\Salt_Extent.jpg"/>
                    <pic:cNvPicPr>
                      <a:picLocks noChangeAspect="1" noChangeArrowheads="1"/>
                    </pic:cNvPicPr>
                  </pic:nvPicPr>
                  <pic:blipFill>
                    <a:blip r:embed="rId50" cstate="screen"/>
                    <a:srcRect/>
                    <a:stretch>
                      <a:fillRect/>
                    </a:stretch>
                  </pic:blipFill>
                  <pic:spPr bwMode="auto">
                    <a:xfrm>
                      <a:off x="0" y="0"/>
                      <a:ext cx="4843576" cy="4495533"/>
                    </a:xfrm>
                    <a:prstGeom prst="rect">
                      <a:avLst/>
                    </a:prstGeom>
                    <a:noFill/>
                    <a:ln w="9525">
                      <a:noFill/>
                      <a:miter lim="800000"/>
                      <a:headEnd/>
                      <a:tailEnd/>
                    </a:ln>
                  </pic:spPr>
                </pic:pic>
              </a:graphicData>
            </a:graphic>
          </wp:inline>
        </w:drawing>
      </w:r>
    </w:p>
    <w:p w:rsidR="00C66097" w:rsidRPr="007E2FE9" w:rsidRDefault="00C66097" w:rsidP="00C66097">
      <w:pPr>
        <w:pStyle w:val="figurecaption"/>
      </w:pPr>
      <w:bookmarkStart w:id="91" w:name="_Ref402184329"/>
      <w:r w:rsidRPr="00A00506">
        <w:rPr>
          <w:b/>
          <w:bCs/>
          <w:lang w:val="en-US"/>
        </w:rPr>
        <w:t xml:space="preserve">Figure </w:t>
      </w:r>
      <w:bookmarkEnd w:id="91"/>
      <w:proofErr w:type="gramStart"/>
      <w:r>
        <w:rPr>
          <w:b/>
          <w:bCs/>
          <w:lang w:val="en-US"/>
        </w:rPr>
        <w:t>11</w:t>
      </w:r>
      <w:r w:rsidRPr="007E2FE9">
        <w:t xml:space="preserve">  </w:t>
      </w:r>
      <w:r>
        <w:t>Spatial</w:t>
      </w:r>
      <w:proofErr w:type="gramEnd"/>
      <w:r>
        <w:t xml:space="preserve"> extent of salt formation along the GCT2 tributary, observed on 19 August 2014.</w:t>
      </w:r>
    </w:p>
    <w:p w:rsidR="00C66097" w:rsidRDefault="00C66097" w:rsidP="00C66097">
      <w:pPr>
        <w:rPr>
          <w:lang w:val="en-US"/>
        </w:rPr>
      </w:pPr>
      <w:r>
        <w:rPr>
          <w:lang w:val="en-US"/>
        </w:rPr>
        <w:t>The deterioration in water quality along the GCT2 tributary has also been reflected in ERA’s surface water monitoring sites located in its flow path, GCT2 and TWWS (</w:t>
      </w:r>
      <w:r w:rsidR="005813E2">
        <w:t>Figure 1)</w:t>
      </w:r>
      <w:r>
        <w:rPr>
          <w:lang w:val="en-US"/>
        </w:rPr>
        <w:t xml:space="preserve">. The maximum EC levels measured over the last four wet seasons at GCT2, TWWS and at key monitoring sties in Gulungul Creek are compared in </w:t>
      </w:r>
      <w:r w:rsidR="005813E2">
        <w:t>Table 2</w:t>
      </w:r>
      <w:r>
        <w:rPr>
          <w:lang w:val="en-US"/>
        </w:rPr>
        <w:t>.</w:t>
      </w:r>
    </w:p>
    <w:p w:rsidR="00C66097" w:rsidRPr="002E5D29" w:rsidRDefault="00C66097" w:rsidP="00C66097">
      <w:pPr>
        <w:pStyle w:val="tablecaption"/>
        <w:rPr>
          <w:lang w:val="en-US"/>
        </w:rPr>
      </w:pPr>
      <w:bookmarkStart w:id="92" w:name="_Ref402190955"/>
      <w:r w:rsidRPr="00A00506">
        <w:rPr>
          <w:b/>
          <w:bCs/>
          <w:lang w:val="en-US"/>
        </w:rPr>
        <w:t xml:space="preserve">Table </w:t>
      </w:r>
      <w:bookmarkEnd w:id="92"/>
      <w:proofErr w:type="gramStart"/>
      <w:r>
        <w:rPr>
          <w:b/>
          <w:bCs/>
          <w:lang w:val="en-US"/>
        </w:rPr>
        <w:t>2</w:t>
      </w:r>
      <w:r w:rsidRPr="002E5D29">
        <w:rPr>
          <w:lang w:val="en-US"/>
        </w:rPr>
        <w:t xml:space="preserve">  </w:t>
      </w:r>
      <w:r>
        <w:rPr>
          <w:lang w:val="en-US"/>
        </w:rPr>
        <w:t>The</w:t>
      </w:r>
      <w:proofErr w:type="gramEnd"/>
      <w:r>
        <w:rPr>
          <w:lang w:val="en-US"/>
        </w:rPr>
        <w:t xml:space="preserve"> maximum EC recorded at ERA’s monitoring points along the GCT2 tributary (GCT2 and TWWS) and at key monitoring points in Gulungul Creek (GCUS, GCDS and GCLB) over the past 4 wet seasons.</w:t>
      </w:r>
    </w:p>
    <w:tbl>
      <w:tblPr>
        <w:tblStyle w:val="TableGrid"/>
        <w:tblW w:w="0" w:type="auto"/>
        <w:jc w:val="center"/>
        <w:tblBorders>
          <w:left w:val="none" w:sz="0" w:space="0" w:color="auto"/>
          <w:right w:val="none" w:sz="0" w:space="0" w:color="auto"/>
          <w:insideH w:val="none" w:sz="0" w:space="0" w:color="auto"/>
          <w:insideV w:val="none" w:sz="0" w:space="0" w:color="auto"/>
        </w:tblBorders>
        <w:tblLook w:val="04A0"/>
      </w:tblPr>
      <w:tblGrid>
        <w:gridCol w:w="1065"/>
        <w:gridCol w:w="1065"/>
        <w:gridCol w:w="1065"/>
        <w:gridCol w:w="1308"/>
        <w:gridCol w:w="822"/>
      </w:tblGrid>
      <w:tr w:rsidR="00C66097" w:rsidRPr="002E5D29" w:rsidTr="00C66097">
        <w:trPr>
          <w:jc w:val="center"/>
        </w:trPr>
        <w:tc>
          <w:tcPr>
            <w:tcW w:w="1065" w:type="dxa"/>
            <w:tcBorders>
              <w:top w:val="single" w:sz="4" w:space="0" w:color="auto"/>
              <w:bottom w:val="single" w:sz="4" w:space="0" w:color="auto"/>
            </w:tcBorders>
          </w:tcPr>
          <w:p w:rsidR="00C66097" w:rsidRPr="002E5D29" w:rsidRDefault="00C66097" w:rsidP="00C66097">
            <w:pPr>
              <w:pStyle w:val="table1"/>
              <w:rPr>
                <w:b/>
              </w:rPr>
            </w:pPr>
            <w:r>
              <w:rPr>
                <w:b/>
              </w:rPr>
              <w:t>Site</w:t>
            </w:r>
          </w:p>
        </w:tc>
        <w:tc>
          <w:tcPr>
            <w:tcW w:w="1065" w:type="dxa"/>
            <w:tcBorders>
              <w:top w:val="single" w:sz="4" w:space="0" w:color="auto"/>
              <w:bottom w:val="single" w:sz="4" w:space="0" w:color="auto"/>
            </w:tcBorders>
          </w:tcPr>
          <w:p w:rsidR="00C66097" w:rsidRPr="002E5D29" w:rsidRDefault="00C66097" w:rsidP="00C66097">
            <w:pPr>
              <w:pStyle w:val="table1"/>
              <w:rPr>
                <w:b/>
              </w:rPr>
            </w:pPr>
            <w:r>
              <w:rPr>
                <w:b/>
              </w:rPr>
              <w:t>2010-11</w:t>
            </w:r>
          </w:p>
        </w:tc>
        <w:tc>
          <w:tcPr>
            <w:tcW w:w="1065" w:type="dxa"/>
            <w:tcBorders>
              <w:top w:val="single" w:sz="4" w:space="0" w:color="auto"/>
              <w:bottom w:val="single" w:sz="4" w:space="0" w:color="auto"/>
            </w:tcBorders>
          </w:tcPr>
          <w:p w:rsidR="00C66097" w:rsidRPr="002E5D29" w:rsidRDefault="00C66097" w:rsidP="00C66097">
            <w:pPr>
              <w:pStyle w:val="table1"/>
              <w:rPr>
                <w:b/>
              </w:rPr>
            </w:pPr>
            <w:r>
              <w:rPr>
                <w:b/>
              </w:rPr>
              <w:t>2011-12</w:t>
            </w:r>
          </w:p>
        </w:tc>
        <w:tc>
          <w:tcPr>
            <w:tcW w:w="1308" w:type="dxa"/>
            <w:tcBorders>
              <w:top w:val="single" w:sz="4" w:space="0" w:color="auto"/>
              <w:bottom w:val="single" w:sz="4" w:space="0" w:color="auto"/>
            </w:tcBorders>
          </w:tcPr>
          <w:p w:rsidR="00C66097" w:rsidRPr="002E5D29" w:rsidRDefault="00C66097" w:rsidP="00C66097">
            <w:pPr>
              <w:pStyle w:val="table1"/>
              <w:rPr>
                <w:b/>
              </w:rPr>
            </w:pPr>
            <w:r>
              <w:rPr>
                <w:b/>
              </w:rPr>
              <w:t>2012-13</w:t>
            </w:r>
          </w:p>
        </w:tc>
        <w:tc>
          <w:tcPr>
            <w:tcW w:w="822" w:type="dxa"/>
            <w:tcBorders>
              <w:top w:val="single" w:sz="4" w:space="0" w:color="auto"/>
              <w:bottom w:val="single" w:sz="4" w:space="0" w:color="auto"/>
            </w:tcBorders>
          </w:tcPr>
          <w:p w:rsidR="00C66097" w:rsidRPr="002E5D29" w:rsidRDefault="00C66097" w:rsidP="00C66097">
            <w:pPr>
              <w:pStyle w:val="table1"/>
              <w:rPr>
                <w:b/>
              </w:rPr>
            </w:pPr>
            <w:r>
              <w:rPr>
                <w:b/>
              </w:rPr>
              <w:t>2013/14</w:t>
            </w:r>
          </w:p>
        </w:tc>
      </w:tr>
      <w:tr w:rsidR="00C66097" w:rsidRPr="002E5D29" w:rsidTr="00C66097">
        <w:trPr>
          <w:jc w:val="center"/>
        </w:trPr>
        <w:tc>
          <w:tcPr>
            <w:tcW w:w="1065" w:type="dxa"/>
            <w:tcBorders>
              <w:top w:val="single" w:sz="4" w:space="0" w:color="auto"/>
            </w:tcBorders>
          </w:tcPr>
          <w:p w:rsidR="00C66097" w:rsidRPr="002E5D29" w:rsidRDefault="00C66097" w:rsidP="00C66097">
            <w:pPr>
              <w:pStyle w:val="table1"/>
            </w:pPr>
            <w:r>
              <w:t>TWWS</w:t>
            </w:r>
            <w:r>
              <w:rPr>
                <w:snapToGrid w:val="0"/>
                <w:color w:val="000000"/>
                <w:position w:val="4"/>
                <w:sz w:val="11"/>
                <w:szCs w:val="0"/>
                <w:u w:color="000000"/>
              </w:rPr>
              <w:t>1</w:t>
            </w:r>
          </w:p>
        </w:tc>
        <w:tc>
          <w:tcPr>
            <w:tcW w:w="1065" w:type="dxa"/>
            <w:tcBorders>
              <w:top w:val="single" w:sz="4" w:space="0" w:color="auto"/>
            </w:tcBorders>
          </w:tcPr>
          <w:p w:rsidR="00C66097" w:rsidRPr="002E5D29" w:rsidRDefault="00C66097" w:rsidP="00C66097">
            <w:pPr>
              <w:pStyle w:val="table1"/>
            </w:pPr>
            <w:r>
              <w:t>N/A</w:t>
            </w:r>
          </w:p>
        </w:tc>
        <w:tc>
          <w:tcPr>
            <w:tcW w:w="1065" w:type="dxa"/>
            <w:tcBorders>
              <w:top w:val="single" w:sz="4" w:space="0" w:color="auto"/>
            </w:tcBorders>
          </w:tcPr>
          <w:p w:rsidR="00C66097" w:rsidRPr="002E5D29" w:rsidRDefault="00C66097" w:rsidP="00C66097">
            <w:pPr>
              <w:pStyle w:val="table1"/>
            </w:pPr>
            <w:r>
              <w:t>7,400</w:t>
            </w:r>
          </w:p>
        </w:tc>
        <w:tc>
          <w:tcPr>
            <w:tcW w:w="1308" w:type="dxa"/>
            <w:tcBorders>
              <w:top w:val="single" w:sz="4" w:space="0" w:color="auto"/>
            </w:tcBorders>
          </w:tcPr>
          <w:p w:rsidR="00C66097" w:rsidRPr="002E5D29" w:rsidRDefault="00C66097" w:rsidP="00C66097">
            <w:pPr>
              <w:pStyle w:val="table1"/>
            </w:pPr>
            <w:r>
              <w:t>9,150</w:t>
            </w:r>
          </w:p>
        </w:tc>
        <w:tc>
          <w:tcPr>
            <w:tcW w:w="822" w:type="dxa"/>
            <w:tcBorders>
              <w:top w:val="single" w:sz="4" w:space="0" w:color="auto"/>
            </w:tcBorders>
          </w:tcPr>
          <w:p w:rsidR="00C66097" w:rsidRPr="002E5D29" w:rsidRDefault="00C66097" w:rsidP="00C66097">
            <w:pPr>
              <w:pStyle w:val="table1"/>
            </w:pPr>
            <w:r>
              <w:t>12,950</w:t>
            </w:r>
          </w:p>
        </w:tc>
      </w:tr>
      <w:tr w:rsidR="00C66097" w:rsidRPr="002E5D29" w:rsidTr="00C66097">
        <w:trPr>
          <w:jc w:val="center"/>
        </w:trPr>
        <w:tc>
          <w:tcPr>
            <w:tcW w:w="1065" w:type="dxa"/>
          </w:tcPr>
          <w:p w:rsidR="00C66097" w:rsidRPr="002E5D29" w:rsidRDefault="00C66097" w:rsidP="00C66097">
            <w:pPr>
              <w:pStyle w:val="table1"/>
            </w:pPr>
            <w:r>
              <w:t>GCT2</w:t>
            </w:r>
          </w:p>
        </w:tc>
        <w:tc>
          <w:tcPr>
            <w:tcW w:w="1065" w:type="dxa"/>
          </w:tcPr>
          <w:p w:rsidR="00C66097" w:rsidRPr="002E5D29" w:rsidRDefault="00C66097" w:rsidP="00C66097">
            <w:pPr>
              <w:pStyle w:val="table1"/>
            </w:pPr>
            <w:r>
              <w:t>2,000</w:t>
            </w:r>
          </w:p>
        </w:tc>
        <w:tc>
          <w:tcPr>
            <w:tcW w:w="1065" w:type="dxa"/>
          </w:tcPr>
          <w:p w:rsidR="00C66097" w:rsidRPr="002E5D29" w:rsidRDefault="00C66097" w:rsidP="00C66097">
            <w:pPr>
              <w:pStyle w:val="table1"/>
            </w:pPr>
            <w:r>
              <w:t>2,400</w:t>
            </w:r>
          </w:p>
        </w:tc>
        <w:tc>
          <w:tcPr>
            <w:tcW w:w="1308" w:type="dxa"/>
          </w:tcPr>
          <w:p w:rsidR="00C66097" w:rsidRPr="002E5D29" w:rsidRDefault="00C66097" w:rsidP="00C66097">
            <w:pPr>
              <w:pStyle w:val="table1"/>
            </w:pPr>
            <w:r>
              <w:t>4,600</w:t>
            </w:r>
          </w:p>
        </w:tc>
        <w:tc>
          <w:tcPr>
            <w:tcW w:w="822" w:type="dxa"/>
          </w:tcPr>
          <w:p w:rsidR="00C66097" w:rsidRPr="002E5D29" w:rsidRDefault="00C66097" w:rsidP="00C66097">
            <w:pPr>
              <w:pStyle w:val="table1"/>
            </w:pPr>
            <w:r>
              <w:t>4,800</w:t>
            </w:r>
          </w:p>
        </w:tc>
      </w:tr>
      <w:tr w:rsidR="00C66097" w:rsidRPr="002E5D29" w:rsidTr="00C66097">
        <w:trPr>
          <w:jc w:val="center"/>
        </w:trPr>
        <w:tc>
          <w:tcPr>
            <w:tcW w:w="1065" w:type="dxa"/>
          </w:tcPr>
          <w:p w:rsidR="00C66097" w:rsidRPr="002E5D29" w:rsidRDefault="00C66097" w:rsidP="00C66097">
            <w:pPr>
              <w:pStyle w:val="table1"/>
            </w:pPr>
            <w:r>
              <w:t>GCLB</w:t>
            </w:r>
          </w:p>
        </w:tc>
        <w:tc>
          <w:tcPr>
            <w:tcW w:w="1065" w:type="dxa"/>
          </w:tcPr>
          <w:p w:rsidR="00C66097" w:rsidRPr="002E5D29" w:rsidRDefault="00C66097" w:rsidP="00C66097">
            <w:pPr>
              <w:pStyle w:val="table1"/>
            </w:pPr>
            <w:r>
              <w:t>52</w:t>
            </w:r>
          </w:p>
        </w:tc>
        <w:tc>
          <w:tcPr>
            <w:tcW w:w="1065" w:type="dxa"/>
          </w:tcPr>
          <w:p w:rsidR="00C66097" w:rsidRPr="002E5D29" w:rsidRDefault="00C66097" w:rsidP="00C66097">
            <w:pPr>
              <w:pStyle w:val="table1"/>
            </w:pPr>
            <w:r>
              <w:t>56</w:t>
            </w:r>
          </w:p>
        </w:tc>
        <w:tc>
          <w:tcPr>
            <w:tcW w:w="1308" w:type="dxa"/>
          </w:tcPr>
          <w:p w:rsidR="00C66097" w:rsidRPr="002E5D29" w:rsidRDefault="00C66097" w:rsidP="00C66097">
            <w:pPr>
              <w:pStyle w:val="table1"/>
            </w:pPr>
            <w:r>
              <w:t>53</w:t>
            </w:r>
          </w:p>
        </w:tc>
        <w:tc>
          <w:tcPr>
            <w:tcW w:w="822" w:type="dxa"/>
          </w:tcPr>
          <w:p w:rsidR="00C66097" w:rsidRPr="002E5D29" w:rsidRDefault="00C66097" w:rsidP="00C66097">
            <w:pPr>
              <w:pStyle w:val="table1"/>
            </w:pPr>
            <w:r>
              <w:t>184</w:t>
            </w:r>
          </w:p>
        </w:tc>
      </w:tr>
      <w:tr w:rsidR="00C66097" w:rsidRPr="002E5D29" w:rsidTr="00C66097">
        <w:trPr>
          <w:jc w:val="center"/>
        </w:trPr>
        <w:tc>
          <w:tcPr>
            <w:tcW w:w="1065" w:type="dxa"/>
          </w:tcPr>
          <w:p w:rsidR="00C66097" w:rsidRPr="002E5D29" w:rsidRDefault="00C66097" w:rsidP="00C66097">
            <w:pPr>
              <w:pStyle w:val="table1"/>
            </w:pPr>
            <w:r>
              <w:t>GCDS</w:t>
            </w:r>
          </w:p>
        </w:tc>
        <w:tc>
          <w:tcPr>
            <w:tcW w:w="1065" w:type="dxa"/>
          </w:tcPr>
          <w:p w:rsidR="00C66097" w:rsidRPr="002E5D29" w:rsidRDefault="00C66097" w:rsidP="00C66097">
            <w:pPr>
              <w:pStyle w:val="table1"/>
            </w:pPr>
            <w:r>
              <w:t>50</w:t>
            </w:r>
          </w:p>
        </w:tc>
        <w:tc>
          <w:tcPr>
            <w:tcW w:w="1065" w:type="dxa"/>
          </w:tcPr>
          <w:p w:rsidR="00C66097" w:rsidRPr="002E5D29" w:rsidRDefault="00C66097" w:rsidP="00C66097">
            <w:pPr>
              <w:pStyle w:val="table1"/>
            </w:pPr>
            <w:r>
              <w:t>35</w:t>
            </w:r>
          </w:p>
        </w:tc>
        <w:tc>
          <w:tcPr>
            <w:tcW w:w="1308" w:type="dxa"/>
          </w:tcPr>
          <w:p w:rsidR="00C66097" w:rsidRPr="002E5D29" w:rsidRDefault="00C66097" w:rsidP="00C66097">
            <w:pPr>
              <w:pStyle w:val="table1"/>
            </w:pPr>
            <w:r>
              <w:t>46</w:t>
            </w:r>
          </w:p>
        </w:tc>
        <w:tc>
          <w:tcPr>
            <w:tcW w:w="822" w:type="dxa"/>
          </w:tcPr>
          <w:p w:rsidR="00C66097" w:rsidRPr="002E5D29" w:rsidRDefault="00C66097" w:rsidP="00C66097">
            <w:pPr>
              <w:pStyle w:val="table1"/>
            </w:pPr>
            <w:r>
              <w:t>65</w:t>
            </w:r>
          </w:p>
        </w:tc>
      </w:tr>
      <w:tr w:rsidR="00C66097" w:rsidRPr="002E5D29" w:rsidTr="00C66097">
        <w:trPr>
          <w:jc w:val="center"/>
        </w:trPr>
        <w:tc>
          <w:tcPr>
            <w:tcW w:w="1065" w:type="dxa"/>
          </w:tcPr>
          <w:p w:rsidR="00C66097" w:rsidRPr="002E5D29" w:rsidRDefault="00C66097" w:rsidP="00C66097">
            <w:pPr>
              <w:pStyle w:val="table1"/>
            </w:pPr>
            <w:r>
              <w:t>GCUS</w:t>
            </w:r>
          </w:p>
        </w:tc>
        <w:tc>
          <w:tcPr>
            <w:tcW w:w="1065" w:type="dxa"/>
          </w:tcPr>
          <w:p w:rsidR="00C66097" w:rsidRPr="002E5D29" w:rsidRDefault="00C66097" w:rsidP="00C66097">
            <w:pPr>
              <w:pStyle w:val="table1"/>
            </w:pPr>
            <w:r>
              <w:t>33</w:t>
            </w:r>
          </w:p>
        </w:tc>
        <w:tc>
          <w:tcPr>
            <w:tcW w:w="1065" w:type="dxa"/>
          </w:tcPr>
          <w:p w:rsidR="00C66097" w:rsidRPr="002E5D29" w:rsidRDefault="00C66097" w:rsidP="00C66097">
            <w:pPr>
              <w:pStyle w:val="table1"/>
            </w:pPr>
            <w:r>
              <w:t>39</w:t>
            </w:r>
          </w:p>
        </w:tc>
        <w:tc>
          <w:tcPr>
            <w:tcW w:w="1308" w:type="dxa"/>
          </w:tcPr>
          <w:p w:rsidR="00C66097" w:rsidRPr="002E5D29" w:rsidRDefault="00C66097" w:rsidP="00C66097">
            <w:pPr>
              <w:pStyle w:val="table1"/>
            </w:pPr>
            <w:r>
              <w:t>113</w:t>
            </w:r>
            <w:r>
              <w:rPr>
                <w:snapToGrid w:val="0"/>
                <w:color w:val="000000"/>
                <w:position w:val="4"/>
                <w:sz w:val="11"/>
                <w:szCs w:val="0"/>
                <w:u w:color="000000"/>
              </w:rPr>
              <w:t>2</w:t>
            </w:r>
          </w:p>
        </w:tc>
        <w:tc>
          <w:tcPr>
            <w:tcW w:w="822" w:type="dxa"/>
          </w:tcPr>
          <w:p w:rsidR="00C66097" w:rsidRPr="002E5D29" w:rsidRDefault="00C66097" w:rsidP="00C66097">
            <w:pPr>
              <w:pStyle w:val="table1"/>
            </w:pPr>
            <w:r>
              <w:t>46</w:t>
            </w:r>
          </w:p>
        </w:tc>
      </w:tr>
    </w:tbl>
    <w:p w:rsidR="00C66097" w:rsidRDefault="00C66097" w:rsidP="00C66097">
      <w:pPr>
        <w:pStyle w:val="tablenote"/>
        <w:rPr>
          <w:snapToGrid w:val="0"/>
          <w:u w:color="000000"/>
          <w:lang w:val="en-US"/>
        </w:rPr>
      </w:pPr>
      <w:r w:rsidRPr="00D746AD">
        <w:rPr>
          <w:snapToGrid w:val="0"/>
          <w:color w:val="000000"/>
          <w:position w:val="4"/>
          <w:sz w:val="12"/>
          <w:szCs w:val="0"/>
          <w:u w:color="000000"/>
          <w:lang w:val="en-US"/>
        </w:rPr>
        <w:t>1</w:t>
      </w:r>
      <w:r>
        <w:rPr>
          <w:snapToGrid w:val="0"/>
          <w:u w:color="000000"/>
          <w:lang w:val="en-US"/>
        </w:rPr>
        <w:t xml:space="preserve"> The EC in TWWS represents the maximum antecedent dry season EC measured at the site prior to the first rainfall of the season. </w:t>
      </w:r>
    </w:p>
    <w:p w:rsidR="001A7E73" w:rsidRDefault="00C66097" w:rsidP="00C66097">
      <w:pPr>
        <w:pStyle w:val="tablenote"/>
        <w:ind w:left="0" w:firstLine="0"/>
        <w:rPr>
          <w:snapToGrid w:val="0"/>
          <w:u w:color="000000"/>
          <w:lang w:val="en-US"/>
        </w:rPr>
        <w:sectPr w:rsidR="001A7E73" w:rsidSect="004336E9">
          <w:pgSz w:w="11906" w:h="16838" w:code="9"/>
          <w:pgMar w:top="1440" w:right="1800" w:bottom="1440" w:left="1800" w:header="1080" w:footer="835" w:gutter="0"/>
          <w:cols w:space="360"/>
          <w:noEndnote/>
        </w:sectPr>
      </w:pPr>
      <w:r w:rsidRPr="00D746AD">
        <w:rPr>
          <w:snapToGrid w:val="0"/>
          <w:color w:val="000000"/>
          <w:position w:val="4"/>
          <w:sz w:val="12"/>
          <w:szCs w:val="0"/>
          <w:u w:color="000000"/>
          <w:lang w:val="en-US"/>
        </w:rPr>
        <w:t>2</w:t>
      </w:r>
      <w:r w:rsidRPr="00D746AD">
        <w:rPr>
          <w:snapToGrid w:val="0"/>
          <w:u w:color="000000"/>
          <w:lang w:val="en-US"/>
        </w:rPr>
        <w:t xml:space="preserve"> The high upstream EC was caused by solutes entering Gulungul Creek from the GCT1 tributary which connects with Gulungul Creek upstream of GCUS. Salts and high EC flows have been observed in the tributary in the past; however</w:t>
      </w:r>
      <w:r>
        <w:rPr>
          <w:snapToGrid w:val="0"/>
          <w:u w:color="000000"/>
          <w:lang w:val="en-US"/>
        </w:rPr>
        <w:t>, this contamination</w:t>
      </w:r>
      <w:r w:rsidRPr="00D746AD">
        <w:rPr>
          <w:snapToGrid w:val="0"/>
          <w:u w:color="000000"/>
          <w:lang w:val="en-US"/>
        </w:rPr>
        <w:t xml:space="preserve"> is not discussed in this report. </w:t>
      </w:r>
    </w:p>
    <w:p w:rsidR="00C66097" w:rsidRPr="00D746AD" w:rsidRDefault="00C66097" w:rsidP="00C66097">
      <w:pPr>
        <w:pStyle w:val="tablenote"/>
        <w:ind w:left="0" w:firstLine="0"/>
        <w:rPr>
          <w:snapToGrid w:val="0"/>
          <w:u w:color="000000"/>
          <w:lang w:val="en-US"/>
        </w:rPr>
      </w:pPr>
    </w:p>
    <w:p w:rsidR="00C66097" w:rsidRDefault="00C66097" w:rsidP="00C66097">
      <w:pPr>
        <w:rPr>
          <w:snapToGrid w:val="0"/>
          <w:color w:val="000000"/>
          <w:szCs w:val="0"/>
          <w:u w:color="000000"/>
          <w:lang w:val="en-US"/>
        </w:rPr>
      </w:pPr>
      <w:r>
        <w:rPr>
          <w:snapToGrid w:val="0"/>
          <w:color w:val="000000"/>
          <w:szCs w:val="0"/>
          <w:u w:color="000000"/>
          <w:lang w:val="en-US"/>
        </w:rPr>
        <w:t>The pH and EC values and magnesium (Mg), calcium (Ca), sulfate, potassium (K) and sodium (Na) concentrations from the impacted monitoring sites along the GCT2 tributary (TWWS, GCT2 and GCT2ST)</w:t>
      </w:r>
      <w:r w:rsidRPr="000C0ED3">
        <w:rPr>
          <w:snapToGrid w:val="0"/>
          <w:color w:val="000000"/>
          <w:szCs w:val="0"/>
          <w:u w:color="000000"/>
          <w:lang w:val="en-US"/>
        </w:rPr>
        <w:t xml:space="preserve"> </w:t>
      </w:r>
      <w:r>
        <w:rPr>
          <w:snapToGrid w:val="0"/>
          <w:color w:val="000000"/>
          <w:szCs w:val="0"/>
          <w:u w:color="000000"/>
          <w:lang w:val="en-US"/>
        </w:rPr>
        <w:t>were ordinated using multivariate analysis techniques and plotted in multi-dimensional space, along with corresponding water quality data from key sites that might present suitable surrogates for the potential source terms (</w:t>
      </w:r>
      <w:r w:rsidR="005813E2">
        <w:t>Figure 12)</w:t>
      </w:r>
      <w:r>
        <w:rPr>
          <w:snapToGrid w:val="0"/>
          <w:color w:val="000000"/>
          <w:szCs w:val="0"/>
          <w:u w:color="000000"/>
          <w:lang w:val="en-US"/>
        </w:rPr>
        <w:t xml:space="preserve">. Process water quality measured at TDWW was used as a surrogate for TSF seepage, water quality measured at TSFS2 was used as a surrogate for rock-wall run-off, water quality measured at TSFS1 was used as a surrogate for rock-wall infiltrate and water quality measured in the GCT1 tributary was used as a surrogate for background catchment run-off. It is acknowledged that this is not an exact approach as the data used do not accurately reflect the source terms considered, however it does provide a preliminary comparison between these key sites and a coarse assessment of the potential source analogues. </w:t>
      </w:r>
    </w:p>
    <w:p w:rsidR="00FB4D42" w:rsidRPr="00FB4D42" w:rsidRDefault="00FB4D42" w:rsidP="00C66097">
      <w:pPr>
        <w:rPr>
          <w:lang w:val="en-US"/>
        </w:rPr>
      </w:pPr>
      <w:r>
        <w:rPr>
          <w:lang w:val="en-US"/>
        </w:rPr>
        <w:t>The spatial distribution of the data reflects the overall differences in the water quality based on the water quality parameters</w:t>
      </w:r>
      <w:r w:rsidRPr="00D732C1">
        <w:rPr>
          <w:szCs w:val="24"/>
          <w:lang w:val="en-US"/>
        </w:rPr>
        <w:t xml:space="preserve"> listed </w:t>
      </w:r>
      <w:r>
        <w:rPr>
          <w:lang w:val="en-US"/>
        </w:rPr>
        <w:t xml:space="preserve">above. The plot shows (i) delineation between GCT1 (inferred background), TDWW (inferred TSF seepage) and GCT2, reflecting different water quality amongst these sites; and (ii) overlap amongst TSFS1 (inferred rock-wall infiltrate), TSFS2 (inferred rock-wall runoff) and TWWS, reflecting similar water quality amongst these sites. Principal component analysis (results not shown here) matched closely the MDS plot shown in </w:t>
      </w:r>
      <w:r w:rsidR="00647730">
        <w:t>Figure12</w:t>
      </w:r>
      <w:r>
        <w:rPr>
          <w:lang w:val="en-US"/>
        </w:rPr>
        <w:t xml:space="preserve"> and indicated that pH is the key driver for the variability along the y-axis and that the major ions are the key drivers for the variability along the x-axis. In </w:t>
      </w:r>
      <w:fldSimple w:instr=" REF _Ref401926790 \h  \* MERGEFORMAT ">
        <w:r w:rsidR="00822683" w:rsidRPr="00822683">
          <w:rPr>
            <w:lang w:val="en-US"/>
          </w:rPr>
          <w:t xml:space="preserve">Figure </w:t>
        </w:r>
      </w:fldSimple>
      <w:r>
        <w:rPr>
          <w:lang w:val="en-US"/>
        </w:rPr>
        <w:t xml:space="preserve">, the GCT2 data are similar to the rock-wall data along the x-axis but are drawn downwards along the x-axis, towards the tailings data. This indicates that samples at GCT2 with lower pH resemble the (inferred) TSF seepage signature more closely than the (inferred) rock-wall signatures. The points that are circled in Figure 13 represent samples collected during the recessional flow period towards the end of the wet season. Their separation from the rest of the GCT2 data signify that there is a significant change in water quality at this time which is likely to be caused by the increasing influence of groundwater contribution to the site, and this change moves the samples in the direction of the tailings data. In order to explore potential inferred mixtures from the various source waters in multi-dimensional space, the mean of data from various multiple-site combinations were derived and the data re-ordinated with data from individual sites. These site combination data are plotted in </w:t>
      </w:r>
      <w:r w:rsidR="005813E2">
        <w:rPr>
          <w:lang w:val="en-US"/>
        </w:rPr>
        <w:t xml:space="preserve">Figure 12 </w:t>
      </w:r>
      <w:r>
        <w:rPr>
          <w:lang w:val="en-US"/>
        </w:rPr>
        <w:t xml:space="preserve">(the filled diamond symbols). </w:t>
      </w:r>
      <w:proofErr w:type="gramStart"/>
      <w:r>
        <w:rPr>
          <w:lang w:val="en-US"/>
        </w:rPr>
        <w:t>The inferred mixtures of rock-wall runoff and rock-wall infiltration waters with background catchment runoff (TSFS2 + GCT1 and TSFS1 + GCT1, respectively) plot above the GCT2 data.</w:t>
      </w:r>
      <w:proofErr w:type="gramEnd"/>
      <w:r>
        <w:rPr>
          <w:lang w:val="en-US"/>
        </w:rPr>
        <w:t xml:space="preserve"> In contrast, the inferred mixture of tailings water with background catchment runoff (TDWW + GCT1) plots closely to the left of the GCT2 data, which could indicate a TSF seepage signal at GCT2. However, simple averaging of water quality data amongst sites does not take into account either the (unknown) ratio of proportional mixing.</w:t>
      </w:r>
    </w:p>
    <w:p w:rsidR="00C66097" w:rsidRDefault="006B5A61" w:rsidP="00C66097">
      <w:pPr>
        <w:rPr>
          <w:snapToGrid w:val="0"/>
          <w:color w:val="000000"/>
          <w:szCs w:val="0"/>
          <w:u w:color="000000"/>
          <w:lang w:val="en-US"/>
        </w:rPr>
      </w:pPr>
      <w:r>
        <w:rPr>
          <w:noProof/>
          <w:color w:val="000000"/>
          <w:szCs w:val="0"/>
          <w:u w:color="000000"/>
          <w:lang w:eastAsia="en-AU"/>
        </w:rPr>
        <w:pict>
          <v:oval id="Oval 11" o:spid="_x0000_s1357" style="position:absolute;left:0;text-align:left;margin-left:156.4pt;margin-top:154.8pt;width:85.95pt;height:33.95pt;rotation:1611112fd;z-index:251677696;visibility:visible;mso-wrap-style:square;mso-wrap-distance-left:9pt;mso-wrap-distance-top:0;mso-wrap-distance-right:9pt;mso-wrap-distance-bottom:0;mso-position-horizontal-relative:text;mso-position-vertical-relative:text;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" filled="f" strokecolor="red" strokeweight="1pt"/>
        </w:pict>
      </w:r>
      <w:r w:rsidR="00C66097">
        <w:rPr>
          <w:noProof/>
          <w:color w:val="000000"/>
          <w:szCs w:val="0"/>
          <w:u w:color="000000"/>
          <w:lang w:eastAsia="en-AU"/>
        </w:rPr>
        <w:drawing>
          <wp:inline distT="0" distB="0" distL="0" distR="0">
            <wp:extent cx="5140845" cy="3398807"/>
            <wp:effectExtent l="19050" t="0" r="2655" b="0"/>
            <wp:docPr id="10120" name="Picture 2" descr="MD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DS3.jpg"/>
                    <pic:cNvPicPr/>
                  </pic:nvPicPr>
                  <pic:blipFill>
                    <a:blip r:embed="rId51" cstate="screen"/>
                    <a:srcRect/>
                    <a:stretch>
                      <a:fillRect/>
                    </a:stretch>
                  </pic:blipFill>
                  <pic:spPr>
                    <a:xfrm>
                      <a:off x="0" y="0"/>
                      <a:ext cx="5140845" cy="3398807"/>
                    </a:xfrm>
                    <a:prstGeom prst="rect">
                      <a:avLst/>
                    </a:prstGeom>
                  </pic:spPr>
                </pic:pic>
              </a:graphicData>
            </a:graphic>
          </wp:inline>
        </w:drawing>
      </w:r>
    </w:p>
    <w:p w:rsidR="00C66097" w:rsidRDefault="00C66097" w:rsidP="00C66097">
      <w:pPr>
        <w:jc w:val="center"/>
        <w:rPr>
          <w:snapToGrid w:val="0"/>
          <w:color w:val="000000"/>
          <w:szCs w:val="0"/>
          <w:u w:color="000000"/>
          <w:lang w:val="en-US"/>
        </w:rPr>
      </w:pPr>
      <w:r>
        <w:rPr>
          <w:noProof/>
          <w:snapToGrid w:val="0"/>
          <w:color w:val="000000"/>
          <w:szCs w:val="0"/>
          <w:u w:color="000000"/>
          <w:lang w:eastAsia="en-AU"/>
        </w:rPr>
        <w:drawing>
          <wp:inline distT="0" distB="0" distL="0" distR="0">
            <wp:extent cx="2286829" cy="1821347"/>
            <wp:effectExtent l="19050" t="0" r="0" b="0"/>
            <wp:docPr id="10121" name="Picture 2" descr="MD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DS3.jpg"/>
                    <pic:cNvPicPr/>
                  </pic:nvPicPr>
                  <pic:blipFill>
                    <a:blip r:embed="rId52" cstate="screen"/>
                    <a:srcRect/>
                    <a:stretch>
                      <a:fillRect/>
                    </a:stretch>
                  </pic:blipFill>
                  <pic:spPr>
                    <a:xfrm>
                      <a:off x="0" y="0"/>
                      <a:ext cx="2291012" cy="1824678"/>
                    </a:xfrm>
                    <a:prstGeom prst="rect">
                      <a:avLst/>
                    </a:prstGeom>
                  </pic:spPr>
                </pic:pic>
              </a:graphicData>
            </a:graphic>
          </wp:inline>
        </w:drawing>
      </w:r>
    </w:p>
    <w:p w:rsidR="00C66097" w:rsidRPr="00F0391F" w:rsidRDefault="00C66097" w:rsidP="00C66097">
      <w:pPr>
        <w:pStyle w:val="Caption"/>
        <w:jc w:val="center"/>
        <w:rPr>
          <w:rFonts w:ascii="Arial" w:hAnsi="Arial"/>
          <w:b w:val="0"/>
          <w:bCs w:val="0"/>
          <w:color w:val="auto"/>
          <w:szCs w:val="20"/>
        </w:rPr>
      </w:pPr>
      <w:bookmarkStart w:id="93" w:name="_Ref401926790"/>
      <w:r w:rsidRPr="00F0391F">
        <w:rPr>
          <w:rFonts w:ascii="Arial" w:hAnsi="Arial"/>
          <w:bCs w:val="0"/>
          <w:color w:val="auto"/>
          <w:szCs w:val="20"/>
          <w:lang w:val="en-US"/>
        </w:rPr>
        <w:t xml:space="preserve">Figure </w:t>
      </w:r>
      <w:bookmarkEnd w:id="93"/>
      <w:r>
        <w:rPr>
          <w:rFonts w:ascii="Arial" w:hAnsi="Arial"/>
          <w:bCs w:val="0"/>
          <w:color w:val="auto"/>
          <w:szCs w:val="20"/>
          <w:lang w:val="en-US"/>
        </w:rPr>
        <w:t>12</w:t>
      </w:r>
      <w:r w:rsidRPr="00C01A4C">
        <w:rPr>
          <w:b w:val="0"/>
        </w:rPr>
        <w:t xml:space="preserve"> </w:t>
      </w:r>
      <w:r w:rsidRPr="00F0391F">
        <w:rPr>
          <w:rFonts w:ascii="Arial" w:hAnsi="Arial"/>
          <w:b w:val="0"/>
          <w:bCs w:val="0"/>
          <w:color w:val="auto"/>
          <w:szCs w:val="20"/>
        </w:rPr>
        <w:t>Multi-dimensional scaling (MDS) ordination based on Euclidean distance of water chemistry</w:t>
      </w:r>
      <w:r>
        <w:rPr>
          <w:rFonts w:ascii="Arial" w:hAnsi="Arial"/>
          <w:b w:val="0"/>
          <w:bCs w:val="0"/>
          <w:color w:val="auto"/>
          <w:szCs w:val="20"/>
        </w:rPr>
        <w:t xml:space="preserve"> data for sampling locations along the GCT2 tributary and around the TSF.</w:t>
      </w:r>
    </w:p>
    <w:p w:rsidR="00C66097" w:rsidRPr="0088212B" w:rsidRDefault="00C66097" w:rsidP="00C66097">
      <w:pPr>
        <w:pStyle w:val="Heading2"/>
      </w:pPr>
      <w:r w:rsidRPr="0088212B">
        <w:t>Discussion</w:t>
      </w:r>
    </w:p>
    <w:p w:rsidR="00C66097" w:rsidRDefault="00C66097" w:rsidP="00C66097">
      <w:pPr>
        <w:rPr>
          <w:lang w:val="en-US"/>
        </w:rPr>
      </w:pPr>
      <w:r>
        <w:rPr>
          <w:lang w:val="en-US"/>
        </w:rPr>
        <w:t>The information collected during the ERA and Supervising Scientist investigations confirm that the GCT2 tributary is a conduit along which high EC water from the minesite is transported into Gulungul Creek. In the receiving Gulungul Creek catchment, these solutes are causing degradation of water quality at various monitoring points during the wet season and the formation of evaporites during the dry season. They are also causing contamination of shallow groundwater,</w:t>
      </w:r>
      <w:r w:rsidRPr="00106BFB">
        <w:rPr>
          <w:lang w:val="en-US"/>
        </w:rPr>
        <w:t xml:space="preserve"> </w:t>
      </w:r>
      <w:r>
        <w:rPr>
          <w:lang w:val="en-US"/>
        </w:rPr>
        <w:t>as measured in a number of monitoring bores in the vicinity of the GCT2 tributary (</w:t>
      </w:r>
      <w:r w:rsidR="005813E2">
        <w:t>Figure 13)</w:t>
      </w:r>
      <w:r>
        <w:rPr>
          <w:lang w:val="en-US"/>
        </w:rPr>
        <w:t>. Bore RN23566, which is screened in Aquifer 1 at 4.02 – 4.52 m, is located adjacent to the GCT2 tributary about 700 m to the west of the TSF and has shown an increase in solute concentrations since 2008 (</w:t>
      </w:r>
      <w:r w:rsidR="005813E2">
        <w:t>Figure 14)</w:t>
      </w:r>
      <w:r>
        <w:rPr>
          <w:lang w:val="en-US"/>
        </w:rPr>
        <w:t xml:space="preserve">. </w:t>
      </w:r>
    </w:p>
    <w:p w:rsidR="00C66097" w:rsidRDefault="00C66097" w:rsidP="00C66097">
      <w:pPr>
        <w:rPr>
          <w:lang w:val="en-US"/>
        </w:rPr>
      </w:pPr>
    </w:p>
    <w:p w:rsidR="00C66097" w:rsidRDefault="00C66097" w:rsidP="00C66097">
      <w:pPr>
        <w:jc w:val="center"/>
        <w:rPr>
          <w:lang w:val="en-US"/>
        </w:rPr>
      </w:pPr>
      <w:r>
        <w:rPr>
          <w:noProof/>
          <w:lang w:eastAsia="en-AU"/>
        </w:rPr>
        <w:drawing>
          <wp:inline distT="0" distB="0" distL="0" distR="0">
            <wp:extent cx="4854376" cy="4882551"/>
            <wp:effectExtent l="19050" t="0" r="3374" b="0"/>
            <wp:docPr id="10122" name="Picture 63" descr="Map_Bores_ARRT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p_Bores_ARRTC.jpg"/>
                    <pic:cNvPicPr/>
                  </pic:nvPicPr>
                  <pic:blipFill>
                    <a:blip r:embed="rId53" cstate="screen"/>
                    <a:srcRect/>
                    <a:stretch>
                      <a:fillRect/>
                    </a:stretch>
                  </pic:blipFill>
                  <pic:spPr>
                    <a:xfrm>
                      <a:off x="0" y="0"/>
                      <a:ext cx="4854376" cy="4882551"/>
                    </a:xfrm>
                    <a:prstGeom prst="rect">
                      <a:avLst/>
                    </a:prstGeom>
                  </pic:spPr>
                </pic:pic>
              </a:graphicData>
            </a:graphic>
          </wp:inline>
        </w:drawing>
      </w:r>
    </w:p>
    <w:p w:rsidR="00C66097" w:rsidRDefault="00C66097" w:rsidP="00C66097">
      <w:pPr>
        <w:pStyle w:val="Caption"/>
        <w:jc w:val="center"/>
        <w:rPr>
          <w:lang w:val="en-US"/>
        </w:rPr>
      </w:pPr>
      <w:bookmarkStart w:id="94" w:name="_Ref402256041"/>
      <w:r w:rsidRPr="00AA428B">
        <w:rPr>
          <w:rFonts w:ascii="Arial" w:hAnsi="Arial"/>
          <w:bCs w:val="0"/>
          <w:color w:val="auto"/>
          <w:szCs w:val="20"/>
          <w:lang w:val="en-US"/>
        </w:rPr>
        <w:t xml:space="preserve">Figure </w:t>
      </w:r>
      <w:bookmarkEnd w:id="94"/>
      <w:r>
        <w:rPr>
          <w:rFonts w:ascii="Arial" w:hAnsi="Arial"/>
          <w:bCs w:val="0"/>
          <w:color w:val="auto"/>
          <w:szCs w:val="20"/>
          <w:lang w:val="en-US"/>
        </w:rPr>
        <w:t>13</w:t>
      </w:r>
      <w:r>
        <w:t xml:space="preserve"> </w:t>
      </w:r>
      <w:r>
        <w:rPr>
          <w:rFonts w:ascii="Arial" w:hAnsi="Arial"/>
          <w:b w:val="0"/>
          <w:bCs w:val="0"/>
          <w:color w:val="auto"/>
          <w:szCs w:val="20"/>
        </w:rPr>
        <w:t>Location of key monitoring bores on the western TSF wall and in the vicinity of the GCT2 tributary</w:t>
      </w:r>
      <w:r w:rsidRPr="00AA428B">
        <w:rPr>
          <w:rFonts w:ascii="Arial" w:hAnsi="Arial"/>
          <w:b w:val="0"/>
          <w:bCs w:val="0"/>
          <w:color w:val="auto"/>
          <w:szCs w:val="20"/>
        </w:rPr>
        <w:t>.</w:t>
      </w:r>
      <w:r>
        <w:rPr>
          <w:rFonts w:ascii="Arial" w:hAnsi="Arial"/>
          <w:b w:val="0"/>
          <w:bCs w:val="0"/>
          <w:color w:val="auto"/>
          <w:szCs w:val="20"/>
        </w:rPr>
        <w:t xml:space="preserve"> Red symbols show groundwater bores that are currently in use and the blue symbols show decommissioned bores that have be subsumed by the TSF walls.</w:t>
      </w:r>
    </w:p>
    <w:p w:rsidR="00C66097" w:rsidRDefault="00C66097" w:rsidP="00C66097">
      <w:pPr>
        <w:jc w:val="center"/>
      </w:pPr>
      <w:r>
        <w:rPr>
          <w:noProof/>
          <w:lang w:eastAsia="en-AU"/>
        </w:rPr>
        <w:drawing>
          <wp:inline distT="0" distB="0" distL="0" distR="0">
            <wp:extent cx="5202066" cy="2786332"/>
            <wp:effectExtent l="19050" t="0" r="0" b="0"/>
            <wp:docPr id="101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cstate="screen"/>
                    <a:srcRect/>
                    <a:stretch>
                      <a:fillRect/>
                    </a:stretch>
                  </pic:blipFill>
                  <pic:spPr bwMode="auto">
                    <a:xfrm>
                      <a:off x="0" y="0"/>
                      <a:ext cx="5208551" cy="2789805"/>
                    </a:xfrm>
                    <a:prstGeom prst="rect">
                      <a:avLst/>
                    </a:prstGeom>
                    <a:noFill/>
                    <a:ln w="9525">
                      <a:noFill/>
                      <a:miter lim="800000"/>
                      <a:headEnd/>
                      <a:tailEnd/>
                    </a:ln>
                  </pic:spPr>
                </pic:pic>
              </a:graphicData>
            </a:graphic>
          </wp:inline>
        </w:drawing>
      </w:r>
    </w:p>
    <w:p w:rsidR="00C66097" w:rsidRDefault="00C66097" w:rsidP="00C66097">
      <w:pPr>
        <w:pStyle w:val="Caption"/>
        <w:jc w:val="center"/>
        <w:rPr>
          <w:noProof/>
        </w:rPr>
      </w:pPr>
      <w:bookmarkStart w:id="95" w:name="_Ref401654708"/>
      <w:r w:rsidRPr="00AA428B">
        <w:rPr>
          <w:rFonts w:ascii="Arial" w:hAnsi="Arial"/>
          <w:bCs w:val="0"/>
          <w:color w:val="auto"/>
          <w:szCs w:val="20"/>
          <w:lang w:val="en-US"/>
        </w:rPr>
        <w:t xml:space="preserve">Figure </w:t>
      </w:r>
      <w:bookmarkEnd w:id="95"/>
      <w:r>
        <w:rPr>
          <w:rFonts w:ascii="Arial" w:hAnsi="Arial"/>
          <w:bCs w:val="0"/>
          <w:color w:val="auto"/>
          <w:szCs w:val="20"/>
          <w:lang w:val="en-US"/>
        </w:rPr>
        <w:t>14</w:t>
      </w:r>
      <w:r>
        <w:t xml:space="preserve"> </w:t>
      </w:r>
      <w:r>
        <w:rPr>
          <w:rFonts w:ascii="Arial" w:hAnsi="Arial"/>
          <w:b w:val="0"/>
          <w:bCs w:val="0"/>
          <w:color w:val="auto"/>
          <w:szCs w:val="20"/>
        </w:rPr>
        <w:t xml:space="preserve">Electrical conductivity measured by DME and ERA </w:t>
      </w:r>
      <w:r w:rsidRPr="00AA428B">
        <w:rPr>
          <w:rFonts w:ascii="Arial" w:hAnsi="Arial"/>
          <w:b w:val="0"/>
          <w:bCs w:val="0"/>
          <w:color w:val="auto"/>
          <w:szCs w:val="20"/>
        </w:rPr>
        <w:t>in Bore RN23566</w:t>
      </w:r>
      <w:r w:rsidR="0073388D">
        <w:rPr>
          <w:rFonts w:ascii="Arial" w:hAnsi="Arial"/>
          <w:b w:val="0"/>
          <w:bCs w:val="0"/>
          <w:color w:val="auto"/>
          <w:szCs w:val="20"/>
        </w:rPr>
        <w:t xml:space="preserve"> (DME</w:t>
      </w:r>
      <w:r>
        <w:rPr>
          <w:rFonts w:ascii="Arial" w:hAnsi="Arial"/>
          <w:b w:val="0"/>
          <w:bCs w:val="0"/>
          <w:color w:val="auto"/>
          <w:szCs w:val="20"/>
        </w:rPr>
        <w:t xml:space="preserve"> 2014)</w:t>
      </w:r>
      <w:r w:rsidRPr="00AA428B">
        <w:rPr>
          <w:rFonts w:ascii="Arial" w:hAnsi="Arial"/>
          <w:b w:val="0"/>
          <w:bCs w:val="0"/>
          <w:color w:val="auto"/>
          <w:szCs w:val="20"/>
        </w:rPr>
        <w:t>.</w:t>
      </w:r>
    </w:p>
    <w:p w:rsidR="00C66097" w:rsidRDefault="00C66097" w:rsidP="00C66097">
      <w:pPr>
        <w:rPr>
          <w:snapToGrid w:val="0"/>
          <w:color w:val="000000"/>
          <w:szCs w:val="0"/>
          <w:u w:color="000000"/>
          <w:lang w:val="en-US"/>
        </w:rPr>
      </w:pPr>
      <w:r>
        <w:rPr>
          <w:lang w:val="en-US"/>
        </w:rPr>
        <w:t xml:space="preserve">The increase in EC in RN23566 was initially detected by monitoring conducted by the Northern Territory Department of Mines and Energy, and prompted ERA to undertake an independent monitoring </w:t>
      </w:r>
      <w:r w:rsidR="00E16AC4">
        <w:rPr>
          <w:lang w:val="en-US"/>
        </w:rPr>
        <w:t>programme</w:t>
      </w:r>
      <w:r>
        <w:rPr>
          <w:lang w:val="en-US"/>
        </w:rPr>
        <w:t>, commencing in July 2010 (</w:t>
      </w:r>
      <w:r w:rsidR="0073388D">
        <w:rPr>
          <w:lang w:val="en-US"/>
        </w:rPr>
        <w:t>O’Neill</w:t>
      </w:r>
      <w:r w:rsidRPr="00065D67">
        <w:rPr>
          <w:lang w:val="en-US"/>
        </w:rPr>
        <w:t xml:space="preserve"> 2011</w:t>
      </w:r>
      <w:r>
        <w:rPr>
          <w:lang w:val="en-US"/>
        </w:rPr>
        <w:t xml:space="preserve">). A nest of bores, OB225A, B and C, were installed upstream of the RN23566 according to recommendations made in the URS review (2010). </w:t>
      </w:r>
      <w:r>
        <w:rPr>
          <w:snapToGrid w:val="0"/>
          <w:color w:val="000000"/>
          <w:szCs w:val="0"/>
          <w:u w:color="000000"/>
          <w:lang w:val="en-US"/>
        </w:rPr>
        <w:t xml:space="preserve">The background chemistry conditions of Aquifer 1 are presented in </w:t>
      </w:r>
      <w:r w:rsidR="005813E2">
        <w:t xml:space="preserve">Table 3 </w:t>
      </w:r>
      <w:r>
        <w:rPr>
          <w:snapToGrid w:val="0"/>
          <w:color w:val="000000"/>
          <w:szCs w:val="0"/>
          <w:u w:color="000000"/>
          <w:lang w:val="en-US"/>
        </w:rPr>
        <w:t>along with a summary of ERA’s monitoring data for bores RN23566 and OBN225C.</w:t>
      </w:r>
      <w:r w:rsidRPr="006F0DF6">
        <w:rPr>
          <w:lang w:val="en-US"/>
        </w:rPr>
        <w:t xml:space="preserve"> </w:t>
      </w:r>
    </w:p>
    <w:p w:rsidR="00C66097" w:rsidRPr="00250027" w:rsidRDefault="00C66097" w:rsidP="00C66097">
      <w:pPr>
        <w:pStyle w:val="Caption"/>
        <w:keepNext/>
        <w:rPr>
          <w:rFonts w:ascii="Arial" w:hAnsi="Arial"/>
          <w:bCs w:val="0"/>
          <w:color w:val="auto"/>
          <w:szCs w:val="20"/>
          <w:lang w:val="en-US"/>
        </w:rPr>
      </w:pPr>
      <w:bookmarkStart w:id="96" w:name="_Ref401654303"/>
      <w:r w:rsidRPr="00250027">
        <w:rPr>
          <w:rFonts w:ascii="Arial" w:hAnsi="Arial"/>
          <w:bCs w:val="0"/>
          <w:color w:val="auto"/>
          <w:szCs w:val="20"/>
          <w:lang w:val="en-US"/>
        </w:rPr>
        <w:t xml:space="preserve">Table </w:t>
      </w:r>
      <w:bookmarkEnd w:id="96"/>
      <w:r>
        <w:rPr>
          <w:rFonts w:ascii="Arial" w:hAnsi="Arial"/>
          <w:bCs w:val="0"/>
          <w:color w:val="auto"/>
          <w:szCs w:val="20"/>
          <w:lang w:val="en-US"/>
        </w:rPr>
        <w:t xml:space="preserve">3 </w:t>
      </w:r>
      <w:r>
        <w:rPr>
          <w:rFonts w:ascii="Arial" w:hAnsi="Arial"/>
          <w:b w:val="0"/>
          <w:bCs w:val="0"/>
          <w:color w:val="auto"/>
          <w:szCs w:val="20"/>
          <w:lang w:val="en-US"/>
        </w:rPr>
        <w:t xml:space="preserve">Summary of background chemistry conditions for Aquifer 1 </w:t>
      </w:r>
      <w:r w:rsidRPr="00250027">
        <w:rPr>
          <w:rFonts w:ascii="Arial" w:hAnsi="Arial"/>
          <w:b w:val="0"/>
          <w:bCs w:val="0"/>
          <w:color w:val="auto"/>
          <w:szCs w:val="20"/>
          <w:lang w:val="en-US"/>
        </w:rPr>
        <w:t>(from URS 2010)</w:t>
      </w:r>
      <w:r>
        <w:rPr>
          <w:rFonts w:ascii="Arial" w:hAnsi="Arial"/>
          <w:b w:val="0"/>
          <w:bCs w:val="0"/>
          <w:color w:val="auto"/>
          <w:szCs w:val="20"/>
          <w:lang w:val="en-US"/>
        </w:rPr>
        <w:t xml:space="preserve"> and recent monitoring chemistry for RN23566 and OBN225C (Deacon, 2014).</w:t>
      </w:r>
    </w:p>
    <w:tbl>
      <w:tblPr>
        <w:tblStyle w:val="TableGrid"/>
        <w:tblW w:w="0" w:type="auto"/>
        <w:jc w:val="center"/>
        <w:tblLook w:val="04A0"/>
      </w:tblPr>
      <w:tblGrid>
        <w:gridCol w:w="1504"/>
        <w:gridCol w:w="1618"/>
        <w:gridCol w:w="2718"/>
        <w:gridCol w:w="2682"/>
      </w:tblGrid>
      <w:tr w:rsidR="00C66097" w:rsidRPr="00FD11B6" w:rsidTr="00C66097">
        <w:trPr>
          <w:jc w:val="center"/>
        </w:trPr>
        <w:tc>
          <w:tcPr>
            <w:tcW w:w="0" w:type="auto"/>
            <w:tcBorders>
              <w:left w:val="nil"/>
              <w:bottom w:val="single" w:sz="4" w:space="0" w:color="auto"/>
              <w:right w:val="nil"/>
            </w:tcBorders>
          </w:tcPr>
          <w:p w:rsidR="00C66097" w:rsidRPr="00FD11B6" w:rsidRDefault="00C66097" w:rsidP="00C66097">
            <w:pPr>
              <w:pStyle w:val="table1"/>
              <w:rPr>
                <w:b/>
                <w:lang w:val="en-US"/>
              </w:rPr>
            </w:pPr>
            <w:r w:rsidRPr="00357667">
              <w:rPr>
                <w:b/>
                <w:lang w:val="en-US"/>
              </w:rPr>
              <w:t>Solute</w:t>
            </w:r>
          </w:p>
        </w:tc>
        <w:tc>
          <w:tcPr>
            <w:tcW w:w="0" w:type="auto"/>
            <w:tcBorders>
              <w:left w:val="nil"/>
              <w:bottom w:val="single" w:sz="4" w:space="0" w:color="auto"/>
              <w:right w:val="nil"/>
            </w:tcBorders>
          </w:tcPr>
          <w:p w:rsidR="00C66097" w:rsidRPr="00FD11B6" w:rsidRDefault="00C66097" w:rsidP="00C66097">
            <w:pPr>
              <w:pStyle w:val="table1"/>
              <w:rPr>
                <w:b/>
                <w:lang w:val="en-US"/>
              </w:rPr>
            </w:pPr>
            <w:r w:rsidRPr="00357667">
              <w:rPr>
                <w:b/>
                <w:lang w:val="en-US"/>
              </w:rPr>
              <w:t>Background range</w:t>
            </w:r>
          </w:p>
        </w:tc>
        <w:tc>
          <w:tcPr>
            <w:tcW w:w="0" w:type="auto"/>
            <w:tcBorders>
              <w:left w:val="nil"/>
              <w:bottom w:val="single" w:sz="4" w:space="0" w:color="auto"/>
              <w:right w:val="nil"/>
            </w:tcBorders>
          </w:tcPr>
          <w:p w:rsidR="00C66097" w:rsidRPr="00FD11B6" w:rsidRDefault="00C66097" w:rsidP="00C66097">
            <w:pPr>
              <w:pStyle w:val="table1"/>
              <w:rPr>
                <w:b/>
                <w:lang w:val="en-US"/>
              </w:rPr>
            </w:pPr>
            <w:r w:rsidRPr="00357667">
              <w:rPr>
                <w:b/>
                <w:lang w:val="en-US"/>
              </w:rPr>
              <w:t>Range since Oct 2010 (OBN225C)</w:t>
            </w:r>
          </w:p>
        </w:tc>
        <w:tc>
          <w:tcPr>
            <w:tcW w:w="0" w:type="auto"/>
            <w:tcBorders>
              <w:left w:val="nil"/>
              <w:bottom w:val="single" w:sz="4" w:space="0" w:color="auto"/>
              <w:right w:val="nil"/>
            </w:tcBorders>
          </w:tcPr>
          <w:p w:rsidR="00C66097" w:rsidRPr="00FD11B6" w:rsidRDefault="00C66097" w:rsidP="00C66097">
            <w:pPr>
              <w:pStyle w:val="table1"/>
              <w:rPr>
                <w:b/>
                <w:lang w:val="en-US"/>
              </w:rPr>
            </w:pPr>
            <w:r w:rsidRPr="00357667">
              <w:rPr>
                <w:b/>
                <w:lang w:val="en-US"/>
              </w:rPr>
              <w:t>Range since Dec 2011 (RN23566)</w:t>
            </w:r>
          </w:p>
        </w:tc>
      </w:tr>
      <w:tr w:rsidR="00C66097" w:rsidRPr="00FD11B6" w:rsidTr="00C66097">
        <w:trPr>
          <w:jc w:val="center"/>
        </w:trPr>
        <w:tc>
          <w:tcPr>
            <w:tcW w:w="0" w:type="auto"/>
            <w:tcBorders>
              <w:left w:val="nil"/>
              <w:bottom w:val="nil"/>
              <w:right w:val="nil"/>
            </w:tcBorders>
          </w:tcPr>
          <w:p w:rsidR="00C66097" w:rsidRPr="00FD11B6" w:rsidRDefault="00C66097" w:rsidP="00C66097">
            <w:pPr>
              <w:pStyle w:val="table1"/>
              <w:rPr>
                <w:b/>
                <w:lang w:val="en-US"/>
              </w:rPr>
            </w:pPr>
            <w:r w:rsidRPr="00357667">
              <w:rPr>
                <w:b/>
                <w:lang w:val="en-US"/>
              </w:rPr>
              <w:t>Screen depth</w:t>
            </w:r>
            <w:r>
              <w:rPr>
                <w:b/>
                <w:lang w:val="en-US"/>
              </w:rPr>
              <w:t xml:space="preserve"> (m)</w:t>
            </w:r>
          </w:p>
        </w:tc>
        <w:tc>
          <w:tcPr>
            <w:tcW w:w="0" w:type="auto"/>
            <w:tcBorders>
              <w:left w:val="nil"/>
              <w:bottom w:val="nil"/>
              <w:right w:val="nil"/>
            </w:tcBorders>
          </w:tcPr>
          <w:p w:rsidR="00C66097" w:rsidRPr="00FD11B6" w:rsidRDefault="00C66097" w:rsidP="00C66097">
            <w:pPr>
              <w:pStyle w:val="table1"/>
              <w:rPr>
                <w:b/>
                <w:lang w:val="en-US"/>
              </w:rPr>
            </w:pPr>
          </w:p>
        </w:tc>
        <w:tc>
          <w:tcPr>
            <w:tcW w:w="0" w:type="auto"/>
            <w:tcBorders>
              <w:left w:val="nil"/>
              <w:bottom w:val="nil"/>
              <w:right w:val="nil"/>
            </w:tcBorders>
          </w:tcPr>
          <w:p w:rsidR="00C66097" w:rsidRPr="00FD11B6" w:rsidRDefault="00C66097" w:rsidP="00C66097">
            <w:pPr>
              <w:pStyle w:val="table1"/>
              <w:rPr>
                <w:b/>
                <w:lang w:val="en-US"/>
              </w:rPr>
            </w:pPr>
            <w:r w:rsidRPr="00357667">
              <w:rPr>
                <w:b/>
                <w:lang w:val="en-US"/>
              </w:rPr>
              <w:t>2 - 5</w:t>
            </w:r>
          </w:p>
        </w:tc>
        <w:tc>
          <w:tcPr>
            <w:tcW w:w="0" w:type="auto"/>
            <w:tcBorders>
              <w:left w:val="nil"/>
              <w:bottom w:val="nil"/>
              <w:right w:val="nil"/>
            </w:tcBorders>
          </w:tcPr>
          <w:p w:rsidR="00C66097" w:rsidRPr="00FD11B6" w:rsidRDefault="00C66097" w:rsidP="00C66097">
            <w:pPr>
              <w:pStyle w:val="table1"/>
              <w:rPr>
                <w:b/>
                <w:lang w:val="en-US"/>
              </w:rPr>
            </w:pPr>
            <w:r w:rsidRPr="00357667">
              <w:rPr>
                <w:b/>
                <w:lang w:val="en-US"/>
              </w:rPr>
              <w:t>4.02 - 4.52</w:t>
            </w:r>
          </w:p>
        </w:tc>
      </w:tr>
      <w:tr w:rsidR="00C66097" w:rsidTr="00C66097">
        <w:trPr>
          <w:jc w:val="center"/>
        </w:trPr>
        <w:tc>
          <w:tcPr>
            <w:tcW w:w="0" w:type="auto"/>
            <w:tcBorders>
              <w:left w:val="nil"/>
              <w:bottom w:val="nil"/>
              <w:right w:val="nil"/>
            </w:tcBorders>
          </w:tcPr>
          <w:p w:rsidR="00C66097" w:rsidRDefault="00C66097" w:rsidP="00C66097">
            <w:pPr>
              <w:pStyle w:val="table1"/>
              <w:rPr>
                <w:lang w:val="en-US"/>
              </w:rPr>
            </w:pPr>
            <w:r>
              <w:rPr>
                <w:lang w:val="en-US"/>
              </w:rPr>
              <w:t>EC</w:t>
            </w:r>
          </w:p>
        </w:tc>
        <w:tc>
          <w:tcPr>
            <w:tcW w:w="0" w:type="auto"/>
            <w:tcBorders>
              <w:left w:val="nil"/>
              <w:bottom w:val="nil"/>
              <w:right w:val="nil"/>
            </w:tcBorders>
          </w:tcPr>
          <w:p w:rsidR="00C66097" w:rsidRDefault="00C66097" w:rsidP="00C66097">
            <w:pPr>
              <w:pStyle w:val="table1"/>
              <w:rPr>
                <w:lang w:val="en-US"/>
              </w:rPr>
            </w:pPr>
            <w:r>
              <w:rPr>
                <w:lang w:val="en-US"/>
              </w:rPr>
              <w:t xml:space="preserve">&lt;500 </w:t>
            </w:r>
            <w:r>
              <w:rPr>
                <w:rFonts w:cs="Arial"/>
                <w:lang w:val="en-US"/>
              </w:rPr>
              <w:t>µ</w:t>
            </w:r>
            <w:r>
              <w:rPr>
                <w:lang w:val="en-US"/>
              </w:rPr>
              <w:t>s/cm</w:t>
            </w:r>
          </w:p>
        </w:tc>
        <w:tc>
          <w:tcPr>
            <w:tcW w:w="0" w:type="auto"/>
            <w:tcBorders>
              <w:left w:val="nil"/>
              <w:bottom w:val="nil"/>
              <w:right w:val="nil"/>
            </w:tcBorders>
          </w:tcPr>
          <w:p w:rsidR="00C66097" w:rsidRDefault="00C66097" w:rsidP="00C66097">
            <w:pPr>
              <w:pStyle w:val="table1"/>
              <w:rPr>
                <w:lang w:val="en-US"/>
              </w:rPr>
            </w:pPr>
            <w:r>
              <w:rPr>
                <w:lang w:val="en-US"/>
              </w:rPr>
              <w:t xml:space="preserve">2,000 - 6,000 </w:t>
            </w:r>
            <w:r>
              <w:rPr>
                <w:rFonts w:cs="Arial"/>
                <w:lang w:val="en-US"/>
              </w:rPr>
              <w:t>µ</w:t>
            </w:r>
            <w:r>
              <w:rPr>
                <w:lang w:val="en-US"/>
              </w:rPr>
              <w:t>s/cm</w:t>
            </w:r>
          </w:p>
        </w:tc>
        <w:tc>
          <w:tcPr>
            <w:tcW w:w="0" w:type="auto"/>
            <w:tcBorders>
              <w:left w:val="nil"/>
              <w:bottom w:val="nil"/>
              <w:right w:val="nil"/>
            </w:tcBorders>
          </w:tcPr>
          <w:p w:rsidR="00C66097" w:rsidRDefault="00C66097" w:rsidP="00C66097">
            <w:pPr>
              <w:pStyle w:val="table1"/>
              <w:rPr>
                <w:lang w:val="en-US"/>
              </w:rPr>
            </w:pPr>
            <w:r>
              <w:rPr>
                <w:lang w:val="en-US"/>
              </w:rPr>
              <w:t xml:space="preserve">250 - 2,500 </w:t>
            </w:r>
            <w:r>
              <w:rPr>
                <w:rFonts w:cs="Arial"/>
                <w:lang w:val="en-US"/>
              </w:rPr>
              <w:t>µ</w:t>
            </w:r>
            <w:r>
              <w:rPr>
                <w:lang w:val="en-US"/>
              </w:rPr>
              <w:t>s/cm</w:t>
            </w:r>
          </w:p>
        </w:tc>
      </w:tr>
      <w:tr w:rsidR="00C66097" w:rsidTr="00C66097">
        <w:trPr>
          <w:jc w:val="center"/>
        </w:trPr>
        <w:tc>
          <w:tcPr>
            <w:tcW w:w="0" w:type="auto"/>
            <w:tcBorders>
              <w:top w:val="nil"/>
              <w:left w:val="nil"/>
              <w:bottom w:val="nil"/>
              <w:right w:val="nil"/>
            </w:tcBorders>
          </w:tcPr>
          <w:p w:rsidR="00C66097" w:rsidRDefault="00C66097" w:rsidP="00C66097">
            <w:pPr>
              <w:pStyle w:val="table1"/>
              <w:rPr>
                <w:lang w:val="en-US"/>
              </w:rPr>
            </w:pPr>
            <w:r>
              <w:rPr>
                <w:lang w:val="en-US"/>
              </w:rPr>
              <w:t>Ca</w:t>
            </w:r>
          </w:p>
        </w:tc>
        <w:tc>
          <w:tcPr>
            <w:tcW w:w="0" w:type="auto"/>
            <w:tcBorders>
              <w:top w:val="nil"/>
              <w:left w:val="nil"/>
              <w:bottom w:val="nil"/>
              <w:right w:val="nil"/>
            </w:tcBorders>
          </w:tcPr>
          <w:p w:rsidR="00C66097" w:rsidRDefault="00C66097" w:rsidP="00C66097">
            <w:pPr>
              <w:pStyle w:val="table1"/>
              <w:rPr>
                <w:lang w:val="en-US"/>
              </w:rPr>
            </w:pPr>
            <w:r>
              <w:rPr>
                <w:lang w:val="en-US"/>
              </w:rPr>
              <w:t>&lt;5 - 30 mg/L</w:t>
            </w:r>
          </w:p>
        </w:tc>
        <w:tc>
          <w:tcPr>
            <w:tcW w:w="0" w:type="auto"/>
            <w:tcBorders>
              <w:top w:val="nil"/>
              <w:left w:val="nil"/>
              <w:bottom w:val="nil"/>
              <w:right w:val="nil"/>
            </w:tcBorders>
          </w:tcPr>
          <w:p w:rsidR="00C66097" w:rsidRDefault="00C66097" w:rsidP="00C66097">
            <w:pPr>
              <w:pStyle w:val="table1"/>
              <w:rPr>
                <w:lang w:val="en-US"/>
              </w:rPr>
            </w:pPr>
            <w:r>
              <w:rPr>
                <w:lang w:val="en-US"/>
              </w:rPr>
              <w:t>50 - 275 mg/L</w:t>
            </w:r>
          </w:p>
        </w:tc>
        <w:tc>
          <w:tcPr>
            <w:tcW w:w="0" w:type="auto"/>
            <w:tcBorders>
              <w:top w:val="nil"/>
              <w:left w:val="nil"/>
              <w:bottom w:val="nil"/>
              <w:right w:val="nil"/>
            </w:tcBorders>
          </w:tcPr>
          <w:p w:rsidR="00C66097" w:rsidRDefault="00C66097" w:rsidP="00C66097">
            <w:pPr>
              <w:pStyle w:val="table1"/>
              <w:rPr>
                <w:lang w:val="en-US"/>
              </w:rPr>
            </w:pPr>
            <w:r>
              <w:rPr>
                <w:lang w:val="en-US"/>
              </w:rPr>
              <w:t>5 - 50 mg/L</w:t>
            </w:r>
          </w:p>
        </w:tc>
      </w:tr>
      <w:tr w:rsidR="00C66097" w:rsidTr="00C66097">
        <w:trPr>
          <w:jc w:val="center"/>
        </w:trPr>
        <w:tc>
          <w:tcPr>
            <w:tcW w:w="0" w:type="auto"/>
            <w:tcBorders>
              <w:top w:val="nil"/>
              <w:left w:val="nil"/>
              <w:bottom w:val="nil"/>
              <w:right w:val="nil"/>
            </w:tcBorders>
          </w:tcPr>
          <w:p w:rsidR="00C66097" w:rsidRDefault="00C66097" w:rsidP="00C66097">
            <w:pPr>
              <w:pStyle w:val="table1"/>
              <w:rPr>
                <w:lang w:val="en-US"/>
              </w:rPr>
            </w:pPr>
            <w:r>
              <w:rPr>
                <w:lang w:val="en-US"/>
              </w:rPr>
              <w:t>Mg</w:t>
            </w:r>
          </w:p>
        </w:tc>
        <w:tc>
          <w:tcPr>
            <w:tcW w:w="0" w:type="auto"/>
            <w:tcBorders>
              <w:top w:val="nil"/>
              <w:left w:val="nil"/>
              <w:bottom w:val="nil"/>
              <w:right w:val="nil"/>
            </w:tcBorders>
          </w:tcPr>
          <w:p w:rsidR="00C66097" w:rsidRDefault="00C66097" w:rsidP="00C66097">
            <w:pPr>
              <w:pStyle w:val="table1"/>
              <w:rPr>
                <w:lang w:val="en-US"/>
              </w:rPr>
            </w:pPr>
            <w:r>
              <w:rPr>
                <w:lang w:val="en-US"/>
              </w:rPr>
              <w:t>5 - 50 mg/L</w:t>
            </w:r>
          </w:p>
        </w:tc>
        <w:tc>
          <w:tcPr>
            <w:tcW w:w="0" w:type="auto"/>
            <w:tcBorders>
              <w:top w:val="nil"/>
              <w:left w:val="nil"/>
              <w:bottom w:val="nil"/>
              <w:right w:val="nil"/>
            </w:tcBorders>
          </w:tcPr>
          <w:p w:rsidR="00C66097" w:rsidRDefault="00C66097" w:rsidP="00C66097">
            <w:pPr>
              <w:pStyle w:val="table1"/>
              <w:rPr>
                <w:lang w:val="en-US"/>
              </w:rPr>
            </w:pPr>
            <w:r>
              <w:rPr>
                <w:lang w:val="en-US"/>
              </w:rPr>
              <w:t>250 - 1,000 mg/L</w:t>
            </w:r>
          </w:p>
        </w:tc>
        <w:tc>
          <w:tcPr>
            <w:tcW w:w="0" w:type="auto"/>
            <w:tcBorders>
              <w:top w:val="nil"/>
              <w:left w:val="nil"/>
              <w:bottom w:val="nil"/>
              <w:right w:val="nil"/>
            </w:tcBorders>
          </w:tcPr>
          <w:p w:rsidR="00C66097" w:rsidRDefault="00C66097" w:rsidP="00C66097">
            <w:pPr>
              <w:pStyle w:val="table1"/>
              <w:rPr>
                <w:lang w:val="en-US"/>
              </w:rPr>
            </w:pPr>
            <w:r>
              <w:rPr>
                <w:lang w:val="en-US"/>
              </w:rPr>
              <w:t>25 - 375 mg/L</w:t>
            </w:r>
          </w:p>
        </w:tc>
      </w:tr>
      <w:tr w:rsidR="00C66097" w:rsidTr="00C66097">
        <w:trPr>
          <w:jc w:val="center"/>
        </w:trPr>
        <w:tc>
          <w:tcPr>
            <w:tcW w:w="0" w:type="auto"/>
            <w:tcBorders>
              <w:top w:val="nil"/>
              <w:left w:val="nil"/>
              <w:bottom w:val="nil"/>
              <w:right w:val="nil"/>
            </w:tcBorders>
          </w:tcPr>
          <w:p w:rsidR="00C66097" w:rsidRDefault="00C66097" w:rsidP="00C66097">
            <w:pPr>
              <w:pStyle w:val="table1"/>
              <w:rPr>
                <w:lang w:val="en-US"/>
              </w:rPr>
            </w:pPr>
            <w:r>
              <w:rPr>
                <w:lang w:val="en-US"/>
              </w:rPr>
              <w:t>Mn</w:t>
            </w:r>
          </w:p>
        </w:tc>
        <w:tc>
          <w:tcPr>
            <w:tcW w:w="0" w:type="auto"/>
            <w:tcBorders>
              <w:top w:val="nil"/>
              <w:left w:val="nil"/>
              <w:bottom w:val="nil"/>
              <w:right w:val="nil"/>
            </w:tcBorders>
          </w:tcPr>
          <w:p w:rsidR="00C66097" w:rsidRDefault="00C66097" w:rsidP="00C66097">
            <w:pPr>
              <w:pStyle w:val="table1"/>
              <w:rPr>
                <w:lang w:val="en-US"/>
              </w:rPr>
            </w:pPr>
            <w:r>
              <w:rPr>
                <w:lang w:val="en-US"/>
              </w:rPr>
              <w:t xml:space="preserve">&lt;5 - 350 </w:t>
            </w:r>
            <w:r>
              <w:rPr>
                <w:rFonts w:cs="Arial"/>
                <w:lang w:val="en-US"/>
              </w:rPr>
              <w:t>µ</w:t>
            </w:r>
            <w:r>
              <w:rPr>
                <w:lang w:val="en-US"/>
              </w:rPr>
              <w:t>g/L</w:t>
            </w:r>
          </w:p>
        </w:tc>
        <w:tc>
          <w:tcPr>
            <w:tcW w:w="0" w:type="auto"/>
            <w:tcBorders>
              <w:top w:val="nil"/>
              <w:left w:val="nil"/>
              <w:bottom w:val="nil"/>
              <w:right w:val="nil"/>
            </w:tcBorders>
          </w:tcPr>
          <w:p w:rsidR="00C66097" w:rsidRDefault="00C66097" w:rsidP="00C66097">
            <w:pPr>
              <w:pStyle w:val="table1"/>
              <w:rPr>
                <w:lang w:val="en-US"/>
              </w:rPr>
            </w:pPr>
            <w:r>
              <w:rPr>
                <w:lang w:val="en-US"/>
              </w:rPr>
              <w:t xml:space="preserve">500 - 1,500 </w:t>
            </w:r>
            <w:r>
              <w:rPr>
                <w:rFonts w:cs="Arial"/>
                <w:lang w:val="en-US"/>
              </w:rPr>
              <w:t>µ</w:t>
            </w:r>
            <w:r>
              <w:rPr>
                <w:lang w:val="en-US"/>
              </w:rPr>
              <w:t>g/L</w:t>
            </w:r>
          </w:p>
        </w:tc>
        <w:tc>
          <w:tcPr>
            <w:tcW w:w="0" w:type="auto"/>
            <w:tcBorders>
              <w:top w:val="nil"/>
              <w:left w:val="nil"/>
              <w:bottom w:val="nil"/>
              <w:right w:val="nil"/>
            </w:tcBorders>
          </w:tcPr>
          <w:p w:rsidR="00C66097" w:rsidRDefault="00C66097" w:rsidP="00C66097">
            <w:pPr>
              <w:pStyle w:val="table1"/>
              <w:rPr>
                <w:lang w:val="en-US"/>
              </w:rPr>
            </w:pPr>
            <w:r>
              <w:rPr>
                <w:lang w:val="en-US"/>
              </w:rPr>
              <w:t xml:space="preserve">50 - 600 </w:t>
            </w:r>
            <w:r>
              <w:rPr>
                <w:rFonts w:cs="Arial"/>
                <w:lang w:val="en-US"/>
              </w:rPr>
              <w:t>µ</w:t>
            </w:r>
            <w:r>
              <w:rPr>
                <w:lang w:val="en-US"/>
              </w:rPr>
              <w:t xml:space="preserve">g/L </w:t>
            </w:r>
          </w:p>
        </w:tc>
      </w:tr>
      <w:tr w:rsidR="00C66097" w:rsidTr="00C66097">
        <w:trPr>
          <w:jc w:val="center"/>
        </w:trPr>
        <w:tc>
          <w:tcPr>
            <w:tcW w:w="0" w:type="auto"/>
            <w:tcBorders>
              <w:top w:val="nil"/>
              <w:left w:val="nil"/>
              <w:bottom w:val="nil"/>
              <w:right w:val="nil"/>
            </w:tcBorders>
          </w:tcPr>
          <w:p w:rsidR="00C66097" w:rsidRDefault="00C66097" w:rsidP="00C66097">
            <w:pPr>
              <w:pStyle w:val="table1"/>
              <w:rPr>
                <w:lang w:val="en-US"/>
              </w:rPr>
            </w:pPr>
            <w:r>
              <w:rPr>
                <w:lang w:val="en-US"/>
              </w:rPr>
              <w:t>U</w:t>
            </w:r>
          </w:p>
        </w:tc>
        <w:tc>
          <w:tcPr>
            <w:tcW w:w="0" w:type="auto"/>
            <w:tcBorders>
              <w:top w:val="nil"/>
              <w:left w:val="nil"/>
              <w:bottom w:val="nil"/>
              <w:right w:val="nil"/>
            </w:tcBorders>
          </w:tcPr>
          <w:p w:rsidR="00C66097" w:rsidRDefault="00C66097" w:rsidP="00C66097">
            <w:pPr>
              <w:pStyle w:val="table1"/>
              <w:rPr>
                <w:lang w:val="en-US"/>
              </w:rPr>
            </w:pPr>
            <w:r>
              <w:rPr>
                <w:lang w:val="en-US"/>
              </w:rPr>
              <w:t xml:space="preserve">&lt;10 </w:t>
            </w:r>
            <w:r>
              <w:rPr>
                <w:rFonts w:cs="Arial"/>
                <w:lang w:val="en-US"/>
              </w:rPr>
              <w:t>µ</w:t>
            </w:r>
            <w:r>
              <w:rPr>
                <w:lang w:val="en-US"/>
              </w:rPr>
              <w:t>g/L</w:t>
            </w:r>
          </w:p>
        </w:tc>
        <w:tc>
          <w:tcPr>
            <w:tcW w:w="0" w:type="auto"/>
            <w:tcBorders>
              <w:top w:val="nil"/>
              <w:left w:val="nil"/>
              <w:bottom w:val="nil"/>
              <w:right w:val="nil"/>
            </w:tcBorders>
          </w:tcPr>
          <w:p w:rsidR="00C66097" w:rsidRDefault="00C66097" w:rsidP="00C66097">
            <w:pPr>
              <w:pStyle w:val="table1"/>
              <w:rPr>
                <w:lang w:val="en-US"/>
              </w:rPr>
            </w:pPr>
            <w:r>
              <w:rPr>
                <w:lang w:val="en-US"/>
              </w:rPr>
              <w:t xml:space="preserve">0 - 0.5 </w:t>
            </w:r>
            <w:r>
              <w:rPr>
                <w:rFonts w:cs="Arial"/>
                <w:lang w:val="en-US"/>
              </w:rPr>
              <w:t>µ</w:t>
            </w:r>
            <w:r>
              <w:rPr>
                <w:lang w:val="en-US"/>
              </w:rPr>
              <w:t>g/L</w:t>
            </w:r>
          </w:p>
        </w:tc>
        <w:tc>
          <w:tcPr>
            <w:tcW w:w="0" w:type="auto"/>
            <w:tcBorders>
              <w:top w:val="nil"/>
              <w:left w:val="nil"/>
              <w:bottom w:val="nil"/>
              <w:right w:val="nil"/>
            </w:tcBorders>
          </w:tcPr>
          <w:p w:rsidR="00C66097" w:rsidRDefault="00C66097" w:rsidP="00C66097">
            <w:pPr>
              <w:pStyle w:val="table1"/>
              <w:rPr>
                <w:lang w:val="en-US"/>
              </w:rPr>
            </w:pPr>
            <w:r>
              <w:rPr>
                <w:lang w:val="en-US"/>
              </w:rPr>
              <w:t xml:space="preserve">0 - 1.5 </w:t>
            </w:r>
            <w:r>
              <w:rPr>
                <w:rFonts w:cs="Arial"/>
                <w:lang w:val="en-US"/>
              </w:rPr>
              <w:t>µ</w:t>
            </w:r>
            <w:r>
              <w:rPr>
                <w:lang w:val="en-US"/>
              </w:rPr>
              <w:t>g/L</w:t>
            </w:r>
          </w:p>
        </w:tc>
      </w:tr>
      <w:tr w:rsidR="00C66097" w:rsidTr="00C66097">
        <w:trPr>
          <w:jc w:val="center"/>
        </w:trPr>
        <w:tc>
          <w:tcPr>
            <w:tcW w:w="0" w:type="auto"/>
            <w:tcBorders>
              <w:top w:val="nil"/>
              <w:left w:val="nil"/>
              <w:right w:val="nil"/>
            </w:tcBorders>
          </w:tcPr>
          <w:p w:rsidR="00C66097" w:rsidRPr="00B45C2A" w:rsidRDefault="00C66097" w:rsidP="00C66097">
            <w:pPr>
              <w:pStyle w:val="table1"/>
              <w:rPr>
                <w:snapToGrid w:val="0"/>
                <w:color w:val="000000"/>
                <w:position w:val="-4"/>
                <w:sz w:val="11"/>
                <w:szCs w:val="0"/>
                <w:u w:color="000000"/>
                <w:lang w:val="en-US"/>
              </w:rPr>
            </w:pPr>
            <w:r w:rsidRPr="00166F03">
              <w:rPr>
                <w:lang w:val="en-US"/>
              </w:rPr>
              <w:t>Sulfate</w:t>
            </w:r>
          </w:p>
        </w:tc>
        <w:tc>
          <w:tcPr>
            <w:tcW w:w="0" w:type="auto"/>
            <w:tcBorders>
              <w:top w:val="nil"/>
              <w:left w:val="nil"/>
              <w:right w:val="nil"/>
            </w:tcBorders>
          </w:tcPr>
          <w:p w:rsidR="00C66097" w:rsidRDefault="00C66097" w:rsidP="00C66097">
            <w:pPr>
              <w:pStyle w:val="table1"/>
              <w:rPr>
                <w:lang w:val="en-US"/>
              </w:rPr>
            </w:pPr>
            <w:r>
              <w:rPr>
                <w:lang w:val="en-US"/>
              </w:rPr>
              <w:t>&lt;5 mg/L</w:t>
            </w:r>
          </w:p>
        </w:tc>
        <w:tc>
          <w:tcPr>
            <w:tcW w:w="0" w:type="auto"/>
            <w:tcBorders>
              <w:top w:val="nil"/>
              <w:left w:val="nil"/>
              <w:right w:val="nil"/>
            </w:tcBorders>
          </w:tcPr>
          <w:p w:rsidR="00C66097" w:rsidRDefault="00C66097" w:rsidP="00C66097">
            <w:pPr>
              <w:pStyle w:val="table1"/>
              <w:rPr>
                <w:lang w:val="en-US"/>
              </w:rPr>
            </w:pPr>
            <w:r>
              <w:rPr>
                <w:lang w:val="en-US"/>
              </w:rPr>
              <w:t>1,250 - 4,750 mg/L</w:t>
            </w:r>
          </w:p>
        </w:tc>
        <w:tc>
          <w:tcPr>
            <w:tcW w:w="0" w:type="auto"/>
            <w:tcBorders>
              <w:top w:val="nil"/>
              <w:left w:val="nil"/>
              <w:right w:val="nil"/>
            </w:tcBorders>
          </w:tcPr>
          <w:p w:rsidR="00C66097" w:rsidRDefault="00C66097" w:rsidP="00C66097">
            <w:pPr>
              <w:pStyle w:val="table1"/>
              <w:rPr>
                <w:lang w:val="en-US"/>
              </w:rPr>
            </w:pPr>
            <w:r>
              <w:rPr>
                <w:lang w:val="en-US"/>
              </w:rPr>
              <w:t>100 - 1,600 mg/L</w:t>
            </w:r>
          </w:p>
        </w:tc>
      </w:tr>
    </w:tbl>
    <w:p w:rsidR="00C66097" w:rsidRDefault="00C66097" w:rsidP="00C66097">
      <w:pPr>
        <w:rPr>
          <w:lang w:val="en-US"/>
        </w:rPr>
      </w:pPr>
    </w:p>
    <w:p w:rsidR="00C66097" w:rsidRDefault="00C66097" w:rsidP="00C66097">
      <w:pPr>
        <w:rPr>
          <w:snapToGrid w:val="0"/>
          <w:color w:val="000000"/>
          <w:szCs w:val="0"/>
          <w:u w:color="000000"/>
        </w:rPr>
      </w:pPr>
      <w:r>
        <w:rPr>
          <w:lang w:val="en-US"/>
        </w:rPr>
        <w:t>Both bores display EC values and Ca, Mg, sulfate and manganese (Mn) concentrations that are elevated compared to background. In contrast, the deeper groundwater observed in bores RN9329 (screened in Aquifer 2</w:t>
      </w:r>
      <w:r w:rsidR="0073388D">
        <w:rPr>
          <w:lang w:val="en-US"/>
        </w:rPr>
        <w:t>, at 17–</w:t>
      </w:r>
      <w:r>
        <w:rPr>
          <w:lang w:val="en-US"/>
        </w:rPr>
        <w:t>19 m) and OB225A (screened in Aquifer 3, at 21–30 m) reflect the background values their respective aquifers, which may suggest that the solutes are confined to the shallow Aquifer 1. A</w:t>
      </w:r>
      <w:r>
        <w:t xml:space="preserve"> number of investigations have been carried out in response to the elevated solute concentrations measured in shallow groundwater to the west of the TSF (</w:t>
      </w:r>
      <w:r w:rsidR="0073388D">
        <w:rPr>
          <w:lang w:val="en-US"/>
        </w:rPr>
        <w:t>O’Neill 2011, O’Neill &amp; Tsang</w:t>
      </w:r>
      <w:r>
        <w:rPr>
          <w:lang w:val="en-US"/>
        </w:rPr>
        <w:t xml:space="preserve"> 2012). These investigations conclude that there was a top-down influence on shallow groundwater caused by the increased solute concentrations in the surface water flowing along the GCT2 tributary.</w:t>
      </w:r>
    </w:p>
    <w:p w:rsidR="00C66097" w:rsidRDefault="00C66097" w:rsidP="00C66097">
      <w:pPr>
        <w:rPr>
          <w:snapToGrid w:val="0"/>
          <w:color w:val="000000"/>
          <w:szCs w:val="0"/>
          <w:u w:color="000000"/>
        </w:rPr>
      </w:pPr>
      <w:proofErr w:type="gramStart"/>
      <w:r>
        <w:rPr>
          <w:snapToGrid w:val="0"/>
          <w:color w:val="000000"/>
          <w:szCs w:val="0"/>
          <w:u w:color="000000"/>
        </w:rPr>
        <w:t>Identifying the source(s) of contamination</w:t>
      </w:r>
      <w:r w:rsidRPr="00241172">
        <w:rPr>
          <w:snapToGrid w:val="0"/>
          <w:color w:val="000000"/>
          <w:szCs w:val="0"/>
          <w:u w:color="000000"/>
        </w:rPr>
        <w:t xml:space="preserve"> </w:t>
      </w:r>
      <w:r>
        <w:rPr>
          <w:snapToGrid w:val="0"/>
          <w:color w:val="000000"/>
          <w:szCs w:val="0"/>
          <w:u w:color="000000"/>
        </w:rPr>
        <w:t>in either surface water or shallow groundwater surrounding the TSF, including whether or not it is tailings-derived, has been a focus of many investigations since the 1980s.</w:t>
      </w:r>
      <w:proofErr w:type="gramEnd"/>
      <w:r>
        <w:rPr>
          <w:snapToGrid w:val="0"/>
          <w:color w:val="000000"/>
          <w:szCs w:val="0"/>
          <w:u w:color="000000"/>
        </w:rPr>
        <w:t xml:space="preserve"> </w:t>
      </w:r>
      <w:r>
        <w:t>The three primary proposed sources of contamination in the Gulungul Creek catchment are: (1) seepage from the base of the TSF; (2) rainfall infiltration of the TSF rock-wall (rock-wall infiltrate); and (3) surface run-off from the TSF rock-wall.</w:t>
      </w:r>
      <w:r w:rsidRPr="0046249E">
        <w:rPr>
          <w:lang w:val="en-US"/>
        </w:rPr>
        <w:t xml:space="preserve"> </w:t>
      </w:r>
      <w:r>
        <w:rPr>
          <w:lang w:val="en-US"/>
        </w:rPr>
        <w:t>However the ability to delineate between the three is confounded by the fact that they all share a similar chemical signature (Alarcon Lean</w:t>
      </w:r>
      <w:r w:rsidRPr="0073388D">
        <w:rPr>
          <w:lang w:val="en-US"/>
        </w:rPr>
        <w:t xml:space="preserve"> et al</w:t>
      </w:r>
      <w:r w:rsidR="0073388D">
        <w:rPr>
          <w:lang w:val="en-US"/>
        </w:rPr>
        <w:t>.</w:t>
      </w:r>
      <w:r>
        <w:rPr>
          <w:lang w:val="en-US"/>
        </w:rPr>
        <w:t xml:space="preserve"> 2007). </w:t>
      </w:r>
      <w:r w:rsidRPr="003B4D0C">
        <w:rPr>
          <w:lang w:val="en-US"/>
        </w:rPr>
        <w:t xml:space="preserve">Due to its </w:t>
      </w:r>
      <w:r>
        <w:rPr>
          <w:lang w:val="en-US"/>
        </w:rPr>
        <w:t xml:space="preserve">conservative behaviour, sulfated </w:t>
      </w:r>
      <w:r w:rsidRPr="003B4D0C">
        <w:rPr>
          <w:lang w:val="en-US"/>
        </w:rPr>
        <w:t>has</w:t>
      </w:r>
      <w:r>
        <w:rPr>
          <w:lang w:val="en-US"/>
        </w:rPr>
        <w:t xml:space="preserve"> been found to be a useful indicator of groundwater contamination at Ranger (Klessa 2001). Sulfur isotope ratios were historically used as a reliable indicator of TSF seepage (leGras </w:t>
      </w:r>
      <w:r w:rsidRPr="0073388D">
        <w:rPr>
          <w:lang w:val="en-US"/>
        </w:rPr>
        <w:t>et al</w:t>
      </w:r>
      <w:r w:rsidR="0073388D">
        <w:rPr>
          <w:lang w:val="en-US"/>
        </w:rPr>
        <w:t>.</w:t>
      </w:r>
      <w:r w:rsidRPr="0073388D">
        <w:rPr>
          <w:lang w:val="en-US"/>
        </w:rPr>
        <w:t xml:space="preserve"> </w:t>
      </w:r>
      <w:r>
        <w:rPr>
          <w:lang w:val="en-US"/>
        </w:rPr>
        <w:t>1991, 1992); however they became less useful over time due to changing sources of sulfur on the mine sit</w:t>
      </w:r>
      <w:r w:rsidR="0073388D">
        <w:rPr>
          <w:lang w:val="en-US"/>
        </w:rPr>
        <w:t>e (Jacobsen</w:t>
      </w:r>
      <w:r>
        <w:rPr>
          <w:lang w:val="en-US"/>
        </w:rPr>
        <w:t xml:space="preserve"> 2009). Many of the other key mine-derived contaminants are not useful indicators because they are reactive and do not travel conservatively in groundwater as they become adsorbed and bound to sub-surface materials or their speciation and solubility changes due to fluctuating redox conditions and pH (Duerden </w:t>
      </w:r>
      <w:r w:rsidR="0073388D">
        <w:rPr>
          <w:lang w:val="en-US"/>
        </w:rPr>
        <w:t>et al. 1992, Martin &amp; Akber 1996, Sinclair 2004, Iles 2008, Jacobsen 2008,</w:t>
      </w:r>
      <w:r>
        <w:rPr>
          <w:lang w:val="en-US"/>
        </w:rPr>
        <w:t xml:space="preserve"> Alarcon Leon </w:t>
      </w:r>
      <w:r w:rsidRPr="0073388D">
        <w:rPr>
          <w:lang w:val="en-US"/>
        </w:rPr>
        <w:t>et al</w:t>
      </w:r>
      <w:r w:rsidR="0073388D">
        <w:rPr>
          <w:lang w:val="en-US"/>
        </w:rPr>
        <w:t>.</w:t>
      </w:r>
      <w:r w:rsidRPr="0073388D">
        <w:rPr>
          <w:lang w:val="en-US"/>
        </w:rPr>
        <w:t xml:space="preserve"> </w:t>
      </w:r>
      <w:r>
        <w:rPr>
          <w:lang w:val="en-US"/>
        </w:rPr>
        <w:t xml:space="preserve">2007). </w:t>
      </w:r>
      <w:r>
        <w:rPr>
          <w:snapToGrid w:val="0"/>
          <w:color w:val="000000"/>
          <w:szCs w:val="0"/>
          <w:u w:color="000000"/>
        </w:rPr>
        <w:t xml:space="preserve">Lowson and Jeffrey (1988) determined attenuation coefficients for a range of ions, which assisted in understanding these adsorption processes from tailings water down gradient of the TSF. </w:t>
      </w:r>
    </w:p>
    <w:p w:rsidR="00C66097" w:rsidRDefault="00C66097" w:rsidP="00C66097">
      <w:pPr>
        <w:rPr>
          <w:lang w:val="en-US"/>
        </w:rPr>
      </w:pPr>
      <w:r>
        <w:rPr>
          <w:lang w:val="en-US"/>
        </w:rPr>
        <w:t>The routine monitoring carried out by ERA focuses on key mine-derived contaminants, including U, Mn and major ions</w:t>
      </w:r>
      <w:r>
        <w:rPr>
          <w:snapToGrid w:val="0"/>
          <w:color w:val="000000"/>
          <w:szCs w:val="0"/>
          <w:u w:color="000000"/>
          <w:lang w:val="en-US"/>
        </w:rPr>
        <w:t>. A</w:t>
      </w:r>
      <w:r>
        <w:rPr>
          <w:lang w:val="en-US"/>
        </w:rPr>
        <w:t xml:space="preserve">nalysis of some of these commonly measured variables in the multi-dimensional space suggests that the water quality at GCT2 is neither similar to those sites associated with rock-wall contaminants, nor the tailings alone, rather it resembles a mixture of three sources, including background runoff </w:t>
      </w:r>
      <w:r w:rsidRPr="00444D2D">
        <w:rPr>
          <w:lang w:val="en-US"/>
        </w:rPr>
        <w:t>(</w:t>
      </w:r>
      <w:r w:rsidR="005813E2">
        <w:t>Figure 12)</w:t>
      </w:r>
      <w:r>
        <w:rPr>
          <w:lang w:val="en-US"/>
        </w:rPr>
        <w:t xml:space="preserve">. </w:t>
      </w:r>
      <w:r>
        <w:t xml:space="preserve">While work carried out by ERA has concluded that the source of the contamination in the GCT2 tributary is the rock-wall of the TSF, in </w:t>
      </w:r>
      <w:r>
        <w:rPr>
          <w:lang w:val="en-US"/>
        </w:rPr>
        <w:t xml:space="preserve">the absence of a clear TSF seepage chemical fingerprint, or signature, </w:t>
      </w:r>
      <w:r>
        <w:t xml:space="preserve">it is difficult to rule out a TSF seepage contribution. This is supported in the URS (2010) review which concluded that at the time, there was not enough information to distinguish the source of solutes in the Gulungul Creek catchment. </w:t>
      </w:r>
      <w:r>
        <w:rPr>
          <w:lang w:val="en-US"/>
        </w:rPr>
        <w:t xml:space="preserve">The </w:t>
      </w:r>
      <w:r>
        <w:rPr>
          <w:snapToGrid w:val="0"/>
          <w:color w:val="000000"/>
          <w:szCs w:val="0"/>
          <w:u w:color="000000"/>
          <w:lang w:val="en-US"/>
        </w:rPr>
        <w:t>suite of elements measured routinely by ERA, particularly sulfate, are crucial for detecting off-site changes in water quality, however there may be other elements that are more suitable for identifying a chemical fingerprint or signature for TSF seepage and work should be carried out in the future to investigate this further. It would be very useful for samples from key monitoring sites to be analysed using full elemental scans by inductively coupled plasma mass spectrometry (ICP-MS) or similar.</w:t>
      </w:r>
    </w:p>
    <w:p w:rsidR="00C66097" w:rsidRDefault="00C66097" w:rsidP="00C66097">
      <w:pPr>
        <w:rPr>
          <w:lang w:val="en-US"/>
        </w:rPr>
      </w:pPr>
      <w:r>
        <w:t>In determining the source of the solutes it is also important to take into account the hydrogeology in the area. I</w:t>
      </w:r>
      <w:r>
        <w:rPr>
          <w:lang w:val="en-US"/>
        </w:rPr>
        <w:t xml:space="preserve">t is accepted that seepage-derived contamination expressing at the surface is most likely to occur where there are higher hydraulic conductivity pathways between the region below the TSF and the surface. </w:t>
      </w:r>
      <w:r w:rsidRPr="00F87B33">
        <w:rPr>
          <w:lang w:val="en-US"/>
        </w:rPr>
        <w:t xml:space="preserve">Ahmad </w:t>
      </w:r>
      <w:r>
        <w:rPr>
          <w:lang w:val="en-US"/>
        </w:rPr>
        <w:t>&amp;</w:t>
      </w:r>
      <w:r w:rsidRPr="00F87B33">
        <w:rPr>
          <w:lang w:val="en-US"/>
        </w:rPr>
        <w:t xml:space="preserve"> Green (1986) </w:t>
      </w:r>
      <w:r>
        <w:rPr>
          <w:lang w:val="en-US"/>
        </w:rPr>
        <w:t>used</w:t>
      </w:r>
      <w:r w:rsidRPr="00F87B33">
        <w:rPr>
          <w:lang w:val="en-US"/>
        </w:rPr>
        <w:t xml:space="preserve"> stable deuterium (δ</w:t>
      </w:r>
      <w:r w:rsidRPr="00F87B33">
        <w:rPr>
          <w:snapToGrid w:val="0"/>
          <w:color w:val="000000"/>
          <w:position w:val="6"/>
          <w:sz w:val="16"/>
          <w:szCs w:val="0"/>
          <w:u w:color="000000"/>
          <w:lang w:val="en-US"/>
        </w:rPr>
        <w:t>2</w:t>
      </w:r>
      <w:r w:rsidRPr="00F87B33">
        <w:rPr>
          <w:lang w:val="en-US"/>
        </w:rPr>
        <w:t>H) and oxygen (δ</w:t>
      </w:r>
      <w:r w:rsidRPr="00F87B33">
        <w:rPr>
          <w:snapToGrid w:val="0"/>
          <w:color w:val="000000"/>
          <w:position w:val="6"/>
          <w:sz w:val="16"/>
          <w:szCs w:val="0"/>
          <w:u w:color="000000"/>
          <w:lang w:val="en-US"/>
        </w:rPr>
        <w:t>18</w:t>
      </w:r>
      <w:r w:rsidRPr="00F87B33">
        <w:rPr>
          <w:lang w:val="en-US"/>
        </w:rPr>
        <w:t xml:space="preserve">O) isotopes to compare </w:t>
      </w:r>
      <w:r>
        <w:rPr>
          <w:lang w:val="en-US"/>
        </w:rPr>
        <w:t>t</w:t>
      </w:r>
      <w:r w:rsidRPr="00F87B33">
        <w:rPr>
          <w:lang w:val="en-US"/>
        </w:rPr>
        <w:t xml:space="preserve">he isotopic signature of groundwater from Aquifer 2 </w:t>
      </w:r>
      <w:r>
        <w:rPr>
          <w:lang w:val="en-US"/>
        </w:rPr>
        <w:t>with</w:t>
      </w:r>
      <w:r w:rsidRPr="00F87B33">
        <w:rPr>
          <w:lang w:val="en-US"/>
        </w:rPr>
        <w:t xml:space="preserve"> TSF water</w:t>
      </w:r>
      <w:r>
        <w:rPr>
          <w:lang w:val="en-US"/>
        </w:rPr>
        <w:t xml:space="preserve"> and the results s</w:t>
      </w:r>
      <w:r w:rsidRPr="00F87B33">
        <w:rPr>
          <w:lang w:val="en-US"/>
        </w:rPr>
        <w:t xml:space="preserve">uggested </w:t>
      </w:r>
      <w:r>
        <w:rPr>
          <w:lang w:val="en-US"/>
        </w:rPr>
        <w:t xml:space="preserve">there was no connectivity between the two in the region of the TSF. However, Hollingsworth &amp; Klessa (2004) indicated that this connectivity is most likely to occur in the vicinity of fault lines and downgradient of locations where sulfate breakthrough has already occurred. </w:t>
      </w:r>
    </w:p>
    <w:p w:rsidR="00C66097" w:rsidRDefault="00C66097" w:rsidP="00C66097">
      <w:pPr>
        <w:rPr>
          <w:lang w:val="en-US"/>
        </w:rPr>
      </w:pPr>
      <w:r>
        <w:rPr>
          <w:lang w:val="en-US"/>
        </w:rPr>
        <w:t xml:space="preserve">In order to identify and map significant faults in the vicinity of the TSF, Lu (2002) used a geophysical resistivity survey of the area along with groundwater chemistry data and aerial photography (in particular, drawing on a study by Verma &amp; Salama, 1986). The five major faults identified are shown in </w:t>
      </w:r>
      <w:r w:rsidR="005813E2">
        <w:t>Figure 15</w:t>
      </w:r>
      <w:r>
        <w:rPr>
          <w:lang w:val="en-US"/>
        </w:rPr>
        <w:t>. They also found that the GCT2 tributary appeared to be coincident with a fault line that intersects the TSF (not shown). These faults could potentially act as a conduit for flow of tailings-derived water towards the west and possibly towards the surface. Faults F4 and F5 intersect one another in the vicinity of GCT2RST. Further investigation needs to be carried out to determine whether the low pH water and orange flocculant observed at GCT2RST is related to the presence and intersection of these faults, as this might indicate whether the iron-rich, anoxic water at GCT2RST is expressing from a shallow or deep groundwater source.</w:t>
      </w:r>
    </w:p>
    <w:p w:rsidR="00C66097" w:rsidRDefault="00C66097" w:rsidP="00C66097">
      <w:pPr>
        <w:keepNext/>
        <w:jc w:val="center"/>
      </w:pPr>
      <w:r>
        <w:rPr>
          <w:noProof/>
          <w:lang w:eastAsia="en-AU"/>
        </w:rPr>
        <w:drawing>
          <wp:inline distT="0" distB="0" distL="0" distR="0">
            <wp:extent cx="5274310" cy="5005307"/>
            <wp:effectExtent l="19050" t="0" r="2540" b="0"/>
            <wp:docPr id="1012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5" cstate="screen">
                      <a:lum bright="10000" contrast="20000"/>
                    </a:blip>
                    <a:srcRect/>
                    <a:stretch>
                      <a:fillRect/>
                    </a:stretch>
                  </pic:blipFill>
                  <pic:spPr bwMode="auto">
                    <a:xfrm>
                      <a:off x="0" y="0"/>
                      <a:ext cx="5274310" cy="5005307"/>
                    </a:xfrm>
                    <a:prstGeom prst="rect">
                      <a:avLst/>
                    </a:prstGeom>
                    <a:noFill/>
                    <a:ln w="9525">
                      <a:noFill/>
                      <a:miter lim="800000"/>
                      <a:headEnd/>
                      <a:tailEnd/>
                    </a:ln>
                  </pic:spPr>
                </pic:pic>
              </a:graphicData>
            </a:graphic>
          </wp:inline>
        </w:drawing>
      </w:r>
    </w:p>
    <w:p w:rsidR="00C66097" w:rsidRPr="00252015" w:rsidRDefault="00C66097" w:rsidP="00C66097">
      <w:pPr>
        <w:pStyle w:val="Caption"/>
        <w:jc w:val="center"/>
        <w:rPr>
          <w:rFonts w:ascii="Arial" w:hAnsi="Arial"/>
          <w:b w:val="0"/>
          <w:bCs w:val="0"/>
          <w:color w:val="auto"/>
          <w:szCs w:val="20"/>
        </w:rPr>
      </w:pPr>
      <w:bookmarkStart w:id="97" w:name="_Ref401743056"/>
      <w:r w:rsidRPr="00252015">
        <w:rPr>
          <w:rFonts w:ascii="Arial" w:hAnsi="Arial"/>
          <w:color w:val="auto"/>
          <w:szCs w:val="20"/>
          <w:lang w:val="en-US"/>
        </w:rPr>
        <w:t xml:space="preserve">Figure </w:t>
      </w:r>
      <w:bookmarkEnd w:id="97"/>
      <w:r>
        <w:rPr>
          <w:rFonts w:ascii="Arial" w:hAnsi="Arial"/>
          <w:color w:val="auto"/>
          <w:szCs w:val="20"/>
          <w:lang w:val="en-US"/>
        </w:rPr>
        <w:t>15</w:t>
      </w:r>
      <w:r>
        <w:t xml:space="preserve"> </w:t>
      </w:r>
      <w:r w:rsidRPr="00252015">
        <w:rPr>
          <w:rFonts w:ascii="Arial" w:hAnsi="Arial"/>
          <w:b w:val="0"/>
          <w:bCs w:val="0"/>
          <w:color w:val="auto"/>
          <w:szCs w:val="20"/>
        </w:rPr>
        <w:t>Faults that were identified as potential seepage paths from the TSF to Gulungul Creek by Lu (2002). Faults were deduced from previous reports and from aerial photographs.</w:t>
      </w:r>
    </w:p>
    <w:p w:rsidR="00C66097" w:rsidRDefault="00C66097" w:rsidP="00C66097">
      <w:pPr>
        <w:rPr>
          <w:lang w:val="en-US"/>
        </w:rPr>
      </w:pPr>
      <w:r>
        <w:rPr>
          <w:lang w:val="en-US"/>
        </w:rPr>
        <w:t>Sulfate breakthrough is a term that describes a consistent increase in sulfate concentrations in groundwater monitoring bores that intercept the advancing front of the TSF seepage plume. This plume is likely to contain various other constituents derived from TSF seepage, however its chemistry h</w:t>
      </w:r>
      <w:r w:rsidR="0073388D">
        <w:rPr>
          <w:lang w:val="en-US"/>
        </w:rPr>
        <w:t>as not been well described (URS</w:t>
      </w:r>
      <w:r>
        <w:rPr>
          <w:lang w:val="en-US"/>
        </w:rPr>
        <w:t xml:space="preserve"> 2010). URS (2010) indicated that bores OB2A, OB4A and OB19A had been contaminated due to sulfate breakthrough prior to being subsumed by the subsequent TSF wall expansions (</w:t>
      </w:r>
      <w:r w:rsidR="005813E2">
        <w:t>Figure 16</w:t>
      </w:r>
      <w:r>
        <w:rPr>
          <w:lang w:val="en-US"/>
        </w:rPr>
        <w:t xml:space="preserve">). </w:t>
      </w:r>
    </w:p>
    <w:p w:rsidR="001A7E73" w:rsidRDefault="001A7E73" w:rsidP="001A7E73">
      <w:pPr>
        <w:rPr>
          <w:lang w:val="en-US"/>
        </w:rPr>
      </w:pPr>
      <w:r>
        <w:rPr>
          <w:lang w:val="en-US"/>
        </w:rPr>
        <w:t xml:space="preserve">During the stage V TSF wall expansion, which was completed in 2007, seepage of water from the foundations of the TSF was observed in the vicinity of OB19A. This water was characterised as Mg and sulfate </w:t>
      </w:r>
      <w:r>
        <w:rPr>
          <w:snapToGrid w:val="0"/>
          <w:color w:val="000000"/>
          <w:szCs w:val="0"/>
          <w:u w:color="000000"/>
          <w:lang w:val="en-US"/>
        </w:rPr>
        <w:t>dominant and was attributed to rock-wall infiltrate and the possible presence of TSF seepage (Alarcon Leon &amp; Pulhalovich, 2007)</w:t>
      </w:r>
      <w:r>
        <w:rPr>
          <w:lang w:val="en-US"/>
        </w:rPr>
        <w:t xml:space="preserve">. Similarly, during the stage VI TSF wall expansion, completed in 2008, seepage water was observed in the vicinity of OB4A and was determined to potentially contain a small percentage of TSF seepage (Jacobsen 2009).  Alarcon Leon and Pulhalovich (2007) suggested that the pools observed near the base of the TSF were caused by the expression of deeper geological features during the wall expansions, as the excavations increased the groundwater pressure beneath the TSF and decreased the resistance to upwards flow of groundwater to shallow soils via localized faulted rocks. </w:t>
      </w:r>
    </w:p>
    <w:p w:rsidR="00C66097" w:rsidRDefault="00C66097" w:rsidP="00C66097">
      <w:pPr>
        <w:rPr>
          <w:lang w:val="en-US"/>
        </w:rPr>
      </w:pPr>
    </w:p>
    <w:p w:rsidR="00C66097" w:rsidRPr="00F33787" w:rsidRDefault="00C66097" w:rsidP="00C66097">
      <w:pPr>
        <w:jc w:val="center"/>
        <w:rPr>
          <w:snapToGrid w:val="0"/>
          <w:color w:val="000000"/>
          <w:szCs w:val="0"/>
          <w:u w:color="000000"/>
        </w:rPr>
      </w:pPr>
      <w:r>
        <w:rPr>
          <w:noProof/>
          <w:color w:val="000000"/>
          <w:szCs w:val="0"/>
          <w:u w:color="000000"/>
          <w:lang w:eastAsia="en-AU"/>
        </w:rPr>
        <w:drawing>
          <wp:inline distT="0" distB="0" distL="0" distR="0">
            <wp:extent cx="3940474" cy="5598088"/>
            <wp:effectExtent l="19050" t="0" r="2876" b="0"/>
            <wp:docPr id="101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 cstate="screen"/>
                    <a:srcRect l="14201" t="10578" r="10629" b="13995"/>
                    <a:stretch>
                      <a:fillRect/>
                    </a:stretch>
                  </pic:blipFill>
                  <pic:spPr bwMode="auto">
                    <a:xfrm>
                      <a:off x="0" y="0"/>
                      <a:ext cx="3944478" cy="5603776"/>
                    </a:xfrm>
                    <a:prstGeom prst="rect">
                      <a:avLst/>
                    </a:prstGeom>
                    <a:noFill/>
                    <a:ln w="9525">
                      <a:noFill/>
                      <a:miter lim="800000"/>
                      <a:headEnd/>
                      <a:tailEnd/>
                    </a:ln>
                  </pic:spPr>
                </pic:pic>
              </a:graphicData>
            </a:graphic>
          </wp:inline>
        </w:drawing>
      </w:r>
    </w:p>
    <w:p w:rsidR="00C66097" w:rsidRPr="002E5D29" w:rsidRDefault="00C66097" w:rsidP="00C66097">
      <w:pPr>
        <w:pStyle w:val="figurecaption"/>
        <w:rPr>
          <w:lang w:val="en-US"/>
        </w:rPr>
      </w:pPr>
      <w:bookmarkStart w:id="98" w:name="_Ref401918715"/>
      <w:r w:rsidRPr="00A00506">
        <w:rPr>
          <w:b/>
          <w:bCs/>
          <w:lang w:val="en-US"/>
        </w:rPr>
        <w:t xml:space="preserve">Figure </w:t>
      </w:r>
      <w:bookmarkEnd w:id="98"/>
      <w:proofErr w:type="gramStart"/>
      <w:r>
        <w:rPr>
          <w:b/>
          <w:bCs/>
          <w:lang w:val="en-US"/>
        </w:rPr>
        <w:t>16</w:t>
      </w:r>
      <w:r w:rsidRPr="002E5D29">
        <w:rPr>
          <w:lang w:val="en-US"/>
        </w:rPr>
        <w:t xml:space="preserve">  </w:t>
      </w:r>
      <w:r>
        <w:t>Map</w:t>
      </w:r>
      <w:proofErr w:type="gramEnd"/>
      <w:r>
        <w:t xml:space="preserve"> of early groundwater monitoring bores taken from Townley (1996) showing the locations of bores OB2A, OB4A and OB19A, where sulfate breakthrough had occurred</w:t>
      </w:r>
      <w:r>
        <w:rPr>
          <w:lang w:val="en-US"/>
        </w:rPr>
        <w:t>.</w:t>
      </w:r>
    </w:p>
    <w:p w:rsidR="001A7E73" w:rsidRDefault="00C66097" w:rsidP="00C66097">
      <w:pPr>
        <w:rPr>
          <w:lang w:val="en-US"/>
        </w:rPr>
        <w:sectPr w:rsidR="001A7E73" w:rsidSect="004336E9">
          <w:pgSz w:w="11906" w:h="16838" w:code="9"/>
          <w:pgMar w:top="1440" w:right="1800" w:bottom="1440" w:left="1800" w:header="1080" w:footer="835" w:gutter="0"/>
          <w:cols w:space="360"/>
          <w:noEndnote/>
        </w:sectPr>
      </w:pPr>
      <w:r>
        <w:rPr>
          <w:lang w:val="en-US"/>
        </w:rPr>
        <w:t xml:space="preserve">The URS review (2010) identified that bores OB2A and OB4A were important for further defining the vertical extent of TSF seepage, recommending that these bores be re-established as nested sets of four monitoring bores and included into a routine, long-term monitoring </w:t>
      </w:r>
      <w:r w:rsidR="00E16AC4">
        <w:rPr>
          <w:lang w:val="en-US"/>
        </w:rPr>
        <w:t>programme</w:t>
      </w:r>
      <w:r>
        <w:rPr>
          <w:lang w:val="en-US"/>
        </w:rPr>
        <w:t>. These nested bores have been installed as recommended, with the nest OBR222A, B, C and D installed in proximity to OB2A and the nest OBR216A, B, C and D installed in proximity to OB4A (</w:t>
      </w:r>
      <w:r w:rsidR="005813E2">
        <w:t>Figure 13</w:t>
      </w:r>
      <w:r>
        <w:rPr>
          <w:lang w:val="en-US"/>
        </w:rPr>
        <w:t xml:space="preserve">). Data from these bores and others installed based on the URS (2010) recommendations have been reported by ERA on a quarterly basis, and are summarised in the routine Annual Ranger </w:t>
      </w:r>
      <w:r w:rsidRPr="00444D2D">
        <w:rPr>
          <w:lang w:val="en-US"/>
        </w:rPr>
        <w:t>Ground Water monitoring</w:t>
      </w:r>
      <w:r w:rsidR="0073388D">
        <w:rPr>
          <w:lang w:val="en-US"/>
        </w:rPr>
        <w:t xml:space="preserve"> Reports (Deacon 2014, Deacon</w:t>
      </w:r>
      <w:r>
        <w:rPr>
          <w:lang w:val="en-US"/>
        </w:rPr>
        <w:t xml:space="preserve"> 2013). However these data are yet to undergo detailed analyses and interpretation and at this point in time:</w:t>
      </w:r>
    </w:p>
    <w:p w:rsidR="00C66097" w:rsidRDefault="00C66097" w:rsidP="00C66097">
      <w:pPr>
        <w:rPr>
          <w:lang w:val="en-US"/>
        </w:rPr>
      </w:pPr>
    </w:p>
    <w:p w:rsidR="00C66097" w:rsidRDefault="00C66097" w:rsidP="00C66097">
      <w:pPr>
        <w:autoSpaceDE w:val="0"/>
        <w:autoSpaceDN w:val="0"/>
        <w:adjustRightInd w:val="0"/>
        <w:spacing w:line="240" w:lineRule="auto"/>
        <w:ind w:left="357"/>
        <w:jc w:val="left"/>
        <w:rPr>
          <w:i/>
          <w:lang w:val="en-US"/>
        </w:rPr>
      </w:pPr>
      <w:r w:rsidRPr="00522E34">
        <w:rPr>
          <w:i/>
          <w:lang w:val="en-US"/>
        </w:rPr>
        <w:t xml:space="preserve">“…The Tailings Storage Facility Groundwater Monitoring </w:t>
      </w:r>
      <w:r w:rsidR="00E16AC4">
        <w:rPr>
          <w:i/>
          <w:lang w:val="en-US"/>
        </w:rPr>
        <w:t>Programme</w:t>
      </w:r>
      <w:r w:rsidRPr="00522E34">
        <w:rPr>
          <w:i/>
          <w:lang w:val="en-US"/>
        </w:rPr>
        <w:t xml:space="preserve"> (TSFGWMP) results to date show there are isolated areas of elevated parameters which may indicate potential tailings water seepage extending laterally from the TSF. These results will require further rounds of monitoring and analyses to confirm whether there is an overall increasing trend developing</w:t>
      </w:r>
      <w:r>
        <w:rPr>
          <w:i/>
          <w:lang w:val="en-US"/>
        </w:rPr>
        <w:t>..</w:t>
      </w:r>
      <w:r w:rsidRPr="00522E34">
        <w:rPr>
          <w:i/>
          <w:lang w:val="en-US"/>
        </w:rPr>
        <w:t>.</w:t>
      </w:r>
      <w:r>
        <w:rPr>
          <w:i/>
          <w:lang w:val="en-US"/>
        </w:rPr>
        <w:t>”</w:t>
      </w:r>
      <w:r w:rsidRPr="00522E34">
        <w:rPr>
          <w:i/>
          <w:lang w:val="en-US"/>
        </w:rPr>
        <w:t xml:space="preserve"> </w:t>
      </w:r>
    </w:p>
    <w:p w:rsidR="00C66097" w:rsidRDefault="00C66097" w:rsidP="00C66097">
      <w:pPr>
        <w:rPr>
          <w:lang w:val="en-US"/>
        </w:rPr>
      </w:pPr>
      <w:r>
        <w:rPr>
          <w:lang w:val="en-US"/>
        </w:rPr>
        <w:t xml:space="preserve">The interpretation of these data, along with data collected from various other bores that are monitored as part of ERA’s TSF routine monitoring </w:t>
      </w:r>
      <w:r w:rsidR="00E16AC4">
        <w:rPr>
          <w:lang w:val="en-US"/>
        </w:rPr>
        <w:t>programme</w:t>
      </w:r>
      <w:r>
        <w:rPr>
          <w:lang w:val="en-US"/>
        </w:rPr>
        <w:t xml:space="preserve">, is critical in determining the current location of the seepage plume and the rate and direction of its progression. ERA is encouraged to progress this analysis as a priority. Klessa &amp; Welsh (2003) reviewed previous studies of solute movement from the TSF, and the expression of solutes in the Gulungul Creek catchment. They specifically focused on implications of further toe loading of the southern wall of the TSF on future water quality in Gulungul Creek, and found that: </w:t>
      </w:r>
    </w:p>
    <w:p w:rsidR="00C66097" w:rsidRPr="009F5ED1" w:rsidRDefault="00C66097" w:rsidP="00C66097">
      <w:pPr>
        <w:rPr>
          <w:lang w:val="en-US"/>
        </w:rPr>
      </w:pPr>
      <w:r>
        <w:rPr>
          <w:i/>
          <w:lang w:val="en-US"/>
        </w:rPr>
        <w:t xml:space="preserve">“the current flux of solutes in a westerly direction from the tailings dam is incompletely described and understood, and, in future, may modify water quality in Gulungul Creek non-linearly and to a greater extent than is currently estimated”. </w:t>
      </w:r>
    </w:p>
    <w:p w:rsidR="00C66097" w:rsidRDefault="00C66097" w:rsidP="00C66097">
      <w:pPr>
        <w:rPr>
          <w:lang w:val="en-US"/>
        </w:rPr>
      </w:pPr>
      <w:proofErr w:type="gramStart"/>
      <w:r>
        <w:rPr>
          <w:lang w:val="en-US"/>
        </w:rPr>
        <w:t>Over time ERA have implemented a number of systems to facilitate the management of poor quality water collected around the base of the TSF, including various collection sumps that can be pumped to other on-site waterbodies depending on their water quality.</w:t>
      </w:r>
      <w:proofErr w:type="gramEnd"/>
      <w:r>
        <w:rPr>
          <w:lang w:val="en-US"/>
        </w:rPr>
        <w:t xml:space="preserve"> In the past these systems have prevented the poor quality water to the west of the TSF from having measurable off-site impacts. However these systems now need to be upgraded to ensure that the poor quality water to the west of the TSF is contained, regardless of its source. Ongoing monitoring will be required to ensure that the upgraded system is working as required and as expected.</w:t>
      </w:r>
    </w:p>
    <w:p w:rsidR="00C66097" w:rsidRPr="0088212B" w:rsidRDefault="00C66097" w:rsidP="00C66097">
      <w:pPr>
        <w:pStyle w:val="Heading2"/>
      </w:pPr>
      <w:r w:rsidRPr="0088212B">
        <w:t>Conclusion</w:t>
      </w:r>
    </w:p>
    <w:p w:rsidR="00C66097" w:rsidRPr="007B770F" w:rsidRDefault="00C66097" w:rsidP="00C66097">
      <w:pPr>
        <w:rPr>
          <w:spacing w:val="-4"/>
          <w:lang w:val="en-US"/>
        </w:rPr>
      </w:pPr>
      <w:r w:rsidRPr="007B770F">
        <w:rPr>
          <w:spacing w:val="-4"/>
          <w:lang w:val="en-US"/>
        </w:rPr>
        <w:t xml:space="preserve">This report presents the details and results of field investigations that were carried out by ERA and the Supervising Scientist in relation the high EC spikes measured in some locations in Gulungul Creek during the 2013/14 wet season. It also proved a summary of previous investigations into the increased solute concentrations in surface water and shallow groundwater to the west of the TSF. There is sufficient evidence showing that input of solutes from the western area of the TSF is causing the water quality in the GCT2 tributary to deteriorate and is now causing elevated EC in parts of Gulungul Creek. The report does not identify the specific source of these solutes, however it presents information to suggest that TSF seepage cannot be ruled out as a potential contributor, including: </w:t>
      </w:r>
    </w:p>
    <w:p w:rsidR="00C66097" w:rsidRPr="007B770F" w:rsidRDefault="00C66097" w:rsidP="00C66097">
      <w:pPr>
        <w:pStyle w:val="ListParagraph"/>
        <w:numPr>
          <w:ilvl w:val="0"/>
          <w:numId w:val="43"/>
        </w:numPr>
        <w:rPr>
          <w:spacing w:val="-4"/>
          <w:lang w:val="en-US"/>
        </w:rPr>
      </w:pPr>
      <w:r w:rsidRPr="007B770F">
        <w:rPr>
          <w:spacing w:val="-4"/>
          <w:lang w:val="en-US"/>
        </w:rPr>
        <w:t>TSF seepage is occurring according to the estimated rates predicted using various groundwater modeling techniques, however analysis and interpretation of the TSF groundwater monitoring data collected to date is not sufficient for determining the full extent of groundwater seepage and understating the connectivity between deep and shallow groundwater;</w:t>
      </w:r>
    </w:p>
    <w:p w:rsidR="00C66097" w:rsidRPr="007B770F" w:rsidRDefault="00C66097" w:rsidP="00C66097">
      <w:pPr>
        <w:pStyle w:val="ListParagraph"/>
        <w:numPr>
          <w:ilvl w:val="0"/>
          <w:numId w:val="43"/>
        </w:numPr>
        <w:rPr>
          <w:spacing w:val="-4"/>
          <w:lang w:val="en-US"/>
        </w:rPr>
      </w:pPr>
      <w:r w:rsidRPr="007B770F">
        <w:rPr>
          <w:spacing w:val="-4"/>
          <w:lang w:val="en-US"/>
        </w:rPr>
        <w:t xml:space="preserve">Evidence of sulfate breakthrough to the south-west of the TSF that has previously expressed at the surface and could contribute increased to Mg and sulfate </w:t>
      </w:r>
      <w:r w:rsidRPr="007B770F">
        <w:rPr>
          <w:snapToGrid w:val="0"/>
          <w:color w:val="000000"/>
          <w:spacing w:val="-4"/>
          <w:szCs w:val="0"/>
          <w:u w:color="000000"/>
          <w:lang w:val="en-US"/>
        </w:rPr>
        <w:t>loads in the catchment</w:t>
      </w:r>
      <w:r w:rsidRPr="007B770F">
        <w:rPr>
          <w:spacing w:val="-4"/>
          <w:lang w:val="en-US"/>
        </w:rPr>
        <w:t>;</w:t>
      </w:r>
    </w:p>
    <w:p w:rsidR="00C66097" w:rsidRPr="007B770F" w:rsidRDefault="00C66097" w:rsidP="00C66097">
      <w:pPr>
        <w:pStyle w:val="ListParagraph"/>
        <w:numPr>
          <w:ilvl w:val="0"/>
          <w:numId w:val="43"/>
        </w:numPr>
        <w:rPr>
          <w:spacing w:val="-4"/>
          <w:lang w:val="en-US"/>
        </w:rPr>
      </w:pPr>
      <w:r w:rsidRPr="007B770F">
        <w:rPr>
          <w:spacing w:val="-4"/>
          <w:lang w:val="en-US"/>
        </w:rPr>
        <w:t>The occurrence of a fault along the GCT2 tributary and the intersection of two major faults upstream of the GCT2RST site which could potentially provide a preferential flow pathway for contaminated groundwater; and</w:t>
      </w:r>
    </w:p>
    <w:p w:rsidR="00C66097" w:rsidRPr="007B770F" w:rsidRDefault="00C66097" w:rsidP="00C66097">
      <w:pPr>
        <w:pStyle w:val="ListParagraph"/>
        <w:numPr>
          <w:ilvl w:val="0"/>
          <w:numId w:val="43"/>
        </w:numPr>
        <w:rPr>
          <w:spacing w:val="-4"/>
          <w:lang w:val="en-US"/>
        </w:rPr>
      </w:pPr>
      <w:r w:rsidRPr="007B770F">
        <w:rPr>
          <w:spacing w:val="-4"/>
          <w:lang w:val="en-US"/>
        </w:rPr>
        <w:t xml:space="preserve">Statistical </w:t>
      </w:r>
      <w:proofErr w:type="gramStart"/>
      <w:r w:rsidRPr="007B770F">
        <w:rPr>
          <w:spacing w:val="-4"/>
          <w:lang w:val="en-US"/>
        </w:rPr>
        <w:t>analysis indicate</w:t>
      </w:r>
      <w:proofErr w:type="gramEnd"/>
      <w:r w:rsidRPr="007B770F">
        <w:rPr>
          <w:spacing w:val="-4"/>
          <w:lang w:val="en-US"/>
        </w:rPr>
        <w:t xml:space="preserve"> the water occurring at GCT2 is only slightly similar to the water derived from rock-wall runoff and infiltrate and is possibly influenced by TSF seepage.</w:t>
      </w:r>
    </w:p>
    <w:p w:rsidR="00C66097" w:rsidRPr="007B770F" w:rsidRDefault="00C66097" w:rsidP="00C66097">
      <w:pPr>
        <w:rPr>
          <w:spacing w:val="-4"/>
          <w:lang w:val="en-US"/>
        </w:rPr>
      </w:pPr>
      <w:r w:rsidRPr="007B770F">
        <w:rPr>
          <w:spacing w:val="-4"/>
          <w:lang w:val="en-US"/>
        </w:rPr>
        <w:t>The Supervising Scientist proposes that ERA restrict the movement of solutes into the Gulungul Creek catchment by upgrading their water management systems to the west of the TSF. Further work should also be carried out to ensure the ongoing protection of the environment in Kakadu National Park downstream of the mine site, including but not limited to:</w:t>
      </w:r>
    </w:p>
    <w:p w:rsidR="00C66097" w:rsidRPr="007B770F" w:rsidRDefault="00C66097" w:rsidP="00C66097">
      <w:pPr>
        <w:rPr>
          <w:spacing w:val="-4"/>
          <w:lang w:val="en-US"/>
        </w:rPr>
      </w:pPr>
      <w:r w:rsidRPr="007B770F">
        <w:rPr>
          <w:spacing w:val="-4"/>
          <w:lang w:val="en-US"/>
        </w:rPr>
        <w:t xml:space="preserve">1. Developing a reliable method for detecting a tailings seepage signal and using it to delineate the source of solutes in the surface water and groundwater mixtures in the Gulungul Creek catchment. This method will not only be useful for gaining a better understanding of the current surface water/groundwater interactions in the Gulungul Creek catchment but is also important for future monitoring of the area. </w:t>
      </w:r>
    </w:p>
    <w:p w:rsidR="00C66097" w:rsidRPr="007B770F" w:rsidRDefault="00C66097" w:rsidP="00C66097">
      <w:pPr>
        <w:rPr>
          <w:spacing w:val="-4"/>
        </w:rPr>
      </w:pPr>
      <w:r w:rsidRPr="007B770F">
        <w:rPr>
          <w:spacing w:val="-4"/>
          <w:lang w:val="en-US"/>
        </w:rPr>
        <w:t xml:space="preserve">2. Reviewing and collating all information available on groundwater contamination, hydrogeology and key potential groundwater flow pathways in the vicinity of the TSF. In particular, the </w:t>
      </w:r>
      <w:r w:rsidRPr="007B770F">
        <w:rPr>
          <w:spacing w:val="-4"/>
        </w:rPr>
        <w:t xml:space="preserve">preferential, highly permeable underground flow pathways associated with fault lines, old uncapped bore holes and the presence of sandy alluvial sediments associated with creek channels, such as the GCT2 tributary, should be investigated. This information should be assessed to design </w:t>
      </w:r>
      <w:r w:rsidR="00925262" w:rsidRPr="007B770F">
        <w:rPr>
          <w:spacing w:val="-4"/>
        </w:rPr>
        <w:t>a</w:t>
      </w:r>
      <w:r w:rsidR="00925262">
        <w:rPr>
          <w:spacing w:val="-4"/>
        </w:rPr>
        <w:t>n</w:t>
      </w:r>
      <w:r w:rsidR="00925262" w:rsidRPr="007B770F">
        <w:rPr>
          <w:spacing w:val="-4"/>
        </w:rPr>
        <w:t xml:space="preserve"> </w:t>
      </w:r>
      <w:r w:rsidRPr="007B770F">
        <w:rPr>
          <w:spacing w:val="-4"/>
        </w:rPr>
        <w:t xml:space="preserve">updated conceptual model that clearly </w:t>
      </w:r>
      <w:r w:rsidRPr="007B770F">
        <w:rPr>
          <w:spacing w:val="-4"/>
          <w:lang w:val="en-US"/>
        </w:rPr>
        <w:t xml:space="preserve">illustrates the lateral movement of solutes in groundwater in the vicinity of the TSF. </w:t>
      </w:r>
    </w:p>
    <w:p w:rsidR="00C66097" w:rsidRPr="007B770F" w:rsidRDefault="00C66097" w:rsidP="00C66097">
      <w:pPr>
        <w:rPr>
          <w:spacing w:val="-4"/>
          <w:lang w:val="en-US"/>
        </w:rPr>
      </w:pPr>
      <w:r w:rsidRPr="007B770F">
        <w:rPr>
          <w:spacing w:val="-4"/>
        </w:rPr>
        <w:t>3. Development and implementation of specific Water Quality Objectives for Gulungul Creek that will enable the risk posed by the potential ongoing contribution of solutes to the catchment to be assessed. This will also provide a means by which active water management strategies can be implemented in the Gulungul Creek catchment in order to control the environmental risk.</w:t>
      </w:r>
    </w:p>
    <w:p w:rsidR="00C66097" w:rsidRPr="007B770F" w:rsidRDefault="00C66097" w:rsidP="00C66097">
      <w:pPr>
        <w:rPr>
          <w:spacing w:val="-4"/>
          <w:lang w:val="en-US"/>
        </w:rPr>
      </w:pPr>
      <w:r w:rsidRPr="007B770F">
        <w:rPr>
          <w:spacing w:val="-4"/>
          <w:lang w:val="en-US"/>
        </w:rPr>
        <w:t xml:space="preserve">A </w:t>
      </w:r>
      <w:r w:rsidR="00E16AC4">
        <w:rPr>
          <w:spacing w:val="-4"/>
          <w:lang w:val="en-US"/>
        </w:rPr>
        <w:t>programme</w:t>
      </w:r>
      <w:r w:rsidRPr="007B770F">
        <w:rPr>
          <w:spacing w:val="-4"/>
          <w:lang w:val="en-US"/>
        </w:rPr>
        <w:t xml:space="preserve"> of possible work has been scoped by the Supervising Scientist and is presented in Appendix A. This work is only suggested at this stage and no commitment is made by the Supervising Scientist to undertake any of the potential projects or tasks except for those already underway, which include:</w:t>
      </w:r>
    </w:p>
    <w:p w:rsidR="00C66097" w:rsidRPr="007B770F" w:rsidRDefault="00C66097" w:rsidP="00C66097">
      <w:pPr>
        <w:pStyle w:val="ListParagraph"/>
        <w:numPr>
          <w:ilvl w:val="0"/>
          <w:numId w:val="42"/>
        </w:numPr>
        <w:rPr>
          <w:spacing w:val="-4"/>
        </w:rPr>
      </w:pPr>
      <w:r w:rsidRPr="007B770F">
        <w:rPr>
          <w:spacing w:val="-4"/>
          <w:lang w:val="en-US"/>
        </w:rPr>
        <w:t>Undertaking direct toxicity assessment of the GCT2 tributary surface water;</w:t>
      </w:r>
    </w:p>
    <w:p w:rsidR="00C66097" w:rsidRPr="007B770F" w:rsidRDefault="00C66097" w:rsidP="00C66097">
      <w:pPr>
        <w:pStyle w:val="ListParagraph"/>
        <w:numPr>
          <w:ilvl w:val="0"/>
          <w:numId w:val="42"/>
        </w:numPr>
        <w:rPr>
          <w:spacing w:val="-4"/>
        </w:rPr>
      </w:pPr>
      <w:r w:rsidRPr="007B770F">
        <w:rPr>
          <w:spacing w:val="-4"/>
          <w:lang w:val="en-US"/>
        </w:rPr>
        <w:t>Installing an additional continuous monitoring station near ERA’s GCLB site;</w:t>
      </w:r>
    </w:p>
    <w:p w:rsidR="00C66097" w:rsidRPr="007B770F" w:rsidRDefault="00C66097" w:rsidP="00C66097">
      <w:pPr>
        <w:pStyle w:val="ListParagraph"/>
        <w:numPr>
          <w:ilvl w:val="0"/>
          <w:numId w:val="42"/>
        </w:numPr>
        <w:rPr>
          <w:spacing w:val="-4"/>
        </w:rPr>
      </w:pPr>
      <w:r w:rsidRPr="007B770F">
        <w:rPr>
          <w:spacing w:val="-4"/>
          <w:lang w:val="en-US"/>
        </w:rPr>
        <w:t>Assessing aerial imagery for signs of vegetation die back;</w:t>
      </w:r>
    </w:p>
    <w:p w:rsidR="00C66097" w:rsidRPr="007B770F" w:rsidRDefault="00C66097" w:rsidP="00C66097">
      <w:pPr>
        <w:pStyle w:val="ListParagraph"/>
        <w:numPr>
          <w:ilvl w:val="0"/>
          <w:numId w:val="42"/>
        </w:numPr>
        <w:rPr>
          <w:spacing w:val="-4"/>
        </w:rPr>
      </w:pPr>
      <w:r w:rsidRPr="007B770F">
        <w:rPr>
          <w:spacing w:val="-4"/>
          <w:lang w:val="en-US"/>
        </w:rPr>
        <w:t>Characterising the mineralogy of the evaporites using visible and near-infrared reflectance data coupled with x-ray diffraction data; and</w:t>
      </w:r>
    </w:p>
    <w:p w:rsidR="00C66097" w:rsidRDefault="00C66097" w:rsidP="00C66097">
      <w:pPr>
        <w:pStyle w:val="ListParagraph"/>
        <w:numPr>
          <w:ilvl w:val="0"/>
          <w:numId w:val="42"/>
        </w:numPr>
        <w:rPr>
          <w:spacing w:val="-4"/>
        </w:rPr>
      </w:pPr>
      <w:r w:rsidRPr="007B770F">
        <w:rPr>
          <w:spacing w:val="-4"/>
          <w:lang w:val="en-US"/>
        </w:rPr>
        <w:t xml:space="preserve">Working collaboratively with ERA to implement a </w:t>
      </w:r>
      <w:r w:rsidRPr="007B770F">
        <w:rPr>
          <w:spacing w:val="-4"/>
        </w:rPr>
        <w:t xml:space="preserve">wet season monitoring </w:t>
      </w:r>
      <w:r w:rsidR="00E16AC4">
        <w:rPr>
          <w:spacing w:val="-4"/>
        </w:rPr>
        <w:t>programme</w:t>
      </w:r>
      <w:r w:rsidRPr="007B770F">
        <w:rPr>
          <w:spacing w:val="-4"/>
        </w:rPr>
        <w:t xml:space="preserve"> that (i) detects and accurately quantifies the affects of the solutes on water quality in the Gulungul Creek catchment; and (ii) assess the long-term effectiveness of the surface water management systems in place to the west of the TSF.</w:t>
      </w:r>
    </w:p>
    <w:p w:rsidR="00C14AC5" w:rsidRDefault="00C14AC5" w:rsidP="00C14AC5">
      <w:pPr>
        <w:pStyle w:val="ListParagraph"/>
        <w:numPr>
          <w:ilvl w:val="0"/>
          <w:numId w:val="0"/>
        </w:numPr>
        <w:ind w:left="780"/>
        <w:rPr>
          <w:spacing w:val="-4"/>
        </w:rPr>
        <w:sectPr w:rsidR="00C14AC5" w:rsidSect="004336E9">
          <w:pgSz w:w="11906" w:h="16838" w:code="9"/>
          <w:pgMar w:top="1440" w:right="1800" w:bottom="1440" w:left="1800" w:header="1080" w:footer="835" w:gutter="0"/>
          <w:cols w:space="360"/>
          <w:noEndnote/>
        </w:sectPr>
      </w:pPr>
    </w:p>
    <w:p w:rsidR="00C66097" w:rsidRPr="002E5D29" w:rsidRDefault="00C66097" w:rsidP="00C66097">
      <w:pPr>
        <w:pStyle w:val="Heading2"/>
      </w:pPr>
      <w:r w:rsidRPr="002E5D29">
        <w:t>References</w:t>
      </w:r>
    </w:p>
    <w:p w:rsidR="00C66097" w:rsidRDefault="00C66097" w:rsidP="00C66097">
      <w:pPr>
        <w:pStyle w:val="referencelist1"/>
        <w:rPr>
          <w:noProof/>
        </w:rPr>
      </w:pPr>
      <w:r>
        <w:rPr>
          <w:noProof/>
        </w:rPr>
        <w:t xml:space="preserve">Ahmad M, Green DC 1986. Groundwater regimes and isotopic studies, Ranger mine area, Northern Territory. </w:t>
      </w:r>
      <w:r w:rsidRPr="00BA6ED8">
        <w:rPr>
          <w:i/>
          <w:noProof/>
        </w:rPr>
        <w:t>Australian Journal of Earth Sciences</w:t>
      </w:r>
      <w:r w:rsidR="0073388D">
        <w:rPr>
          <w:noProof/>
        </w:rPr>
        <w:t xml:space="preserve"> 33,391–</w:t>
      </w:r>
      <w:r>
        <w:rPr>
          <w:noProof/>
        </w:rPr>
        <w:t>399.</w:t>
      </w:r>
    </w:p>
    <w:p w:rsidR="00C66097" w:rsidRDefault="00C66097" w:rsidP="00C66097">
      <w:pPr>
        <w:pStyle w:val="referencelist1"/>
        <w:rPr>
          <w:noProof/>
        </w:rPr>
      </w:pPr>
      <w:proofErr w:type="gramStart"/>
      <w:r>
        <w:t>Alarcon Leon E &amp; Puhalovich A 2007.</w:t>
      </w:r>
      <w:proofErr w:type="gramEnd"/>
      <w:r>
        <w:t xml:space="preserve"> Short Report: Observed seepages in the region of the Ranger tailing storage facility. Construction of the wall </w:t>
      </w:r>
      <w:proofErr w:type="gramStart"/>
      <w:r>
        <w:t>raise</w:t>
      </w:r>
      <w:proofErr w:type="gramEnd"/>
      <w:r>
        <w:t xml:space="preserve"> to RL +47.5 in 2006. EWL Science Pty Ltd. August 2007.</w:t>
      </w:r>
    </w:p>
    <w:p w:rsidR="00C66097" w:rsidRDefault="00C66097" w:rsidP="00C66097">
      <w:pPr>
        <w:pStyle w:val="referencelist1"/>
      </w:pPr>
      <w:proofErr w:type="gramStart"/>
      <w:r>
        <w:t>Alarcon Leon E, Puhalovich A &amp; Klessa D 2007.</w:t>
      </w:r>
      <w:proofErr w:type="gramEnd"/>
      <w:r>
        <w:t xml:space="preserve"> </w:t>
      </w:r>
      <w:proofErr w:type="gramStart"/>
      <w:r>
        <w:t>Assessment of water quality &amp; the origin of surface pools – Ranger TSF.</w:t>
      </w:r>
      <w:proofErr w:type="gramEnd"/>
      <w:r>
        <w:t xml:space="preserve"> EWL Science Pty Ltd. September 2007</w:t>
      </w:r>
    </w:p>
    <w:p w:rsidR="00C66097" w:rsidRDefault="00C66097" w:rsidP="00C66097">
      <w:pPr>
        <w:pStyle w:val="referencelist1"/>
        <w:rPr>
          <w:noProof/>
        </w:rPr>
      </w:pPr>
      <w:proofErr w:type="gramStart"/>
      <w:r>
        <w:t>Brown PL &amp; Lowson RT 1990.</w:t>
      </w:r>
      <w:proofErr w:type="gramEnd"/>
      <w:r>
        <w:t xml:space="preserve"> </w:t>
      </w:r>
      <w:proofErr w:type="gramStart"/>
      <w:r>
        <w:t>An interim report to Ranger Uranium Mines on tailings dam seepage.</w:t>
      </w:r>
      <w:proofErr w:type="gramEnd"/>
      <w:r>
        <w:t xml:space="preserve"> </w:t>
      </w:r>
      <w:proofErr w:type="gramStart"/>
      <w:r>
        <w:t>Australian Nuclear Science and Technology Organisation (ANSTO) Lucas Heights Research Laboratories.</w:t>
      </w:r>
      <w:proofErr w:type="gramEnd"/>
      <w:r>
        <w:t xml:space="preserve"> March 1990.</w:t>
      </w:r>
    </w:p>
    <w:p w:rsidR="00C66097" w:rsidRDefault="00C66097" w:rsidP="00C66097">
      <w:pPr>
        <w:pStyle w:val="referencelist1"/>
        <w:rPr>
          <w:noProof/>
        </w:rPr>
      </w:pPr>
      <w:r>
        <w:rPr>
          <w:noProof/>
        </w:rPr>
        <w:t>Burgess PJ 2008. Ranger Tailings Dam Stage VI/RL 54.0 m – Design Study Report. Geotechnics Pty Ltd.</w:t>
      </w:r>
    </w:p>
    <w:p w:rsidR="00C66097" w:rsidRDefault="00C66097" w:rsidP="00C66097">
      <w:pPr>
        <w:pStyle w:val="referencelist1"/>
        <w:rPr>
          <w:noProof/>
        </w:rPr>
      </w:pPr>
      <w:r>
        <w:rPr>
          <w:noProof/>
        </w:rPr>
        <w:t>Buselli G &amp; Lu K 1999. Application of Some New Techniques to Detect Groundwater Contamination at Mine Tailings Dams. Cooperative Research Centre fro Australian Mineral Exploration Technologies (c/o CSIRO Exploration and Mining).</w:t>
      </w:r>
    </w:p>
    <w:p w:rsidR="00C66097" w:rsidRDefault="00C66097" w:rsidP="00C66097">
      <w:pPr>
        <w:pStyle w:val="referencelist1"/>
        <w:rPr>
          <w:noProof/>
        </w:rPr>
      </w:pPr>
      <w:r w:rsidRPr="000D3541">
        <w:rPr>
          <w:noProof/>
        </w:rPr>
        <w:t>Buselli</w:t>
      </w:r>
      <w:r>
        <w:rPr>
          <w:noProof/>
        </w:rPr>
        <w:t xml:space="preserve"> G &amp; Lu K 2000. Detection and Long-term Monitoring of Groundwater Contamination with Geophysical Methods at the Ranger Minesite. CSIRO Exploration and Mining Report 779F.</w:t>
      </w:r>
    </w:p>
    <w:p w:rsidR="00C66097" w:rsidRDefault="00C66097" w:rsidP="00C66097">
      <w:pPr>
        <w:pStyle w:val="referencelist1"/>
        <w:rPr>
          <w:noProof/>
        </w:rPr>
      </w:pPr>
      <w:r>
        <w:rPr>
          <w:noProof/>
        </w:rPr>
        <w:t xml:space="preserve">Buselli G, Lu K, Pulhalovich A &amp; Milnes </w:t>
      </w:r>
      <w:r w:rsidRPr="00826DE3">
        <w:rPr>
          <w:noProof/>
        </w:rPr>
        <w:t>T 2001</w:t>
      </w:r>
      <w:r>
        <w:rPr>
          <w:noProof/>
        </w:rPr>
        <w:t>. Geophysical Surveys on the Western and Eastern Sides of the Ranger Tailings Dam. CSIRO Exploration and Mining Report 779F.</w:t>
      </w:r>
    </w:p>
    <w:p w:rsidR="00C66097" w:rsidRDefault="00C66097" w:rsidP="00C66097">
      <w:pPr>
        <w:pStyle w:val="referencelist1"/>
        <w:rPr>
          <w:noProof/>
        </w:rPr>
      </w:pPr>
      <w:r>
        <w:rPr>
          <w:noProof/>
        </w:rPr>
        <w:t>Coffey Mining Pty Ltd 2010. Ranger Tailings Dam – Annual Dam Inspection, 2010, Report to ERA Ltc – Commercial-in-Confidence. Report No. HB57/1-A.</w:t>
      </w:r>
    </w:p>
    <w:p w:rsidR="00C66097" w:rsidRDefault="00C66097" w:rsidP="00C66097">
      <w:pPr>
        <w:pStyle w:val="referencelist1"/>
        <w:rPr>
          <w:noProof/>
        </w:rPr>
      </w:pPr>
      <w:r>
        <w:rPr>
          <w:noProof/>
        </w:rPr>
        <w:t>Deacon J, Mitchell E &amp; O’Neill A 2013. Annual Ranger Groundwater Report 2012–2013, Energy Resources of Australia Ltd, December 2013.</w:t>
      </w:r>
    </w:p>
    <w:p w:rsidR="00C66097" w:rsidRDefault="00C66097" w:rsidP="00C66097">
      <w:pPr>
        <w:pStyle w:val="referencelist1"/>
        <w:rPr>
          <w:noProof/>
        </w:rPr>
      </w:pPr>
      <w:r>
        <w:rPr>
          <w:noProof/>
        </w:rPr>
        <w:t>Deacon J, Mitchell E &amp; O’Neill A 2014. Draft Report - Annual Ranger Groundwater Report 2013–2014, Energy Resources of Australia Ltd, October 2014.</w:t>
      </w:r>
    </w:p>
    <w:p w:rsidR="00C66097" w:rsidRDefault="00C66097" w:rsidP="00C66097">
      <w:pPr>
        <w:pStyle w:val="referencelist1"/>
        <w:rPr>
          <w:noProof/>
        </w:rPr>
      </w:pPr>
      <w:r>
        <w:rPr>
          <w:noProof/>
        </w:rPr>
        <w:t>Department of Mines and Energy 2014. Report to the Alligator Rivers Region Advisory Committee, Report for the Period March 2014 to July 2014, Report Number 68.</w:t>
      </w:r>
    </w:p>
    <w:p w:rsidR="00C66097" w:rsidRDefault="00C66097" w:rsidP="00C66097">
      <w:pPr>
        <w:pStyle w:val="referencelist1"/>
        <w:rPr>
          <w:noProof/>
        </w:rPr>
      </w:pPr>
      <w:r>
        <w:rPr>
          <w:noProof/>
        </w:rPr>
        <w:t>Duerden P, Lever DA, Sverjensky DA &amp; Townley LR 1992. Summary of findings. Final Report Vol 1, Alligator River Analogue Project, Australina Nuclear and Tedchnology Organisation.</w:t>
      </w:r>
    </w:p>
    <w:p w:rsidR="00C66097" w:rsidRDefault="00C66097" w:rsidP="00C66097">
      <w:pPr>
        <w:pStyle w:val="referencelist1"/>
        <w:rPr>
          <w:noProof/>
        </w:rPr>
      </w:pPr>
      <w:r>
        <w:rPr>
          <w:noProof/>
        </w:rPr>
        <w:t>Hollingsworth I &amp; Klessa D 2004. An Investigation of the Propensity for and Evidence of Acid Sulphate Soil Development in the Gulungul Creek Catchment. For ERA Ranger Mine by EWL Sciences Pty Ltd.</w:t>
      </w:r>
    </w:p>
    <w:p w:rsidR="00C66097" w:rsidRDefault="00C66097" w:rsidP="00C66097">
      <w:pPr>
        <w:pStyle w:val="referencelist1"/>
        <w:rPr>
          <w:noProof/>
        </w:rPr>
      </w:pPr>
      <w:r>
        <w:rPr>
          <w:noProof/>
        </w:rPr>
        <w:t>Iles M 2008. Characterisation of evaporites from in and around the Ranger TSF, EWL Science Pty Ltd.</w:t>
      </w:r>
    </w:p>
    <w:p w:rsidR="00C66097" w:rsidRDefault="00C66097" w:rsidP="00C66097">
      <w:pPr>
        <w:pStyle w:val="referencelist1"/>
      </w:pPr>
      <w:proofErr w:type="gramStart"/>
      <w:r>
        <w:t>Jacobsen N 2009.</w:t>
      </w:r>
      <w:proofErr w:type="gramEnd"/>
      <w:r>
        <w:t xml:space="preserve"> Short Report: Investigation into observed seepages during the construction of the TSF </w:t>
      </w:r>
      <w:proofErr w:type="gramStart"/>
      <w:r>
        <w:t>lift</w:t>
      </w:r>
      <w:proofErr w:type="gramEnd"/>
      <w:r>
        <w:t xml:space="preserve"> to 54 mRL. EWL Science Pty Ltd. March 2009.</w:t>
      </w:r>
    </w:p>
    <w:p w:rsidR="00C66097" w:rsidRDefault="00C66097" w:rsidP="00C66097">
      <w:pPr>
        <w:pStyle w:val="referencelist1"/>
        <w:rPr>
          <w:noProof/>
        </w:rPr>
      </w:pPr>
      <w:proofErr w:type="gramStart"/>
      <w:r>
        <w:t>Klessa DA 2001.</w:t>
      </w:r>
      <w:proofErr w:type="gramEnd"/>
      <w:r>
        <w:t xml:space="preserve"> </w:t>
      </w:r>
      <w:proofErr w:type="gramStart"/>
      <w:r>
        <w:t>A Review of Groundwater Chemistry Monitoring Data at Ranger.</w:t>
      </w:r>
      <w:proofErr w:type="gramEnd"/>
      <w:r>
        <w:t xml:space="preserve"> </w:t>
      </w:r>
      <w:proofErr w:type="gramStart"/>
      <w:r>
        <w:t>Office of the Supervising Scientist.</w:t>
      </w:r>
      <w:proofErr w:type="gramEnd"/>
    </w:p>
    <w:p w:rsidR="00C66097" w:rsidRDefault="00C66097" w:rsidP="00C66097">
      <w:pPr>
        <w:pStyle w:val="referencelist1"/>
        <w:rPr>
          <w:noProof/>
        </w:rPr>
      </w:pPr>
      <w:r>
        <w:rPr>
          <w:noProof/>
        </w:rPr>
        <w:t>Klessa DA &amp; Welsh M 2003. An assessment of the effects of Ranger Mine landforms on Gulungul Creek water chemistry. Internal Discussion Document for ERA Ranger Mine by EWL Sciences Pty Ltd.</w:t>
      </w:r>
    </w:p>
    <w:p w:rsidR="00C66097" w:rsidRDefault="00C66097" w:rsidP="00C66097">
      <w:pPr>
        <w:pStyle w:val="referencelist1"/>
        <w:rPr>
          <w:noProof/>
        </w:rPr>
      </w:pPr>
      <w:r>
        <w:rPr>
          <w:noProof/>
        </w:rPr>
        <w:t>leGras C, Akber R &amp; Andrew A 1991. The sulphur isotope composition of mineral surface and grounwtaere sampels from the Ranger uranium min, Northern Territory. Supervising Scientists for the Alligator Rivers Region Internal Report 44</w:t>
      </w:r>
      <w:r w:rsidRPr="00A57695">
        <w:rPr>
          <w:noProof/>
        </w:rPr>
        <w:t>.</w:t>
      </w:r>
    </w:p>
    <w:p w:rsidR="00C66097" w:rsidRDefault="00C66097" w:rsidP="00C66097">
      <w:pPr>
        <w:pStyle w:val="referencelist1"/>
        <w:rPr>
          <w:noProof/>
        </w:rPr>
      </w:pPr>
      <w:r>
        <w:rPr>
          <w:noProof/>
        </w:rPr>
        <w:t xml:space="preserve">leGras C, Akber R &amp; Andrew A 1992. The sulphur isotope composition of pore water, seepage and infiltration samples from the tailings dam, Ranger Uranium Mine, Northern Territory. Supervising Scientists for the Alligator Rivers Region </w:t>
      </w:r>
      <w:r w:rsidRPr="00A57695">
        <w:rPr>
          <w:noProof/>
        </w:rPr>
        <w:t>Internal Report 126.</w:t>
      </w:r>
    </w:p>
    <w:p w:rsidR="00C66097" w:rsidRDefault="00C66097" w:rsidP="00C66097">
      <w:pPr>
        <w:pStyle w:val="referencelist1"/>
        <w:rPr>
          <w:noProof/>
        </w:rPr>
      </w:pPr>
      <w:r>
        <w:rPr>
          <w:noProof/>
        </w:rPr>
        <w:t>Lowson RT &amp; Jeffrey J 1988. A report to Ranger Uranium Mines on the attenuation of solutes (chemical and radioactive species) in tailings water by adsorption on soil and rock materials down gradient of the Ranger tailings dam, ANSTO.</w:t>
      </w:r>
    </w:p>
    <w:p w:rsidR="00C66097" w:rsidRDefault="00C66097" w:rsidP="00C66097">
      <w:pPr>
        <w:pStyle w:val="referencelist1"/>
        <w:rPr>
          <w:noProof/>
        </w:rPr>
      </w:pPr>
      <w:r>
        <w:rPr>
          <w:noProof/>
        </w:rPr>
        <w:t>Lu K 2002. Preliminary Investigations of Possible Seepage into Gulungul Creek from Ranger’s Tailings Dam. EWL Sciences Pty Ltd.</w:t>
      </w:r>
    </w:p>
    <w:p w:rsidR="00C66097" w:rsidRDefault="00C66097" w:rsidP="00C66097">
      <w:pPr>
        <w:pStyle w:val="referencelist1"/>
        <w:rPr>
          <w:noProof/>
        </w:rPr>
      </w:pPr>
      <w:r>
        <w:rPr>
          <w:noProof/>
        </w:rPr>
        <w:t>Lu K &amp; Puhalovich A 2002. Nature and behaviour of the groundwater mound beneath the Ranger tailings dam. EWL Science Pty Ltd. August 2002.</w:t>
      </w:r>
    </w:p>
    <w:p w:rsidR="00C66097" w:rsidRDefault="00C66097" w:rsidP="00C66097">
      <w:pPr>
        <w:pStyle w:val="referencelist1"/>
        <w:rPr>
          <w:noProof/>
        </w:rPr>
      </w:pPr>
      <w:r>
        <w:rPr>
          <w:noProof/>
        </w:rPr>
        <w:t xml:space="preserve">Martin P &amp; Akber RA 1994. Radium isotopes as seepage indicators in the vicinity of a uranium tailings dam. </w:t>
      </w:r>
      <w:r w:rsidRPr="006543DB">
        <w:rPr>
          <w:i/>
          <w:noProof/>
        </w:rPr>
        <w:t>Techniques for the Analysis of Radionuclides in the Environment and Their Application – Part 1</w:t>
      </w:r>
      <w:r>
        <w:rPr>
          <w:noProof/>
        </w:rPr>
        <w:t xml:space="preserve">, Akber RA &amp; Martin P (eds). Technical Memorandum 47, Paper 5: 39–48. </w:t>
      </w:r>
    </w:p>
    <w:p w:rsidR="00C66097" w:rsidRDefault="00C66097" w:rsidP="00C66097">
      <w:pPr>
        <w:pStyle w:val="referencelist1"/>
        <w:rPr>
          <w:noProof/>
        </w:rPr>
      </w:pPr>
      <w:r>
        <w:rPr>
          <w:noProof/>
        </w:rPr>
        <w:t>Martin P &amp; Akber RA 1996. Groundwater seepage from the Ranger uranium mine tailings dam: Radioisotopes of Radium, Thorium and Actinium. Supervising Scientist Report 106, Office of the Supervising Scientsit.</w:t>
      </w:r>
    </w:p>
    <w:p w:rsidR="00C66097" w:rsidRDefault="00C66097" w:rsidP="00C66097">
      <w:pPr>
        <w:pStyle w:val="referencelist1"/>
        <w:rPr>
          <w:noProof/>
        </w:rPr>
      </w:pPr>
      <w:r>
        <w:rPr>
          <w:noProof/>
        </w:rPr>
        <w:t>O’Neill A 2011. Water Quality Investigation: Groundwater Bores RN23566 and RN23568. ERA Pty Ltd.</w:t>
      </w:r>
    </w:p>
    <w:p w:rsidR="00C66097" w:rsidRDefault="00C66097" w:rsidP="00C66097">
      <w:pPr>
        <w:pStyle w:val="referencelist1"/>
        <w:rPr>
          <w:noProof/>
        </w:rPr>
      </w:pPr>
      <w:r>
        <w:rPr>
          <w:noProof/>
        </w:rPr>
        <w:t>O’Neill A &amp; Tsang J 2012. Sediment contamination and groundwater quality in the Gulungul tributaries. ERA Pty Ltd.</w:t>
      </w:r>
    </w:p>
    <w:p w:rsidR="00C66097" w:rsidRDefault="00C66097" w:rsidP="00C66097">
      <w:pPr>
        <w:pStyle w:val="referencelist1"/>
        <w:rPr>
          <w:noProof/>
        </w:rPr>
      </w:pPr>
      <w:r>
        <w:rPr>
          <w:noProof/>
        </w:rPr>
        <w:t>Peter P, Wright M &amp; Richards BG 1994. Quantification of the Permeability of Materials at and Below the Base of the Tailings Dam. CSIRO Minesite Rehabilitation Research. August 1994.</w:t>
      </w:r>
    </w:p>
    <w:p w:rsidR="00C66097" w:rsidRDefault="00C66097" w:rsidP="00C66097">
      <w:pPr>
        <w:pStyle w:val="referencelist1"/>
        <w:rPr>
          <w:noProof/>
        </w:rPr>
      </w:pPr>
      <w:r>
        <w:rPr>
          <w:noProof/>
        </w:rPr>
        <w:t>Puhalovich A &amp; Cook TJF 2009. Characterisation of hydrogeological conditions: Ranger Tailings Dam ARRTC Meeting #24, 5 November 2009.</w:t>
      </w:r>
    </w:p>
    <w:p w:rsidR="00C66097" w:rsidRPr="0081595D" w:rsidRDefault="00C66097" w:rsidP="00C66097">
      <w:pPr>
        <w:pStyle w:val="referencelist1"/>
        <w:rPr>
          <w:noProof/>
        </w:rPr>
      </w:pPr>
      <w:r>
        <w:rPr>
          <w:noProof/>
        </w:rPr>
        <w:t xml:space="preserve">Puhalovich A, Mundle K, Pol R &amp; Toll N 2012. One- and three-dimensional modelling of sub-surface solute transport processes in the region of Ranger urnium mine’s tailings storage facility, Nrothern Territory, Australia. </w:t>
      </w:r>
      <w:r w:rsidRPr="00F63502">
        <w:rPr>
          <w:i/>
          <w:noProof/>
        </w:rPr>
        <w:t>In Internaltional Mine Water Association Annual Conference</w:t>
      </w:r>
      <w:r>
        <w:rPr>
          <w:noProof/>
        </w:rPr>
        <w:t>. McCullough, Lund &amp; Wyse (Eds).</w:t>
      </w:r>
    </w:p>
    <w:p w:rsidR="00C66097" w:rsidRDefault="00C66097" w:rsidP="00C66097">
      <w:pPr>
        <w:pStyle w:val="referencelist1"/>
        <w:rPr>
          <w:noProof/>
        </w:rPr>
      </w:pPr>
      <w:r>
        <w:rPr>
          <w:noProof/>
        </w:rPr>
        <w:t>Salama R &amp; Foley G 1997. Ranger Regional Hydrogeology Conceptual Model. CSIRO and ERA.</w:t>
      </w:r>
    </w:p>
    <w:p w:rsidR="00C66097" w:rsidRDefault="00C66097" w:rsidP="00C66097">
      <w:pPr>
        <w:pStyle w:val="referencelist1"/>
        <w:rPr>
          <w:noProof/>
        </w:rPr>
      </w:pPr>
      <w:r>
        <w:rPr>
          <w:noProof/>
        </w:rPr>
        <w:t>Sinclair G 2004. The effects of weathering and diagenetic processes on the geochemical stability of uranium mill tailings. PhD thesis, School of Earth and Environmental Sciences, University of Adelaide, 2004.</w:t>
      </w:r>
    </w:p>
    <w:p w:rsidR="00C66097" w:rsidRDefault="00C66097" w:rsidP="00C66097">
      <w:pPr>
        <w:pStyle w:val="referencelist1"/>
        <w:rPr>
          <w:noProof/>
        </w:rPr>
      </w:pPr>
      <w:r>
        <w:rPr>
          <w:noProof/>
        </w:rPr>
        <w:t>Townley LR 1996. Review of Previous Studies of Seepage from Ranger Tailings Dam. CSIRO Minesite Rehabilitation Research Group.</w:t>
      </w:r>
    </w:p>
    <w:p w:rsidR="00C66097" w:rsidRDefault="00C66097" w:rsidP="00C66097">
      <w:pPr>
        <w:pStyle w:val="referencelist1"/>
        <w:rPr>
          <w:noProof/>
        </w:rPr>
      </w:pPr>
      <w:r>
        <w:rPr>
          <w:noProof/>
        </w:rPr>
        <w:t>URS 2010. Final Report, Independent Hydrogeological Review, Tailings Storage Facility, Ranger Uranium Mine - Commercial in Confidence. Authors: Weaver, T R., O’Neill, A., Makin, S., Murfitt, T., Berryman, S. McGowan, P.</w:t>
      </w:r>
    </w:p>
    <w:p w:rsidR="00C66097" w:rsidRDefault="00C66097" w:rsidP="00C66097">
      <w:pPr>
        <w:pStyle w:val="referencelist1"/>
        <w:rPr>
          <w:noProof/>
        </w:rPr>
      </w:pPr>
      <w:r>
        <w:rPr>
          <w:noProof/>
        </w:rPr>
        <w:t>Verma M &amp; Salama R 1986. Preliminary Groundwater Studies in the Ranger Area. Northern Territory. Department of Mines and Energy. Report 31/1986.</w:t>
      </w:r>
    </w:p>
    <w:p w:rsidR="00C66097" w:rsidRDefault="00C66097" w:rsidP="00C66097">
      <w:pPr>
        <w:pStyle w:val="referencelist1"/>
        <w:rPr>
          <w:noProof/>
        </w:rPr>
      </w:pPr>
      <w:r>
        <w:rPr>
          <w:noProof/>
        </w:rPr>
        <w:t>Volk PL, Regan WM and MacGregor JP</w:t>
      </w:r>
      <w:r w:rsidRPr="00BA6ED8">
        <w:rPr>
          <w:i/>
          <w:noProof/>
        </w:rPr>
        <w:t xml:space="preserve"> </w:t>
      </w:r>
      <w:r>
        <w:rPr>
          <w:noProof/>
        </w:rPr>
        <w:t>1980. Construction Foundations of the Tailings Dam and Water Retention Embankments. Report No S6274.AM prepared by Coffey and Partners. January 1980.</w:t>
      </w:r>
    </w:p>
    <w:p w:rsidR="00C66097" w:rsidRPr="0088212B" w:rsidRDefault="00C66097" w:rsidP="00C66097"/>
    <w:p w:rsidR="00C66097" w:rsidRDefault="00C66097" w:rsidP="00C66097">
      <w:pPr>
        <w:spacing w:after="0" w:line="240" w:lineRule="auto"/>
        <w:jc w:val="left"/>
      </w:pPr>
    </w:p>
    <w:p w:rsidR="00C66097" w:rsidRDefault="00C66097" w:rsidP="00C65E6B">
      <w:pPr>
        <w:pStyle w:val="Heading1"/>
        <w:jc w:val="both"/>
        <w:sectPr w:rsidR="00C66097" w:rsidSect="004336E9">
          <w:pgSz w:w="11906" w:h="16838" w:code="9"/>
          <w:pgMar w:top="1440" w:right="1800" w:bottom="1440" w:left="1800" w:header="1080" w:footer="835" w:gutter="0"/>
          <w:cols w:space="360"/>
          <w:noEndnote/>
        </w:sectPr>
      </w:pPr>
    </w:p>
    <w:p w:rsidR="002B76A0" w:rsidRDefault="00184370" w:rsidP="00C65E6B">
      <w:pPr>
        <w:pStyle w:val="Heading1"/>
        <w:jc w:val="both"/>
      </w:pPr>
      <w:bookmarkStart w:id="99" w:name="_Toc418172695"/>
      <w:r>
        <w:t>Toxicity of</w:t>
      </w:r>
      <w:r w:rsidR="002B76A0" w:rsidRPr="009A3243">
        <w:t xml:space="preserve"> ammonia </w:t>
      </w:r>
      <w:bookmarkEnd w:id="61"/>
      <w:bookmarkEnd w:id="63"/>
      <w:r>
        <w:t>to local freshwater biota</w:t>
      </w:r>
      <w:bookmarkEnd w:id="99"/>
    </w:p>
    <w:p w:rsidR="009A3243" w:rsidRPr="009A3243" w:rsidRDefault="0058618D" w:rsidP="0058618D">
      <w:pPr>
        <w:pStyle w:val="Heading3"/>
        <w:spacing w:after="480"/>
        <w:jc w:val="center"/>
      </w:pPr>
      <w:r>
        <w:t xml:space="preserve">T Mooney, C Pease, </w:t>
      </w:r>
      <w:proofErr w:type="gramStart"/>
      <w:r>
        <w:t>A</w:t>
      </w:r>
      <w:proofErr w:type="gramEnd"/>
      <w:r>
        <w:t xml:space="preserve"> Hogan &amp; A Harford </w:t>
      </w:r>
    </w:p>
    <w:p w:rsidR="002B76A0" w:rsidRDefault="002B76A0" w:rsidP="003A673B">
      <w:pPr>
        <w:pStyle w:val="Heading2"/>
      </w:pPr>
      <w:r w:rsidRPr="00C041F1">
        <w:t>Background</w:t>
      </w:r>
    </w:p>
    <w:p w:rsidR="002B76A0" w:rsidRPr="00F64E04" w:rsidRDefault="002B76A0" w:rsidP="002B76A0">
      <w:pPr>
        <w:rPr>
          <w:szCs w:val="24"/>
        </w:rPr>
      </w:pPr>
      <w:r w:rsidRPr="00F64E04">
        <w:rPr>
          <w:szCs w:val="24"/>
        </w:rPr>
        <w:t>Although ammonia (NH</w:t>
      </w:r>
      <w:r w:rsidRPr="00AD50E0">
        <w:rPr>
          <w:snapToGrid w:val="0"/>
          <w:position w:val="-5"/>
          <w:sz w:val="18"/>
          <w:szCs w:val="24"/>
          <w:u w:color="000000"/>
        </w:rPr>
        <w:t>3</w:t>
      </w:r>
      <w:r w:rsidRPr="00F64E04">
        <w:rPr>
          <w:szCs w:val="24"/>
        </w:rPr>
        <w:t>-N) is present at very high concentrations in</w:t>
      </w:r>
      <w:r>
        <w:rPr>
          <w:szCs w:val="24"/>
        </w:rPr>
        <w:t xml:space="preserve"> Ranger process water (~1000 mg </w:t>
      </w:r>
      <w:r w:rsidRPr="00F64E04">
        <w:rPr>
          <w:szCs w:val="24"/>
        </w:rPr>
        <w:t>L</w:t>
      </w:r>
      <w:r w:rsidRPr="00474BB5">
        <w:rPr>
          <w:snapToGrid w:val="0"/>
          <w:color w:val="000000"/>
          <w:position w:val="6"/>
          <w:sz w:val="16"/>
          <w:szCs w:val="0"/>
          <w:u w:color="000000"/>
        </w:rPr>
        <w:t>-1</w:t>
      </w:r>
      <w:r w:rsidRPr="00F64E04">
        <w:rPr>
          <w:szCs w:val="24"/>
        </w:rPr>
        <w:t xml:space="preserve"> Total Ammonia Nitrogen, TAN </w:t>
      </w:r>
      <w:r>
        <w:rPr>
          <w:szCs w:val="24"/>
        </w:rPr>
        <w:t>(</w:t>
      </w:r>
      <w:r w:rsidRPr="00F64E04">
        <w:rPr>
          <w:szCs w:val="24"/>
        </w:rPr>
        <w:t>NH</w:t>
      </w:r>
      <w:r w:rsidRPr="00AD50E0">
        <w:rPr>
          <w:snapToGrid w:val="0"/>
          <w:position w:val="-5"/>
          <w:sz w:val="18"/>
          <w:szCs w:val="24"/>
          <w:u w:color="000000"/>
        </w:rPr>
        <w:t>3</w:t>
      </w:r>
      <w:r w:rsidRPr="00F64E04">
        <w:rPr>
          <w:szCs w:val="24"/>
        </w:rPr>
        <w:t>-N</w:t>
      </w:r>
      <w:r>
        <w:rPr>
          <w:szCs w:val="24"/>
        </w:rPr>
        <w:t>)</w:t>
      </w:r>
      <w:r w:rsidRPr="00F64E04">
        <w:rPr>
          <w:szCs w:val="24"/>
        </w:rPr>
        <w:t xml:space="preserve">, to date it has presented negligible environmental risk as process water is not discharged to the off-site environment. However, these risks may increase in the future through (i) the </w:t>
      </w:r>
      <w:r>
        <w:rPr>
          <w:szCs w:val="24"/>
        </w:rPr>
        <w:t xml:space="preserve">potential </w:t>
      </w:r>
      <w:r w:rsidRPr="00F64E04">
        <w:rPr>
          <w:szCs w:val="24"/>
        </w:rPr>
        <w:t>presence of residual amounts of ammonia in treated process water distillate from th</w:t>
      </w:r>
      <w:r>
        <w:rPr>
          <w:szCs w:val="24"/>
        </w:rPr>
        <w:t xml:space="preserve">e brine concentrator (~1 mg TAN </w:t>
      </w:r>
      <w:r w:rsidRPr="00F64E04">
        <w:rPr>
          <w:szCs w:val="24"/>
        </w:rPr>
        <w:t>L</w:t>
      </w:r>
      <w:r w:rsidRPr="00117B5D">
        <w:rPr>
          <w:snapToGrid w:val="0"/>
          <w:color w:val="000000"/>
          <w:position w:val="6"/>
          <w:sz w:val="16"/>
          <w:szCs w:val="0"/>
          <w:u w:color="000000"/>
        </w:rPr>
        <w:t>-1</w:t>
      </w:r>
      <w:r w:rsidRPr="00F64E04">
        <w:rPr>
          <w:szCs w:val="24"/>
        </w:rPr>
        <w:t>, Harford et al</w:t>
      </w:r>
      <w:r w:rsidR="005A1E72">
        <w:rPr>
          <w:szCs w:val="24"/>
        </w:rPr>
        <w:t>.</w:t>
      </w:r>
      <w:r w:rsidRPr="00F64E04">
        <w:rPr>
          <w:szCs w:val="24"/>
        </w:rPr>
        <w:t xml:space="preserve"> 2013)</w:t>
      </w:r>
      <w:r>
        <w:rPr>
          <w:szCs w:val="24"/>
        </w:rPr>
        <w:t>;</w:t>
      </w:r>
      <w:r w:rsidRPr="00F64E04">
        <w:rPr>
          <w:szCs w:val="24"/>
        </w:rPr>
        <w:t xml:space="preserve"> and (ii) potential seepage of ammonia from in-pit tailings </w:t>
      </w:r>
      <w:r>
        <w:rPr>
          <w:szCs w:val="24"/>
        </w:rPr>
        <w:t xml:space="preserve">deposits </w:t>
      </w:r>
      <w:r w:rsidRPr="00F64E04">
        <w:rPr>
          <w:szCs w:val="24"/>
        </w:rPr>
        <w:t xml:space="preserve">post-closure. Consequently, a site-specific water quality </w:t>
      </w:r>
      <w:r>
        <w:rPr>
          <w:szCs w:val="24"/>
        </w:rPr>
        <w:t>Guideline</w:t>
      </w:r>
      <w:r w:rsidRPr="00F64E04">
        <w:rPr>
          <w:szCs w:val="24"/>
        </w:rPr>
        <w:t xml:space="preserve"> </w:t>
      </w:r>
      <w:r>
        <w:rPr>
          <w:szCs w:val="24"/>
        </w:rPr>
        <w:t>V</w:t>
      </w:r>
      <w:r w:rsidRPr="00F64E04">
        <w:rPr>
          <w:szCs w:val="24"/>
        </w:rPr>
        <w:t>alue (</w:t>
      </w:r>
      <w:r>
        <w:rPr>
          <w:szCs w:val="24"/>
        </w:rPr>
        <w:t>G</w:t>
      </w:r>
      <w:r w:rsidRPr="00F64E04">
        <w:rPr>
          <w:szCs w:val="24"/>
        </w:rPr>
        <w:t>V) for ammonia in Magela Creek is required.</w:t>
      </w:r>
      <w:r>
        <w:rPr>
          <w:szCs w:val="24"/>
        </w:rPr>
        <w:t xml:space="preserve"> This project</w:t>
      </w:r>
      <w:r w:rsidRPr="00F64E04">
        <w:rPr>
          <w:szCs w:val="24"/>
        </w:rPr>
        <w:t xml:space="preserve"> aims to understand ammonia toxicity under physico-chemical conditions relevant to the off-site surface water environment (i.e. Magela Creek – channel and billabongs) to a range of local freshwater species. </w:t>
      </w:r>
    </w:p>
    <w:p w:rsidR="002B76A0" w:rsidRDefault="002B76A0" w:rsidP="002B76A0">
      <w:pPr>
        <w:rPr>
          <w:szCs w:val="24"/>
        </w:rPr>
      </w:pPr>
      <w:r w:rsidRPr="00F64E04">
        <w:rPr>
          <w:szCs w:val="24"/>
        </w:rPr>
        <w:t xml:space="preserve">The results from toxicity tests using six native local species will be used to derive site-specific </w:t>
      </w:r>
      <w:r>
        <w:rPr>
          <w:szCs w:val="24"/>
        </w:rPr>
        <w:t>G</w:t>
      </w:r>
      <w:r w:rsidRPr="00F64E04">
        <w:rPr>
          <w:szCs w:val="24"/>
        </w:rPr>
        <w:t xml:space="preserve">Vs that can be incorporated into the regulatory regime. </w:t>
      </w:r>
      <w:r>
        <w:rPr>
          <w:szCs w:val="24"/>
        </w:rPr>
        <w:t>Until this study is completed,</w:t>
      </w:r>
      <w:r w:rsidRPr="00F64E04">
        <w:rPr>
          <w:szCs w:val="24"/>
        </w:rPr>
        <w:t xml:space="preserve"> an interim 99% </w:t>
      </w:r>
      <w:r>
        <w:rPr>
          <w:szCs w:val="24"/>
        </w:rPr>
        <w:t>G</w:t>
      </w:r>
      <w:r w:rsidRPr="00F64E04">
        <w:rPr>
          <w:szCs w:val="24"/>
        </w:rPr>
        <w:t xml:space="preserve">V for ammonia of 0.7 mg </w:t>
      </w:r>
      <w:r>
        <w:rPr>
          <w:szCs w:val="24"/>
        </w:rPr>
        <w:t xml:space="preserve">TAN </w:t>
      </w:r>
      <w:r w:rsidRPr="00F64E04">
        <w:rPr>
          <w:szCs w:val="24"/>
        </w:rPr>
        <w:t>L</w:t>
      </w:r>
      <w:r w:rsidRPr="00117B5D">
        <w:rPr>
          <w:snapToGrid w:val="0"/>
          <w:color w:val="000000"/>
          <w:position w:val="6"/>
          <w:sz w:val="16"/>
          <w:szCs w:val="0"/>
          <w:u w:color="000000"/>
        </w:rPr>
        <w:t>-1</w:t>
      </w:r>
      <w:r>
        <w:rPr>
          <w:snapToGrid w:val="0"/>
          <w:color w:val="000000"/>
          <w:position w:val="6"/>
          <w:sz w:val="16"/>
          <w:szCs w:val="0"/>
          <w:u w:color="000000"/>
        </w:rPr>
        <w:t xml:space="preserve"> </w:t>
      </w:r>
      <w:r w:rsidRPr="00F64E04">
        <w:rPr>
          <w:szCs w:val="24"/>
        </w:rPr>
        <w:t>has been calculated and applied at M</w:t>
      </w:r>
      <w:r>
        <w:rPr>
          <w:szCs w:val="24"/>
        </w:rPr>
        <w:t>G</w:t>
      </w:r>
      <w:r w:rsidRPr="00F64E04">
        <w:rPr>
          <w:szCs w:val="24"/>
        </w:rPr>
        <w:t xml:space="preserve">009 </w:t>
      </w:r>
      <w:r>
        <w:rPr>
          <w:szCs w:val="24"/>
        </w:rPr>
        <w:t>as part of the approval for ERA to</w:t>
      </w:r>
      <w:r w:rsidRPr="00F64E04">
        <w:rPr>
          <w:szCs w:val="24"/>
        </w:rPr>
        <w:t xml:space="preserve"> discharge</w:t>
      </w:r>
      <w:r>
        <w:rPr>
          <w:szCs w:val="24"/>
        </w:rPr>
        <w:t xml:space="preserve"> </w:t>
      </w:r>
      <w:r w:rsidRPr="00F64E04">
        <w:rPr>
          <w:szCs w:val="24"/>
        </w:rPr>
        <w:t>distillate from the</w:t>
      </w:r>
      <w:r>
        <w:rPr>
          <w:szCs w:val="24"/>
        </w:rPr>
        <w:t xml:space="preserve"> Ranger</w:t>
      </w:r>
      <w:r w:rsidRPr="00F64E04">
        <w:rPr>
          <w:szCs w:val="24"/>
        </w:rPr>
        <w:t xml:space="preserve"> brine concentrator </w:t>
      </w:r>
      <w:r>
        <w:rPr>
          <w:szCs w:val="24"/>
        </w:rPr>
        <w:t xml:space="preserve">to Magela Creek (via Corridor Creek) </w:t>
      </w:r>
      <w:r w:rsidR="005A1E72">
        <w:rPr>
          <w:szCs w:val="24"/>
        </w:rPr>
        <w:t>during the 2013–</w:t>
      </w:r>
      <w:r w:rsidRPr="00F64E04">
        <w:rPr>
          <w:szCs w:val="24"/>
        </w:rPr>
        <w:t xml:space="preserve">2014 wet-season. The interim </w:t>
      </w:r>
      <w:r>
        <w:rPr>
          <w:szCs w:val="24"/>
        </w:rPr>
        <w:t>G</w:t>
      </w:r>
      <w:r w:rsidRPr="00F64E04">
        <w:rPr>
          <w:szCs w:val="24"/>
        </w:rPr>
        <w:t xml:space="preserve">V was derived using the large body of literature concerning ammonia toxicity, </w:t>
      </w:r>
      <w:r>
        <w:rPr>
          <w:szCs w:val="24"/>
        </w:rPr>
        <w:t>and was largely based on the recent</w:t>
      </w:r>
      <w:r w:rsidRPr="00F64E04">
        <w:rPr>
          <w:szCs w:val="24"/>
        </w:rPr>
        <w:t xml:space="preserve"> USEPA</w:t>
      </w:r>
      <w:r>
        <w:rPr>
          <w:szCs w:val="24"/>
        </w:rPr>
        <w:t xml:space="preserve"> (</w:t>
      </w:r>
      <w:r w:rsidRPr="00F64E04">
        <w:rPr>
          <w:szCs w:val="24"/>
        </w:rPr>
        <w:t xml:space="preserve">2013) </w:t>
      </w:r>
      <w:r>
        <w:rPr>
          <w:szCs w:val="24"/>
        </w:rPr>
        <w:t>updated water quality criterion for ammonia</w:t>
      </w:r>
      <w:r w:rsidRPr="00F64E04">
        <w:rPr>
          <w:szCs w:val="24"/>
        </w:rPr>
        <w:t>.</w:t>
      </w:r>
      <w:r>
        <w:rPr>
          <w:szCs w:val="24"/>
        </w:rPr>
        <w:t xml:space="preserve"> </w:t>
      </w:r>
    </w:p>
    <w:p w:rsidR="002B76A0" w:rsidRPr="00F64E04" w:rsidRDefault="002B76A0" w:rsidP="002B76A0">
      <w:pPr>
        <w:rPr>
          <w:szCs w:val="24"/>
        </w:rPr>
      </w:pPr>
      <w:r>
        <w:rPr>
          <w:szCs w:val="24"/>
        </w:rPr>
        <w:t>Ammonia is readily miscible with water and will undergo ionisation to form the ammonium ion (</w:t>
      </w:r>
      <w:r w:rsidRPr="00F64E04">
        <w:rPr>
          <w:szCs w:val="24"/>
        </w:rPr>
        <w:t>NH</w:t>
      </w:r>
      <w:r w:rsidRPr="00E9572E">
        <w:rPr>
          <w:snapToGrid w:val="0"/>
          <w:position w:val="-5"/>
          <w:sz w:val="14"/>
          <w:szCs w:val="24"/>
          <w:u w:color="000000"/>
        </w:rPr>
        <w:t>4</w:t>
      </w:r>
      <w:r w:rsidRPr="00E9572E">
        <w:rPr>
          <w:snapToGrid w:val="0"/>
          <w:position w:val="5"/>
          <w:sz w:val="14"/>
          <w:szCs w:val="24"/>
          <w:u w:color="000000"/>
        </w:rPr>
        <w:t>+</w:t>
      </w:r>
      <w:r>
        <w:rPr>
          <w:szCs w:val="24"/>
        </w:rPr>
        <w:t>), the degree of ionisation being dependent on pH and temperature, with higher pH values leading to decreased ionisation.</w:t>
      </w:r>
      <w:r w:rsidRPr="00F64E04">
        <w:rPr>
          <w:szCs w:val="24"/>
        </w:rPr>
        <w:t xml:space="preserve"> </w:t>
      </w:r>
      <w:r>
        <w:rPr>
          <w:szCs w:val="24"/>
        </w:rPr>
        <w:t>Ammonia t</w:t>
      </w:r>
      <w:r w:rsidRPr="00F64E04">
        <w:rPr>
          <w:szCs w:val="24"/>
        </w:rPr>
        <w:t xml:space="preserve">oxicity is predominantly caused by the unionised </w:t>
      </w:r>
      <w:r>
        <w:rPr>
          <w:szCs w:val="24"/>
        </w:rPr>
        <w:t>from (</w:t>
      </w:r>
      <w:r w:rsidRPr="00F64E04">
        <w:rPr>
          <w:szCs w:val="24"/>
        </w:rPr>
        <w:t>NH</w:t>
      </w:r>
      <w:r w:rsidRPr="003F181C">
        <w:t>3</w:t>
      </w:r>
      <w:r>
        <w:rPr>
          <w:szCs w:val="24"/>
        </w:rPr>
        <w:t>), thus, GVs</w:t>
      </w:r>
      <w:r w:rsidRPr="00F64E04">
        <w:rPr>
          <w:szCs w:val="24"/>
        </w:rPr>
        <w:t xml:space="preserve"> </w:t>
      </w:r>
      <w:r>
        <w:rPr>
          <w:szCs w:val="24"/>
        </w:rPr>
        <w:t>should</w:t>
      </w:r>
      <w:r w:rsidRPr="00F64E04">
        <w:rPr>
          <w:szCs w:val="24"/>
        </w:rPr>
        <w:t xml:space="preserve"> be adjusted </w:t>
      </w:r>
      <w:r>
        <w:rPr>
          <w:szCs w:val="24"/>
        </w:rPr>
        <w:t xml:space="preserve">for </w:t>
      </w:r>
      <w:r w:rsidRPr="00F64E04">
        <w:rPr>
          <w:szCs w:val="24"/>
        </w:rPr>
        <w:t>temperature and pH</w:t>
      </w:r>
      <w:r>
        <w:rPr>
          <w:szCs w:val="24"/>
        </w:rPr>
        <w:t xml:space="preserve"> to account for these important changes in speciation and toxicity.</w:t>
      </w:r>
    </w:p>
    <w:p w:rsidR="002B76A0" w:rsidRDefault="002B76A0" w:rsidP="002B76A0">
      <w:pPr>
        <w:rPr>
          <w:szCs w:val="24"/>
        </w:rPr>
      </w:pPr>
      <w:r w:rsidRPr="00F64E04">
        <w:rPr>
          <w:szCs w:val="24"/>
        </w:rPr>
        <w:t xml:space="preserve">Preliminary toxicity testing of ammonia </w:t>
      </w:r>
      <w:r>
        <w:rPr>
          <w:szCs w:val="24"/>
        </w:rPr>
        <w:t>was</w:t>
      </w:r>
      <w:r w:rsidRPr="00F64E04">
        <w:rPr>
          <w:szCs w:val="24"/>
        </w:rPr>
        <w:t xml:space="preserve"> undertaken for </w:t>
      </w:r>
      <w:r>
        <w:rPr>
          <w:szCs w:val="24"/>
        </w:rPr>
        <w:t>o</w:t>
      </w:r>
      <w:r w:rsidRPr="00F64E04">
        <w:rPr>
          <w:szCs w:val="24"/>
        </w:rPr>
        <w:t xml:space="preserve">ne local species, the green hydra, </w:t>
      </w:r>
      <w:proofErr w:type="gramStart"/>
      <w:r w:rsidRPr="00F64E04">
        <w:rPr>
          <w:i/>
          <w:iCs/>
          <w:szCs w:val="24"/>
        </w:rPr>
        <w:t>Hydra</w:t>
      </w:r>
      <w:proofErr w:type="gramEnd"/>
      <w:r w:rsidRPr="00F64E04">
        <w:rPr>
          <w:i/>
          <w:iCs/>
          <w:szCs w:val="24"/>
        </w:rPr>
        <w:t xml:space="preserve"> viridissima</w:t>
      </w:r>
      <w:r w:rsidRPr="00F64E04">
        <w:rPr>
          <w:szCs w:val="24"/>
        </w:rPr>
        <w:t xml:space="preserve">. This species was found to be highly sensitive to ammonia </w:t>
      </w:r>
      <w:r>
        <w:rPr>
          <w:szCs w:val="24"/>
        </w:rPr>
        <w:t xml:space="preserve">where test water was </w:t>
      </w:r>
      <w:r w:rsidRPr="00F64E04">
        <w:rPr>
          <w:szCs w:val="24"/>
        </w:rPr>
        <w:t>at pH 8</w:t>
      </w:r>
      <w:r>
        <w:rPr>
          <w:szCs w:val="24"/>
        </w:rPr>
        <w:t xml:space="preserve"> and at a temperature of 27.5°C</w:t>
      </w:r>
      <w:r w:rsidRPr="00F64E04">
        <w:rPr>
          <w:szCs w:val="24"/>
        </w:rPr>
        <w:t xml:space="preserve">, with </w:t>
      </w:r>
      <w:r w:rsidRPr="00D21270">
        <w:rPr>
          <w:szCs w:val="24"/>
        </w:rPr>
        <w:t>E</w:t>
      </w:r>
      <w:r>
        <w:rPr>
          <w:szCs w:val="24"/>
        </w:rPr>
        <w:t>C10</w:t>
      </w:r>
      <w:r w:rsidRPr="00F64E04">
        <w:rPr>
          <w:szCs w:val="24"/>
        </w:rPr>
        <w:t xml:space="preserve"> and E</w:t>
      </w:r>
      <w:r>
        <w:rPr>
          <w:szCs w:val="24"/>
        </w:rPr>
        <w:t>C50</w:t>
      </w:r>
      <w:r w:rsidRPr="00F64E04">
        <w:rPr>
          <w:szCs w:val="24"/>
        </w:rPr>
        <w:t xml:space="preserve"> (i</w:t>
      </w:r>
      <w:r w:rsidR="005A1E72">
        <w:rPr>
          <w:szCs w:val="24"/>
        </w:rPr>
        <w:t>.</w:t>
      </w:r>
      <w:r w:rsidRPr="00F64E04">
        <w:rPr>
          <w:szCs w:val="24"/>
        </w:rPr>
        <w:t>e. concentrations causing 10 and 50% effect</w:t>
      </w:r>
      <w:r>
        <w:rPr>
          <w:szCs w:val="24"/>
        </w:rPr>
        <w:t xml:space="preserve"> in population growth</w:t>
      </w:r>
      <w:r w:rsidRPr="00F64E04">
        <w:rPr>
          <w:szCs w:val="24"/>
        </w:rPr>
        <w:t>) values of 0.2 and 1.6</w:t>
      </w:r>
      <w:r>
        <w:rPr>
          <w:szCs w:val="24"/>
        </w:rPr>
        <w:t xml:space="preserve"> </w:t>
      </w:r>
      <w:r w:rsidRPr="00F64E04">
        <w:rPr>
          <w:szCs w:val="24"/>
        </w:rPr>
        <w:t xml:space="preserve">mg </w:t>
      </w:r>
      <w:r>
        <w:rPr>
          <w:szCs w:val="24"/>
        </w:rPr>
        <w:t xml:space="preserve">TAN </w:t>
      </w:r>
      <w:r w:rsidRPr="00F64E04">
        <w:rPr>
          <w:szCs w:val="24"/>
        </w:rPr>
        <w:t>L</w:t>
      </w:r>
      <w:r w:rsidRPr="00117B5D">
        <w:rPr>
          <w:snapToGrid w:val="0"/>
          <w:color w:val="000000"/>
          <w:position w:val="6"/>
          <w:sz w:val="16"/>
          <w:szCs w:val="0"/>
          <w:u w:color="000000"/>
        </w:rPr>
        <w:t>-1</w:t>
      </w:r>
      <w:r>
        <w:rPr>
          <w:szCs w:val="24"/>
        </w:rPr>
        <w:t>, respectively (van Dam et al</w:t>
      </w:r>
      <w:r w:rsidR="005A1E72">
        <w:rPr>
          <w:szCs w:val="24"/>
        </w:rPr>
        <w:t>.</w:t>
      </w:r>
      <w:r w:rsidRPr="00F64E04">
        <w:rPr>
          <w:szCs w:val="24"/>
        </w:rPr>
        <w:t xml:space="preserve"> 2011). </w:t>
      </w:r>
      <w:r>
        <w:rPr>
          <w:szCs w:val="24"/>
        </w:rPr>
        <w:t>A</w:t>
      </w:r>
      <w:r w:rsidRPr="00F64E04">
        <w:rPr>
          <w:szCs w:val="24"/>
        </w:rPr>
        <w:t xml:space="preserve">mmonia toxicity under typical physico-chemical conditions of Magela Creek water </w:t>
      </w:r>
      <w:r>
        <w:rPr>
          <w:szCs w:val="24"/>
        </w:rPr>
        <w:t>will, h</w:t>
      </w:r>
      <w:r w:rsidRPr="00F64E04">
        <w:rPr>
          <w:szCs w:val="24"/>
        </w:rPr>
        <w:t>owever</w:t>
      </w:r>
      <w:r>
        <w:rPr>
          <w:szCs w:val="24"/>
        </w:rPr>
        <w:t xml:space="preserve">, very likely </w:t>
      </w:r>
      <w:r w:rsidRPr="00E07CEB">
        <w:rPr>
          <w:szCs w:val="24"/>
        </w:rPr>
        <w:t>be lower than</w:t>
      </w:r>
      <w:r w:rsidRPr="00F64E04">
        <w:rPr>
          <w:szCs w:val="24"/>
        </w:rPr>
        <w:t xml:space="preserve"> this, as </w:t>
      </w:r>
      <w:r>
        <w:rPr>
          <w:szCs w:val="24"/>
        </w:rPr>
        <w:t>the</w:t>
      </w:r>
      <w:r w:rsidRPr="00F64E04">
        <w:rPr>
          <w:szCs w:val="24"/>
        </w:rPr>
        <w:t xml:space="preserve"> pH </w:t>
      </w:r>
      <w:r>
        <w:rPr>
          <w:szCs w:val="24"/>
        </w:rPr>
        <w:t xml:space="preserve">of the creek </w:t>
      </w:r>
      <w:r w:rsidRPr="00F64E04">
        <w:rPr>
          <w:szCs w:val="24"/>
        </w:rPr>
        <w:t>typically ranges from 5.4 to 6.4, where the proportion of the more toxic NH</w:t>
      </w:r>
      <w:r w:rsidRPr="00E9572E">
        <w:rPr>
          <w:snapToGrid w:val="0"/>
          <w:position w:val="-5"/>
          <w:sz w:val="18"/>
          <w:szCs w:val="24"/>
          <w:u w:color="000000"/>
        </w:rPr>
        <w:t>3</w:t>
      </w:r>
      <w:r w:rsidRPr="00F64E04">
        <w:rPr>
          <w:szCs w:val="24"/>
        </w:rPr>
        <w:t xml:space="preserve"> is approximately 30 times lower than at pH 8.0 (Emerson et al. 1975). To ensure toxicity estimates </w:t>
      </w:r>
      <w:r>
        <w:rPr>
          <w:szCs w:val="24"/>
        </w:rPr>
        <w:t xml:space="preserve">from laboratory tests </w:t>
      </w:r>
      <w:r w:rsidRPr="00F64E04">
        <w:rPr>
          <w:szCs w:val="24"/>
        </w:rPr>
        <w:t>are accurate, pH and temperature need to be closely monitored and control</w:t>
      </w:r>
      <w:r>
        <w:rPr>
          <w:szCs w:val="24"/>
        </w:rPr>
        <w:t>led</w:t>
      </w:r>
      <w:r w:rsidRPr="00F64E04">
        <w:rPr>
          <w:szCs w:val="24"/>
        </w:rPr>
        <w:t>. Controlling pH to the level required in the poorly buffered, soft</w:t>
      </w:r>
      <w:r>
        <w:rPr>
          <w:szCs w:val="24"/>
        </w:rPr>
        <w:t>-</w:t>
      </w:r>
      <w:r w:rsidRPr="00F64E04">
        <w:rPr>
          <w:szCs w:val="24"/>
        </w:rPr>
        <w:t>waters of Magela Creek provides a p</w:t>
      </w:r>
      <w:r>
        <w:rPr>
          <w:szCs w:val="24"/>
        </w:rPr>
        <w:t>articular challenge. Therefore, an appropriate pH buffering</w:t>
      </w:r>
      <w:r w:rsidRPr="00F64E04">
        <w:rPr>
          <w:szCs w:val="24"/>
        </w:rPr>
        <w:t xml:space="preserve"> </w:t>
      </w:r>
      <w:r>
        <w:rPr>
          <w:szCs w:val="24"/>
        </w:rPr>
        <w:t>system for each test species required investigation</w:t>
      </w:r>
      <w:r w:rsidRPr="00F64E04">
        <w:rPr>
          <w:szCs w:val="24"/>
        </w:rPr>
        <w:t>. The bicarbonate buffering system was identified as</w:t>
      </w:r>
      <w:r>
        <w:rPr>
          <w:szCs w:val="24"/>
        </w:rPr>
        <w:t xml:space="preserve"> a</w:t>
      </w:r>
      <w:r w:rsidRPr="00F64E04">
        <w:rPr>
          <w:szCs w:val="24"/>
        </w:rPr>
        <w:t xml:space="preserve"> </w:t>
      </w:r>
      <w:r>
        <w:rPr>
          <w:szCs w:val="24"/>
        </w:rPr>
        <w:t xml:space="preserve">potentially </w:t>
      </w:r>
      <w:r w:rsidRPr="00F64E04">
        <w:rPr>
          <w:szCs w:val="24"/>
        </w:rPr>
        <w:t>appropriate system</w:t>
      </w:r>
      <w:r>
        <w:rPr>
          <w:szCs w:val="24"/>
        </w:rPr>
        <w:t xml:space="preserve"> for at least half of the suite of test species in the present study</w:t>
      </w:r>
      <w:r w:rsidRPr="00F64E04">
        <w:rPr>
          <w:szCs w:val="24"/>
        </w:rPr>
        <w:t xml:space="preserve">. </w:t>
      </w:r>
      <w:r>
        <w:rPr>
          <w:szCs w:val="24"/>
        </w:rPr>
        <w:t>This system has been</w:t>
      </w:r>
      <w:r w:rsidRPr="00F64E04">
        <w:rPr>
          <w:szCs w:val="24"/>
        </w:rPr>
        <w:t xml:space="preserve"> used successfully in the literature to control pH during </w:t>
      </w:r>
      <w:r>
        <w:rPr>
          <w:szCs w:val="24"/>
        </w:rPr>
        <w:t>whole effluent</w:t>
      </w:r>
      <w:r w:rsidRPr="00F64E04">
        <w:rPr>
          <w:szCs w:val="24"/>
        </w:rPr>
        <w:t xml:space="preserve"> toxicity testing</w:t>
      </w:r>
      <w:r>
        <w:rPr>
          <w:szCs w:val="24"/>
        </w:rPr>
        <w:t>,</w:t>
      </w:r>
      <w:r w:rsidRPr="00F64E04">
        <w:rPr>
          <w:szCs w:val="24"/>
        </w:rPr>
        <w:t xml:space="preserve"> and </w:t>
      </w:r>
      <w:r>
        <w:rPr>
          <w:szCs w:val="24"/>
        </w:rPr>
        <w:t>was our primary buffer</w:t>
      </w:r>
      <w:r w:rsidRPr="00F64E04">
        <w:rPr>
          <w:szCs w:val="24"/>
        </w:rPr>
        <w:t xml:space="preserve"> choice</w:t>
      </w:r>
      <w:r>
        <w:rPr>
          <w:szCs w:val="24"/>
        </w:rPr>
        <w:t xml:space="preserve"> (Elphick et al</w:t>
      </w:r>
      <w:r w:rsidR="005A1E72">
        <w:rPr>
          <w:szCs w:val="24"/>
        </w:rPr>
        <w:t>.</w:t>
      </w:r>
      <w:r>
        <w:rPr>
          <w:szCs w:val="24"/>
        </w:rPr>
        <w:t xml:space="preserve"> 2005)</w:t>
      </w:r>
      <w:r w:rsidRPr="00F64E04">
        <w:rPr>
          <w:szCs w:val="24"/>
        </w:rPr>
        <w:t xml:space="preserve">. However, </w:t>
      </w:r>
      <w:r>
        <w:rPr>
          <w:szCs w:val="24"/>
        </w:rPr>
        <w:t>this system may</w:t>
      </w:r>
      <w:r w:rsidRPr="00F64E04">
        <w:rPr>
          <w:szCs w:val="24"/>
        </w:rPr>
        <w:t xml:space="preserve"> not be logistically and technically possible to use</w:t>
      </w:r>
      <w:r>
        <w:rPr>
          <w:szCs w:val="24"/>
        </w:rPr>
        <w:t>, depending on</w:t>
      </w:r>
      <w:r w:rsidRPr="00F64E04">
        <w:rPr>
          <w:szCs w:val="24"/>
        </w:rPr>
        <w:t xml:space="preserve"> the </w:t>
      </w:r>
      <w:r>
        <w:rPr>
          <w:szCs w:val="24"/>
        </w:rPr>
        <w:t>toxicity</w:t>
      </w:r>
      <w:r w:rsidRPr="00F64E04">
        <w:rPr>
          <w:szCs w:val="24"/>
        </w:rPr>
        <w:t xml:space="preserve"> test </w:t>
      </w:r>
      <w:r>
        <w:rPr>
          <w:szCs w:val="24"/>
        </w:rPr>
        <w:t>protocol. In cases</w:t>
      </w:r>
      <w:r w:rsidRPr="00F64E04">
        <w:rPr>
          <w:szCs w:val="24"/>
        </w:rPr>
        <w:t xml:space="preserve"> </w:t>
      </w:r>
      <w:r>
        <w:rPr>
          <w:szCs w:val="24"/>
        </w:rPr>
        <w:t xml:space="preserve">where a carbonate buffer is not appropriate, </w:t>
      </w:r>
      <w:r w:rsidRPr="00F64E04">
        <w:rPr>
          <w:szCs w:val="24"/>
        </w:rPr>
        <w:t>the use</w:t>
      </w:r>
      <w:r>
        <w:rPr>
          <w:szCs w:val="24"/>
        </w:rPr>
        <w:t xml:space="preserve"> of an</w:t>
      </w:r>
      <w:r w:rsidRPr="00F64E04">
        <w:rPr>
          <w:szCs w:val="24"/>
        </w:rPr>
        <w:t xml:space="preserve"> organic pH</w:t>
      </w:r>
      <w:r>
        <w:rPr>
          <w:szCs w:val="24"/>
        </w:rPr>
        <w:t xml:space="preserve"> buffer (HEPES, MES or</w:t>
      </w:r>
      <w:r w:rsidRPr="00F64E04">
        <w:rPr>
          <w:szCs w:val="24"/>
        </w:rPr>
        <w:t xml:space="preserve"> MOPS) will be investigated</w:t>
      </w:r>
      <w:r>
        <w:rPr>
          <w:szCs w:val="24"/>
        </w:rPr>
        <w:t>.</w:t>
      </w:r>
    </w:p>
    <w:p w:rsidR="002B76A0" w:rsidRPr="00F64E04" w:rsidRDefault="002B76A0" w:rsidP="002B76A0">
      <w:pPr>
        <w:rPr>
          <w:szCs w:val="24"/>
        </w:rPr>
      </w:pPr>
      <w:r w:rsidRPr="00F64E04">
        <w:rPr>
          <w:szCs w:val="24"/>
        </w:rPr>
        <w:t xml:space="preserve">To </w:t>
      </w:r>
      <w:r>
        <w:rPr>
          <w:szCs w:val="24"/>
        </w:rPr>
        <w:t>test</w:t>
      </w:r>
      <w:r w:rsidRPr="00F64E04">
        <w:rPr>
          <w:szCs w:val="24"/>
        </w:rPr>
        <w:t xml:space="preserve"> </w:t>
      </w:r>
      <w:r>
        <w:rPr>
          <w:szCs w:val="24"/>
        </w:rPr>
        <w:t>and</w:t>
      </w:r>
      <w:r w:rsidRPr="00F64E04">
        <w:rPr>
          <w:szCs w:val="24"/>
        </w:rPr>
        <w:t xml:space="preserve"> </w:t>
      </w:r>
      <w:r>
        <w:rPr>
          <w:szCs w:val="24"/>
        </w:rPr>
        <w:t xml:space="preserve">potentially </w:t>
      </w:r>
      <w:r w:rsidRPr="00F64E04">
        <w:rPr>
          <w:szCs w:val="24"/>
        </w:rPr>
        <w:t xml:space="preserve">modify the existing interim ammonia </w:t>
      </w:r>
      <w:r>
        <w:rPr>
          <w:szCs w:val="24"/>
        </w:rPr>
        <w:t>G</w:t>
      </w:r>
      <w:r w:rsidRPr="00F64E04">
        <w:rPr>
          <w:szCs w:val="24"/>
        </w:rPr>
        <w:t xml:space="preserve">V for Magela Creek, laboratory toxicity testing will be </w:t>
      </w:r>
      <w:r>
        <w:rPr>
          <w:szCs w:val="24"/>
        </w:rPr>
        <w:t>used to derive a site-specific G</w:t>
      </w:r>
      <w:r w:rsidRPr="00F64E04">
        <w:rPr>
          <w:szCs w:val="24"/>
        </w:rPr>
        <w:t xml:space="preserve">V. Six local native species will be tested at a pH and temperature relevant to the site-specific physico-chemical conditions of Magela Creek.    </w:t>
      </w:r>
    </w:p>
    <w:p w:rsidR="002B76A0" w:rsidRPr="003E2E6F" w:rsidRDefault="002B76A0" w:rsidP="003A673B">
      <w:pPr>
        <w:pStyle w:val="Heading2"/>
      </w:pPr>
      <w:r w:rsidRPr="003E2E6F">
        <w:t>Methods</w:t>
      </w:r>
    </w:p>
    <w:p w:rsidR="002B76A0" w:rsidRPr="00F64E04" w:rsidRDefault="002B76A0" w:rsidP="002B76A0">
      <w:pPr>
        <w:rPr>
          <w:szCs w:val="24"/>
        </w:rPr>
      </w:pPr>
      <w:r w:rsidRPr="00F64E04">
        <w:rPr>
          <w:szCs w:val="24"/>
        </w:rPr>
        <w:t xml:space="preserve">The toxicity of ammonia is currently being assessed using six </w:t>
      </w:r>
      <w:r>
        <w:rPr>
          <w:szCs w:val="24"/>
        </w:rPr>
        <w:t>local</w:t>
      </w:r>
      <w:r w:rsidRPr="00F64E04">
        <w:rPr>
          <w:szCs w:val="24"/>
        </w:rPr>
        <w:t xml:space="preserve"> tropical freshwater species: the unicellular green alga (</w:t>
      </w:r>
      <w:r w:rsidRPr="00F64E04">
        <w:rPr>
          <w:i/>
          <w:szCs w:val="24"/>
        </w:rPr>
        <w:t>Chlorella</w:t>
      </w:r>
      <w:r w:rsidRPr="00F64E04">
        <w:rPr>
          <w:szCs w:val="24"/>
        </w:rPr>
        <w:t xml:space="preserve"> sp.); the duckweed (</w:t>
      </w:r>
      <w:r w:rsidRPr="00F64E04">
        <w:rPr>
          <w:i/>
          <w:szCs w:val="24"/>
        </w:rPr>
        <w:t>Lemna aequinoctialis</w:t>
      </w:r>
      <w:r w:rsidRPr="00F64E04">
        <w:rPr>
          <w:szCs w:val="24"/>
        </w:rPr>
        <w:t>); the green hydra (</w:t>
      </w:r>
      <w:r w:rsidRPr="00F64E04">
        <w:rPr>
          <w:i/>
          <w:szCs w:val="24"/>
        </w:rPr>
        <w:t>H</w:t>
      </w:r>
      <w:r>
        <w:rPr>
          <w:i/>
          <w:szCs w:val="24"/>
        </w:rPr>
        <w:t>.</w:t>
      </w:r>
      <w:r w:rsidRPr="00F64E04">
        <w:rPr>
          <w:i/>
          <w:szCs w:val="24"/>
        </w:rPr>
        <w:t xml:space="preserve"> viridissima</w:t>
      </w:r>
      <w:r w:rsidRPr="00F64E04">
        <w:rPr>
          <w:szCs w:val="24"/>
        </w:rPr>
        <w:t>);</w:t>
      </w:r>
      <w:r w:rsidRPr="00F64E04">
        <w:rPr>
          <w:i/>
          <w:szCs w:val="24"/>
        </w:rPr>
        <w:t xml:space="preserve"> </w:t>
      </w:r>
      <w:r w:rsidRPr="00F64E04">
        <w:rPr>
          <w:szCs w:val="24"/>
        </w:rPr>
        <w:t>the cladoceran (</w:t>
      </w:r>
      <w:r w:rsidRPr="00F64E04">
        <w:rPr>
          <w:i/>
          <w:szCs w:val="24"/>
        </w:rPr>
        <w:t>Moinodaphnia macleayi</w:t>
      </w:r>
      <w:r w:rsidRPr="00F64E04">
        <w:rPr>
          <w:szCs w:val="24"/>
        </w:rPr>
        <w:t>); the aquatic snail (</w:t>
      </w:r>
      <w:r w:rsidRPr="00F64E04">
        <w:rPr>
          <w:i/>
          <w:szCs w:val="24"/>
        </w:rPr>
        <w:t>Amerianna cumingi</w:t>
      </w:r>
      <w:r w:rsidRPr="00F64E04">
        <w:rPr>
          <w:szCs w:val="24"/>
        </w:rPr>
        <w:t>) and the Northern trout gudgeon (</w:t>
      </w:r>
      <w:r w:rsidRPr="00F64E04">
        <w:rPr>
          <w:i/>
          <w:szCs w:val="24"/>
        </w:rPr>
        <w:t>Mogurnda mogurnda</w:t>
      </w:r>
      <w:r w:rsidRPr="00F64E04">
        <w:rPr>
          <w:szCs w:val="24"/>
        </w:rPr>
        <w:t xml:space="preserve">). </w:t>
      </w:r>
      <w:r>
        <w:rPr>
          <w:szCs w:val="24"/>
        </w:rPr>
        <w:t xml:space="preserve">Standard toxicity testing protocols </w:t>
      </w:r>
      <w:r w:rsidRPr="00F64E04">
        <w:rPr>
          <w:szCs w:val="24"/>
        </w:rPr>
        <w:t xml:space="preserve">detailed in </w:t>
      </w:r>
      <w:r w:rsidRPr="00237DF8">
        <w:rPr>
          <w:szCs w:val="24"/>
        </w:rPr>
        <w:t>Riethmuller et al</w:t>
      </w:r>
      <w:r w:rsidR="005A1E72">
        <w:rPr>
          <w:szCs w:val="24"/>
        </w:rPr>
        <w:t>.</w:t>
      </w:r>
      <w:r w:rsidRPr="00237DF8">
        <w:rPr>
          <w:szCs w:val="24"/>
        </w:rPr>
        <w:t xml:space="preserve"> (</w:t>
      </w:r>
      <w:r>
        <w:rPr>
          <w:szCs w:val="24"/>
        </w:rPr>
        <w:t>2003)</w:t>
      </w:r>
      <w:r w:rsidRPr="00F64E04">
        <w:rPr>
          <w:szCs w:val="24"/>
        </w:rPr>
        <w:t xml:space="preserve"> </w:t>
      </w:r>
      <w:r w:rsidRPr="00F279CB">
        <w:rPr>
          <w:szCs w:val="24"/>
        </w:rPr>
        <w:t>and Houston</w:t>
      </w:r>
      <w:r w:rsidRPr="00F64E04">
        <w:rPr>
          <w:szCs w:val="24"/>
        </w:rPr>
        <w:t xml:space="preserve"> </w:t>
      </w:r>
      <w:r>
        <w:rPr>
          <w:szCs w:val="24"/>
        </w:rPr>
        <w:t>et al</w:t>
      </w:r>
      <w:r w:rsidR="005A1E72">
        <w:rPr>
          <w:szCs w:val="24"/>
        </w:rPr>
        <w:t>.</w:t>
      </w:r>
      <w:r>
        <w:rPr>
          <w:szCs w:val="24"/>
        </w:rPr>
        <w:t xml:space="preserve"> (2007) were used </w:t>
      </w:r>
      <w:r w:rsidRPr="00F64E04">
        <w:rPr>
          <w:szCs w:val="24"/>
        </w:rPr>
        <w:t>unless otherwise stipulated (Table 1).</w:t>
      </w:r>
      <w:r>
        <w:rPr>
          <w:szCs w:val="24"/>
        </w:rPr>
        <w:t xml:space="preserve"> To date, ammonia toxicity testing has been completed for </w:t>
      </w:r>
      <w:r w:rsidRPr="00F64E04">
        <w:rPr>
          <w:i/>
          <w:iCs/>
          <w:snapToGrid w:val="0"/>
          <w:color w:val="000000"/>
          <w:szCs w:val="24"/>
          <w:u w:color="000000"/>
        </w:rPr>
        <w:t>H. viridissima</w:t>
      </w:r>
      <w:r>
        <w:rPr>
          <w:i/>
          <w:iCs/>
          <w:snapToGrid w:val="0"/>
          <w:color w:val="000000"/>
          <w:szCs w:val="24"/>
          <w:u w:color="000000"/>
        </w:rPr>
        <w:t xml:space="preserve">, </w:t>
      </w:r>
      <w:r w:rsidRPr="00F64E04">
        <w:rPr>
          <w:i/>
          <w:iCs/>
          <w:snapToGrid w:val="0"/>
          <w:color w:val="000000"/>
          <w:szCs w:val="24"/>
          <w:u w:color="000000"/>
        </w:rPr>
        <w:t>M. mogurnda</w:t>
      </w:r>
      <w:r>
        <w:rPr>
          <w:iCs/>
          <w:snapToGrid w:val="0"/>
          <w:color w:val="000000"/>
          <w:szCs w:val="24"/>
          <w:u w:color="000000"/>
        </w:rPr>
        <w:t xml:space="preserve"> and </w:t>
      </w:r>
      <w:r w:rsidRPr="004941F4">
        <w:rPr>
          <w:i/>
          <w:iCs/>
          <w:snapToGrid w:val="0"/>
          <w:color w:val="000000"/>
          <w:szCs w:val="24"/>
          <w:u w:color="000000"/>
        </w:rPr>
        <w:t>Chlorella</w:t>
      </w:r>
      <w:r>
        <w:rPr>
          <w:iCs/>
          <w:snapToGrid w:val="0"/>
          <w:color w:val="000000"/>
          <w:szCs w:val="24"/>
          <w:u w:color="000000"/>
        </w:rPr>
        <w:t xml:space="preserve"> sp.</w:t>
      </w:r>
      <w:r w:rsidRPr="00F64E04">
        <w:rPr>
          <w:szCs w:val="24"/>
        </w:rPr>
        <w:t xml:space="preserve"> The diluent, Magela Creek Water (MCW), was spiked with ammonia using stock solution</w:t>
      </w:r>
      <w:r>
        <w:rPr>
          <w:szCs w:val="24"/>
        </w:rPr>
        <w:t>s</w:t>
      </w:r>
      <w:r w:rsidRPr="00F64E04">
        <w:rPr>
          <w:szCs w:val="24"/>
        </w:rPr>
        <w:t xml:space="preserve"> of ammonium </w:t>
      </w:r>
      <w:r>
        <w:rPr>
          <w:szCs w:val="24"/>
        </w:rPr>
        <w:t>sulphate (which strongly dissociates and is very soluble in water; Weast et al</w:t>
      </w:r>
      <w:r w:rsidR="005A1E72">
        <w:rPr>
          <w:szCs w:val="24"/>
        </w:rPr>
        <w:t>.</w:t>
      </w:r>
      <w:r>
        <w:rPr>
          <w:szCs w:val="24"/>
        </w:rPr>
        <w:t xml:space="preserve"> 1988)</w:t>
      </w:r>
      <w:r w:rsidRPr="00F64E04">
        <w:rPr>
          <w:szCs w:val="24"/>
        </w:rPr>
        <w:t xml:space="preserve">. </w:t>
      </w:r>
      <w:r>
        <w:rPr>
          <w:szCs w:val="24"/>
        </w:rPr>
        <w:t>Actual c</w:t>
      </w:r>
      <w:r w:rsidRPr="00F64E04">
        <w:rPr>
          <w:szCs w:val="24"/>
        </w:rPr>
        <w:t xml:space="preserve">oncentrations </w:t>
      </w:r>
      <w:r>
        <w:rPr>
          <w:szCs w:val="24"/>
        </w:rPr>
        <w:t>of ammonia</w:t>
      </w:r>
      <w:r w:rsidRPr="00F64E04">
        <w:rPr>
          <w:szCs w:val="24"/>
        </w:rPr>
        <w:t xml:space="preserve"> in solution were checked before and after the test exposure</w:t>
      </w:r>
      <w:r>
        <w:rPr>
          <w:szCs w:val="24"/>
        </w:rPr>
        <w:t>,</w:t>
      </w:r>
      <w:r w:rsidRPr="00F64E04">
        <w:rPr>
          <w:szCs w:val="24"/>
        </w:rPr>
        <w:t xml:space="preserve"> </w:t>
      </w:r>
      <w:r>
        <w:rPr>
          <w:szCs w:val="24"/>
        </w:rPr>
        <w:t xml:space="preserve">at </w:t>
      </w:r>
      <w:r w:rsidRPr="005A1E72">
        <w:rPr>
          <w:rFonts w:ascii="Times New Roman" w:hAnsi="Times New Roman"/>
          <w:b/>
          <w:i/>
          <w:sz w:val="26"/>
          <w:szCs w:val="24"/>
        </w:rPr>
        <w:t>eriss</w:t>
      </w:r>
      <w:r>
        <w:rPr>
          <w:szCs w:val="24"/>
        </w:rPr>
        <w:t xml:space="preserve">, </w:t>
      </w:r>
      <w:r w:rsidRPr="00F64E04">
        <w:rPr>
          <w:szCs w:val="24"/>
        </w:rPr>
        <w:t>using spectrophotometry</w:t>
      </w:r>
      <w:r>
        <w:rPr>
          <w:szCs w:val="24"/>
        </w:rPr>
        <w:t xml:space="preserve"> </w:t>
      </w:r>
      <w:r w:rsidRPr="002624F9">
        <w:rPr>
          <w:szCs w:val="24"/>
        </w:rPr>
        <w:t>(colourimetr</w:t>
      </w:r>
      <w:r>
        <w:rPr>
          <w:szCs w:val="24"/>
        </w:rPr>
        <w:t xml:space="preserve">ic method EPA 350.1). </w:t>
      </w:r>
      <w:r w:rsidRPr="00F64E04">
        <w:rPr>
          <w:szCs w:val="24"/>
        </w:rPr>
        <w:t>All ammonia concentrations are reported in total ammonia nitrogen (TAN).</w:t>
      </w:r>
    </w:p>
    <w:p w:rsidR="002B76A0" w:rsidRPr="00F64E04" w:rsidRDefault="002B76A0" w:rsidP="005A1E72">
      <w:r>
        <w:t>A starting pH of 6.0 was the target for the toxicity tests and test solutions were kept within 0.3 units throughout the test. Temperatures were maintained as per test</w:t>
      </w:r>
      <w:r w:rsidR="005A1E72">
        <w:t>ing protocol (Riethmuller et al.</w:t>
      </w:r>
      <w:r w:rsidR="00780176">
        <w:t xml:space="preserve"> 2003,</w:t>
      </w:r>
      <w:r w:rsidRPr="00F279CB">
        <w:t xml:space="preserve"> Houston</w:t>
      </w:r>
      <w:r w:rsidRPr="00F64E04">
        <w:t xml:space="preserve"> </w:t>
      </w:r>
      <w:r w:rsidR="005A1E72">
        <w:t>et al.</w:t>
      </w:r>
      <w:r>
        <w:t xml:space="preserve"> 2007), at 27.5°C or 29°C ± 1°C, </w:t>
      </w:r>
      <w:r w:rsidR="005A1E72">
        <w:t xml:space="preserve">depending on test species. </w:t>
      </w:r>
      <w:r w:rsidRPr="005A1E72">
        <w:t xml:space="preserve">To control pH throughout testing the bicarbonate buffering system was used where logistically and technically possible. This system involved conducting toxicity testing in air-tight chambers and increasing the atmospheric </w:t>
      </w:r>
      <w:r w:rsidR="005A1E72" w:rsidRPr="005A1E72">
        <w:t>CO</w:t>
      </w:r>
      <w:r w:rsidR="005A1E72" w:rsidRPr="005A1E72">
        <w:rPr>
          <w:vertAlign w:val="subscript"/>
        </w:rPr>
        <w:t>2</w:t>
      </w:r>
      <w:r w:rsidRPr="005A1E72">
        <w:t xml:space="preserve"> concentration within the system, following the principles of Elphick et al</w:t>
      </w:r>
      <w:r w:rsidR="005A1E72" w:rsidRPr="005A1E72">
        <w:t>.</w:t>
      </w:r>
      <w:r w:rsidRPr="005A1E72">
        <w:t xml:space="preserve"> (2005). Specifically, as the partial pressure of </w:t>
      </w:r>
      <w:r w:rsidR="005A1E72" w:rsidRPr="005A1E72">
        <w:t>CO</w:t>
      </w:r>
      <w:r w:rsidR="005A1E72" w:rsidRPr="005A1E72">
        <w:rPr>
          <w:vertAlign w:val="subscript"/>
        </w:rPr>
        <w:t>2</w:t>
      </w:r>
      <w:r w:rsidRPr="005A1E72">
        <w:t xml:space="preserve"> in the headspace increases, dissolution of </w:t>
      </w:r>
      <w:r w:rsidR="005A1E72" w:rsidRPr="005A1E72">
        <w:t>CO</w:t>
      </w:r>
      <w:r w:rsidR="005A1E72" w:rsidRPr="005A1E72">
        <w:rPr>
          <w:vertAlign w:val="subscript"/>
        </w:rPr>
        <w:t>2</w:t>
      </w:r>
      <w:r w:rsidRPr="005A1E72">
        <w:t xml:space="preserve"> into the water</w:t>
      </w:r>
      <w:r w:rsidR="005A1E72">
        <w:t xml:space="preserve"> is increased. </w:t>
      </w:r>
      <w:r w:rsidRPr="005A1E72">
        <w:t>Some of the dissolved CO</w:t>
      </w:r>
      <w:r w:rsidRPr="005A1E72">
        <w:rPr>
          <w:vertAlign w:val="subscript"/>
        </w:rPr>
        <w:t>2</w:t>
      </w:r>
      <w:r w:rsidRPr="005A1E72">
        <w:t xml:space="preserve"> will react with water to form carbonic acid which disassociates into a carbonate ion and two hydrogen ions, resulting in a decrease in pH. The rate of dissolution of </w:t>
      </w:r>
      <w:r w:rsidR="005A1E72" w:rsidRPr="005A1E72">
        <w:t>CO</w:t>
      </w:r>
      <w:r w:rsidR="005A1E72" w:rsidRPr="005A1E72">
        <w:rPr>
          <w:vertAlign w:val="subscript"/>
        </w:rPr>
        <w:t>2</w:t>
      </w:r>
      <w:r w:rsidRPr="005A1E72">
        <w:t xml:space="preserve"> and the aqueous concentration of carbonic acid depends on the partial pressure of </w:t>
      </w:r>
      <w:r w:rsidR="005A1E72" w:rsidRPr="005A1E72">
        <w:t>CO</w:t>
      </w:r>
      <w:r w:rsidR="005A1E72" w:rsidRPr="005A1E72">
        <w:rPr>
          <w:vertAlign w:val="subscript"/>
        </w:rPr>
        <w:t>2</w:t>
      </w:r>
      <w:r w:rsidRPr="005A1E72">
        <w:t xml:space="preserve"> and the surface area of the solution. This system was used during ammonia toxicity testing on H. viridissima and M. </w:t>
      </w:r>
      <w:r w:rsidRPr="00F64E04">
        <w:rPr>
          <w:i/>
          <w:iCs/>
          <w:snapToGrid w:val="0"/>
          <w:color w:val="000000"/>
          <w:u w:color="000000"/>
        </w:rPr>
        <w:t>mogurnda</w:t>
      </w:r>
      <w:r w:rsidRPr="00F64E04">
        <w:rPr>
          <w:iCs/>
          <w:snapToGrid w:val="0"/>
          <w:color w:val="000000"/>
          <w:u w:color="000000"/>
        </w:rPr>
        <w:t xml:space="preserve"> and </w:t>
      </w:r>
      <w:r>
        <w:rPr>
          <w:iCs/>
          <w:snapToGrid w:val="0"/>
          <w:color w:val="000000"/>
          <w:u w:color="000000"/>
        </w:rPr>
        <w:t>we expect to use it</w:t>
      </w:r>
      <w:r w:rsidRPr="00F64E04">
        <w:rPr>
          <w:iCs/>
          <w:snapToGrid w:val="0"/>
          <w:color w:val="000000"/>
          <w:u w:color="000000"/>
        </w:rPr>
        <w:t xml:space="preserve"> to control pH during </w:t>
      </w:r>
      <w:r w:rsidRPr="00F64E04">
        <w:rPr>
          <w:i/>
          <w:iCs/>
          <w:snapToGrid w:val="0"/>
          <w:color w:val="000000"/>
          <w:u w:color="000000"/>
        </w:rPr>
        <w:t>M. macleayi</w:t>
      </w:r>
      <w:r>
        <w:rPr>
          <w:iCs/>
          <w:snapToGrid w:val="0"/>
          <w:color w:val="000000"/>
          <w:u w:color="000000"/>
        </w:rPr>
        <w:t xml:space="preserve"> testing</w:t>
      </w:r>
      <w:r w:rsidRPr="00F64E04">
        <w:rPr>
          <w:iCs/>
          <w:snapToGrid w:val="0"/>
          <w:color w:val="000000"/>
          <w:u w:color="000000"/>
        </w:rPr>
        <w:t xml:space="preserve">. </w:t>
      </w:r>
      <w:r>
        <w:rPr>
          <w:iCs/>
          <w:snapToGrid w:val="0"/>
          <w:color w:val="000000"/>
          <w:u w:color="000000"/>
        </w:rPr>
        <w:t xml:space="preserve">This method </w:t>
      </w:r>
      <w:r w:rsidRPr="00F64E04">
        <w:rPr>
          <w:snapToGrid w:val="0"/>
          <w:color w:val="000000"/>
          <w:u w:color="000000"/>
        </w:rPr>
        <w:t xml:space="preserve">has the </w:t>
      </w:r>
      <w:r>
        <w:rPr>
          <w:snapToGrid w:val="0"/>
          <w:color w:val="000000"/>
          <w:u w:color="000000"/>
        </w:rPr>
        <w:t xml:space="preserve">dual </w:t>
      </w:r>
      <w:r w:rsidRPr="00F64E04">
        <w:rPr>
          <w:snapToGrid w:val="0"/>
          <w:color w:val="000000"/>
          <w:u w:color="000000"/>
        </w:rPr>
        <w:t>advantage</w:t>
      </w:r>
      <w:r>
        <w:rPr>
          <w:snapToGrid w:val="0"/>
          <w:color w:val="000000"/>
          <w:u w:color="000000"/>
        </w:rPr>
        <w:t>s</w:t>
      </w:r>
      <w:r w:rsidRPr="00F64E04">
        <w:rPr>
          <w:snapToGrid w:val="0"/>
          <w:color w:val="000000"/>
          <w:u w:color="000000"/>
        </w:rPr>
        <w:t xml:space="preserve"> of </w:t>
      </w:r>
      <w:r>
        <w:rPr>
          <w:snapToGrid w:val="0"/>
          <w:color w:val="000000"/>
          <w:u w:color="000000"/>
        </w:rPr>
        <w:t xml:space="preserve">1) </w:t>
      </w:r>
      <w:r w:rsidRPr="00F64E04">
        <w:rPr>
          <w:snapToGrid w:val="0"/>
          <w:color w:val="000000"/>
          <w:u w:color="000000"/>
        </w:rPr>
        <w:t>being able to decrease the initial pH of the test solution to the desired pH and</w:t>
      </w:r>
      <w:r>
        <w:rPr>
          <w:snapToGrid w:val="0"/>
          <w:color w:val="000000"/>
          <w:u w:color="000000"/>
        </w:rPr>
        <w:t>; 2)</w:t>
      </w:r>
      <w:r w:rsidRPr="00F64E04">
        <w:rPr>
          <w:snapToGrid w:val="0"/>
          <w:color w:val="000000"/>
          <w:u w:color="000000"/>
        </w:rPr>
        <w:t xml:space="preserve"> maintain </w:t>
      </w:r>
      <w:r>
        <w:rPr>
          <w:snapToGrid w:val="0"/>
          <w:color w:val="000000"/>
          <w:u w:color="000000"/>
        </w:rPr>
        <w:t>pH</w:t>
      </w:r>
      <w:r w:rsidRPr="00F64E04">
        <w:rPr>
          <w:snapToGrid w:val="0"/>
          <w:color w:val="000000"/>
          <w:u w:color="000000"/>
        </w:rPr>
        <w:t xml:space="preserve"> throughout testing, without having a toxic effect on the test organism. </w:t>
      </w:r>
      <w:r>
        <w:rPr>
          <w:snapToGrid w:val="0"/>
          <w:color w:val="000000"/>
          <w:u w:color="000000"/>
        </w:rPr>
        <w:t xml:space="preserve">The carbonate buffering system was not required for </w:t>
      </w:r>
      <w:r w:rsidRPr="00F64E04">
        <w:rPr>
          <w:i/>
          <w:iCs/>
          <w:snapToGrid w:val="0"/>
          <w:color w:val="000000"/>
          <w:u w:color="000000"/>
        </w:rPr>
        <w:t xml:space="preserve">Chlorella </w:t>
      </w:r>
      <w:r w:rsidRPr="00DE3123">
        <w:rPr>
          <w:iCs/>
          <w:snapToGrid w:val="0"/>
          <w:color w:val="000000"/>
          <w:u w:color="000000"/>
        </w:rPr>
        <w:t>sp</w:t>
      </w:r>
      <w:r w:rsidRPr="00F64E04">
        <w:rPr>
          <w:i/>
          <w:iCs/>
          <w:snapToGrid w:val="0"/>
          <w:color w:val="000000"/>
          <w:u w:color="000000"/>
        </w:rPr>
        <w:t>.</w:t>
      </w:r>
      <w:r w:rsidRPr="00F64E04">
        <w:rPr>
          <w:iCs/>
          <w:snapToGrid w:val="0"/>
          <w:color w:val="000000"/>
          <w:u w:color="000000"/>
        </w:rPr>
        <w:t xml:space="preserve"> </w:t>
      </w:r>
      <w:r>
        <w:rPr>
          <w:iCs/>
          <w:snapToGrid w:val="0"/>
          <w:color w:val="000000"/>
          <w:u w:color="000000"/>
        </w:rPr>
        <w:t xml:space="preserve">because the </w:t>
      </w:r>
      <w:r w:rsidRPr="00F64E04">
        <w:rPr>
          <w:iCs/>
          <w:snapToGrid w:val="0"/>
          <w:color w:val="000000"/>
          <w:u w:color="000000"/>
        </w:rPr>
        <w:t>standard</w:t>
      </w:r>
      <w:r>
        <w:rPr>
          <w:iCs/>
          <w:snapToGrid w:val="0"/>
          <w:color w:val="000000"/>
          <w:u w:color="000000"/>
        </w:rPr>
        <w:t>ised</w:t>
      </w:r>
      <w:r w:rsidRPr="00F64E04">
        <w:rPr>
          <w:iCs/>
          <w:snapToGrid w:val="0"/>
          <w:color w:val="000000"/>
          <w:u w:color="000000"/>
        </w:rPr>
        <w:t xml:space="preserve"> </w:t>
      </w:r>
      <w:r>
        <w:rPr>
          <w:iCs/>
          <w:snapToGrid w:val="0"/>
          <w:color w:val="000000"/>
          <w:u w:color="000000"/>
        </w:rPr>
        <w:t xml:space="preserve">protocol includes the use of 1 mM </w:t>
      </w:r>
      <w:r w:rsidRPr="00F64E04">
        <w:rPr>
          <w:iCs/>
          <w:snapToGrid w:val="0"/>
          <w:color w:val="000000"/>
          <w:u w:color="000000"/>
        </w:rPr>
        <w:t>HEPES buffer</w:t>
      </w:r>
      <w:r>
        <w:rPr>
          <w:iCs/>
          <w:snapToGrid w:val="0"/>
          <w:color w:val="000000"/>
          <w:u w:color="000000"/>
        </w:rPr>
        <w:t xml:space="preserve"> and this adequately maintained </w:t>
      </w:r>
      <w:r w:rsidRPr="00610630">
        <w:rPr>
          <w:iCs/>
          <w:snapToGrid w:val="0"/>
          <w:color w:val="000000"/>
          <w:u w:color="000000"/>
        </w:rPr>
        <w:t>pH</w:t>
      </w:r>
      <w:r>
        <w:rPr>
          <w:iCs/>
          <w:snapToGrid w:val="0"/>
          <w:color w:val="000000"/>
          <w:u w:color="000000"/>
        </w:rPr>
        <w:t xml:space="preserve"> during toxicity tests (</w:t>
      </w:r>
      <w:r>
        <w:t>Riethmuller e</w:t>
      </w:r>
      <w:r w:rsidR="005A1E72">
        <w:t>t al.</w:t>
      </w:r>
      <w:r>
        <w:t xml:space="preserve"> 2003)</w:t>
      </w:r>
      <w:r w:rsidRPr="00F64E04">
        <w:rPr>
          <w:iCs/>
          <w:snapToGrid w:val="0"/>
          <w:color w:val="000000"/>
          <w:u w:color="000000"/>
        </w:rPr>
        <w:t xml:space="preserve">. </w:t>
      </w:r>
      <w:r>
        <w:rPr>
          <w:iCs/>
          <w:snapToGrid w:val="0"/>
          <w:color w:val="000000"/>
          <w:u w:color="000000"/>
        </w:rPr>
        <w:t>D</w:t>
      </w:r>
      <w:r w:rsidRPr="00F64E04">
        <w:rPr>
          <w:iCs/>
          <w:snapToGrid w:val="0"/>
          <w:color w:val="000000"/>
          <w:u w:color="000000"/>
        </w:rPr>
        <w:t xml:space="preserve">ue to logistical or technical reasons the </w:t>
      </w:r>
      <w:r>
        <w:rPr>
          <w:iCs/>
          <w:snapToGrid w:val="0"/>
          <w:color w:val="000000"/>
          <w:u w:color="000000"/>
        </w:rPr>
        <w:t>bi</w:t>
      </w:r>
      <w:r w:rsidRPr="00F64E04">
        <w:rPr>
          <w:iCs/>
          <w:snapToGrid w:val="0"/>
          <w:color w:val="000000"/>
          <w:u w:color="000000"/>
        </w:rPr>
        <w:t xml:space="preserve">carbonate buffering system </w:t>
      </w:r>
      <w:r>
        <w:rPr>
          <w:iCs/>
          <w:snapToGrid w:val="0"/>
          <w:color w:val="000000"/>
          <w:u w:color="000000"/>
        </w:rPr>
        <w:t>was</w:t>
      </w:r>
      <w:r w:rsidRPr="00F64E04">
        <w:rPr>
          <w:iCs/>
          <w:snapToGrid w:val="0"/>
          <w:color w:val="000000"/>
          <w:u w:color="000000"/>
        </w:rPr>
        <w:t xml:space="preserve"> not able to be used during toxicity testing with</w:t>
      </w:r>
      <w:r>
        <w:rPr>
          <w:i/>
          <w:iCs/>
          <w:snapToGrid w:val="0"/>
          <w:color w:val="000000"/>
          <w:u w:color="000000"/>
        </w:rPr>
        <w:t>, L. </w:t>
      </w:r>
      <w:r w:rsidRPr="00F64E04">
        <w:rPr>
          <w:i/>
          <w:iCs/>
          <w:snapToGrid w:val="0"/>
          <w:color w:val="000000"/>
          <w:u w:color="000000"/>
        </w:rPr>
        <w:t xml:space="preserve">aequinoctialis </w:t>
      </w:r>
      <w:r w:rsidRPr="00F64E04">
        <w:rPr>
          <w:iCs/>
          <w:snapToGrid w:val="0"/>
          <w:color w:val="000000"/>
          <w:u w:color="000000"/>
        </w:rPr>
        <w:t xml:space="preserve">and </w:t>
      </w:r>
      <w:r w:rsidRPr="00F64E04">
        <w:rPr>
          <w:i/>
          <w:iCs/>
          <w:snapToGrid w:val="0"/>
          <w:color w:val="000000"/>
          <w:u w:color="000000"/>
        </w:rPr>
        <w:t>A. cumingi</w:t>
      </w:r>
      <w:r>
        <w:rPr>
          <w:iCs/>
          <w:snapToGrid w:val="0"/>
          <w:color w:val="000000"/>
          <w:u w:color="000000"/>
        </w:rPr>
        <w:t>.</w:t>
      </w:r>
      <w:r w:rsidRPr="00F64E04">
        <w:rPr>
          <w:i/>
          <w:iCs/>
          <w:snapToGrid w:val="0"/>
          <w:color w:val="000000"/>
          <w:u w:color="000000"/>
        </w:rPr>
        <w:t xml:space="preserve"> </w:t>
      </w:r>
      <w:r>
        <w:rPr>
          <w:iCs/>
          <w:snapToGrid w:val="0"/>
          <w:color w:val="000000"/>
          <w:u w:color="000000"/>
        </w:rPr>
        <w:t xml:space="preserve"> Specifically, the large volume of water and large testing vessels used in</w:t>
      </w:r>
      <w:r w:rsidRPr="00AD50E0">
        <w:rPr>
          <w:i/>
          <w:iCs/>
          <w:snapToGrid w:val="0"/>
          <w:color w:val="000000"/>
          <w:u w:color="000000"/>
        </w:rPr>
        <w:t xml:space="preserve"> </w:t>
      </w:r>
      <w:r w:rsidRPr="00F64E04">
        <w:rPr>
          <w:i/>
          <w:iCs/>
          <w:snapToGrid w:val="0"/>
          <w:color w:val="000000"/>
          <w:u w:color="000000"/>
        </w:rPr>
        <w:t>A. cumingi</w:t>
      </w:r>
      <w:r>
        <w:rPr>
          <w:iCs/>
          <w:snapToGrid w:val="0"/>
          <w:color w:val="000000"/>
          <w:u w:color="000000"/>
        </w:rPr>
        <w:t xml:space="preserve"> tests means that it is not possible to conduct tests in the air-tight chambers, while initial ammonia toxicity tests with </w:t>
      </w:r>
      <w:r>
        <w:rPr>
          <w:i/>
          <w:iCs/>
          <w:snapToGrid w:val="0"/>
          <w:color w:val="000000"/>
          <w:u w:color="000000"/>
        </w:rPr>
        <w:t>L. </w:t>
      </w:r>
      <w:r w:rsidRPr="00F64E04">
        <w:rPr>
          <w:i/>
          <w:iCs/>
          <w:snapToGrid w:val="0"/>
          <w:color w:val="000000"/>
          <w:u w:color="000000"/>
        </w:rPr>
        <w:t>aequinoctialis</w:t>
      </w:r>
      <w:r>
        <w:rPr>
          <w:iCs/>
          <w:snapToGrid w:val="0"/>
          <w:color w:val="000000"/>
          <w:u w:color="000000"/>
        </w:rPr>
        <w:t xml:space="preserve"> using bicarbonate buffering resulted in a marked reduction in pH (see the results section). Consequently, trials</w:t>
      </w:r>
      <w:r w:rsidRPr="00F64E04">
        <w:rPr>
          <w:iCs/>
          <w:snapToGrid w:val="0"/>
          <w:color w:val="000000"/>
          <w:u w:color="000000"/>
        </w:rPr>
        <w:t xml:space="preserve"> are currently underway to determine the m</w:t>
      </w:r>
      <w:r>
        <w:rPr>
          <w:iCs/>
          <w:snapToGrid w:val="0"/>
          <w:color w:val="000000"/>
          <w:u w:color="000000"/>
        </w:rPr>
        <w:t>ost appropriate organic buffer (</w:t>
      </w:r>
      <w:r w:rsidRPr="00F64E04">
        <w:rPr>
          <w:iCs/>
          <w:snapToGrid w:val="0"/>
          <w:color w:val="000000"/>
          <w:u w:color="000000"/>
        </w:rPr>
        <w:t xml:space="preserve">HEPES, MES or MOPS) to use during </w:t>
      </w:r>
      <w:r>
        <w:rPr>
          <w:i/>
          <w:iCs/>
          <w:snapToGrid w:val="0"/>
          <w:color w:val="000000"/>
          <w:u w:color="000000"/>
        </w:rPr>
        <w:t>L. </w:t>
      </w:r>
      <w:r w:rsidRPr="00F64E04">
        <w:rPr>
          <w:i/>
          <w:iCs/>
          <w:snapToGrid w:val="0"/>
          <w:color w:val="000000"/>
          <w:u w:color="000000"/>
        </w:rPr>
        <w:t xml:space="preserve">aequinoctialis </w:t>
      </w:r>
      <w:r w:rsidRPr="00F64E04">
        <w:rPr>
          <w:iCs/>
          <w:snapToGrid w:val="0"/>
          <w:color w:val="000000"/>
          <w:u w:color="000000"/>
        </w:rPr>
        <w:t xml:space="preserve">and </w:t>
      </w:r>
      <w:r w:rsidRPr="00F64E04">
        <w:rPr>
          <w:i/>
          <w:iCs/>
          <w:snapToGrid w:val="0"/>
          <w:color w:val="000000"/>
          <w:u w:color="000000"/>
        </w:rPr>
        <w:t>A. cumingi</w:t>
      </w:r>
      <w:r w:rsidRPr="00F64E04">
        <w:rPr>
          <w:iCs/>
          <w:snapToGrid w:val="0"/>
          <w:color w:val="000000"/>
          <w:u w:color="000000"/>
        </w:rPr>
        <w:t xml:space="preserve"> testing. </w:t>
      </w:r>
    </w:p>
    <w:p w:rsidR="002B76A0" w:rsidRDefault="002B76A0" w:rsidP="002B76A0">
      <w:pPr>
        <w:rPr>
          <w:szCs w:val="24"/>
        </w:rPr>
      </w:pPr>
      <w:r w:rsidRPr="00F64E04">
        <w:rPr>
          <w:szCs w:val="24"/>
        </w:rPr>
        <w:t>At least two valid toxicity tests were completed for each species and,</w:t>
      </w:r>
      <w:r>
        <w:rPr>
          <w:szCs w:val="24"/>
        </w:rPr>
        <w:t xml:space="preserve"> for some of the toxicity tests,</w:t>
      </w:r>
      <w:r w:rsidRPr="00F64E04">
        <w:rPr>
          <w:szCs w:val="24"/>
        </w:rPr>
        <w:t xml:space="preserve"> a modified </w:t>
      </w:r>
      <w:r>
        <w:rPr>
          <w:szCs w:val="24"/>
        </w:rPr>
        <w:t xml:space="preserve">treatment replication </w:t>
      </w:r>
      <w:r w:rsidRPr="00F64E04">
        <w:rPr>
          <w:szCs w:val="24"/>
        </w:rPr>
        <w:t>design was used (Table 1</w:t>
      </w:r>
      <w:r>
        <w:rPr>
          <w:szCs w:val="24"/>
        </w:rPr>
        <w:t xml:space="preserve">), whereby </w:t>
      </w:r>
      <w:r w:rsidRPr="00F64E04">
        <w:rPr>
          <w:szCs w:val="24"/>
        </w:rPr>
        <w:t xml:space="preserve">the </w:t>
      </w:r>
      <w:r w:rsidRPr="005A1E72">
        <w:t xml:space="preserve">number of different concentrations tested was increased by reducing treatment replication. Due to some species having higher variability in endpoint performance, the modified design could not be used for the </w:t>
      </w:r>
      <w:r w:rsidRPr="008D1BF0">
        <w:rPr>
          <w:i/>
        </w:rPr>
        <w:t>A. cumingi, M. macleayi</w:t>
      </w:r>
      <w:r w:rsidRPr="005A1E72">
        <w:t xml:space="preserve"> or </w:t>
      </w:r>
      <w:r w:rsidRPr="008D1BF0">
        <w:rPr>
          <w:i/>
        </w:rPr>
        <w:t>Chlorella</w:t>
      </w:r>
      <w:r w:rsidRPr="005A1E72">
        <w:t xml:space="preserve"> sp. toxicity tests. The </w:t>
      </w:r>
      <w:r w:rsidRPr="008D1BF0">
        <w:rPr>
          <w:i/>
        </w:rPr>
        <w:t>Chlorella</w:t>
      </w:r>
      <w:r w:rsidRPr="005A1E72">
        <w:t xml:space="preserve"> sp. testing protocol was modified from Riethmuller et al</w:t>
      </w:r>
      <w:r w:rsidR="00F13227">
        <w:t>.</w:t>
      </w:r>
      <w:r w:rsidRPr="005A1E72">
        <w:t xml:space="preserve"> (2003) to reduce the algal density to 3 x 103 cells mL</w:t>
      </w:r>
      <w:r w:rsidRPr="005A1E72">
        <w:rPr>
          <w:vertAlign w:val="superscript"/>
        </w:rPr>
        <w:t>-1</w:t>
      </w:r>
      <w:r w:rsidRPr="005A1E72">
        <w:t xml:space="preserve"> and nutrient concentrations (nitrate and phosphate were reduced to a 6</w:t>
      </w:r>
      <w:r w:rsidRPr="005A1E72">
        <w:rPr>
          <w:vertAlign w:val="superscript"/>
        </w:rPr>
        <w:t>th</w:t>
      </w:r>
      <w:r w:rsidRPr="005A1E72">
        <w:t xml:space="preserve"> of the original nutrient content). This had the advantage of providing better control of water quality parameters during testing.</w:t>
      </w:r>
    </w:p>
    <w:p w:rsidR="002B76A0" w:rsidRPr="009C7807" w:rsidRDefault="00E027D4" w:rsidP="002B76A0">
      <w:pPr>
        <w:pStyle w:val="tablecaption"/>
      </w:pPr>
      <w:r>
        <w:rPr>
          <w:b/>
        </w:rPr>
        <w:br/>
      </w:r>
      <w:r w:rsidR="002B76A0" w:rsidRPr="00E9572E">
        <w:rPr>
          <w:b/>
        </w:rPr>
        <w:t>Table 1</w:t>
      </w:r>
      <w:r w:rsidR="002B76A0" w:rsidRPr="00E9572E">
        <w:t xml:space="preserve">: </w:t>
      </w:r>
      <w:r w:rsidR="002B76A0" w:rsidRPr="009C7807">
        <w:t>Details of the ammonia concentration-response tests conducted</w:t>
      </w:r>
      <w:r w:rsidR="002B76A0">
        <w:t xml:space="preserve"> to-date</w:t>
      </w:r>
      <w:r>
        <w:t>.</w:t>
      </w:r>
    </w:p>
    <w:tbl>
      <w:tblPr>
        <w:tblW w:w="0" w:type="auto"/>
        <w:tblLayout w:type="fixed"/>
        <w:tblLook w:val="04A0"/>
      </w:tblPr>
      <w:tblGrid>
        <w:gridCol w:w="1384"/>
        <w:gridCol w:w="992"/>
        <w:gridCol w:w="1418"/>
        <w:gridCol w:w="1276"/>
        <w:gridCol w:w="1842"/>
        <w:gridCol w:w="1610"/>
      </w:tblGrid>
      <w:tr w:rsidR="002B76A0" w:rsidTr="00752A69">
        <w:tc>
          <w:tcPr>
            <w:tcW w:w="1384" w:type="dxa"/>
            <w:tcBorders>
              <w:top w:val="single" w:sz="4" w:space="0" w:color="auto"/>
              <w:left w:val="nil"/>
              <w:bottom w:val="single" w:sz="4" w:space="0" w:color="auto"/>
              <w:right w:val="nil"/>
            </w:tcBorders>
            <w:vAlign w:val="center"/>
          </w:tcPr>
          <w:p w:rsidR="002B76A0" w:rsidRPr="00E027D4" w:rsidRDefault="002B76A0" w:rsidP="00E027D4">
            <w:pPr>
              <w:pStyle w:val="table1"/>
              <w:rPr>
                <w:b/>
                <w:bCs/>
                <w:u w:color="000000"/>
              </w:rPr>
            </w:pPr>
            <w:r w:rsidRPr="00E027D4">
              <w:rPr>
                <w:b/>
                <w:bCs/>
                <w:u w:color="000000"/>
              </w:rPr>
              <w:t>Test ID</w:t>
            </w:r>
          </w:p>
        </w:tc>
        <w:tc>
          <w:tcPr>
            <w:tcW w:w="992" w:type="dxa"/>
            <w:tcBorders>
              <w:top w:val="single" w:sz="4" w:space="0" w:color="auto"/>
              <w:left w:val="nil"/>
              <w:bottom w:val="single" w:sz="4" w:space="0" w:color="auto"/>
              <w:right w:val="nil"/>
            </w:tcBorders>
            <w:vAlign w:val="center"/>
          </w:tcPr>
          <w:p w:rsidR="002B76A0" w:rsidRPr="00E027D4" w:rsidRDefault="002B76A0" w:rsidP="00E027D4">
            <w:pPr>
              <w:pStyle w:val="table1"/>
              <w:rPr>
                <w:b/>
                <w:bCs/>
                <w:u w:color="000000"/>
              </w:rPr>
            </w:pPr>
            <w:r w:rsidRPr="00E027D4">
              <w:rPr>
                <w:b/>
                <w:bCs/>
                <w:u w:color="000000"/>
              </w:rPr>
              <w:t>Date</w:t>
            </w:r>
          </w:p>
        </w:tc>
        <w:tc>
          <w:tcPr>
            <w:tcW w:w="1418" w:type="dxa"/>
            <w:tcBorders>
              <w:top w:val="single" w:sz="4" w:space="0" w:color="auto"/>
              <w:left w:val="nil"/>
              <w:bottom w:val="single" w:sz="4" w:space="0" w:color="auto"/>
              <w:right w:val="nil"/>
            </w:tcBorders>
            <w:vAlign w:val="center"/>
          </w:tcPr>
          <w:p w:rsidR="002B76A0" w:rsidRPr="00E027D4" w:rsidRDefault="002B76A0" w:rsidP="00E027D4">
            <w:pPr>
              <w:pStyle w:val="table1"/>
              <w:rPr>
                <w:b/>
                <w:bCs/>
                <w:u w:color="000000"/>
              </w:rPr>
            </w:pPr>
            <w:r w:rsidRPr="00E027D4">
              <w:rPr>
                <w:b/>
                <w:bCs/>
                <w:u w:color="000000"/>
              </w:rPr>
              <w:t>Species name</w:t>
            </w:r>
          </w:p>
        </w:tc>
        <w:tc>
          <w:tcPr>
            <w:tcW w:w="1276" w:type="dxa"/>
            <w:tcBorders>
              <w:top w:val="single" w:sz="4" w:space="0" w:color="auto"/>
              <w:left w:val="nil"/>
              <w:bottom w:val="single" w:sz="4" w:space="0" w:color="auto"/>
              <w:right w:val="nil"/>
            </w:tcBorders>
            <w:vAlign w:val="center"/>
          </w:tcPr>
          <w:p w:rsidR="002B76A0" w:rsidRPr="00E027D4" w:rsidRDefault="002B76A0" w:rsidP="00E027D4">
            <w:pPr>
              <w:pStyle w:val="table1"/>
              <w:rPr>
                <w:b/>
                <w:bCs/>
                <w:u w:color="000000"/>
              </w:rPr>
            </w:pPr>
            <w:r w:rsidRPr="00E027D4">
              <w:rPr>
                <w:b/>
                <w:bCs/>
                <w:u w:color="000000"/>
              </w:rPr>
              <w:t>Endpoint</w:t>
            </w:r>
          </w:p>
        </w:tc>
        <w:tc>
          <w:tcPr>
            <w:tcW w:w="1842" w:type="dxa"/>
            <w:tcBorders>
              <w:top w:val="single" w:sz="4" w:space="0" w:color="auto"/>
              <w:left w:val="nil"/>
              <w:bottom w:val="single" w:sz="4" w:space="0" w:color="auto"/>
              <w:right w:val="nil"/>
            </w:tcBorders>
          </w:tcPr>
          <w:p w:rsidR="002B76A0" w:rsidRPr="00E027D4" w:rsidRDefault="002B76A0" w:rsidP="00E027D4">
            <w:pPr>
              <w:pStyle w:val="table1"/>
              <w:rPr>
                <w:b/>
                <w:bCs/>
                <w:u w:color="000000"/>
              </w:rPr>
            </w:pPr>
            <w:r w:rsidRPr="00E027D4">
              <w:rPr>
                <w:b/>
                <w:bCs/>
                <w:u w:color="000000"/>
              </w:rPr>
              <w:t>Ammonia concentration range tested (mg L</w:t>
            </w:r>
            <w:r w:rsidRPr="00E027D4">
              <w:rPr>
                <w:rFonts w:ascii="Arial Bold" w:hAnsi="Arial Bold"/>
                <w:b/>
                <w:bCs/>
                <w:snapToGrid w:val="0"/>
                <w:szCs w:val="11"/>
                <w:u w:color="000000"/>
                <w:vertAlign w:val="superscript"/>
              </w:rPr>
              <w:t>-1</w:t>
            </w:r>
            <w:r w:rsidRPr="00E027D4">
              <w:rPr>
                <w:b/>
                <w:bCs/>
                <w:snapToGrid w:val="0"/>
                <w:u w:color="000000"/>
              </w:rPr>
              <w:t>)</w:t>
            </w:r>
            <w:r w:rsidRPr="00E027D4">
              <w:rPr>
                <w:rStyle w:val="CommentReference"/>
                <w:rFonts w:cs="Arial"/>
                <w:b/>
                <w:bCs/>
                <w:u w:color="000000"/>
              </w:rPr>
              <w:t> </w:t>
            </w:r>
            <w:r w:rsidRPr="00E027D4">
              <w:rPr>
                <w:rStyle w:val="CommentReference"/>
                <w:rFonts w:cs="Arial"/>
                <w:b/>
                <w:bCs/>
                <w:snapToGrid w:val="0"/>
                <w:szCs w:val="0"/>
                <w:u w:color="000000"/>
              </w:rPr>
              <w:t>a</w:t>
            </w:r>
          </w:p>
        </w:tc>
        <w:tc>
          <w:tcPr>
            <w:tcW w:w="1610" w:type="dxa"/>
            <w:tcBorders>
              <w:top w:val="single" w:sz="4" w:space="0" w:color="auto"/>
              <w:left w:val="nil"/>
              <w:bottom w:val="single" w:sz="4" w:space="0" w:color="auto"/>
              <w:right w:val="nil"/>
            </w:tcBorders>
            <w:vAlign w:val="center"/>
          </w:tcPr>
          <w:p w:rsidR="002B76A0" w:rsidRPr="00E027D4" w:rsidRDefault="002B76A0" w:rsidP="00E027D4">
            <w:pPr>
              <w:pStyle w:val="table1"/>
              <w:rPr>
                <w:b/>
                <w:bCs/>
                <w:u w:color="000000"/>
              </w:rPr>
            </w:pPr>
            <w:r w:rsidRPr="00E027D4">
              <w:rPr>
                <w:b/>
                <w:bCs/>
                <w:u w:color="000000"/>
              </w:rPr>
              <w:t>Comments</w:t>
            </w:r>
          </w:p>
        </w:tc>
      </w:tr>
      <w:tr w:rsidR="002B76A0" w:rsidRPr="00754C47" w:rsidTr="002B76A0">
        <w:tc>
          <w:tcPr>
            <w:tcW w:w="1384" w:type="dxa"/>
            <w:tcBorders>
              <w:left w:val="nil"/>
              <w:bottom w:val="nil"/>
              <w:right w:val="nil"/>
            </w:tcBorders>
            <w:vAlign w:val="center"/>
          </w:tcPr>
          <w:p w:rsidR="002B76A0" w:rsidRPr="00E027D4" w:rsidRDefault="002B76A0" w:rsidP="00E027D4">
            <w:pPr>
              <w:pStyle w:val="table1"/>
              <w:rPr>
                <w:rFonts w:eastAsiaTheme="minorHAnsi"/>
                <w:color w:val="000000"/>
                <w:u w:color="000000"/>
              </w:rPr>
            </w:pPr>
            <w:r w:rsidRPr="00E027D4">
              <w:rPr>
                <w:color w:val="000000"/>
                <w:u w:color="000000"/>
              </w:rPr>
              <w:t>1382G</w:t>
            </w:r>
          </w:p>
          <w:p w:rsidR="002B76A0" w:rsidRPr="00E027D4" w:rsidRDefault="002B76A0" w:rsidP="00E027D4">
            <w:pPr>
              <w:pStyle w:val="table1"/>
              <w:rPr>
                <w:color w:val="000000"/>
                <w:u w:color="000000"/>
              </w:rPr>
            </w:pPr>
            <w:r w:rsidRPr="00E027D4">
              <w:rPr>
                <w:color w:val="000000"/>
                <w:u w:color="000000"/>
              </w:rPr>
              <w:t>1394G</w:t>
            </w:r>
          </w:p>
        </w:tc>
        <w:tc>
          <w:tcPr>
            <w:tcW w:w="992" w:type="dxa"/>
            <w:tcBorders>
              <w:left w:val="nil"/>
              <w:bottom w:val="nil"/>
              <w:right w:val="nil"/>
            </w:tcBorders>
            <w:vAlign w:val="center"/>
          </w:tcPr>
          <w:p w:rsidR="002B76A0" w:rsidRPr="00E027D4" w:rsidRDefault="002B76A0" w:rsidP="00E027D4">
            <w:pPr>
              <w:pStyle w:val="table1"/>
              <w:rPr>
                <w:rFonts w:eastAsiaTheme="minorHAnsi"/>
                <w:color w:val="000000"/>
                <w:u w:color="000000"/>
              </w:rPr>
            </w:pPr>
            <w:r w:rsidRPr="00E027D4">
              <w:rPr>
                <w:color w:val="000000"/>
                <w:u w:color="000000"/>
              </w:rPr>
              <w:t>25/02/14</w:t>
            </w:r>
          </w:p>
          <w:p w:rsidR="002B76A0" w:rsidRPr="00E027D4" w:rsidRDefault="002B76A0" w:rsidP="00E027D4">
            <w:pPr>
              <w:pStyle w:val="table1"/>
              <w:rPr>
                <w:color w:val="000000"/>
                <w:u w:color="000000"/>
              </w:rPr>
            </w:pPr>
            <w:r w:rsidRPr="00E027D4">
              <w:rPr>
                <w:color w:val="000000"/>
                <w:u w:color="000000"/>
              </w:rPr>
              <w:t>3/03/14</w:t>
            </w:r>
          </w:p>
        </w:tc>
        <w:tc>
          <w:tcPr>
            <w:tcW w:w="1418" w:type="dxa"/>
            <w:tcBorders>
              <w:left w:val="nil"/>
              <w:bottom w:val="nil"/>
              <w:right w:val="nil"/>
            </w:tcBorders>
            <w:vAlign w:val="center"/>
          </w:tcPr>
          <w:p w:rsidR="002B76A0" w:rsidRPr="00E027D4" w:rsidRDefault="002B76A0" w:rsidP="00E027D4">
            <w:pPr>
              <w:pStyle w:val="table1"/>
              <w:rPr>
                <w:color w:val="000000"/>
                <w:u w:color="000000"/>
              </w:rPr>
            </w:pPr>
            <w:r w:rsidRPr="008D1BF0">
              <w:rPr>
                <w:i/>
                <w:color w:val="000000"/>
                <w:u w:color="000000"/>
              </w:rPr>
              <w:t>Chlorella</w:t>
            </w:r>
            <w:r w:rsidRPr="00E027D4">
              <w:rPr>
                <w:color w:val="000000"/>
                <w:u w:color="000000"/>
              </w:rPr>
              <w:t xml:space="preserve"> sp.</w:t>
            </w:r>
          </w:p>
        </w:tc>
        <w:tc>
          <w:tcPr>
            <w:tcW w:w="1276" w:type="dxa"/>
            <w:tcBorders>
              <w:left w:val="nil"/>
              <w:bottom w:val="nil"/>
              <w:right w:val="nil"/>
            </w:tcBorders>
            <w:vAlign w:val="center"/>
          </w:tcPr>
          <w:p w:rsidR="002B76A0" w:rsidRPr="00E027D4" w:rsidRDefault="002B76A0" w:rsidP="00E027D4">
            <w:pPr>
              <w:pStyle w:val="table1"/>
              <w:rPr>
                <w:color w:val="000000"/>
                <w:u w:color="000000"/>
              </w:rPr>
            </w:pPr>
            <w:r w:rsidRPr="00E027D4">
              <w:rPr>
                <w:color w:val="000000"/>
                <w:u w:color="000000"/>
              </w:rPr>
              <w:t>Population growth</w:t>
            </w:r>
          </w:p>
        </w:tc>
        <w:tc>
          <w:tcPr>
            <w:tcW w:w="1842" w:type="dxa"/>
            <w:tcBorders>
              <w:left w:val="nil"/>
              <w:bottom w:val="nil"/>
              <w:right w:val="nil"/>
            </w:tcBorders>
          </w:tcPr>
          <w:p w:rsidR="002B76A0" w:rsidRPr="00E027D4" w:rsidRDefault="002B76A0" w:rsidP="00E027D4">
            <w:pPr>
              <w:pStyle w:val="table1"/>
              <w:rPr>
                <w:color w:val="000000"/>
                <w:u w:color="000000"/>
              </w:rPr>
            </w:pPr>
            <w:r w:rsidRPr="00E027D4">
              <w:rPr>
                <w:color w:val="000000"/>
                <w:u w:color="000000"/>
              </w:rPr>
              <w:t>2.5 – 80</w:t>
            </w:r>
          </w:p>
          <w:p w:rsidR="002B76A0" w:rsidRPr="00E027D4" w:rsidRDefault="002B76A0" w:rsidP="00E027D4">
            <w:pPr>
              <w:pStyle w:val="table1"/>
              <w:rPr>
                <w:color w:val="000000"/>
                <w:u w:color="000000"/>
              </w:rPr>
            </w:pPr>
            <w:r w:rsidRPr="00E027D4">
              <w:rPr>
                <w:color w:val="000000"/>
                <w:u w:color="000000"/>
              </w:rPr>
              <w:t>7.5 - 240</w:t>
            </w:r>
          </w:p>
        </w:tc>
        <w:tc>
          <w:tcPr>
            <w:tcW w:w="1610" w:type="dxa"/>
            <w:tcBorders>
              <w:left w:val="nil"/>
              <w:bottom w:val="nil"/>
              <w:right w:val="nil"/>
            </w:tcBorders>
            <w:vAlign w:val="center"/>
          </w:tcPr>
          <w:p w:rsidR="002B76A0" w:rsidRPr="00E027D4" w:rsidRDefault="002B76A0" w:rsidP="00E027D4">
            <w:pPr>
              <w:pStyle w:val="table1"/>
              <w:rPr>
                <w:color w:val="000000"/>
                <w:u w:color="000000"/>
              </w:rPr>
            </w:pPr>
            <w:r w:rsidRPr="00E027D4">
              <w:rPr>
                <w:color w:val="000000"/>
                <w:u w:color="000000"/>
              </w:rPr>
              <w:t xml:space="preserve">Lower nutrients/ lower density </w:t>
            </w:r>
            <w:r w:rsidRPr="00E027D4">
              <w:rPr>
                <w:snapToGrid w:val="0"/>
                <w:color w:val="000000"/>
                <w:szCs w:val="0"/>
                <w:u w:color="000000"/>
              </w:rPr>
              <w:t>c</w:t>
            </w:r>
            <w:r w:rsidRPr="00E027D4">
              <w:rPr>
                <w:color w:val="000000"/>
                <w:u w:color="000000"/>
              </w:rPr>
              <w:t xml:space="preserve">; </w:t>
            </w:r>
            <w:r w:rsidRPr="00E027D4">
              <w:rPr>
                <w:color w:val="000000"/>
                <w:u w:color="000000"/>
              </w:rPr>
              <w:br/>
              <w:t>1 mM HEPES</w:t>
            </w:r>
          </w:p>
        </w:tc>
      </w:tr>
      <w:tr w:rsidR="002B76A0" w:rsidRPr="00754C47" w:rsidTr="002B76A0">
        <w:tc>
          <w:tcPr>
            <w:tcW w:w="1384" w:type="dxa"/>
            <w:tcBorders>
              <w:top w:val="nil"/>
              <w:left w:val="nil"/>
              <w:bottom w:val="nil"/>
              <w:right w:val="nil"/>
            </w:tcBorders>
          </w:tcPr>
          <w:p w:rsidR="002B76A0" w:rsidRPr="00E027D4" w:rsidRDefault="002B76A0" w:rsidP="00E027D4">
            <w:pPr>
              <w:pStyle w:val="table1"/>
              <w:rPr>
                <w:color w:val="000000"/>
                <w:u w:color="000000"/>
              </w:rPr>
            </w:pPr>
            <w:r w:rsidRPr="00E027D4">
              <w:rPr>
                <w:color w:val="000000"/>
                <w:u w:color="000000"/>
              </w:rPr>
              <w:t>1391B</w:t>
            </w:r>
          </w:p>
          <w:p w:rsidR="002B76A0" w:rsidRPr="00E027D4" w:rsidRDefault="002B76A0" w:rsidP="00E027D4">
            <w:pPr>
              <w:pStyle w:val="table1"/>
              <w:rPr>
                <w:color w:val="000000"/>
                <w:u w:color="000000"/>
              </w:rPr>
            </w:pPr>
            <w:r w:rsidRPr="00E027D4">
              <w:rPr>
                <w:color w:val="000000"/>
                <w:u w:color="000000"/>
              </w:rPr>
              <w:t>1401B</w:t>
            </w:r>
          </w:p>
        </w:tc>
        <w:tc>
          <w:tcPr>
            <w:tcW w:w="992" w:type="dxa"/>
            <w:tcBorders>
              <w:top w:val="nil"/>
              <w:left w:val="nil"/>
              <w:bottom w:val="nil"/>
              <w:right w:val="nil"/>
            </w:tcBorders>
          </w:tcPr>
          <w:p w:rsidR="002B76A0" w:rsidRPr="00E027D4" w:rsidRDefault="002B76A0" w:rsidP="00E027D4">
            <w:pPr>
              <w:pStyle w:val="table1"/>
              <w:rPr>
                <w:color w:val="000000"/>
                <w:u w:color="000000"/>
              </w:rPr>
            </w:pPr>
            <w:r w:rsidRPr="00E027D4">
              <w:rPr>
                <w:color w:val="000000"/>
                <w:u w:color="000000"/>
              </w:rPr>
              <w:t>7/04/14</w:t>
            </w:r>
          </w:p>
          <w:p w:rsidR="002B76A0" w:rsidRPr="00E027D4" w:rsidRDefault="002B76A0" w:rsidP="00E027D4">
            <w:pPr>
              <w:pStyle w:val="table1"/>
              <w:rPr>
                <w:color w:val="000000"/>
                <w:u w:color="000000"/>
              </w:rPr>
            </w:pPr>
            <w:r w:rsidRPr="00E027D4">
              <w:rPr>
                <w:color w:val="000000"/>
                <w:u w:color="000000"/>
              </w:rPr>
              <w:t>28/04/14</w:t>
            </w:r>
          </w:p>
        </w:tc>
        <w:tc>
          <w:tcPr>
            <w:tcW w:w="1418" w:type="dxa"/>
            <w:tcBorders>
              <w:top w:val="nil"/>
              <w:left w:val="nil"/>
              <w:bottom w:val="nil"/>
              <w:right w:val="nil"/>
            </w:tcBorders>
            <w:vAlign w:val="center"/>
          </w:tcPr>
          <w:p w:rsidR="002B76A0" w:rsidRPr="008D1BF0" w:rsidRDefault="002B76A0" w:rsidP="00E027D4">
            <w:pPr>
              <w:pStyle w:val="table1"/>
              <w:rPr>
                <w:i/>
                <w:color w:val="000000"/>
                <w:u w:color="000000"/>
              </w:rPr>
            </w:pPr>
            <w:r w:rsidRPr="008D1BF0">
              <w:rPr>
                <w:i/>
                <w:color w:val="000000"/>
                <w:u w:color="000000"/>
              </w:rPr>
              <w:t>H. viridissima</w:t>
            </w:r>
          </w:p>
        </w:tc>
        <w:tc>
          <w:tcPr>
            <w:tcW w:w="1276" w:type="dxa"/>
            <w:tcBorders>
              <w:top w:val="nil"/>
              <w:left w:val="nil"/>
              <w:bottom w:val="nil"/>
              <w:right w:val="nil"/>
            </w:tcBorders>
            <w:vAlign w:val="center"/>
          </w:tcPr>
          <w:p w:rsidR="002B76A0" w:rsidRPr="00E027D4" w:rsidRDefault="002B76A0" w:rsidP="00E027D4">
            <w:pPr>
              <w:pStyle w:val="table1"/>
              <w:rPr>
                <w:color w:val="000000"/>
                <w:u w:color="000000"/>
              </w:rPr>
            </w:pPr>
            <w:r w:rsidRPr="00E027D4">
              <w:rPr>
                <w:color w:val="000000"/>
                <w:u w:color="000000"/>
              </w:rPr>
              <w:t>Population growth</w:t>
            </w:r>
          </w:p>
        </w:tc>
        <w:tc>
          <w:tcPr>
            <w:tcW w:w="1842" w:type="dxa"/>
            <w:tcBorders>
              <w:top w:val="nil"/>
              <w:left w:val="nil"/>
              <w:bottom w:val="nil"/>
              <w:right w:val="nil"/>
            </w:tcBorders>
          </w:tcPr>
          <w:p w:rsidR="002B76A0" w:rsidRPr="00E027D4" w:rsidRDefault="002B76A0" w:rsidP="00E027D4">
            <w:pPr>
              <w:pStyle w:val="table1"/>
              <w:rPr>
                <w:rFonts w:eastAsiaTheme="minorHAnsi"/>
                <w:color w:val="000000"/>
                <w:u w:color="000000"/>
              </w:rPr>
            </w:pPr>
            <w:r w:rsidRPr="00E027D4">
              <w:rPr>
                <w:color w:val="000000"/>
                <w:u w:color="000000"/>
              </w:rPr>
              <w:t>1 – 32</w:t>
            </w:r>
          </w:p>
          <w:p w:rsidR="002B76A0" w:rsidRPr="00E027D4" w:rsidRDefault="002B76A0" w:rsidP="00E027D4">
            <w:pPr>
              <w:pStyle w:val="table1"/>
              <w:rPr>
                <w:color w:val="000000"/>
                <w:u w:color="000000"/>
              </w:rPr>
            </w:pPr>
            <w:r w:rsidRPr="00E027D4">
              <w:rPr>
                <w:color w:val="000000"/>
                <w:u w:color="000000"/>
              </w:rPr>
              <w:t>1.5 – 24</w:t>
            </w:r>
          </w:p>
        </w:tc>
        <w:tc>
          <w:tcPr>
            <w:tcW w:w="1610" w:type="dxa"/>
            <w:tcBorders>
              <w:top w:val="nil"/>
              <w:left w:val="nil"/>
              <w:bottom w:val="nil"/>
              <w:right w:val="nil"/>
            </w:tcBorders>
          </w:tcPr>
          <w:p w:rsidR="002B76A0" w:rsidRPr="00E027D4" w:rsidRDefault="002B76A0" w:rsidP="00E027D4">
            <w:pPr>
              <w:pStyle w:val="table1"/>
              <w:rPr>
                <w:color w:val="000000"/>
                <w:u w:color="000000"/>
              </w:rPr>
            </w:pPr>
            <w:r w:rsidRPr="00E027D4">
              <w:rPr>
                <w:color w:val="000000"/>
                <w:u w:color="000000"/>
              </w:rPr>
              <w:t xml:space="preserve">Modified design </w:t>
            </w:r>
            <w:r w:rsidRPr="00E027D4">
              <w:rPr>
                <w:snapToGrid w:val="0"/>
                <w:color w:val="000000"/>
                <w:szCs w:val="0"/>
                <w:u w:color="000000"/>
              </w:rPr>
              <w:t>b</w:t>
            </w:r>
            <w:r w:rsidRPr="00E027D4">
              <w:rPr>
                <w:color w:val="000000"/>
                <w:u w:color="000000"/>
              </w:rPr>
              <w:t xml:space="preserve">; Bicarbonate buffer </w:t>
            </w:r>
          </w:p>
        </w:tc>
      </w:tr>
      <w:tr w:rsidR="002B76A0" w:rsidRPr="00754C47" w:rsidTr="002B76A0">
        <w:tc>
          <w:tcPr>
            <w:tcW w:w="1384" w:type="dxa"/>
            <w:tcBorders>
              <w:top w:val="nil"/>
              <w:left w:val="nil"/>
              <w:bottom w:val="single" w:sz="4" w:space="0" w:color="auto"/>
              <w:right w:val="nil"/>
            </w:tcBorders>
          </w:tcPr>
          <w:p w:rsidR="002B76A0" w:rsidRPr="00E027D4" w:rsidRDefault="002B76A0" w:rsidP="00E027D4">
            <w:pPr>
              <w:pStyle w:val="table1"/>
              <w:rPr>
                <w:color w:val="000000"/>
                <w:u w:color="000000"/>
              </w:rPr>
            </w:pPr>
            <w:r w:rsidRPr="00E027D4">
              <w:rPr>
                <w:color w:val="000000"/>
                <w:u w:color="000000"/>
              </w:rPr>
              <w:t>1410E</w:t>
            </w:r>
          </w:p>
          <w:p w:rsidR="002B76A0" w:rsidRPr="00E027D4" w:rsidRDefault="002B76A0" w:rsidP="00E027D4">
            <w:pPr>
              <w:pStyle w:val="table1"/>
              <w:rPr>
                <w:color w:val="000000"/>
                <w:u w:color="000000"/>
              </w:rPr>
            </w:pPr>
            <w:r w:rsidRPr="00E027D4">
              <w:rPr>
                <w:color w:val="000000"/>
                <w:u w:color="000000"/>
              </w:rPr>
              <w:t>1413E</w:t>
            </w:r>
          </w:p>
        </w:tc>
        <w:tc>
          <w:tcPr>
            <w:tcW w:w="992" w:type="dxa"/>
            <w:tcBorders>
              <w:top w:val="nil"/>
              <w:left w:val="nil"/>
              <w:bottom w:val="single" w:sz="4" w:space="0" w:color="auto"/>
              <w:right w:val="nil"/>
            </w:tcBorders>
          </w:tcPr>
          <w:p w:rsidR="002B76A0" w:rsidRPr="00E027D4" w:rsidRDefault="002B76A0" w:rsidP="00E027D4">
            <w:pPr>
              <w:pStyle w:val="table1"/>
              <w:rPr>
                <w:rFonts w:eastAsiaTheme="minorHAnsi"/>
                <w:color w:val="000000"/>
                <w:u w:color="000000"/>
              </w:rPr>
            </w:pPr>
            <w:r w:rsidRPr="00E027D4">
              <w:rPr>
                <w:color w:val="000000"/>
                <w:u w:color="000000"/>
              </w:rPr>
              <w:t>14/06/14</w:t>
            </w:r>
          </w:p>
          <w:p w:rsidR="002B76A0" w:rsidRPr="00E027D4" w:rsidRDefault="002B76A0" w:rsidP="00E027D4">
            <w:pPr>
              <w:pStyle w:val="table1"/>
              <w:rPr>
                <w:color w:val="000000"/>
                <w:u w:color="000000"/>
              </w:rPr>
            </w:pPr>
            <w:r w:rsidRPr="00E027D4">
              <w:rPr>
                <w:color w:val="000000"/>
                <w:u w:color="000000"/>
              </w:rPr>
              <w:t>23/08/14</w:t>
            </w:r>
          </w:p>
        </w:tc>
        <w:tc>
          <w:tcPr>
            <w:tcW w:w="1418" w:type="dxa"/>
            <w:tcBorders>
              <w:top w:val="nil"/>
              <w:left w:val="nil"/>
              <w:bottom w:val="single" w:sz="4" w:space="0" w:color="auto"/>
              <w:right w:val="nil"/>
            </w:tcBorders>
            <w:vAlign w:val="center"/>
          </w:tcPr>
          <w:p w:rsidR="002B76A0" w:rsidRPr="008D1BF0" w:rsidRDefault="002B76A0" w:rsidP="00E027D4">
            <w:pPr>
              <w:pStyle w:val="table1"/>
              <w:rPr>
                <w:i/>
                <w:color w:val="000000"/>
                <w:u w:color="000000"/>
              </w:rPr>
            </w:pPr>
            <w:r w:rsidRPr="008D1BF0">
              <w:rPr>
                <w:i/>
                <w:color w:val="000000"/>
                <w:u w:color="000000"/>
              </w:rPr>
              <w:t>M. mogurnda</w:t>
            </w:r>
          </w:p>
        </w:tc>
        <w:tc>
          <w:tcPr>
            <w:tcW w:w="1276" w:type="dxa"/>
            <w:tcBorders>
              <w:top w:val="nil"/>
              <w:left w:val="nil"/>
              <w:bottom w:val="single" w:sz="4" w:space="0" w:color="auto"/>
              <w:right w:val="nil"/>
            </w:tcBorders>
            <w:vAlign w:val="center"/>
          </w:tcPr>
          <w:p w:rsidR="002B76A0" w:rsidRPr="00E027D4" w:rsidRDefault="002B76A0" w:rsidP="00E027D4">
            <w:pPr>
              <w:pStyle w:val="table1"/>
              <w:rPr>
                <w:color w:val="000000"/>
                <w:u w:color="000000"/>
              </w:rPr>
            </w:pPr>
            <w:r w:rsidRPr="00E027D4">
              <w:rPr>
                <w:color w:val="000000"/>
                <w:u w:color="000000"/>
              </w:rPr>
              <w:t>Survival</w:t>
            </w:r>
          </w:p>
        </w:tc>
        <w:tc>
          <w:tcPr>
            <w:tcW w:w="1842" w:type="dxa"/>
            <w:tcBorders>
              <w:top w:val="nil"/>
              <w:left w:val="nil"/>
              <w:bottom w:val="single" w:sz="4" w:space="0" w:color="auto"/>
              <w:right w:val="nil"/>
            </w:tcBorders>
          </w:tcPr>
          <w:p w:rsidR="002B76A0" w:rsidRPr="00E027D4" w:rsidRDefault="002B76A0" w:rsidP="00E027D4">
            <w:pPr>
              <w:pStyle w:val="table1"/>
              <w:rPr>
                <w:color w:val="000000"/>
                <w:u w:color="000000"/>
              </w:rPr>
            </w:pPr>
            <w:r w:rsidRPr="00E027D4">
              <w:rPr>
                <w:color w:val="000000"/>
                <w:u w:color="000000"/>
              </w:rPr>
              <w:t>10 – 320</w:t>
            </w:r>
          </w:p>
          <w:p w:rsidR="002B76A0" w:rsidRPr="00E027D4" w:rsidRDefault="002B76A0" w:rsidP="00E027D4">
            <w:pPr>
              <w:pStyle w:val="table1"/>
              <w:rPr>
                <w:color w:val="000000"/>
                <w:u w:color="000000"/>
              </w:rPr>
            </w:pPr>
            <w:r w:rsidRPr="00E027D4">
              <w:rPr>
                <w:color w:val="000000"/>
                <w:u w:color="000000"/>
              </w:rPr>
              <w:t>15 - 60</w:t>
            </w:r>
          </w:p>
        </w:tc>
        <w:tc>
          <w:tcPr>
            <w:tcW w:w="1610" w:type="dxa"/>
            <w:tcBorders>
              <w:top w:val="nil"/>
              <w:left w:val="nil"/>
              <w:bottom w:val="single" w:sz="4" w:space="0" w:color="auto"/>
              <w:right w:val="nil"/>
            </w:tcBorders>
          </w:tcPr>
          <w:p w:rsidR="002B76A0" w:rsidRPr="00E027D4" w:rsidRDefault="002B76A0" w:rsidP="00E027D4">
            <w:pPr>
              <w:pStyle w:val="table1"/>
              <w:rPr>
                <w:color w:val="000000"/>
                <w:u w:color="000000"/>
              </w:rPr>
            </w:pPr>
            <w:r w:rsidRPr="00E027D4">
              <w:rPr>
                <w:color w:val="000000"/>
                <w:u w:color="000000"/>
              </w:rPr>
              <w:t xml:space="preserve">Modified design </w:t>
            </w:r>
            <w:r w:rsidRPr="00E027D4">
              <w:rPr>
                <w:snapToGrid w:val="0"/>
                <w:color w:val="000000"/>
                <w:szCs w:val="0"/>
                <w:u w:color="000000"/>
              </w:rPr>
              <w:t>b</w:t>
            </w:r>
            <w:r w:rsidRPr="00E027D4">
              <w:rPr>
                <w:color w:val="000000"/>
                <w:u w:color="000000"/>
              </w:rPr>
              <w:t>; Bicarbonate buffer</w:t>
            </w:r>
          </w:p>
        </w:tc>
      </w:tr>
      <w:tr w:rsidR="002B76A0" w:rsidRPr="00754C47" w:rsidTr="002B76A0">
        <w:tc>
          <w:tcPr>
            <w:tcW w:w="1384" w:type="dxa"/>
            <w:tcBorders>
              <w:left w:val="nil"/>
              <w:bottom w:val="nil"/>
              <w:right w:val="nil"/>
            </w:tcBorders>
          </w:tcPr>
          <w:p w:rsidR="002B76A0" w:rsidRPr="00E027D4" w:rsidRDefault="002B76A0" w:rsidP="00E027D4">
            <w:pPr>
              <w:pStyle w:val="table1"/>
              <w:rPr>
                <w:color w:val="000000"/>
                <w:u w:color="000000"/>
              </w:rPr>
            </w:pPr>
            <w:r w:rsidRPr="00E027D4">
              <w:rPr>
                <w:color w:val="000000"/>
                <w:u w:color="000000"/>
              </w:rPr>
              <w:t>1421L</w:t>
            </w:r>
          </w:p>
        </w:tc>
        <w:tc>
          <w:tcPr>
            <w:tcW w:w="992" w:type="dxa"/>
            <w:tcBorders>
              <w:left w:val="nil"/>
              <w:bottom w:val="nil"/>
              <w:right w:val="nil"/>
            </w:tcBorders>
          </w:tcPr>
          <w:p w:rsidR="002B76A0" w:rsidRPr="00E027D4" w:rsidRDefault="002B76A0" w:rsidP="00E027D4">
            <w:pPr>
              <w:pStyle w:val="table1"/>
              <w:rPr>
                <w:color w:val="000000"/>
                <w:u w:color="000000"/>
              </w:rPr>
            </w:pPr>
            <w:r w:rsidRPr="00E027D4">
              <w:rPr>
                <w:color w:val="000000"/>
                <w:u w:color="000000"/>
              </w:rPr>
              <w:t>25/08/14</w:t>
            </w:r>
          </w:p>
        </w:tc>
        <w:tc>
          <w:tcPr>
            <w:tcW w:w="1418" w:type="dxa"/>
            <w:tcBorders>
              <w:left w:val="nil"/>
              <w:bottom w:val="nil"/>
              <w:right w:val="nil"/>
            </w:tcBorders>
            <w:vAlign w:val="center"/>
          </w:tcPr>
          <w:p w:rsidR="002B76A0" w:rsidRPr="008D1BF0" w:rsidRDefault="002B76A0" w:rsidP="00E027D4">
            <w:pPr>
              <w:pStyle w:val="table1"/>
              <w:rPr>
                <w:i/>
                <w:color w:val="000000"/>
                <w:u w:color="000000"/>
              </w:rPr>
            </w:pPr>
            <w:r w:rsidRPr="008D1BF0">
              <w:rPr>
                <w:i/>
                <w:color w:val="000000"/>
                <w:u w:color="000000"/>
              </w:rPr>
              <w:t>L. aequinoctialis</w:t>
            </w:r>
          </w:p>
        </w:tc>
        <w:tc>
          <w:tcPr>
            <w:tcW w:w="1276" w:type="dxa"/>
            <w:tcBorders>
              <w:left w:val="nil"/>
              <w:bottom w:val="nil"/>
              <w:right w:val="nil"/>
            </w:tcBorders>
          </w:tcPr>
          <w:p w:rsidR="002B76A0" w:rsidRPr="00E027D4" w:rsidRDefault="002B76A0" w:rsidP="00E027D4">
            <w:pPr>
              <w:pStyle w:val="table1"/>
              <w:rPr>
                <w:color w:val="000000"/>
                <w:u w:color="000000"/>
              </w:rPr>
            </w:pPr>
            <w:r w:rsidRPr="00E027D4">
              <w:rPr>
                <w:color w:val="000000"/>
                <w:u w:color="000000"/>
              </w:rPr>
              <w:t>Surface area growth rate</w:t>
            </w:r>
          </w:p>
        </w:tc>
        <w:tc>
          <w:tcPr>
            <w:tcW w:w="1842" w:type="dxa"/>
            <w:tcBorders>
              <w:left w:val="nil"/>
              <w:bottom w:val="nil"/>
              <w:right w:val="nil"/>
            </w:tcBorders>
          </w:tcPr>
          <w:p w:rsidR="002B76A0" w:rsidRPr="00E027D4" w:rsidRDefault="00E027D4" w:rsidP="00E027D4">
            <w:pPr>
              <w:pStyle w:val="table1"/>
              <w:rPr>
                <w:color w:val="000000"/>
                <w:u w:color="000000"/>
              </w:rPr>
            </w:pPr>
            <w:r>
              <w:rPr>
                <w:color w:val="000000"/>
                <w:u w:color="000000"/>
              </w:rPr>
              <w:t xml:space="preserve"> </w:t>
            </w:r>
            <w:r w:rsidR="002B76A0" w:rsidRPr="00E027D4">
              <w:rPr>
                <w:color w:val="000000"/>
                <w:u w:color="000000"/>
              </w:rPr>
              <w:t>2 -64</w:t>
            </w:r>
          </w:p>
        </w:tc>
        <w:tc>
          <w:tcPr>
            <w:tcW w:w="1610" w:type="dxa"/>
            <w:tcBorders>
              <w:left w:val="nil"/>
              <w:bottom w:val="nil"/>
              <w:right w:val="nil"/>
            </w:tcBorders>
          </w:tcPr>
          <w:p w:rsidR="002B76A0" w:rsidRPr="00E027D4" w:rsidRDefault="002B76A0" w:rsidP="00E027D4">
            <w:pPr>
              <w:pStyle w:val="table1"/>
              <w:rPr>
                <w:color w:val="000000"/>
                <w:u w:color="000000"/>
              </w:rPr>
            </w:pPr>
            <w:r w:rsidRPr="00E027D4">
              <w:rPr>
                <w:color w:val="000000"/>
                <w:u w:color="000000"/>
              </w:rPr>
              <w:t xml:space="preserve">Modified design </w:t>
            </w:r>
            <w:r w:rsidRPr="00E027D4">
              <w:rPr>
                <w:snapToGrid w:val="0"/>
                <w:color w:val="000000"/>
                <w:szCs w:val="0"/>
                <w:u w:color="000000"/>
              </w:rPr>
              <w:t>b</w:t>
            </w:r>
            <w:r w:rsidRPr="00E027D4">
              <w:rPr>
                <w:color w:val="000000"/>
                <w:u w:color="000000"/>
              </w:rPr>
              <w:t>; Bicarbonate buffer</w:t>
            </w:r>
          </w:p>
        </w:tc>
      </w:tr>
      <w:tr w:rsidR="002B76A0" w:rsidRPr="00754C47" w:rsidTr="002B76A0">
        <w:tc>
          <w:tcPr>
            <w:tcW w:w="1384" w:type="dxa"/>
            <w:tcBorders>
              <w:top w:val="nil"/>
              <w:left w:val="nil"/>
              <w:bottom w:val="single" w:sz="4" w:space="0" w:color="auto"/>
              <w:right w:val="nil"/>
            </w:tcBorders>
          </w:tcPr>
          <w:p w:rsidR="002B76A0" w:rsidRPr="00E027D4" w:rsidRDefault="002B76A0" w:rsidP="00E027D4">
            <w:pPr>
              <w:pStyle w:val="table1"/>
              <w:rPr>
                <w:color w:val="000000"/>
                <w:u w:color="000000"/>
              </w:rPr>
            </w:pPr>
            <w:r w:rsidRPr="00E027D4">
              <w:rPr>
                <w:color w:val="000000"/>
                <w:u w:color="000000"/>
              </w:rPr>
              <w:t>1405S (HEPES)</w:t>
            </w:r>
          </w:p>
          <w:p w:rsidR="002B76A0" w:rsidRPr="00E027D4" w:rsidRDefault="002B76A0" w:rsidP="00E027D4">
            <w:pPr>
              <w:pStyle w:val="table1"/>
              <w:rPr>
                <w:color w:val="000000"/>
                <w:u w:color="000000"/>
              </w:rPr>
            </w:pPr>
            <w:r w:rsidRPr="00E027D4">
              <w:rPr>
                <w:color w:val="000000"/>
                <w:u w:color="000000"/>
              </w:rPr>
              <w:t>1411S (MES)</w:t>
            </w:r>
          </w:p>
        </w:tc>
        <w:tc>
          <w:tcPr>
            <w:tcW w:w="992" w:type="dxa"/>
            <w:tcBorders>
              <w:top w:val="nil"/>
              <w:left w:val="nil"/>
              <w:bottom w:val="single" w:sz="4" w:space="0" w:color="auto"/>
              <w:right w:val="nil"/>
            </w:tcBorders>
          </w:tcPr>
          <w:p w:rsidR="002B76A0" w:rsidRPr="00E027D4" w:rsidRDefault="002B76A0" w:rsidP="00E027D4">
            <w:pPr>
              <w:pStyle w:val="table1"/>
              <w:rPr>
                <w:color w:val="000000"/>
                <w:u w:color="000000"/>
              </w:rPr>
            </w:pPr>
            <w:r w:rsidRPr="00E027D4">
              <w:rPr>
                <w:color w:val="000000"/>
                <w:u w:color="000000"/>
              </w:rPr>
              <w:t>26/05/14</w:t>
            </w:r>
          </w:p>
          <w:p w:rsidR="002B76A0" w:rsidRPr="00E027D4" w:rsidRDefault="002B76A0" w:rsidP="00E027D4">
            <w:pPr>
              <w:pStyle w:val="table1"/>
              <w:rPr>
                <w:color w:val="000000"/>
                <w:u w:color="000000"/>
              </w:rPr>
            </w:pPr>
            <w:r w:rsidRPr="00E027D4">
              <w:rPr>
                <w:color w:val="000000"/>
                <w:u w:color="000000"/>
              </w:rPr>
              <w:t>23/06/14</w:t>
            </w:r>
          </w:p>
        </w:tc>
        <w:tc>
          <w:tcPr>
            <w:tcW w:w="1418" w:type="dxa"/>
            <w:tcBorders>
              <w:top w:val="nil"/>
              <w:left w:val="nil"/>
              <w:bottom w:val="single" w:sz="4" w:space="0" w:color="auto"/>
              <w:right w:val="nil"/>
            </w:tcBorders>
            <w:vAlign w:val="center"/>
          </w:tcPr>
          <w:p w:rsidR="002B76A0" w:rsidRPr="008D1BF0" w:rsidRDefault="002B76A0" w:rsidP="00E027D4">
            <w:pPr>
              <w:pStyle w:val="table1"/>
              <w:rPr>
                <w:i/>
                <w:color w:val="000000"/>
                <w:u w:color="000000"/>
              </w:rPr>
            </w:pPr>
            <w:r w:rsidRPr="008D1BF0">
              <w:rPr>
                <w:i/>
                <w:color w:val="000000"/>
                <w:u w:color="000000"/>
              </w:rPr>
              <w:t xml:space="preserve">A. cumingi </w:t>
            </w:r>
          </w:p>
        </w:tc>
        <w:tc>
          <w:tcPr>
            <w:tcW w:w="1276" w:type="dxa"/>
            <w:tcBorders>
              <w:top w:val="nil"/>
              <w:left w:val="nil"/>
              <w:bottom w:val="single" w:sz="4" w:space="0" w:color="auto"/>
              <w:right w:val="nil"/>
            </w:tcBorders>
          </w:tcPr>
          <w:p w:rsidR="002B76A0" w:rsidRPr="00E027D4" w:rsidRDefault="002B76A0" w:rsidP="00E027D4">
            <w:pPr>
              <w:pStyle w:val="table1"/>
              <w:rPr>
                <w:color w:val="000000"/>
                <w:u w:color="000000"/>
              </w:rPr>
            </w:pPr>
            <w:r w:rsidRPr="00E027D4">
              <w:rPr>
                <w:color w:val="000000"/>
                <w:u w:color="000000"/>
              </w:rPr>
              <w:t>Reproduction</w:t>
            </w:r>
          </w:p>
        </w:tc>
        <w:tc>
          <w:tcPr>
            <w:tcW w:w="1842" w:type="dxa"/>
            <w:tcBorders>
              <w:top w:val="nil"/>
              <w:left w:val="nil"/>
              <w:bottom w:val="single" w:sz="4" w:space="0" w:color="auto"/>
              <w:right w:val="nil"/>
            </w:tcBorders>
          </w:tcPr>
          <w:p w:rsidR="002B76A0" w:rsidRPr="00E027D4" w:rsidRDefault="002B76A0" w:rsidP="00E027D4">
            <w:pPr>
              <w:pStyle w:val="table1"/>
              <w:rPr>
                <w:color w:val="000000"/>
                <w:u w:color="000000"/>
              </w:rPr>
            </w:pPr>
            <w:r w:rsidRPr="00E027D4">
              <w:rPr>
                <w:color w:val="000000"/>
                <w:u w:color="000000"/>
              </w:rPr>
              <w:t>N/A</w:t>
            </w:r>
          </w:p>
          <w:p w:rsidR="002B76A0" w:rsidRPr="00E027D4" w:rsidRDefault="002B76A0" w:rsidP="00E027D4">
            <w:pPr>
              <w:pStyle w:val="table1"/>
              <w:rPr>
                <w:color w:val="000000"/>
                <w:u w:color="000000"/>
              </w:rPr>
            </w:pPr>
          </w:p>
        </w:tc>
        <w:tc>
          <w:tcPr>
            <w:tcW w:w="1610" w:type="dxa"/>
            <w:tcBorders>
              <w:top w:val="nil"/>
              <w:left w:val="nil"/>
              <w:bottom w:val="single" w:sz="4" w:space="0" w:color="auto"/>
              <w:right w:val="nil"/>
            </w:tcBorders>
          </w:tcPr>
          <w:p w:rsidR="002B76A0" w:rsidRPr="00E027D4" w:rsidRDefault="002B76A0" w:rsidP="00E027D4">
            <w:pPr>
              <w:pStyle w:val="table1"/>
              <w:rPr>
                <w:rFonts w:cs="Arial"/>
                <w:color w:val="000000"/>
                <w:szCs w:val="16"/>
                <w:u w:color="000000"/>
              </w:rPr>
            </w:pPr>
            <w:r w:rsidRPr="00E027D4">
              <w:rPr>
                <w:rFonts w:cs="Arial"/>
                <w:color w:val="000000"/>
                <w:szCs w:val="16"/>
                <w:u w:color="000000"/>
              </w:rPr>
              <w:t>As per protocol</w:t>
            </w:r>
          </w:p>
        </w:tc>
      </w:tr>
    </w:tbl>
    <w:p w:rsidR="002B76A0" w:rsidRPr="00E041EB" w:rsidRDefault="002B76A0" w:rsidP="002B76A0">
      <w:pPr>
        <w:pStyle w:val="tablenote"/>
        <w:spacing w:before="0" w:after="0"/>
        <w:ind w:left="0"/>
        <w:rPr>
          <w:rFonts w:cs="Arial"/>
          <w:szCs w:val="14"/>
        </w:rPr>
      </w:pPr>
      <w:proofErr w:type="gramStart"/>
      <w:r w:rsidRPr="00E041EB">
        <w:rPr>
          <w:rFonts w:cs="Arial"/>
          <w:snapToGrid w:val="0"/>
          <w:color w:val="000000"/>
          <w:position w:val="3"/>
          <w:szCs w:val="14"/>
          <w:u w:color="000000"/>
        </w:rPr>
        <w:t>a</w:t>
      </w:r>
      <w:proofErr w:type="gramEnd"/>
      <w:r w:rsidRPr="00E041EB">
        <w:rPr>
          <w:rFonts w:cs="Arial"/>
          <w:snapToGrid w:val="0"/>
          <w:color w:val="000000"/>
          <w:position w:val="3"/>
          <w:szCs w:val="14"/>
          <w:u w:color="000000"/>
        </w:rPr>
        <w:t xml:space="preserve"> </w:t>
      </w:r>
      <w:r w:rsidRPr="00E041EB">
        <w:rPr>
          <w:rFonts w:cs="Arial"/>
          <w:szCs w:val="14"/>
        </w:rPr>
        <w:t xml:space="preserve">Concentration range is based on the mean of start and end </w:t>
      </w:r>
      <w:r>
        <w:rPr>
          <w:rFonts w:cs="Arial"/>
          <w:szCs w:val="14"/>
        </w:rPr>
        <w:t>ammonia</w:t>
      </w:r>
      <w:r w:rsidRPr="00E041EB">
        <w:rPr>
          <w:rFonts w:cs="Arial"/>
          <w:szCs w:val="14"/>
        </w:rPr>
        <w:t xml:space="preserve"> values</w:t>
      </w:r>
    </w:p>
    <w:p w:rsidR="002B76A0" w:rsidRDefault="002B76A0" w:rsidP="002B76A0">
      <w:pPr>
        <w:pStyle w:val="tablenote"/>
        <w:spacing w:before="0" w:after="0"/>
        <w:ind w:left="0"/>
        <w:rPr>
          <w:rFonts w:cs="Arial"/>
          <w:szCs w:val="14"/>
        </w:rPr>
      </w:pPr>
      <w:proofErr w:type="gramStart"/>
      <w:r w:rsidRPr="00E041EB">
        <w:rPr>
          <w:rFonts w:cs="Arial"/>
          <w:snapToGrid w:val="0"/>
          <w:color w:val="000000"/>
          <w:position w:val="3"/>
          <w:szCs w:val="14"/>
          <w:u w:color="000000"/>
        </w:rPr>
        <w:t>b</w:t>
      </w:r>
      <w:proofErr w:type="gramEnd"/>
      <w:r w:rsidRPr="00E041EB">
        <w:rPr>
          <w:rFonts w:cs="Arial"/>
          <w:szCs w:val="14"/>
        </w:rPr>
        <w:t xml:space="preserve"> A modified design of less replicates and more treatments was used.</w:t>
      </w:r>
      <w:r w:rsidRPr="00B00033">
        <w:rPr>
          <w:snapToGrid w:val="0"/>
          <w:color w:val="000000"/>
          <w:position w:val="-3"/>
          <w:sz w:val="9"/>
          <w:szCs w:val="0"/>
          <w:u w:color="000000"/>
        </w:rPr>
        <w:t xml:space="preserve"> </w:t>
      </w:r>
    </w:p>
    <w:p w:rsidR="002B76A0" w:rsidRDefault="002B76A0" w:rsidP="002B76A0">
      <w:pPr>
        <w:pStyle w:val="tablenote"/>
        <w:spacing w:before="0" w:after="0"/>
        <w:ind w:left="0"/>
        <w:rPr>
          <w:snapToGrid w:val="0"/>
          <w:color w:val="000000"/>
          <w:position w:val="4"/>
          <w:szCs w:val="14"/>
          <w:u w:color="000000"/>
        </w:rPr>
      </w:pPr>
      <w:proofErr w:type="gramStart"/>
      <w:r>
        <w:rPr>
          <w:rFonts w:cs="Arial"/>
          <w:snapToGrid w:val="0"/>
          <w:color w:val="000000"/>
          <w:position w:val="3"/>
          <w:szCs w:val="14"/>
          <w:u w:color="000000"/>
        </w:rPr>
        <w:t>c</w:t>
      </w:r>
      <w:proofErr w:type="gramEnd"/>
      <w:r w:rsidRPr="00E041EB">
        <w:rPr>
          <w:rFonts w:cs="Arial"/>
          <w:szCs w:val="14"/>
        </w:rPr>
        <w:t xml:space="preserve"> </w:t>
      </w:r>
      <w:r>
        <w:rPr>
          <w:rFonts w:cs="Arial"/>
          <w:szCs w:val="14"/>
        </w:rPr>
        <w:t>Protocol in Riethmuller et al</w:t>
      </w:r>
      <w:r w:rsidR="00BD4830">
        <w:rPr>
          <w:rFonts w:cs="Arial"/>
          <w:szCs w:val="14"/>
        </w:rPr>
        <w:t>.</w:t>
      </w:r>
      <w:r>
        <w:rPr>
          <w:rFonts w:cs="Arial"/>
          <w:szCs w:val="14"/>
        </w:rPr>
        <w:t xml:space="preserve"> (2003) modified to reduce nutrients and density of algae required</w:t>
      </w:r>
      <w:r w:rsidRPr="00E041EB">
        <w:rPr>
          <w:rFonts w:cs="Arial"/>
          <w:szCs w:val="14"/>
        </w:rPr>
        <w:t>.</w:t>
      </w:r>
    </w:p>
    <w:p w:rsidR="002B76A0" w:rsidRDefault="002B76A0" w:rsidP="002B76A0">
      <w:pPr>
        <w:pStyle w:val="tablenote"/>
        <w:spacing w:before="0" w:after="0"/>
        <w:ind w:left="0"/>
        <w:rPr>
          <w:rFonts w:cs="Arial"/>
          <w:szCs w:val="14"/>
        </w:rPr>
      </w:pPr>
    </w:p>
    <w:p w:rsidR="002B76A0" w:rsidRPr="00426841" w:rsidRDefault="002B76A0" w:rsidP="003A673B">
      <w:pPr>
        <w:pStyle w:val="Heading2"/>
      </w:pPr>
      <w:r w:rsidRPr="00876D5E">
        <w:t>Results and Discussion</w:t>
      </w:r>
    </w:p>
    <w:p w:rsidR="002B76A0" w:rsidRDefault="002B76A0" w:rsidP="00754C47">
      <w:r w:rsidRPr="00F64E04">
        <w:t xml:space="preserve">The relationship between pH, temperature and ammonia toxicity has been extensively </w:t>
      </w:r>
      <w:r w:rsidRPr="00754C47">
        <w:t xml:space="preserve">characterised by the USEPA (1999) and the dissociation constants (pKa) for ammonia have been reported by Emerson et al. (1975). These data allow the guidance documents </w:t>
      </w:r>
      <w:r>
        <w:t>(</w:t>
      </w:r>
      <w:r w:rsidRPr="00102574">
        <w:t>ANZECC &amp; ARMCANZ 2000</w:t>
      </w:r>
      <w:r>
        <w:t>)</w:t>
      </w:r>
      <w:r w:rsidRPr="00F64E04">
        <w:t xml:space="preserve"> </w:t>
      </w:r>
      <w:r>
        <w:t xml:space="preserve">to </w:t>
      </w:r>
      <w:r w:rsidRPr="00F64E04">
        <w:t xml:space="preserve">provide algorithms that allow adjustment of </w:t>
      </w:r>
      <w:r>
        <w:t>GVs</w:t>
      </w:r>
      <w:r w:rsidRPr="00F64E04">
        <w:t xml:space="preserve"> for a specific pH and temperature. </w:t>
      </w:r>
      <w:r>
        <w:t>In this study, i</w:t>
      </w:r>
      <w:r w:rsidRPr="00F64E04">
        <w:t>nstead of using an adjustment algorithm</w:t>
      </w:r>
      <w:r>
        <w:t xml:space="preserve"> for the derivation of a site-specific GV for Magela Creek,</w:t>
      </w:r>
      <w:r w:rsidRPr="00F64E04">
        <w:t xml:space="preserve"> tests were maintained </w:t>
      </w:r>
      <w:r>
        <w:t xml:space="preserve">within 0.3 of a pH unit </w:t>
      </w:r>
      <w:r w:rsidRPr="00F64E04">
        <w:t>at a</w:t>
      </w:r>
      <w:r>
        <w:t>n ecologically relevant pH of 6.0 (Table 2), which</w:t>
      </w:r>
      <w:r w:rsidRPr="00F64E04">
        <w:t xml:space="preserve"> is the median pH during the wet season</w:t>
      </w:r>
      <w:r>
        <w:t xml:space="preserve"> in Magela Creek</w:t>
      </w:r>
      <w:r w:rsidRPr="00F64E04">
        <w:t xml:space="preserve">. </w:t>
      </w:r>
      <w:r>
        <w:t xml:space="preserve">The starting pH in the </w:t>
      </w:r>
      <w:r w:rsidRPr="007B6955">
        <w:rPr>
          <w:i/>
        </w:rPr>
        <w:t>M. mogurnda</w:t>
      </w:r>
      <w:r>
        <w:t xml:space="preserve"> tests were lower than pH 6.0 (Table 2), this was the result of increasing the </w:t>
      </w:r>
      <w:r w:rsidRPr="00754C47">
        <w:t>concentration of CO</w:t>
      </w:r>
      <w:r w:rsidRPr="00754C47">
        <w:rPr>
          <w:vertAlign w:val="subscript"/>
        </w:rPr>
        <w:t>2</w:t>
      </w:r>
      <w:r w:rsidRPr="00754C47">
        <w:t xml:space="preserve"> during testing to gain greater pH control for the duration of the test. Acceptable amount of pH drift was chosen based on what was technically possible </w:t>
      </w:r>
      <w:r>
        <w:t>to achieve. While the use of a buffer allowed for greater pH control, pH drift commonly still occurred. At this pH, the percentage of un-ionised ammonia in solution is extremely low and much of the toxicity can be attributed to ionised ammonia (</w:t>
      </w:r>
      <w:r w:rsidRPr="00102574">
        <w:t>ANZECC &amp; ARMCANZ</w:t>
      </w:r>
      <w:r>
        <w:t>,</w:t>
      </w:r>
      <w:r w:rsidRPr="00102574">
        <w:t xml:space="preserve"> 2000</w:t>
      </w:r>
      <w:r>
        <w:t>). Therefore, pH drift reported in the present study would have negligible effect on toxicity.</w:t>
      </w:r>
    </w:p>
    <w:p w:rsidR="002B76A0" w:rsidRDefault="002B76A0" w:rsidP="002B76A0">
      <w:pPr>
        <w:spacing w:after="0" w:line="240" w:lineRule="auto"/>
        <w:rPr>
          <w:rFonts w:cs="Arial"/>
          <w:szCs w:val="24"/>
        </w:rPr>
      </w:pPr>
    </w:p>
    <w:p w:rsidR="00E027D4" w:rsidRDefault="00E027D4" w:rsidP="002B76A0">
      <w:pPr>
        <w:spacing w:after="0" w:line="240" w:lineRule="auto"/>
        <w:rPr>
          <w:rFonts w:cs="Arial"/>
          <w:szCs w:val="24"/>
        </w:rPr>
      </w:pPr>
    </w:p>
    <w:p w:rsidR="00E027D4" w:rsidRDefault="00E027D4" w:rsidP="002B76A0">
      <w:pPr>
        <w:spacing w:after="0" w:line="240" w:lineRule="auto"/>
        <w:rPr>
          <w:rFonts w:cs="Arial"/>
          <w:szCs w:val="24"/>
        </w:rPr>
      </w:pPr>
    </w:p>
    <w:p w:rsidR="00752A69" w:rsidRDefault="00752A69" w:rsidP="002B76A0">
      <w:pPr>
        <w:spacing w:after="0" w:line="240" w:lineRule="auto"/>
        <w:rPr>
          <w:rFonts w:cs="Arial"/>
          <w:szCs w:val="24"/>
        </w:rPr>
      </w:pPr>
    </w:p>
    <w:p w:rsidR="002B76A0" w:rsidRDefault="002B76A0" w:rsidP="002B76A0">
      <w:pPr>
        <w:pStyle w:val="tablecaption"/>
      </w:pPr>
      <w:r w:rsidRPr="00E9572E">
        <w:rPr>
          <w:b/>
        </w:rPr>
        <w:t>Table 2</w:t>
      </w:r>
      <w:r>
        <w:t xml:space="preserve"> Summary of control water physico-chemistry for toxicity tests completed to-date</w:t>
      </w:r>
      <w:r w:rsidR="00E027D4">
        <w:t>.</w:t>
      </w:r>
    </w:p>
    <w:tbl>
      <w:tblPr>
        <w:tblW w:w="0" w:type="auto"/>
        <w:tblInd w:w="108" w:type="dxa"/>
        <w:tblLayout w:type="fixed"/>
        <w:tblLook w:val="04A0"/>
      </w:tblPr>
      <w:tblGrid>
        <w:gridCol w:w="1636"/>
        <w:gridCol w:w="737"/>
        <w:gridCol w:w="821"/>
        <w:gridCol w:w="1059"/>
        <w:gridCol w:w="567"/>
        <w:gridCol w:w="567"/>
        <w:gridCol w:w="567"/>
        <w:gridCol w:w="709"/>
        <w:gridCol w:w="708"/>
        <w:gridCol w:w="1043"/>
      </w:tblGrid>
      <w:tr w:rsidR="002B76A0" w:rsidRPr="00FA2945" w:rsidTr="002B76A0">
        <w:trPr>
          <w:trHeight w:val="255"/>
        </w:trPr>
        <w:tc>
          <w:tcPr>
            <w:tcW w:w="1636" w:type="dxa"/>
            <w:tcBorders>
              <w:top w:val="single" w:sz="4" w:space="0" w:color="auto"/>
              <w:left w:val="nil"/>
              <w:bottom w:val="nil"/>
              <w:right w:val="nil"/>
            </w:tcBorders>
            <w:shd w:val="clear" w:color="auto" w:fill="auto"/>
            <w:noWrap/>
            <w:vAlign w:val="bottom"/>
            <w:hideMark/>
          </w:tcPr>
          <w:p w:rsidR="002B76A0" w:rsidRPr="00FA2945" w:rsidRDefault="002B76A0" w:rsidP="002B76A0">
            <w:pPr>
              <w:pStyle w:val="table1"/>
              <w:rPr>
                <w:b/>
                <w:lang w:eastAsia="en-AU"/>
              </w:rPr>
            </w:pPr>
            <w:r w:rsidRPr="00FA2945">
              <w:rPr>
                <w:b/>
                <w:lang w:eastAsia="en-AU"/>
              </w:rPr>
              <w:t>Species</w:t>
            </w:r>
          </w:p>
        </w:tc>
        <w:tc>
          <w:tcPr>
            <w:tcW w:w="737" w:type="dxa"/>
            <w:tcBorders>
              <w:top w:val="single" w:sz="4" w:space="0" w:color="auto"/>
              <w:left w:val="nil"/>
              <w:bottom w:val="nil"/>
              <w:right w:val="nil"/>
            </w:tcBorders>
            <w:shd w:val="clear" w:color="auto" w:fill="D9D9D9" w:themeFill="background1" w:themeFillShade="D9"/>
            <w:noWrap/>
            <w:vAlign w:val="bottom"/>
            <w:hideMark/>
          </w:tcPr>
          <w:p w:rsidR="002B76A0" w:rsidRPr="00FA2945" w:rsidRDefault="002B76A0" w:rsidP="002B76A0">
            <w:pPr>
              <w:pStyle w:val="table1"/>
              <w:rPr>
                <w:b/>
                <w:lang w:eastAsia="en-AU"/>
              </w:rPr>
            </w:pPr>
            <w:r w:rsidRPr="00FA2945">
              <w:rPr>
                <w:b/>
                <w:lang w:eastAsia="en-AU"/>
              </w:rPr>
              <w:t>Test</w:t>
            </w:r>
          </w:p>
        </w:tc>
        <w:tc>
          <w:tcPr>
            <w:tcW w:w="1880" w:type="dxa"/>
            <w:gridSpan w:val="2"/>
            <w:tcBorders>
              <w:top w:val="single" w:sz="4" w:space="0" w:color="auto"/>
              <w:left w:val="nil"/>
              <w:bottom w:val="single" w:sz="4" w:space="0" w:color="auto"/>
              <w:right w:val="nil"/>
            </w:tcBorders>
            <w:shd w:val="clear" w:color="auto" w:fill="auto"/>
            <w:noWrap/>
            <w:vAlign w:val="bottom"/>
            <w:hideMark/>
          </w:tcPr>
          <w:p w:rsidR="002B76A0" w:rsidRPr="00FA2945" w:rsidRDefault="002B76A0" w:rsidP="00754C47">
            <w:pPr>
              <w:pStyle w:val="Styletable1Centered"/>
              <w:rPr>
                <w:lang w:eastAsia="en-AU"/>
              </w:rPr>
            </w:pPr>
            <w:r w:rsidRPr="00FA2945">
              <w:rPr>
                <w:lang w:eastAsia="en-AU"/>
              </w:rPr>
              <w:t>pH</w:t>
            </w:r>
            <w:r w:rsidRPr="007B6955">
              <w:rPr>
                <w:snapToGrid w:val="0"/>
                <w:color w:val="000000"/>
                <w:position w:val="4"/>
                <w:sz w:val="14"/>
                <w:szCs w:val="14"/>
                <w:u w:color="000000"/>
                <w:lang w:eastAsia="en-AU"/>
              </w:rPr>
              <w:t>c</w:t>
            </w:r>
          </w:p>
        </w:tc>
        <w:tc>
          <w:tcPr>
            <w:tcW w:w="1134" w:type="dxa"/>
            <w:gridSpan w:val="2"/>
            <w:tcBorders>
              <w:top w:val="single" w:sz="4" w:space="0" w:color="auto"/>
              <w:left w:val="nil"/>
              <w:bottom w:val="single" w:sz="4" w:space="0" w:color="auto"/>
              <w:right w:val="nil"/>
            </w:tcBorders>
            <w:shd w:val="clear" w:color="auto" w:fill="D9D9D9" w:themeFill="background1" w:themeFillShade="D9"/>
            <w:noWrap/>
            <w:vAlign w:val="bottom"/>
            <w:hideMark/>
          </w:tcPr>
          <w:p w:rsidR="002B76A0" w:rsidRPr="00FA2945" w:rsidRDefault="002B76A0" w:rsidP="00754C47">
            <w:pPr>
              <w:pStyle w:val="Styletable1Centered"/>
              <w:rPr>
                <w:lang w:eastAsia="en-AU"/>
              </w:rPr>
            </w:pPr>
            <w:r w:rsidRPr="00FA2945">
              <w:rPr>
                <w:lang w:eastAsia="en-AU"/>
              </w:rPr>
              <w:t>EC (</w:t>
            </w:r>
            <w:r w:rsidRPr="00FA2945">
              <w:rPr>
                <w:rFonts w:ascii="Calibri" w:hAnsi="Calibri"/>
                <w:lang w:eastAsia="en-AU"/>
              </w:rPr>
              <w:t>µ</w:t>
            </w:r>
            <w:r w:rsidRPr="00FA2945">
              <w:rPr>
                <w:lang w:eastAsia="en-AU"/>
              </w:rPr>
              <w:t>S/cm)</w:t>
            </w:r>
          </w:p>
        </w:tc>
        <w:tc>
          <w:tcPr>
            <w:tcW w:w="1276" w:type="dxa"/>
            <w:gridSpan w:val="2"/>
            <w:tcBorders>
              <w:top w:val="single" w:sz="4" w:space="0" w:color="auto"/>
              <w:left w:val="nil"/>
              <w:bottom w:val="single" w:sz="4" w:space="0" w:color="auto"/>
              <w:right w:val="nil"/>
            </w:tcBorders>
            <w:shd w:val="clear" w:color="auto" w:fill="auto"/>
            <w:noWrap/>
            <w:vAlign w:val="bottom"/>
            <w:hideMark/>
          </w:tcPr>
          <w:p w:rsidR="002B76A0" w:rsidRPr="00FA2945" w:rsidRDefault="002B76A0" w:rsidP="002B76A0">
            <w:pPr>
              <w:pStyle w:val="table1"/>
              <w:jc w:val="center"/>
              <w:rPr>
                <w:b/>
                <w:lang w:eastAsia="en-AU"/>
              </w:rPr>
            </w:pPr>
            <w:r w:rsidRPr="00FA2945">
              <w:rPr>
                <w:b/>
                <w:lang w:eastAsia="en-AU"/>
              </w:rPr>
              <w:t>DO (%)</w:t>
            </w:r>
          </w:p>
        </w:tc>
        <w:tc>
          <w:tcPr>
            <w:tcW w:w="708" w:type="dxa"/>
            <w:tcBorders>
              <w:top w:val="single" w:sz="4" w:space="0" w:color="auto"/>
              <w:left w:val="nil"/>
              <w:bottom w:val="single" w:sz="4" w:space="0" w:color="auto"/>
              <w:right w:val="nil"/>
            </w:tcBorders>
            <w:shd w:val="clear" w:color="auto" w:fill="D9D9D9" w:themeFill="background1" w:themeFillShade="D9"/>
            <w:noWrap/>
            <w:vAlign w:val="bottom"/>
            <w:hideMark/>
          </w:tcPr>
          <w:p w:rsidR="002B76A0" w:rsidRPr="00FA2945" w:rsidRDefault="002B76A0" w:rsidP="002B76A0">
            <w:pPr>
              <w:pStyle w:val="table1"/>
              <w:jc w:val="center"/>
              <w:rPr>
                <w:b/>
                <w:lang w:eastAsia="en-AU"/>
              </w:rPr>
            </w:pPr>
            <w:r w:rsidRPr="00FA2945">
              <w:rPr>
                <w:b/>
                <w:lang w:eastAsia="en-AU"/>
              </w:rPr>
              <w:t>DOC (mg/L)</w:t>
            </w:r>
          </w:p>
        </w:tc>
        <w:tc>
          <w:tcPr>
            <w:tcW w:w="1043" w:type="dxa"/>
            <w:tcBorders>
              <w:top w:val="single" w:sz="4" w:space="0" w:color="auto"/>
              <w:left w:val="nil"/>
              <w:bottom w:val="nil"/>
              <w:right w:val="nil"/>
            </w:tcBorders>
            <w:shd w:val="clear" w:color="auto" w:fill="auto"/>
            <w:noWrap/>
            <w:vAlign w:val="bottom"/>
            <w:hideMark/>
          </w:tcPr>
          <w:p w:rsidR="002B76A0" w:rsidRPr="00FA2945" w:rsidRDefault="002B76A0" w:rsidP="002B76A0">
            <w:pPr>
              <w:pStyle w:val="table1"/>
              <w:jc w:val="center"/>
              <w:rPr>
                <w:b/>
                <w:lang w:eastAsia="en-AU"/>
              </w:rPr>
            </w:pPr>
            <w:r w:rsidRPr="00FA2945">
              <w:rPr>
                <w:b/>
                <w:lang w:eastAsia="en-AU"/>
              </w:rPr>
              <w:t>Alkalinity</w:t>
            </w:r>
          </w:p>
          <w:p w:rsidR="002B76A0" w:rsidRPr="00FA2945" w:rsidRDefault="002B76A0" w:rsidP="002B76A0">
            <w:pPr>
              <w:pStyle w:val="table1"/>
              <w:jc w:val="center"/>
              <w:rPr>
                <w:b/>
                <w:lang w:eastAsia="en-AU"/>
              </w:rPr>
            </w:pPr>
            <w:r w:rsidRPr="00FA2945">
              <w:rPr>
                <w:b/>
                <w:lang w:eastAsia="en-AU"/>
              </w:rPr>
              <w:t>(mg/L CaCO3)</w:t>
            </w:r>
          </w:p>
        </w:tc>
      </w:tr>
      <w:tr w:rsidR="002B76A0" w:rsidRPr="00FA2945" w:rsidTr="002B76A0">
        <w:trPr>
          <w:trHeight w:val="255"/>
        </w:trPr>
        <w:tc>
          <w:tcPr>
            <w:tcW w:w="1636" w:type="dxa"/>
            <w:tcBorders>
              <w:top w:val="single" w:sz="4" w:space="0" w:color="auto"/>
              <w:left w:val="nil"/>
              <w:bottom w:val="single" w:sz="4" w:space="0" w:color="auto"/>
              <w:right w:val="nil"/>
            </w:tcBorders>
            <w:shd w:val="clear" w:color="auto" w:fill="auto"/>
            <w:noWrap/>
            <w:vAlign w:val="bottom"/>
            <w:hideMark/>
          </w:tcPr>
          <w:p w:rsidR="002B76A0" w:rsidRPr="00FA2945" w:rsidRDefault="002B76A0" w:rsidP="002B76A0">
            <w:pPr>
              <w:pStyle w:val="table1"/>
              <w:rPr>
                <w:b/>
                <w:lang w:eastAsia="en-AU"/>
              </w:rPr>
            </w:pPr>
          </w:p>
        </w:tc>
        <w:tc>
          <w:tcPr>
            <w:tcW w:w="737" w:type="dxa"/>
            <w:tcBorders>
              <w:top w:val="single" w:sz="4" w:space="0" w:color="auto"/>
              <w:left w:val="nil"/>
              <w:bottom w:val="single" w:sz="4" w:space="0" w:color="auto"/>
              <w:right w:val="nil"/>
            </w:tcBorders>
            <w:shd w:val="clear" w:color="000000" w:fill="D8D8D8"/>
            <w:noWrap/>
            <w:vAlign w:val="bottom"/>
            <w:hideMark/>
          </w:tcPr>
          <w:p w:rsidR="002B76A0" w:rsidRPr="00FA2945" w:rsidRDefault="002B76A0" w:rsidP="002B76A0">
            <w:pPr>
              <w:pStyle w:val="table1"/>
              <w:rPr>
                <w:b/>
                <w:lang w:eastAsia="en-AU"/>
              </w:rPr>
            </w:pPr>
          </w:p>
        </w:tc>
        <w:tc>
          <w:tcPr>
            <w:tcW w:w="821" w:type="dxa"/>
            <w:tcBorders>
              <w:top w:val="nil"/>
              <w:left w:val="nil"/>
              <w:bottom w:val="single" w:sz="4" w:space="0" w:color="auto"/>
              <w:right w:val="nil"/>
            </w:tcBorders>
            <w:shd w:val="clear" w:color="auto" w:fill="auto"/>
            <w:noWrap/>
            <w:vAlign w:val="bottom"/>
            <w:hideMark/>
          </w:tcPr>
          <w:p w:rsidR="002B76A0" w:rsidRPr="00FA2945" w:rsidRDefault="002B76A0" w:rsidP="002B76A0">
            <w:pPr>
              <w:pStyle w:val="table1"/>
              <w:jc w:val="center"/>
              <w:rPr>
                <w:b/>
                <w:lang w:eastAsia="en-AU"/>
              </w:rPr>
            </w:pPr>
            <w:r w:rsidRPr="00FA2945">
              <w:rPr>
                <w:b/>
                <w:lang w:eastAsia="en-AU"/>
              </w:rPr>
              <w:t>new</w:t>
            </w:r>
          </w:p>
        </w:tc>
        <w:tc>
          <w:tcPr>
            <w:tcW w:w="1059" w:type="dxa"/>
            <w:tcBorders>
              <w:top w:val="nil"/>
              <w:left w:val="nil"/>
              <w:bottom w:val="single" w:sz="4" w:space="0" w:color="auto"/>
              <w:right w:val="nil"/>
            </w:tcBorders>
            <w:shd w:val="clear" w:color="auto" w:fill="FFFFFF" w:themeFill="background1"/>
            <w:noWrap/>
            <w:vAlign w:val="bottom"/>
            <w:hideMark/>
          </w:tcPr>
          <w:p w:rsidR="002B76A0" w:rsidRPr="00FA2945" w:rsidRDefault="002B76A0" w:rsidP="002B76A0">
            <w:pPr>
              <w:pStyle w:val="table1"/>
              <w:jc w:val="center"/>
              <w:rPr>
                <w:b/>
                <w:lang w:eastAsia="en-AU"/>
              </w:rPr>
            </w:pPr>
            <w:r w:rsidRPr="00FA2945">
              <w:rPr>
                <w:b/>
                <w:lang w:eastAsia="en-AU"/>
              </w:rPr>
              <w:t>old</w:t>
            </w:r>
          </w:p>
        </w:tc>
        <w:tc>
          <w:tcPr>
            <w:tcW w:w="567" w:type="dxa"/>
            <w:tcBorders>
              <w:top w:val="nil"/>
              <w:left w:val="nil"/>
              <w:bottom w:val="single" w:sz="4" w:space="0" w:color="auto"/>
              <w:right w:val="nil"/>
            </w:tcBorders>
            <w:shd w:val="clear" w:color="auto" w:fill="D9D9D9" w:themeFill="background1" w:themeFillShade="D9"/>
            <w:noWrap/>
            <w:vAlign w:val="bottom"/>
            <w:hideMark/>
          </w:tcPr>
          <w:p w:rsidR="002B76A0" w:rsidRPr="00FA2945" w:rsidRDefault="002B76A0" w:rsidP="002B76A0">
            <w:pPr>
              <w:pStyle w:val="table1"/>
              <w:jc w:val="center"/>
              <w:rPr>
                <w:b/>
                <w:lang w:eastAsia="en-AU"/>
              </w:rPr>
            </w:pPr>
            <w:r w:rsidRPr="00FA2945">
              <w:rPr>
                <w:b/>
                <w:lang w:eastAsia="en-AU"/>
              </w:rPr>
              <w:t>new</w:t>
            </w:r>
          </w:p>
        </w:tc>
        <w:tc>
          <w:tcPr>
            <w:tcW w:w="567" w:type="dxa"/>
            <w:tcBorders>
              <w:top w:val="nil"/>
              <w:left w:val="nil"/>
              <w:bottom w:val="single" w:sz="4" w:space="0" w:color="auto"/>
              <w:right w:val="nil"/>
            </w:tcBorders>
            <w:shd w:val="clear" w:color="auto" w:fill="D9D9D9" w:themeFill="background1" w:themeFillShade="D9"/>
            <w:noWrap/>
            <w:vAlign w:val="bottom"/>
            <w:hideMark/>
          </w:tcPr>
          <w:p w:rsidR="002B76A0" w:rsidRPr="00FA2945" w:rsidRDefault="002B76A0" w:rsidP="002B76A0">
            <w:pPr>
              <w:pStyle w:val="table1"/>
              <w:jc w:val="center"/>
              <w:rPr>
                <w:b/>
                <w:lang w:eastAsia="en-AU"/>
              </w:rPr>
            </w:pPr>
            <w:r w:rsidRPr="00FA2945">
              <w:rPr>
                <w:b/>
                <w:lang w:eastAsia="en-AU"/>
              </w:rPr>
              <w:t>old</w:t>
            </w:r>
          </w:p>
        </w:tc>
        <w:tc>
          <w:tcPr>
            <w:tcW w:w="567" w:type="dxa"/>
            <w:tcBorders>
              <w:top w:val="nil"/>
              <w:left w:val="nil"/>
              <w:bottom w:val="single" w:sz="4" w:space="0" w:color="auto"/>
              <w:right w:val="nil"/>
            </w:tcBorders>
            <w:shd w:val="clear" w:color="auto" w:fill="auto"/>
            <w:noWrap/>
            <w:vAlign w:val="bottom"/>
            <w:hideMark/>
          </w:tcPr>
          <w:p w:rsidR="002B76A0" w:rsidRPr="00FA2945" w:rsidRDefault="002B76A0" w:rsidP="002B76A0">
            <w:pPr>
              <w:pStyle w:val="table1"/>
              <w:jc w:val="center"/>
              <w:rPr>
                <w:b/>
                <w:lang w:eastAsia="en-AU"/>
              </w:rPr>
            </w:pPr>
            <w:r w:rsidRPr="00FA2945">
              <w:rPr>
                <w:b/>
                <w:lang w:eastAsia="en-AU"/>
              </w:rPr>
              <w:t>new</w:t>
            </w:r>
          </w:p>
        </w:tc>
        <w:tc>
          <w:tcPr>
            <w:tcW w:w="709" w:type="dxa"/>
            <w:tcBorders>
              <w:top w:val="nil"/>
              <w:left w:val="nil"/>
              <w:bottom w:val="single" w:sz="4" w:space="0" w:color="auto"/>
              <w:right w:val="nil"/>
            </w:tcBorders>
            <w:shd w:val="clear" w:color="auto" w:fill="FFFFFF" w:themeFill="background1"/>
            <w:noWrap/>
            <w:vAlign w:val="bottom"/>
            <w:hideMark/>
          </w:tcPr>
          <w:p w:rsidR="002B76A0" w:rsidRPr="00FA2945" w:rsidRDefault="002B76A0" w:rsidP="002B76A0">
            <w:pPr>
              <w:pStyle w:val="table1"/>
              <w:jc w:val="center"/>
              <w:rPr>
                <w:b/>
                <w:lang w:eastAsia="en-AU"/>
              </w:rPr>
            </w:pPr>
            <w:r w:rsidRPr="00FA2945">
              <w:rPr>
                <w:b/>
                <w:lang w:eastAsia="en-AU"/>
              </w:rPr>
              <w:t>old</w:t>
            </w:r>
          </w:p>
        </w:tc>
        <w:tc>
          <w:tcPr>
            <w:tcW w:w="708" w:type="dxa"/>
            <w:tcBorders>
              <w:top w:val="nil"/>
              <w:left w:val="nil"/>
              <w:bottom w:val="single" w:sz="4" w:space="0" w:color="auto"/>
              <w:right w:val="nil"/>
            </w:tcBorders>
            <w:shd w:val="clear" w:color="auto" w:fill="D9D9D9" w:themeFill="background1" w:themeFillShade="D9"/>
            <w:noWrap/>
            <w:vAlign w:val="bottom"/>
            <w:hideMark/>
          </w:tcPr>
          <w:p w:rsidR="002B76A0" w:rsidRPr="00FA2945" w:rsidRDefault="002B76A0" w:rsidP="002B76A0">
            <w:pPr>
              <w:pStyle w:val="table1"/>
              <w:jc w:val="center"/>
              <w:rPr>
                <w:b/>
                <w:lang w:eastAsia="en-AU"/>
              </w:rPr>
            </w:pPr>
          </w:p>
        </w:tc>
        <w:tc>
          <w:tcPr>
            <w:tcW w:w="1043" w:type="dxa"/>
            <w:tcBorders>
              <w:top w:val="single" w:sz="4" w:space="0" w:color="auto"/>
              <w:left w:val="nil"/>
              <w:bottom w:val="single" w:sz="4" w:space="0" w:color="auto"/>
              <w:right w:val="nil"/>
            </w:tcBorders>
            <w:shd w:val="clear" w:color="auto" w:fill="FFFFFF" w:themeFill="background1"/>
            <w:noWrap/>
            <w:vAlign w:val="bottom"/>
            <w:hideMark/>
          </w:tcPr>
          <w:p w:rsidR="002B76A0" w:rsidRPr="00FA2945" w:rsidRDefault="002B76A0" w:rsidP="002B76A0">
            <w:pPr>
              <w:pStyle w:val="table1"/>
              <w:jc w:val="center"/>
              <w:rPr>
                <w:b/>
                <w:lang w:eastAsia="en-AU"/>
              </w:rPr>
            </w:pPr>
          </w:p>
        </w:tc>
      </w:tr>
      <w:tr w:rsidR="002B76A0" w:rsidRPr="00D848A2" w:rsidTr="002B76A0">
        <w:trPr>
          <w:trHeight w:val="255"/>
        </w:trPr>
        <w:tc>
          <w:tcPr>
            <w:tcW w:w="1636" w:type="dxa"/>
            <w:tcBorders>
              <w:top w:val="nil"/>
              <w:left w:val="nil"/>
              <w:bottom w:val="nil"/>
              <w:right w:val="nil"/>
            </w:tcBorders>
            <w:shd w:val="clear" w:color="auto" w:fill="auto"/>
            <w:noWrap/>
            <w:vAlign w:val="bottom"/>
            <w:hideMark/>
          </w:tcPr>
          <w:p w:rsidR="002B76A0" w:rsidRPr="00D848A2" w:rsidRDefault="002B76A0" w:rsidP="002B76A0">
            <w:pPr>
              <w:pStyle w:val="table1"/>
              <w:rPr>
                <w:lang w:eastAsia="en-AU"/>
              </w:rPr>
            </w:pPr>
            <w:r w:rsidRPr="00D848A2">
              <w:rPr>
                <w:i/>
                <w:iCs/>
                <w:lang w:eastAsia="en-AU"/>
              </w:rPr>
              <w:t>Chlorella</w:t>
            </w:r>
            <w:r w:rsidRPr="00D848A2">
              <w:rPr>
                <w:lang w:eastAsia="en-AU"/>
              </w:rPr>
              <w:t xml:space="preserve"> sp.</w:t>
            </w:r>
          </w:p>
        </w:tc>
        <w:tc>
          <w:tcPr>
            <w:tcW w:w="737" w:type="dxa"/>
            <w:tcBorders>
              <w:top w:val="nil"/>
              <w:left w:val="nil"/>
              <w:bottom w:val="nil"/>
              <w:right w:val="nil"/>
            </w:tcBorders>
            <w:shd w:val="clear" w:color="000000" w:fill="D8D8D8"/>
            <w:noWrap/>
            <w:vAlign w:val="bottom"/>
            <w:hideMark/>
          </w:tcPr>
          <w:p w:rsidR="002B76A0" w:rsidRPr="00D848A2" w:rsidRDefault="002B76A0" w:rsidP="002B76A0">
            <w:pPr>
              <w:pStyle w:val="table1"/>
              <w:rPr>
                <w:lang w:eastAsia="en-AU"/>
              </w:rPr>
            </w:pPr>
            <w:r>
              <w:rPr>
                <w:lang w:eastAsia="en-AU"/>
              </w:rPr>
              <w:t>1382G</w:t>
            </w:r>
          </w:p>
        </w:tc>
        <w:tc>
          <w:tcPr>
            <w:tcW w:w="821" w:type="dxa"/>
            <w:tcBorders>
              <w:top w:val="nil"/>
              <w:left w:val="nil"/>
              <w:bottom w:val="nil"/>
              <w:right w:val="nil"/>
            </w:tcBorders>
            <w:shd w:val="clear" w:color="auto" w:fill="auto"/>
            <w:noWrap/>
            <w:vAlign w:val="bottom"/>
            <w:hideMark/>
          </w:tcPr>
          <w:p w:rsidR="002B76A0" w:rsidRPr="00D848A2" w:rsidRDefault="002B76A0" w:rsidP="00754C47">
            <w:pPr>
              <w:pStyle w:val="Styletable1Centered"/>
              <w:rPr>
                <w:lang w:eastAsia="en-AU"/>
              </w:rPr>
            </w:pPr>
            <w:r>
              <w:rPr>
                <w:lang w:eastAsia="en-AU"/>
              </w:rPr>
              <w:t>6.0</w:t>
            </w:r>
          </w:p>
        </w:tc>
        <w:tc>
          <w:tcPr>
            <w:tcW w:w="1059" w:type="dxa"/>
            <w:tcBorders>
              <w:top w:val="nil"/>
              <w:left w:val="nil"/>
              <w:bottom w:val="nil"/>
              <w:right w:val="nil"/>
            </w:tcBorders>
            <w:shd w:val="clear" w:color="auto" w:fill="FFFFFF" w:themeFill="background1"/>
            <w:noWrap/>
            <w:vAlign w:val="bottom"/>
            <w:hideMark/>
          </w:tcPr>
          <w:p w:rsidR="002B76A0" w:rsidRPr="00D848A2" w:rsidRDefault="002B76A0" w:rsidP="00754C47">
            <w:pPr>
              <w:pStyle w:val="Styletable1Centered"/>
              <w:rPr>
                <w:lang w:eastAsia="en-AU"/>
              </w:rPr>
            </w:pPr>
            <w:r>
              <w:rPr>
                <w:lang w:eastAsia="en-AU"/>
              </w:rPr>
              <w:t>6.3</w:t>
            </w:r>
          </w:p>
        </w:tc>
        <w:tc>
          <w:tcPr>
            <w:tcW w:w="567" w:type="dxa"/>
            <w:tcBorders>
              <w:top w:val="nil"/>
              <w:left w:val="nil"/>
              <w:bottom w:val="nil"/>
              <w:right w:val="nil"/>
            </w:tcBorders>
            <w:shd w:val="clear" w:color="auto" w:fill="D9D9D9" w:themeFill="background1" w:themeFillShade="D9"/>
            <w:noWrap/>
            <w:vAlign w:val="bottom"/>
            <w:hideMark/>
          </w:tcPr>
          <w:p w:rsidR="002B76A0" w:rsidRPr="00D848A2" w:rsidRDefault="002B76A0" w:rsidP="00754C47">
            <w:pPr>
              <w:pStyle w:val="Styletable1Centered"/>
              <w:rPr>
                <w:lang w:eastAsia="en-AU"/>
              </w:rPr>
            </w:pPr>
            <w:r>
              <w:rPr>
                <w:lang w:eastAsia="en-AU"/>
              </w:rPr>
              <w:t>22</w:t>
            </w:r>
          </w:p>
        </w:tc>
        <w:tc>
          <w:tcPr>
            <w:tcW w:w="567" w:type="dxa"/>
            <w:tcBorders>
              <w:top w:val="nil"/>
              <w:left w:val="nil"/>
              <w:bottom w:val="nil"/>
              <w:right w:val="nil"/>
            </w:tcBorders>
            <w:shd w:val="clear" w:color="auto" w:fill="D9D9D9" w:themeFill="background1" w:themeFillShade="D9"/>
            <w:noWrap/>
            <w:vAlign w:val="bottom"/>
            <w:hideMark/>
          </w:tcPr>
          <w:p w:rsidR="002B76A0" w:rsidRPr="00D848A2" w:rsidRDefault="002B76A0" w:rsidP="00754C47">
            <w:pPr>
              <w:pStyle w:val="Styletable1Centered"/>
              <w:rPr>
                <w:lang w:eastAsia="en-AU"/>
              </w:rPr>
            </w:pPr>
            <w:r>
              <w:rPr>
                <w:lang w:eastAsia="en-AU"/>
              </w:rPr>
              <w:t>31</w:t>
            </w:r>
          </w:p>
        </w:tc>
        <w:tc>
          <w:tcPr>
            <w:tcW w:w="567" w:type="dxa"/>
            <w:tcBorders>
              <w:top w:val="nil"/>
              <w:left w:val="nil"/>
              <w:bottom w:val="nil"/>
              <w:right w:val="nil"/>
            </w:tcBorders>
            <w:shd w:val="clear" w:color="auto" w:fill="auto"/>
            <w:noWrap/>
            <w:vAlign w:val="bottom"/>
            <w:hideMark/>
          </w:tcPr>
          <w:p w:rsidR="002B76A0" w:rsidRPr="00D848A2" w:rsidRDefault="002B76A0" w:rsidP="00754C47">
            <w:pPr>
              <w:pStyle w:val="Styletable1Centered"/>
              <w:rPr>
                <w:lang w:eastAsia="en-AU"/>
              </w:rPr>
            </w:pPr>
            <w:r>
              <w:rPr>
                <w:lang w:eastAsia="en-AU"/>
              </w:rPr>
              <w:t>107</w:t>
            </w:r>
          </w:p>
        </w:tc>
        <w:tc>
          <w:tcPr>
            <w:tcW w:w="709" w:type="dxa"/>
            <w:tcBorders>
              <w:top w:val="nil"/>
              <w:left w:val="nil"/>
              <w:bottom w:val="nil"/>
              <w:right w:val="nil"/>
            </w:tcBorders>
            <w:shd w:val="clear" w:color="auto" w:fill="FFFFFF" w:themeFill="background1"/>
            <w:noWrap/>
            <w:vAlign w:val="bottom"/>
            <w:hideMark/>
          </w:tcPr>
          <w:p w:rsidR="002B76A0" w:rsidRPr="00D848A2" w:rsidRDefault="002B76A0" w:rsidP="00754C47">
            <w:pPr>
              <w:pStyle w:val="Styletable1Centered"/>
              <w:rPr>
                <w:lang w:eastAsia="en-AU"/>
              </w:rPr>
            </w:pPr>
            <w:r>
              <w:rPr>
                <w:lang w:eastAsia="en-AU"/>
              </w:rPr>
              <w:t>96</w:t>
            </w:r>
          </w:p>
        </w:tc>
        <w:tc>
          <w:tcPr>
            <w:tcW w:w="708" w:type="dxa"/>
            <w:tcBorders>
              <w:top w:val="nil"/>
              <w:left w:val="nil"/>
              <w:bottom w:val="nil"/>
              <w:right w:val="nil"/>
            </w:tcBorders>
            <w:shd w:val="clear" w:color="auto" w:fill="D9D9D9" w:themeFill="background1" w:themeFillShade="D9"/>
            <w:noWrap/>
            <w:vAlign w:val="bottom"/>
            <w:hideMark/>
          </w:tcPr>
          <w:p w:rsidR="002B76A0" w:rsidRPr="00D848A2" w:rsidRDefault="002B76A0" w:rsidP="00754C47">
            <w:pPr>
              <w:pStyle w:val="Styletable1Centered"/>
              <w:rPr>
                <w:lang w:eastAsia="en-AU"/>
              </w:rPr>
            </w:pPr>
            <w:r>
              <w:rPr>
                <w:lang w:eastAsia="en-AU"/>
              </w:rPr>
              <w:t>3.6</w:t>
            </w:r>
          </w:p>
        </w:tc>
        <w:tc>
          <w:tcPr>
            <w:tcW w:w="1043" w:type="dxa"/>
            <w:tcBorders>
              <w:top w:val="nil"/>
              <w:left w:val="nil"/>
              <w:bottom w:val="nil"/>
              <w:right w:val="nil"/>
            </w:tcBorders>
            <w:shd w:val="clear" w:color="auto" w:fill="FFFFFF" w:themeFill="background1"/>
            <w:noWrap/>
            <w:vAlign w:val="bottom"/>
            <w:hideMark/>
          </w:tcPr>
          <w:p w:rsidR="002B76A0" w:rsidRPr="00D848A2" w:rsidRDefault="002B76A0" w:rsidP="00754C47">
            <w:pPr>
              <w:pStyle w:val="Styletable1Centered"/>
              <w:rPr>
                <w:lang w:eastAsia="en-AU"/>
              </w:rPr>
            </w:pPr>
            <w:r>
              <w:rPr>
                <w:lang w:eastAsia="en-AU"/>
              </w:rPr>
              <w:t>2</w:t>
            </w:r>
          </w:p>
        </w:tc>
      </w:tr>
      <w:tr w:rsidR="002B76A0" w:rsidRPr="00D848A2" w:rsidTr="002B76A0">
        <w:trPr>
          <w:trHeight w:val="255"/>
        </w:trPr>
        <w:tc>
          <w:tcPr>
            <w:tcW w:w="1636" w:type="dxa"/>
            <w:tcBorders>
              <w:top w:val="nil"/>
              <w:left w:val="nil"/>
              <w:bottom w:val="nil"/>
              <w:right w:val="nil"/>
            </w:tcBorders>
            <w:shd w:val="clear" w:color="auto" w:fill="auto"/>
            <w:noWrap/>
            <w:vAlign w:val="bottom"/>
            <w:hideMark/>
          </w:tcPr>
          <w:p w:rsidR="002B76A0" w:rsidRPr="00D848A2" w:rsidRDefault="002B76A0" w:rsidP="002B76A0">
            <w:pPr>
              <w:pStyle w:val="table1"/>
              <w:rPr>
                <w:lang w:eastAsia="en-AU"/>
              </w:rPr>
            </w:pPr>
          </w:p>
        </w:tc>
        <w:tc>
          <w:tcPr>
            <w:tcW w:w="737" w:type="dxa"/>
            <w:tcBorders>
              <w:top w:val="nil"/>
              <w:left w:val="nil"/>
              <w:bottom w:val="nil"/>
              <w:right w:val="nil"/>
            </w:tcBorders>
            <w:shd w:val="clear" w:color="000000" w:fill="D8D8D8"/>
            <w:noWrap/>
            <w:vAlign w:val="bottom"/>
            <w:hideMark/>
          </w:tcPr>
          <w:p w:rsidR="002B76A0" w:rsidRPr="00D848A2" w:rsidRDefault="002B76A0" w:rsidP="002B76A0">
            <w:pPr>
              <w:pStyle w:val="table1"/>
              <w:rPr>
                <w:lang w:eastAsia="en-AU"/>
              </w:rPr>
            </w:pPr>
            <w:r>
              <w:rPr>
                <w:lang w:eastAsia="en-AU"/>
              </w:rPr>
              <w:t>1393G</w:t>
            </w:r>
          </w:p>
        </w:tc>
        <w:tc>
          <w:tcPr>
            <w:tcW w:w="821" w:type="dxa"/>
            <w:tcBorders>
              <w:top w:val="nil"/>
              <w:left w:val="nil"/>
              <w:bottom w:val="nil"/>
              <w:right w:val="nil"/>
            </w:tcBorders>
            <w:shd w:val="clear" w:color="auto" w:fill="auto"/>
            <w:noWrap/>
            <w:vAlign w:val="bottom"/>
            <w:hideMark/>
          </w:tcPr>
          <w:p w:rsidR="002B76A0" w:rsidRPr="00D848A2" w:rsidRDefault="002B76A0" w:rsidP="00754C47">
            <w:pPr>
              <w:pStyle w:val="Styletable1Centered"/>
              <w:rPr>
                <w:lang w:eastAsia="en-AU"/>
              </w:rPr>
            </w:pPr>
            <w:r>
              <w:rPr>
                <w:lang w:eastAsia="en-AU"/>
              </w:rPr>
              <w:t>6.0</w:t>
            </w:r>
          </w:p>
        </w:tc>
        <w:tc>
          <w:tcPr>
            <w:tcW w:w="1059" w:type="dxa"/>
            <w:tcBorders>
              <w:top w:val="nil"/>
              <w:left w:val="nil"/>
              <w:bottom w:val="nil"/>
              <w:right w:val="nil"/>
            </w:tcBorders>
            <w:shd w:val="clear" w:color="auto" w:fill="FFFFFF" w:themeFill="background1"/>
            <w:noWrap/>
            <w:vAlign w:val="bottom"/>
            <w:hideMark/>
          </w:tcPr>
          <w:p w:rsidR="002B76A0" w:rsidRPr="00D848A2" w:rsidRDefault="002B76A0" w:rsidP="00754C47">
            <w:pPr>
              <w:pStyle w:val="Styletable1Centered"/>
              <w:rPr>
                <w:lang w:eastAsia="en-AU"/>
              </w:rPr>
            </w:pPr>
            <w:r>
              <w:rPr>
                <w:lang w:eastAsia="en-AU"/>
              </w:rPr>
              <w:t>6.2</w:t>
            </w:r>
          </w:p>
        </w:tc>
        <w:tc>
          <w:tcPr>
            <w:tcW w:w="567" w:type="dxa"/>
            <w:tcBorders>
              <w:top w:val="nil"/>
              <w:left w:val="nil"/>
              <w:bottom w:val="nil"/>
              <w:right w:val="nil"/>
            </w:tcBorders>
            <w:shd w:val="clear" w:color="auto" w:fill="D9D9D9" w:themeFill="background1" w:themeFillShade="D9"/>
            <w:noWrap/>
            <w:vAlign w:val="bottom"/>
            <w:hideMark/>
          </w:tcPr>
          <w:p w:rsidR="002B76A0" w:rsidRPr="00D848A2" w:rsidRDefault="002B76A0" w:rsidP="00754C47">
            <w:pPr>
              <w:pStyle w:val="Styletable1Centered"/>
              <w:rPr>
                <w:lang w:eastAsia="en-AU"/>
              </w:rPr>
            </w:pPr>
            <w:r>
              <w:rPr>
                <w:lang w:eastAsia="en-AU"/>
              </w:rPr>
              <w:t>22</w:t>
            </w:r>
          </w:p>
        </w:tc>
        <w:tc>
          <w:tcPr>
            <w:tcW w:w="567" w:type="dxa"/>
            <w:tcBorders>
              <w:top w:val="nil"/>
              <w:left w:val="nil"/>
              <w:bottom w:val="nil"/>
              <w:right w:val="nil"/>
            </w:tcBorders>
            <w:shd w:val="clear" w:color="auto" w:fill="D9D9D9" w:themeFill="background1" w:themeFillShade="D9"/>
            <w:noWrap/>
            <w:vAlign w:val="bottom"/>
            <w:hideMark/>
          </w:tcPr>
          <w:p w:rsidR="002B76A0" w:rsidRPr="00D848A2" w:rsidRDefault="002B76A0" w:rsidP="00754C47">
            <w:pPr>
              <w:pStyle w:val="Styletable1Centered"/>
              <w:rPr>
                <w:lang w:eastAsia="en-AU"/>
              </w:rPr>
            </w:pPr>
            <w:r>
              <w:rPr>
                <w:lang w:eastAsia="en-AU"/>
              </w:rPr>
              <w:t>21</w:t>
            </w:r>
          </w:p>
        </w:tc>
        <w:tc>
          <w:tcPr>
            <w:tcW w:w="567" w:type="dxa"/>
            <w:tcBorders>
              <w:top w:val="nil"/>
              <w:left w:val="nil"/>
              <w:bottom w:val="nil"/>
              <w:right w:val="nil"/>
            </w:tcBorders>
            <w:shd w:val="clear" w:color="auto" w:fill="auto"/>
            <w:noWrap/>
            <w:vAlign w:val="bottom"/>
            <w:hideMark/>
          </w:tcPr>
          <w:p w:rsidR="002B76A0" w:rsidRPr="00D848A2" w:rsidRDefault="002B76A0" w:rsidP="00754C47">
            <w:pPr>
              <w:pStyle w:val="Styletable1Centered"/>
              <w:rPr>
                <w:lang w:eastAsia="en-AU"/>
              </w:rPr>
            </w:pPr>
            <w:r>
              <w:rPr>
                <w:lang w:eastAsia="en-AU"/>
              </w:rPr>
              <w:t>104</w:t>
            </w:r>
          </w:p>
        </w:tc>
        <w:tc>
          <w:tcPr>
            <w:tcW w:w="709" w:type="dxa"/>
            <w:tcBorders>
              <w:top w:val="nil"/>
              <w:left w:val="nil"/>
              <w:bottom w:val="nil"/>
              <w:right w:val="nil"/>
            </w:tcBorders>
            <w:shd w:val="clear" w:color="auto" w:fill="FFFFFF" w:themeFill="background1"/>
            <w:noWrap/>
            <w:vAlign w:val="bottom"/>
            <w:hideMark/>
          </w:tcPr>
          <w:p w:rsidR="002B76A0" w:rsidRPr="00D848A2" w:rsidRDefault="002B76A0" w:rsidP="00754C47">
            <w:pPr>
              <w:pStyle w:val="Styletable1Centered"/>
              <w:rPr>
                <w:lang w:eastAsia="en-AU"/>
              </w:rPr>
            </w:pPr>
            <w:r>
              <w:rPr>
                <w:lang w:eastAsia="en-AU"/>
              </w:rPr>
              <w:t>95</w:t>
            </w:r>
          </w:p>
        </w:tc>
        <w:tc>
          <w:tcPr>
            <w:tcW w:w="708" w:type="dxa"/>
            <w:tcBorders>
              <w:top w:val="nil"/>
              <w:left w:val="nil"/>
              <w:bottom w:val="nil"/>
              <w:right w:val="nil"/>
            </w:tcBorders>
            <w:shd w:val="clear" w:color="auto" w:fill="D9D9D9" w:themeFill="background1" w:themeFillShade="D9"/>
            <w:noWrap/>
            <w:vAlign w:val="bottom"/>
            <w:hideMark/>
          </w:tcPr>
          <w:p w:rsidR="002B76A0" w:rsidRPr="00D848A2" w:rsidRDefault="002B76A0" w:rsidP="00754C47">
            <w:pPr>
              <w:pStyle w:val="Styletable1Centered"/>
              <w:rPr>
                <w:lang w:eastAsia="en-AU"/>
              </w:rPr>
            </w:pPr>
            <w:r>
              <w:rPr>
                <w:lang w:eastAsia="en-AU"/>
              </w:rPr>
              <w:t>3.6</w:t>
            </w:r>
          </w:p>
        </w:tc>
        <w:tc>
          <w:tcPr>
            <w:tcW w:w="1043" w:type="dxa"/>
            <w:tcBorders>
              <w:top w:val="nil"/>
              <w:left w:val="nil"/>
              <w:bottom w:val="nil"/>
              <w:right w:val="nil"/>
            </w:tcBorders>
            <w:shd w:val="clear" w:color="auto" w:fill="FFFFFF" w:themeFill="background1"/>
            <w:noWrap/>
            <w:vAlign w:val="bottom"/>
            <w:hideMark/>
          </w:tcPr>
          <w:p w:rsidR="002B76A0" w:rsidRPr="00D848A2" w:rsidRDefault="002B76A0" w:rsidP="00754C47">
            <w:pPr>
              <w:pStyle w:val="Styletable1Centered"/>
              <w:rPr>
                <w:lang w:eastAsia="en-AU"/>
              </w:rPr>
            </w:pPr>
            <w:r>
              <w:rPr>
                <w:lang w:eastAsia="en-AU"/>
              </w:rPr>
              <w:t>2</w:t>
            </w:r>
          </w:p>
        </w:tc>
      </w:tr>
      <w:tr w:rsidR="002B76A0" w:rsidRPr="00D848A2" w:rsidTr="002B76A0">
        <w:trPr>
          <w:trHeight w:val="255"/>
        </w:trPr>
        <w:tc>
          <w:tcPr>
            <w:tcW w:w="1636" w:type="dxa"/>
            <w:tcBorders>
              <w:top w:val="nil"/>
              <w:left w:val="nil"/>
              <w:bottom w:val="nil"/>
              <w:right w:val="nil"/>
            </w:tcBorders>
            <w:shd w:val="clear" w:color="auto" w:fill="auto"/>
            <w:noWrap/>
            <w:vAlign w:val="bottom"/>
            <w:hideMark/>
          </w:tcPr>
          <w:p w:rsidR="002B76A0" w:rsidRPr="00D848A2" w:rsidRDefault="002B76A0" w:rsidP="002B76A0">
            <w:pPr>
              <w:pStyle w:val="table1"/>
              <w:rPr>
                <w:lang w:eastAsia="en-AU"/>
              </w:rPr>
            </w:pPr>
          </w:p>
        </w:tc>
        <w:tc>
          <w:tcPr>
            <w:tcW w:w="737" w:type="dxa"/>
            <w:tcBorders>
              <w:top w:val="nil"/>
              <w:left w:val="nil"/>
              <w:bottom w:val="nil"/>
              <w:right w:val="nil"/>
            </w:tcBorders>
            <w:shd w:val="clear" w:color="000000" w:fill="D8D8D8"/>
            <w:noWrap/>
            <w:vAlign w:val="bottom"/>
            <w:hideMark/>
          </w:tcPr>
          <w:p w:rsidR="002B76A0" w:rsidRPr="00D848A2" w:rsidRDefault="002B76A0" w:rsidP="002B76A0">
            <w:pPr>
              <w:pStyle w:val="table1"/>
              <w:rPr>
                <w:lang w:eastAsia="en-AU"/>
              </w:rPr>
            </w:pPr>
          </w:p>
        </w:tc>
        <w:tc>
          <w:tcPr>
            <w:tcW w:w="821" w:type="dxa"/>
            <w:tcBorders>
              <w:top w:val="nil"/>
              <w:left w:val="nil"/>
              <w:bottom w:val="nil"/>
              <w:right w:val="nil"/>
            </w:tcBorders>
            <w:shd w:val="clear" w:color="auto" w:fill="auto"/>
            <w:noWrap/>
            <w:vAlign w:val="bottom"/>
            <w:hideMark/>
          </w:tcPr>
          <w:p w:rsidR="002B76A0" w:rsidRPr="00D848A2" w:rsidRDefault="002B76A0" w:rsidP="002B76A0">
            <w:pPr>
              <w:pStyle w:val="table1"/>
              <w:jc w:val="center"/>
              <w:rPr>
                <w:lang w:eastAsia="en-AU"/>
              </w:rPr>
            </w:pPr>
          </w:p>
        </w:tc>
        <w:tc>
          <w:tcPr>
            <w:tcW w:w="1059" w:type="dxa"/>
            <w:tcBorders>
              <w:top w:val="nil"/>
              <w:left w:val="nil"/>
              <w:bottom w:val="nil"/>
              <w:right w:val="nil"/>
            </w:tcBorders>
            <w:shd w:val="clear" w:color="auto" w:fill="FFFFFF" w:themeFill="background1"/>
            <w:noWrap/>
            <w:vAlign w:val="bottom"/>
            <w:hideMark/>
          </w:tcPr>
          <w:p w:rsidR="002B76A0" w:rsidRPr="00D848A2" w:rsidRDefault="002B76A0" w:rsidP="002B76A0">
            <w:pPr>
              <w:pStyle w:val="table1"/>
              <w:jc w:val="center"/>
              <w:rPr>
                <w:lang w:eastAsia="en-AU"/>
              </w:rPr>
            </w:pPr>
          </w:p>
        </w:tc>
        <w:tc>
          <w:tcPr>
            <w:tcW w:w="567" w:type="dxa"/>
            <w:tcBorders>
              <w:top w:val="nil"/>
              <w:left w:val="nil"/>
              <w:bottom w:val="nil"/>
              <w:right w:val="nil"/>
            </w:tcBorders>
            <w:shd w:val="clear" w:color="auto" w:fill="D9D9D9" w:themeFill="background1" w:themeFillShade="D9"/>
            <w:noWrap/>
            <w:vAlign w:val="bottom"/>
            <w:hideMark/>
          </w:tcPr>
          <w:p w:rsidR="002B76A0" w:rsidRPr="00D848A2" w:rsidRDefault="002B76A0" w:rsidP="002B76A0">
            <w:pPr>
              <w:pStyle w:val="table1"/>
              <w:jc w:val="center"/>
              <w:rPr>
                <w:lang w:eastAsia="en-AU"/>
              </w:rPr>
            </w:pPr>
          </w:p>
        </w:tc>
        <w:tc>
          <w:tcPr>
            <w:tcW w:w="567" w:type="dxa"/>
            <w:tcBorders>
              <w:top w:val="nil"/>
              <w:left w:val="nil"/>
              <w:bottom w:val="nil"/>
              <w:right w:val="nil"/>
            </w:tcBorders>
            <w:shd w:val="clear" w:color="auto" w:fill="D9D9D9" w:themeFill="background1" w:themeFillShade="D9"/>
            <w:noWrap/>
            <w:vAlign w:val="bottom"/>
            <w:hideMark/>
          </w:tcPr>
          <w:p w:rsidR="002B76A0" w:rsidRPr="00D848A2" w:rsidRDefault="002B76A0" w:rsidP="002B76A0">
            <w:pPr>
              <w:pStyle w:val="table1"/>
              <w:jc w:val="center"/>
              <w:rPr>
                <w:lang w:eastAsia="en-AU"/>
              </w:rPr>
            </w:pPr>
          </w:p>
        </w:tc>
        <w:tc>
          <w:tcPr>
            <w:tcW w:w="567" w:type="dxa"/>
            <w:tcBorders>
              <w:top w:val="nil"/>
              <w:left w:val="nil"/>
              <w:bottom w:val="nil"/>
              <w:right w:val="nil"/>
            </w:tcBorders>
            <w:shd w:val="clear" w:color="auto" w:fill="auto"/>
            <w:noWrap/>
            <w:vAlign w:val="bottom"/>
            <w:hideMark/>
          </w:tcPr>
          <w:p w:rsidR="002B76A0" w:rsidRPr="00D848A2" w:rsidRDefault="002B76A0" w:rsidP="002B76A0">
            <w:pPr>
              <w:pStyle w:val="table1"/>
              <w:jc w:val="center"/>
              <w:rPr>
                <w:lang w:eastAsia="en-AU"/>
              </w:rPr>
            </w:pPr>
          </w:p>
        </w:tc>
        <w:tc>
          <w:tcPr>
            <w:tcW w:w="709" w:type="dxa"/>
            <w:tcBorders>
              <w:top w:val="nil"/>
              <w:left w:val="nil"/>
              <w:bottom w:val="nil"/>
              <w:right w:val="nil"/>
            </w:tcBorders>
            <w:shd w:val="clear" w:color="auto" w:fill="FFFFFF" w:themeFill="background1"/>
            <w:noWrap/>
            <w:vAlign w:val="bottom"/>
            <w:hideMark/>
          </w:tcPr>
          <w:p w:rsidR="002B76A0" w:rsidRPr="00D848A2" w:rsidRDefault="002B76A0" w:rsidP="002B76A0">
            <w:pPr>
              <w:pStyle w:val="table1"/>
              <w:jc w:val="center"/>
              <w:rPr>
                <w:lang w:eastAsia="en-AU"/>
              </w:rPr>
            </w:pPr>
          </w:p>
        </w:tc>
        <w:tc>
          <w:tcPr>
            <w:tcW w:w="708" w:type="dxa"/>
            <w:tcBorders>
              <w:top w:val="nil"/>
              <w:left w:val="nil"/>
              <w:bottom w:val="nil"/>
              <w:right w:val="nil"/>
            </w:tcBorders>
            <w:shd w:val="clear" w:color="auto" w:fill="D9D9D9" w:themeFill="background1" w:themeFillShade="D9"/>
            <w:noWrap/>
            <w:vAlign w:val="bottom"/>
            <w:hideMark/>
          </w:tcPr>
          <w:p w:rsidR="002B76A0" w:rsidRPr="00D848A2" w:rsidRDefault="002B76A0" w:rsidP="002B76A0">
            <w:pPr>
              <w:pStyle w:val="table1"/>
              <w:jc w:val="center"/>
              <w:rPr>
                <w:lang w:eastAsia="en-AU"/>
              </w:rPr>
            </w:pPr>
          </w:p>
        </w:tc>
        <w:tc>
          <w:tcPr>
            <w:tcW w:w="1043" w:type="dxa"/>
            <w:tcBorders>
              <w:top w:val="nil"/>
              <w:left w:val="nil"/>
              <w:bottom w:val="nil"/>
              <w:right w:val="nil"/>
            </w:tcBorders>
            <w:shd w:val="clear" w:color="auto" w:fill="FFFFFF" w:themeFill="background1"/>
            <w:noWrap/>
            <w:vAlign w:val="bottom"/>
            <w:hideMark/>
          </w:tcPr>
          <w:p w:rsidR="002B76A0" w:rsidRPr="00D848A2" w:rsidRDefault="002B76A0" w:rsidP="002B76A0">
            <w:pPr>
              <w:pStyle w:val="table1"/>
              <w:jc w:val="center"/>
              <w:rPr>
                <w:lang w:eastAsia="en-AU"/>
              </w:rPr>
            </w:pPr>
          </w:p>
        </w:tc>
      </w:tr>
      <w:tr w:rsidR="002B76A0" w:rsidRPr="00D848A2" w:rsidTr="002B76A0">
        <w:trPr>
          <w:trHeight w:val="255"/>
        </w:trPr>
        <w:tc>
          <w:tcPr>
            <w:tcW w:w="1636" w:type="dxa"/>
            <w:tcBorders>
              <w:top w:val="nil"/>
              <w:left w:val="nil"/>
              <w:bottom w:val="nil"/>
              <w:right w:val="nil"/>
            </w:tcBorders>
            <w:shd w:val="clear" w:color="auto" w:fill="auto"/>
            <w:noWrap/>
            <w:vAlign w:val="bottom"/>
            <w:hideMark/>
          </w:tcPr>
          <w:p w:rsidR="002B76A0" w:rsidRPr="00D848A2" w:rsidRDefault="002B76A0" w:rsidP="002B76A0">
            <w:pPr>
              <w:pStyle w:val="table1"/>
              <w:rPr>
                <w:i/>
                <w:iCs/>
                <w:lang w:eastAsia="en-AU"/>
              </w:rPr>
            </w:pPr>
            <w:r w:rsidRPr="00D848A2">
              <w:rPr>
                <w:i/>
                <w:iCs/>
                <w:lang w:eastAsia="en-AU"/>
              </w:rPr>
              <w:t>Mogurnda mogurnda</w:t>
            </w:r>
          </w:p>
        </w:tc>
        <w:tc>
          <w:tcPr>
            <w:tcW w:w="737" w:type="dxa"/>
            <w:tcBorders>
              <w:top w:val="nil"/>
              <w:left w:val="nil"/>
              <w:bottom w:val="nil"/>
              <w:right w:val="nil"/>
            </w:tcBorders>
            <w:shd w:val="clear" w:color="000000" w:fill="D8D8D8"/>
            <w:noWrap/>
            <w:vAlign w:val="bottom"/>
            <w:hideMark/>
          </w:tcPr>
          <w:p w:rsidR="002B76A0" w:rsidRPr="00D848A2" w:rsidRDefault="002B76A0" w:rsidP="002B76A0">
            <w:pPr>
              <w:pStyle w:val="table1"/>
              <w:rPr>
                <w:lang w:eastAsia="en-AU"/>
              </w:rPr>
            </w:pPr>
            <w:r>
              <w:rPr>
                <w:lang w:eastAsia="en-AU"/>
              </w:rPr>
              <w:t>1410E</w:t>
            </w:r>
          </w:p>
        </w:tc>
        <w:tc>
          <w:tcPr>
            <w:tcW w:w="821" w:type="dxa"/>
            <w:tcBorders>
              <w:top w:val="nil"/>
              <w:left w:val="nil"/>
              <w:bottom w:val="nil"/>
              <w:right w:val="nil"/>
            </w:tcBorders>
            <w:shd w:val="clear" w:color="auto" w:fill="auto"/>
            <w:noWrap/>
            <w:vAlign w:val="bottom"/>
            <w:hideMark/>
          </w:tcPr>
          <w:p w:rsidR="002B76A0" w:rsidRPr="00D848A2" w:rsidRDefault="002B76A0" w:rsidP="00754C47">
            <w:pPr>
              <w:pStyle w:val="Styletable1Centered"/>
              <w:rPr>
                <w:lang w:eastAsia="en-AU"/>
              </w:rPr>
            </w:pPr>
            <w:r>
              <w:rPr>
                <w:lang w:eastAsia="en-AU"/>
              </w:rPr>
              <w:t>5.8</w:t>
            </w:r>
            <w:r>
              <w:rPr>
                <w:snapToGrid w:val="0"/>
                <w:color w:val="000000"/>
                <w:position w:val="4"/>
                <w:sz w:val="11"/>
                <w:szCs w:val="0"/>
                <w:u w:color="000000"/>
                <w:lang w:eastAsia="en-AU"/>
              </w:rPr>
              <w:t>a</w:t>
            </w:r>
          </w:p>
        </w:tc>
        <w:tc>
          <w:tcPr>
            <w:tcW w:w="1059" w:type="dxa"/>
            <w:tcBorders>
              <w:top w:val="nil"/>
              <w:left w:val="nil"/>
              <w:bottom w:val="nil"/>
              <w:right w:val="nil"/>
            </w:tcBorders>
            <w:shd w:val="clear" w:color="auto" w:fill="FFFFFF" w:themeFill="background1"/>
            <w:noWrap/>
            <w:vAlign w:val="bottom"/>
            <w:hideMark/>
          </w:tcPr>
          <w:p w:rsidR="002B76A0" w:rsidRPr="00D848A2" w:rsidRDefault="002B76A0" w:rsidP="00754C47">
            <w:pPr>
              <w:pStyle w:val="Styletable1Centered"/>
              <w:rPr>
                <w:lang w:eastAsia="en-AU"/>
              </w:rPr>
            </w:pPr>
            <w:r>
              <w:rPr>
                <w:lang w:eastAsia="en-AU"/>
              </w:rPr>
              <w:t>6.2</w:t>
            </w:r>
            <w:r>
              <w:rPr>
                <w:snapToGrid w:val="0"/>
                <w:color w:val="000000"/>
                <w:position w:val="4"/>
                <w:sz w:val="11"/>
                <w:szCs w:val="0"/>
                <w:u w:color="000000"/>
                <w:lang w:eastAsia="en-AU"/>
              </w:rPr>
              <w:t>a</w:t>
            </w:r>
          </w:p>
        </w:tc>
        <w:tc>
          <w:tcPr>
            <w:tcW w:w="567" w:type="dxa"/>
            <w:tcBorders>
              <w:top w:val="nil"/>
              <w:left w:val="nil"/>
              <w:bottom w:val="nil"/>
              <w:right w:val="nil"/>
            </w:tcBorders>
            <w:shd w:val="clear" w:color="auto" w:fill="D9D9D9" w:themeFill="background1" w:themeFillShade="D9"/>
            <w:noWrap/>
            <w:vAlign w:val="bottom"/>
            <w:hideMark/>
          </w:tcPr>
          <w:p w:rsidR="002B76A0" w:rsidRPr="00D848A2" w:rsidRDefault="002B76A0" w:rsidP="00754C47">
            <w:pPr>
              <w:pStyle w:val="Styletable1Centered"/>
              <w:rPr>
                <w:lang w:eastAsia="en-AU"/>
              </w:rPr>
            </w:pPr>
            <w:r>
              <w:rPr>
                <w:lang w:eastAsia="en-AU"/>
              </w:rPr>
              <w:t>14</w:t>
            </w:r>
          </w:p>
        </w:tc>
        <w:tc>
          <w:tcPr>
            <w:tcW w:w="567" w:type="dxa"/>
            <w:tcBorders>
              <w:top w:val="nil"/>
              <w:left w:val="nil"/>
              <w:bottom w:val="nil"/>
              <w:right w:val="nil"/>
            </w:tcBorders>
            <w:shd w:val="clear" w:color="auto" w:fill="D9D9D9" w:themeFill="background1" w:themeFillShade="D9"/>
            <w:noWrap/>
            <w:vAlign w:val="bottom"/>
            <w:hideMark/>
          </w:tcPr>
          <w:p w:rsidR="002B76A0" w:rsidRPr="00D848A2" w:rsidRDefault="002B76A0" w:rsidP="00754C47">
            <w:pPr>
              <w:pStyle w:val="Styletable1Centered"/>
              <w:rPr>
                <w:lang w:eastAsia="en-AU"/>
              </w:rPr>
            </w:pPr>
            <w:r>
              <w:rPr>
                <w:lang w:eastAsia="en-AU"/>
              </w:rPr>
              <w:t>17</w:t>
            </w:r>
          </w:p>
        </w:tc>
        <w:tc>
          <w:tcPr>
            <w:tcW w:w="567" w:type="dxa"/>
            <w:tcBorders>
              <w:top w:val="nil"/>
              <w:left w:val="nil"/>
              <w:bottom w:val="nil"/>
              <w:right w:val="nil"/>
            </w:tcBorders>
            <w:shd w:val="clear" w:color="auto" w:fill="auto"/>
            <w:noWrap/>
            <w:vAlign w:val="bottom"/>
            <w:hideMark/>
          </w:tcPr>
          <w:p w:rsidR="002B76A0" w:rsidRPr="00D848A2" w:rsidRDefault="002B76A0" w:rsidP="00754C47">
            <w:pPr>
              <w:pStyle w:val="Styletable1Centered"/>
              <w:rPr>
                <w:lang w:eastAsia="en-AU"/>
              </w:rPr>
            </w:pPr>
            <w:r>
              <w:rPr>
                <w:lang w:eastAsia="en-AU"/>
              </w:rPr>
              <w:t>99</w:t>
            </w:r>
          </w:p>
        </w:tc>
        <w:tc>
          <w:tcPr>
            <w:tcW w:w="709" w:type="dxa"/>
            <w:tcBorders>
              <w:top w:val="nil"/>
              <w:left w:val="nil"/>
              <w:bottom w:val="nil"/>
              <w:right w:val="nil"/>
            </w:tcBorders>
            <w:shd w:val="clear" w:color="auto" w:fill="FFFFFF" w:themeFill="background1"/>
            <w:noWrap/>
            <w:vAlign w:val="bottom"/>
            <w:hideMark/>
          </w:tcPr>
          <w:p w:rsidR="002B76A0" w:rsidRPr="00D848A2" w:rsidRDefault="002B76A0" w:rsidP="00754C47">
            <w:pPr>
              <w:pStyle w:val="Styletable1Centered"/>
              <w:rPr>
                <w:lang w:eastAsia="en-AU"/>
              </w:rPr>
            </w:pPr>
            <w:r>
              <w:rPr>
                <w:lang w:eastAsia="en-AU"/>
              </w:rPr>
              <w:t>83</w:t>
            </w:r>
          </w:p>
        </w:tc>
        <w:tc>
          <w:tcPr>
            <w:tcW w:w="708" w:type="dxa"/>
            <w:tcBorders>
              <w:top w:val="nil"/>
              <w:left w:val="nil"/>
              <w:bottom w:val="nil"/>
              <w:right w:val="nil"/>
            </w:tcBorders>
            <w:shd w:val="clear" w:color="auto" w:fill="D9D9D9" w:themeFill="background1" w:themeFillShade="D9"/>
            <w:noWrap/>
            <w:vAlign w:val="bottom"/>
            <w:hideMark/>
          </w:tcPr>
          <w:p w:rsidR="002B76A0" w:rsidRPr="00D848A2" w:rsidRDefault="002B76A0" w:rsidP="00754C47">
            <w:pPr>
              <w:pStyle w:val="Styletable1Centered"/>
              <w:rPr>
                <w:lang w:eastAsia="en-AU"/>
              </w:rPr>
            </w:pPr>
            <w:r>
              <w:rPr>
                <w:lang w:eastAsia="en-AU"/>
              </w:rPr>
              <w:t>2.1</w:t>
            </w:r>
          </w:p>
        </w:tc>
        <w:tc>
          <w:tcPr>
            <w:tcW w:w="1043" w:type="dxa"/>
            <w:tcBorders>
              <w:top w:val="nil"/>
              <w:left w:val="nil"/>
              <w:bottom w:val="nil"/>
              <w:right w:val="nil"/>
            </w:tcBorders>
            <w:shd w:val="clear" w:color="auto" w:fill="FFFFFF" w:themeFill="background1"/>
            <w:noWrap/>
            <w:vAlign w:val="bottom"/>
            <w:hideMark/>
          </w:tcPr>
          <w:p w:rsidR="002B76A0" w:rsidRPr="00D848A2" w:rsidRDefault="002B76A0" w:rsidP="00754C47">
            <w:pPr>
              <w:pStyle w:val="Styletable1Centered"/>
              <w:rPr>
                <w:lang w:eastAsia="en-AU"/>
              </w:rPr>
            </w:pPr>
            <w:r>
              <w:rPr>
                <w:lang w:eastAsia="en-AU"/>
              </w:rPr>
              <w:t>2</w:t>
            </w:r>
          </w:p>
        </w:tc>
      </w:tr>
      <w:tr w:rsidR="002B76A0" w:rsidRPr="00D848A2" w:rsidTr="002B76A0">
        <w:trPr>
          <w:trHeight w:val="255"/>
        </w:trPr>
        <w:tc>
          <w:tcPr>
            <w:tcW w:w="1636" w:type="dxa"/>
            <w:tcBorders>
              <w:top w:val="nil"/>
              <w:left w:val="nil"/>
              <w:bottom w:val="nil"/>
              <w:right w:val="nil"/>
            </w:tcBorders>
            <w:shd w:val="clear" w:color="auto" w:fill="auto"/>
            <w:noWrap/>
            <w:vAlign w:val="bottom"/>
            <w:hideMark/>
          </w:tcPr>
          <w:p w:rsidR="002B76A0" w:rsidRPr="00D848A2" w:rsidRDefault="002B76A0" w:rsidP="002B76A0">
            <w:pPr>
              <w:pStyle w:val="table1"/>
              <w:rPr>
                <w:lang w:eastAsia="en-AU"/>
              </w:rPr>
            </w:pPr>
          </w:p>
        </w:tc>
        <w:tc>
          <w:tcPr>
            <w:tcW w:w="737" w:type="dxa"/>
            <w:tcBorders>
              <w:top w:val="nil"/>
              <w:left w:val="nil"/>
              <w:bottom w:val="nil"/>
              <w:right w:val="nil"/>
            </w:tcBorders>
            <w:shd w:val="clear" w:color="000000" w:fill="D8D8D8"/>
            <w:noWrap/>
            <w:vAlign w:val="bottom"/>
            <w:hideMark/>
          </w:tcPr>
          <w:p w:rsidR="002B76A0" w:rsidRPr="00D848A2" w:rsidRDefault="002B76A0" w:rsidP="002B76A0">
            <w:pPr>
              <w:pStyle w:val="table1"/>
              <w:rPr>
                <w:lang w:eastAsia="en-AU"/>
              </w:rPr>
            </w:pPr>
            <w:r>
              <w:rPr>
                <w:lang w:eastAsia="en-AU"/>
              </w:rPr>
              <w:t>1413E</w:t>
            </w:r>
          </w:p>
        </w:tc>
        <w:tc>
          <w:tcPr>
            <w:tcW w:w="821" w:type="dxa"/>
            <w:tcBorders>
              <w:top w:val="nil"/>
              <w:left w:val="nil"/>
              <w:bottom w:val="nil"/>
              <w:right w:val="nil"/>
            </w:tcBorders>
            <w:shd w:val="clear" w:color="auto" w:fill="auto"/>
            <w:noWrap/>
            <w:vAlign w:val="bottom"/>
            <w:hideMark/>
          </w:tcPr>
          <w:p w:rsidR="002B76A0" w:rsidRPr="00D848A2" w:rsidRDefault="002B76A0" w:rsidP="00754C47">
            <w:pPr>
              <w:pStyle w:val="Styletable1Centered"/>
              <w:rPr>
                <w:lang w:eastAsia="en-AU"/>
              </w:rPr>
            </w:pPr>
            <w:r>
              <w:rPr>
                <w:lang w:eastAsia="en-AU"/>
              </w:rPr>
              <w:t>5.7</w:t>
            </w:r>
            <w:r>
              <w:rPr>
                <w:snapToGrid w:val="0"/>
                <w:color w:val="000000"/>
                <w:position w:val="4"/>
                <w:sz w:val="11"/>
                <w:szCs w:val="0"/>
                <w:u w:color="000000"/>
                <w:lang w:eastAsia="en-AU"/>
              </w:rPr>
              <w:t>a</w:t>
            </w:r>
          </w:p>
        </w:tc>
        <w:tc>
          <w:tcPr>
            <w:tcW w:w="1059" w:type="dxa"/>
            <w:tcBorders>
              <w:top w:val="nil"/>
              <w:left w:val="nil"/>
              <w:bottom w:val="nil"/>
              <w:right w:val="nil"/>
            </w:tcBorders>
            <w:shd w:val="clear" w:color="auto" w:fill="FFFFFF" w:themeFill="background1"/>
            <w:noWrap/>
            <w:vAlign w:val="bottom"/>
            <w:hideMark/>
          </w:tcPr>
          <w:p w:rsidR="002B76A0" w:rsidRPr="00D848A2" w:rsidRDefault="002B76A0" w:rsidP="00754C47">
            <w:pPr>
              <w:pStyle w:val="Styletable1Centered"/>
              <w:rPr>
                <w:lang w:eastAsia="en-AU"/>
              </w:rPr>
            </w:pPr>
            <w:r>
              <w:rPr>
                <w:lang w:eastAsia="en-AU"/>
              </w:rPr>
              <w:t>6.1</w:t>
            </w:r>
            <w:r>
              <w:rPr>
                <w:snapToGrid w:val="0"/>
                <w:color w:val="000000"/>
                <w:position w:val="4"/>
                <w:sz w:val="11"/>
                <w:szCs w:val="0"/>
                <w:u w:color="000000"/>
                <w:lang w:eastAsia="en-AU"/>
              </w:rPr>
              <w:t>a</w:t>
            </w:r>
          </w:p>
        </w:tc>
        <w:tc>
          <w:tcPr>
            <w:tcW w:w="567" w:type="dxa"/>
            <w:tcBorders>
              <w:top w:val="nil"/>
              <w:left w:val="nil"/>
              <w:bottom w:val="nil"/>
              <w:right w:val="nil"/>
            </w:tcBorders>
            <w:shd w:val="clear" w:color="auto" w:fill="D9D9D9" w:themeFill="background1" w:themeFillShade="D9"/>
            <w:noWrap/>
            <w:vAlign w:val="bottom"/>
            <w:hideMark/>
          </w:tcPr>
          <w:p w:rsidR="002B76A0" w:rsidRPr="00D848A2" w:rsidRDefault="002B76A0" w:rsidP="00754C47">
            <w:pPr>
              <w:pStyle w:val="Styletable1Centered"/>
              <w:rPr>
                <w:lang w:eastAsia="en-AU"/>
              </w:rPr>
            </w:pPr>
            <w:r>
              <w:rPr>
                <w:lang w:eastAsia="en-AU"/>
              </w:rPr>
              <w:t>14</w:t>
            </w:r>
          </w:p>
        </w:tc>
        <w:tc>
          <w:tcPr>
            <w:tcW w:w="567" w:type="dxa"/>
            <w:tcBorders>
              <w:top w:val="nil"/>
              <w:left w:val="nil"/>
              <w:bottom w:val="nil"/>
              <w:right w:val="nil"/>
            </w:tcBorders>
            <w:shd w:val="clear" w:color="auto" w:fill="D9D9D9" w:themeFill="background1" w:themeFillShade="D9"/>
            <w:noWrap/>
            <w:vAlign w:val="bottom"/>
            <w:hideMark/>
          </w:tcPr>
          <w:p w:rsidR="002B76A0" w:rsidRPr="00D848A2" w:rsidRDefault="002B76A0" w:rsidP="00754C47">
            <w:pPr>
              <w:pStyle w:val="Styletable1Centered"/>
              <w:rPr>
                <w:lang w:eastAsia="en-AU"/>
              </w:rPr>
            </w:pPr>
            <w:r>
              <w:rPr>
                <w:lang w:eastAsia="en-AU"/>
              </w:rPr>
              <w:t>18</w:t>
            </w:r>
          </w:p>
        </w:tc>
        <w:tc>
          <w:tcPr>
            <w:tcW w:w="567" w:type="dxa"/>
            <w:tcBorders>
              <w:top w:val="nil"/>
              <w:left w:val="nil"/>
              <w:bottom w:val="nil"/>
              <w:right w:val="nil"/>
            </w:tcBorders>
            <w:shd w:val="clear" w:color="auto" w:fill="auto"/>
            <w:noWrap/>
            <w:vAlign w:val="bottom"/>
            <w:hideMark/>
          </w:tcPr>
          <w:p w:rsidR="002B76A0" w:rsidRPr="00D848A2" w:rsidRDefault="002B76A0" w:rsidP="00754C47">
            <w:pPr>
              <w:pStyle w:val="Styletable1Centered"/>
              <w:rPr>
                <w:lang w:eastAsia="en-AU"/>
              </w:rPr>
            </w:pPr>
            <w:r>
              <w:rPr>
                <w:lang w:eastAsia="en-AU"/>
              </w:rPr>
              <w:t>110</w:t>
            </w:r>
          </w:p>
        </w:tc>
        <w:tc>
          <w:tcPr>
            <w:tcW w:w="709" w:type="dxa"/>
            <w:tcBorders>
              <w:top w:val="nil"/>
              <w:left w:val="nil"/>
              <w:bottom w:val="nil"/>
              <w:right w:val="nil"/>
            </w:tcBorders>
            <w:shd w:val="clear" w:color="auto" w:fill="FFFFFF" w:themeFill="background1"/>
            <w:noWrap/>
            <w:vAlign w:val="bottom"/>
            <w:hideMark/>
          </w:tcPr>
          <w:p w:rsidR="002B76A0" w:rsidRPr="00D848A2" w:rsidRDefault="002B76A0" w:rsidP="00754C47">
            <w:pPr>
              <w:pStyle w:val="Styletable1Centered"/>
              <w:rPr>
                <w:lang w:eastAsia="en-AU"/>
              </w:rPr>
            </w:pPr>
            <w:r>
              <w:rPr>
                <w:lang w:eastAsia="en-AU"/>
              </w:rPr>
              <w:t>86</w:t>
            </w:r>
          </w:p>
        </w:tc>
        <w:tc>
          <w:tcPr>
            <w:tcW w:w="708" w:type="dxa"/>
            <w:tcBorders>
              <w:top w:val="nil"/>
              <w:left w:val="nil"/>
              <w:bottom w:val="nil"/>
              <w:right w:val="nil"/>
            </w:tcBorders>
            <w:shd w:val="clear" w:color="auto" w:fill="D9D9D9" w:themeFill="background1" w:themeFillShade="D9"/>
            <w:noWrap/>
            <w:vAlign w:val="bottom"/>
            <w:hideMark/>
          </w:tcPr>
          <w:p w:rsidR="002B76A0" w:rsidRPr="00D848A2" w:rsidRDefault="002B76A0" w:rsidP="00754C47">
            <w:pPr>
              <w:pStyle w:val="Styletable1Centered"/>
              <w:rPr>
                <w:lang w:eastAsia="en-AU"/>
              </w:rPr>
            </w:pPr>
            <w:r>
              <w:rPr>
                <w:lang w:eastAsia="en-AU"/>
              </w:rPr>
              <w:t>2.1</w:t>
            </w:r>
          </w:p>
        </w:tc>
        <w:tc>
          <w:tcPr>
            <w:tcW w:w="1043" w:type="dxa"/>
            <w:tcBorders>
              <w:top w:val="nil"/>
              <w:left w:val="nil"/>
              <w:bottom w:val="nil"/>
              <w:right w:val="nil"/>
            </w:tcBorders>
            <w:shd w:val="clear" w:color="auto" w:fill="FFFFFF" w:themeFill="background1"/>
            <w:noWrap/>
            <w:vAlign w:val="bottom"/>
            <w:hideMark/>
          </w:tcPr>
          <w:p w:rsidR="002B76A0" w:rsidRPr="00D848A2" w:rsidRDefault="002B76A0" w:rsidP="00754C47">
            <w:pPr>
              <w:pStyle w:val="Styletable1Centered"/>
              <w:rPr>
                <w:lang w:eastAsia="en-AU"/>
              </w:rPr>
            </w:pPr>
            <w:r>
              <w:rPr>
                <w:lang w:eastAsia="en-AU"/>
              </w:rPr>
              <w:t>2</w:t>
            </w:r>
          </w:p>
        </w:tc>
      </w:tr>
      <w:tr w:rsidR="002B76A0" w:rsidRPr="00D848A2" w:rsidTr="002B76A0">
        <w:trPr>
          <w:trHeight w:val="255"/>
        </w:trPr>
        <w:tc>
          <w:tcPr>
            <w:tcW w:w="1636" w:type="dxa"/>
            <w:tcBorders>
              <w:top w:val="nil"/>
              <w:left w:val="nil"/>
              <w:bottom w:val="nil"/>
              <w:right w:val="nil"/>
            </w:tcBorders>
            <w:shd w:val="clear" w:color="auto" w:fill="auto"/>
            <w:noWrap/>
            <w:vAlign w:val="bottom"/>
            <w:hideMark/>
          </w:tcPr>
          <w:p w:rsidR="002B76A0" w:rsidRPr="00D848A2" w:rsidRDefault="002B76A0" w:rsidP="002B76A0">
            <w:pPr>
              <w:pStyle w:val="table1"/>
              <w:rPr>
                <w:lang w:eastAsia="en-AU"/>
              </w:rPr>
            </w:pPr>
          </w:p>
        </w:tc>
        <w:tc>
          <w:tcPr>
            <w:tcW w:w="737" w:type="dxa"/>
            <w:tcBorders>
              <w:top w:val="nil"/>
              <w:left w:val="nil"/>
              <w:bottom w:val="nil"/>
              <w:right w:val="nil"/>
            </w:tcBorders>
            <w:shd w:val="clear" w:color="000000" w:fill="D8D8D8"/>
            <w:noWrap/>
            <w:vAlign w:val="bottom"/>
            <w:hideMark/>
          </w:tcPr>
          <w:p w:rsidR="002B76A0" w:rsidRPr="00D848A2" w:rsidRDefault="002B76A0" w:rsidP="002B76A0">
            <w:pPr>
              <w:pStyle w:val="table1"/>
              <w:rPr>
                <w:lang w:eastAsia="en-AU"/>
              </w:rPr>
            </w:pPr>
          </w:p>
        </w:tc>
        <w:tc>
          <w:tcPr>
            <w:tcW w:w="821" w:type="dxa"/>
            <w:tcBorders>
              <w:top w:val="nil"/>
              <w:left w:val="nil"/>
              <w:bottom w:val="nil"/>
              <w:right w:val="nil"/>
            </w:tcBorders>
            <w:shd w:val="clear" w:color="auto" w:fill="auto"/>
            <w:noWrap/>
            <w:vAlign w:val="bottom"/>
            <w:hideMark/>
          </w:tcPr>
          <w:p w:rsidR="002B76A0" w:rsidRPr="00D848A2" w:rsidRDefault="002B76A0" w:rsidP="002B76A0">
            <w:pPr>
              <w:pStyle w:val="table1"/>
              <w:jc w:val="center"/>
              <w:rPr>
                <w:lang w:eastAsia="en-AU"/>
              </w:rPr>
            </w:pPr>
          </w:p>
        </w:tc>
        <w:tc>
          <w:tcPr>
            <w:tcW w:w="1059" w:type="dxa"/>
            <w:tcBorders>
              <w:top w:val="nil"/>
              <w:left w:val="nil"/>
              <w:bottom w:val="nil"/>
              <w:right w:val="nil"/>
            </w:tcBorders>
            <w:shd w:val="clear" w:color="auto" w:fill="FFFFFF" w:themeFill="background1"/>
            <w:noWrap/>
            <w:vAlign w:val="bottom"/>
            <w:hideMark/>
          </w:tcPr>
          <w:p w:rsidR="002B76A0" w:rsidRPr="00D848A2" w:rsidRDefault="002B76A0" w:rsidP="002B76A0">
            <w:pPr>
              <w:pStyle w:val="table1"/>
              <w:jc w:val="center"/>
              <w:rPr>
                <w:lang w:eastAsia="en-AU"/>
              </w:rPr>
            </w:pPr>
          </w:p>
        </w:tc>
        <w:tc>
          <w:tcPr>
            <w:tcW w:w="567" w:type="dxa"/>
            <w:tcBorders>
              <w:top w:val="nil"/>
              <w:left w:val="nil"/>
              <w:bottom w:val="nil"/>
              <w:right w:val="nil"/>
            </w:tcBorders>
            <w:shd w:val="clear" w:color="auto" w:fill="D9D9D9" w:themeFill="background1" w:themeFillShade="D9"/>
            <w:noWrap/>
            <w:vAlign w:val="bottom"/>
            <w:hideMark/>
          </w:tcPr>
          <w:p w:rsidR="002B76A0" w:rsidRPr="00D848A2" w:rsidRDefault="002B76A0" w:rsidP="002B76A0">
            <w:pPr>
              <w:pStyle w:val="table1"/>
              <w:jc w:val="center"/>
              <w:rPr>
                <w:lang w:eastAsia="en-AU"/>
              </w:rPr>
            </w:pPr>
          </w:p>
        </w:tc>
        <w:tc>
          <w:tcPr>
            <w:tcW w:w="567" w:type="dxa"/>
            <w:tcBorders>
              <w:top w:val="nil"/>
              <w:left w:val="nil"/>
              <w:bottom w:val="nil"/>
              <w:right w:val="nil"/>
            </w:tcBorders>
            <w:shd w:val="clear" w:color="auto" w:fill="D9D9D9" w:themeFill="background1" w:themeFillShade="D9"/>
            <w:noWrap/>
            <w:vAlign w:val="bottom"/>
            <w:hideMark/>
          </w:tcPr>
          <w:p w:rsidR="002B76A0" w:rsidRPr="00D848A2" w:rsidRDefault="002B76A0" w:rsidP="002B76A0">
            <w:pPr>
              <w:pStyle w:val="table1"/>
              <w:jc w:val="center"/>
              <w:rPr>
                <w:lang w:eastAsia="en-AU"/>
              </w:rPr>
            </w:pPr>
          </w:p>
        </w:tc>
        <w:tc>
          <w:tcPr>
            <w:tcW w:w="567" w:type="dxa"/>
            <w:tcBorders>
              <w:top w:val="nil"/>
              <w:left w:val="nil"/>
              <w:bottom w:val="nil"/>
              <w:right w:val="nil"/>
            </w:tcBorders>
            <w:shd w:val="clear" w:color="auto" w:fill="auto"/>
            <w:noWrap/>
            <w:vAlign w:val="bottom"/>
            <w:hideMark/>
          </w:tcPr>
          <w:p w:rsidR="002B76A0" w:rsidRPr="00D848A2" w:rsidRDefault="002B76A0" w:rsidP="002B76A0">
            <w:pPr>
              <w:pStyle w:val="table1"/>
              <w:jc w:val="center"/>
              <w:rPr>
                <w:lang w:eastAsia="en-AU"/>
              </w:rPr>
            </w:pPr>
          </w:p>
        </w:tc>
        <w:tc>
          <w:tcPr>
            <w:tcW w:w="709" w:type="dxa"/>
            <w:tcBorders>
              <w:top w:val="nil"/>
              <w:left w:val="nil"/>
              <w:bottom w:val="nil"/>
              <w:right w:val="nil"/>
            </w:tcBorders>
            <w:shd w:val="clear" w:color="auto" w:fill="FFFFFF" w:themeFill="background1"/>
            <w:noWrap/>
            <w:vAlign w:val="bottom"/>
            <w:hideMark/>
          </w:tcPr>
          <w:p w:rsidR="002B76A0" w:rsidRPr="00D848A2" w:rsidRDefault="002B76A0" w:rsidP="002B76A0">
            <w:pPr>
              <w:pStyle w:val="table1"/>
              <w:jc w:val="center"/>
              <w:rPr>
                <w:lang w:eastAsia="en-AU"/>
              </w:rPr>
            </w:pPr>
          </w:p>
        </w:tc>
        <w:tc>
          <w:tcPr>
            <w:tcW w:w="708" w:type="dxa"/>
            <w:tcBorders>
              <w:top w:val="nil"/>
              <w:left w:val="nil"/>
              <w:bottom w:val="nil"/>
              <w:right w:val="nil"/>
            </w:tcBorders>
            <w:shd w:val="clear" w:color="auto" w:fill="D9D9D9" w:themeFill="background1" w:themeFillShade="D9"/>
            <w:noWrap/>
            <w:vAlign w:val="bottom"/>
            <w:hideMark/>
          </w:tcPr>
          <w:p w:rsidR="002B76A0" w:rsidRPr="00D848A2" w:rsidRDefault="002B76A0" w:rsidP="002B76A0">
            <w:pPr>
              <w:pStyle w:val="table1"/>
              <w:jc w:val="center"/>
              <w:rPr>
                <w:lang w:eastAsia="en-AU"/>
              </w:rPr>
            </w:pPr>
          </w:p>
        </w:tc>
        <w:tc>
          <w:tcPr>
            <w:tcW w:w="1043" w:type="dxa"/>
            <w:tcBorders>
              <w:top w:val="nil"/>
              <w:left w:val="nil"/>
              <w:bottom w:val="nil"/>
              <w:right w:val="nil"/>
            </w:tcBorders>
            <w:shd w:val="clear" w:color="auto" w:fill="FFFFFF" w:themeFill="background1"/>
            <w:noWrap/>
            <w:vAlign w:val="bottom"/>
            <w:hideMark/>
          </w:tcPr>
          <w:p w:rsidR="002B76A0" w:rsidRPr="00D848A2" w:rsidRDefault="002B76A0" w:rsidP="002B76A0">
            <w:pPr>
              <w:pStyle w:val="table1"/>
              <w:jc w:val="center"/>
              <w:rPr>
                <w:lang w:eastAsia="en-AU"/>
              </w:rPr>
            </w:pPr>
          </w:p>
        </w:tc>
      </w:tr>
      <w:tr w:rsidR="002B76A0" w:rsidRPr="00D848A2" w:rsidTr="002B76A0">
        <w:trPr>
          <w:trHeight w:val="255"/>
        </w:trPr>
        <w:tc>
          <w:tcPr>
            <w:tcW w:w="1636" w:type="dxa"/>
            <w:tcBorders>
              <w:top w:val="nil"/>
              <w:left w:val="nil"/>
              <w:bottom w:val="nil"/>
              <w:right w:val="nil"/>
            </w:tcBorders>
            <w:shd w:val="clear" w:color="auto" w:fill="auto"/>
            <w:noWrap/>
            <w:vAlign w:val="bottom"/>
            <w:hideMark/>
          </w:tcPr>
          <w:p w:rsidR="002B76A0" w:rsidRPr="00D848A2" w:rsidRDefault="002B76A0" w:rsidP="002B76A0">
            <w:pPr>
              <w:pStyle w:val="table1"/>
              <w:rPr>
                <w:i/>
                <w:iCs/>
                <w:lang w:eastAsia="en-AU"/>
              </w:rPr>
            </w:pPr>
            <w:r w:rsidRPr="00D848A2">
              <w:rPr>
                <w:i/>
                <w:iCs/>
                <w:lang w:eastAsia="en-AU"/>
              </w:rPr>
              <w:t>Hydra viridissima</w:t>
            </w:r>
          </w:p>
        </w:tc>
        <w:tc>
          <w:tcPr>
            <w:tcW w:w="737" w:type="dxa"/>
            <w:tcBorders>
              <w:top w:val="nil"/>
              <w:left w:val="nil"/>
              <w:bottom w:val="nil"/>
              <w:right w:val="nil"/>
            </w:tcBorders>
            <w:shd w:val="clear" w:color="000000" w:fill="D8D8D8"/>
            <w:noWrap/>
            <w:vAlign w:val="bottom"/>
            <w:hideMark/>
          </w:tcPr>
          <w:p w:rsidR="002B76A0" w:rsidRPr="00D848A2" w:rsidRDefault="002B76A0" w:rsidP="002B76A0">
            <w:pPr>
              <w:pStyle w:val="table1"/>
              <w:rPr>
                <w:lang w:eastAsia="en-AU"/>
              </w:rPr>
            </w:pPr>
            <w:r>
              <w:rPr>
                <w:lang w:eastAsia="en-AU"/>
              </w:rPr>
              <w:t>1391B</w:t>
            </w:r>
          </w:p>
        </w:tc>
        <w:tc>
          <w:tcPr>
            <w:tcW w:w="821" w:type="dxa"/>
            <w:tcBorders>
              <w:top w:val="nil"/>
              <w:left w:val="nil"/>
              <w:bottom w:val="nil"/>
              <w:right w:val="nil"/>
            </w:tcBorders>
            <w:shd w:val="clear" w:color="auto" w:fill="auto"/>
            <w:noWrap/>
            <w:vAlign w:val="bottom"/>
            <w:hideMark/>
          </w:tcPr>
          <w:p w:rsidR="002B76A0" w:rsidRPr="00D848A2" w:rsidRDefault="002B76A0" w:rsidP="00754C47">
            <w:pPr>
              <w:pStyle w:val="Styletable1Centered"/>
              <w:rPr>
                <w:lang w:eastAsia="en-AU"/>
              </w:rPr>
            </w:pPr>
            <w:r>
              <w:rPr>
                <w:lang w:eastAsia="en-AU"/>
              </w:rPr>
              <w:t>6.1</w:t>
            </w:r>
          </w:p>
        </w:tc>
        <w:tc>
          <w:tcPr>
            <w:tcW w:w="1059" w:type="dxa"/>
            <w:tcBorders>
              <w:top w:val="nil"/>
              <w:left w:val="nil"/>
              <w:bottom w:val="nil"/>
              <w:right w:val="nil"/>
            </w:tcBorders>
            <w:shd w:val="clear" w:color="auto" w:fill="FFFFFF" w:themeFill="background1"/>
            <w:noWrap/>
            <w:vAlign w:val="bottom"/>
            <w:hideMark/>
          </w:tcPr>
          <w:p w:rsidR="002B76A0" w:rsidRPr="00D848A2" w:rsidRDefault="002B76A0" w:rsidP="00754C47">
            <w:pPr>
              <w:pStyle w:val="Styletable1Centered"/>
              <w:rPr>
                <w:lang w:eastAsia="en-AU"/>
              </w:rPr>
            </w:pPr>
            <w:r>
              <w:rPr>
                <w:lang w:eastAsia="en-AU"/>
              </w:rPr>
              <w:t>6.2</w:t>
            </w:r>
          </w:p>
        </w:tc>
        <w:tc>
          <w:tcPr>
            <w:tcW w:w="567" w:type="dxa"/>
            <w:tcBorders>
              <w:top w:val="nil"/>
              <w:left w:val="nil"/>
              <w:bottom w:val="nil"/>
              <w:right w:val="nil"/>
            </w:tcBorders>
            <w:shd w:val="clear" w:color="auto" w:fill="D9D9D9" w:themeFill="background1" w:themeFillShade="D9"/>
            <w:noWrap/>
            <w:vAlign w:val="bottom"/>
            <w:hideMark/>
          </w:tcPr>
          <w:p w:rsidR="002B76A0" w:rsidRPr="00D848A2" w:rsidRDefault="002B76A0" w:rsidP="00754C47">
            <w:pPr>
              <w:pStyle w:val="Styletable1Centered"/>
              <w:rPr>
                <w:lang w:eastAsia="en-AU"/>
              </w:rPr>
            </w:pPr>
            <w:r>
              <w:rPr>
                <w:lang w:eastAsia="en-AU"/>
              </w:rPr>
              <w:t>12</w:t>
            </w:r>
          </w:p>
        </w:tc>
        <w:tc>
          <w:tcPr>
            <w:tcW w:w="567" w:type="dxa"/>
            <w:tcBorders>
              <w:top w:val="nil"/>
              <w:left w:val="nil"/>
              <w:bottom w:val="nil"/>
              <w:right w:val="nil"/>
            </w:tcBorders>
            <w:shd w:val="clear" w:color="auto" w:fill="D9D9D9" w:themeFill="background1" w:themeFillShade="D9"/>
            <w:noWrap/>
            <w:vAlign w:val="bottom"/>
            <w:hideMark/>
          </w:tcPr>
          <w:p w:rsidR="002B76A0" w:rsidRPr="00D848A2" w:rsidRDefault="002B76A0" w:rsidP="00754C47">
            <w:pPr>
              <w:pStyle w:val="Styletable1Centered"/>
              <w:rPr>
                <w:lang w:eastAsia="en-AU"/>
              </w:rPr>
            </w:pPr>
            <w:r>
              <w:rPr>
                <w:lang w:eastAsia="en-AU"/>
              </w:rPr>
              <w:t>14</w:t>
            </w:r>
          </w:p>
        </w:tc>
        <w:tc>
          <w:tcPr>
            <w:tcW w:w="567" w:type="dxa"/>
            <w:tcBorders>
              <w:top w:val="nil"/>
              <w:left w:val="nil"/>
              <w:bottom w:val="nil"/>
              <w:right w:val="nil"/>
            </w:tcBorders>
            <w:shd w:val="clear" w:color="auto" w:fill="auto"/>
            <w:noWrap/>
            <w:vAlign w:val="bottom"/>
            <w:hideMark/>
          </w:tcPr>
          <w:p w:rsidR="002B76A0" w:rsidRPr="00D848A2" w:rsidRDefault="002B76A0" w:rsidP="00754C47">
            <w:pPr>
              <w:pStyle w:val="Styletable1Centered"/>
              <w:rPr>
                <w:lang w:eastAsia="en-AU"/>
              </w:rPr>
            </w:pPr>
            <w:r>
              <w:rPr>
                <w:lang w:eastAsia="en-AU"/>
              </w:rPr>
              <w:t>92</w:t>
            </w:r>
          </w:p>
        </w:tc>
        <w:tc>
          <w:tcPr>
            <w:tcW w:w="709" w:type="dxa"/>
            <w:tcBorders>
              <w:top w:val="nil"/>
              <w:left w:val="nil"/>
              <w:bottom w:val="nil"/>
              <w:right w:val="nil"/>
            </w:tcBorders>
            <w:shd w:val="clear" w:color="auto" w:fill="FFFFFF" w:themeFill="background1"/>
            <w:noWrap/>
            <w:vAlign w:val="bottom"/>
            <w:hideMark/>
          </w:tcPr>
          <w:p w:rsidR="002B76A0" w:rsidRPr="00D848A2" w:rsidRDefault="002B76A0" w:rsidP="00754C47">
            <w:pPr>
              <w:pStyle w:val="Styletable1Centered"/>
              <w:rPr>
                <w:lang w:eastAsia="en-AU"/>
              </w:rPr>
            </w:pPr>
            <w:r>
              <w:rPr>
                <w:lang w:eastAsia="en-AU"/>
              </w:rPr>
              <w:t>100</w:t>
            </w:r>
          </w:p>
        </w:tc>
        <w:tc>
          <w:tcPr>
            <w:tcW w:w="708" w:type="dxa"/>
            <w:tcBorders>
              <w:top w:val="nil"/>
              <w:left w:val="nil"/>
              <w:bottom w:val="nil"/>
              <w:right w:val="nil"/>
            </w:tcBorders>
            <w:shd w:val="clear" w:color="auto" w:fill="D9D9D9" w:themeFill="background1" w:themeFillShade="D9"/>
            <w:noWrap/>
            <w:vAlign w:val="bottom"/>
            <w:hideMark/>
          </w:tcPr>
          <w:p w:rsidR="002B76A0" w:rsidRPr="00D848A2" w:rsidRDefault="002B76A0" w:rsidP="00754C47">
            <w:pPr>
              <w:pStyle w:val="Styletable1Centered"/>
              <w:rPr>
                <w:lang w:eastAsia="en-AU"/>
              </w:rPr>
            </w:pPr>
            <w:r>
              <w:rPr>
                <w:lang w:eastAsia="en-AU"/>
              </w:rPr>
              <w:t>3.7</w:t>
            </w:r>
          </w:p>
        </w:tc>
        <w:tc>
          <w:tcPr>
            <w:tcW w:w="1043" w:type="dxa"/>
            <w:tcBorders>
              <w:top w:val="nil"/>
              <w:left w:val="nil"/>
              <w:bottom w:val="nil"/>
              <w:right w:val="nil"/>
            </w:tcBorders>
            <w:shd w:val="clear" w:color="auto" w:fill="FFFFFF" w:themeFill="background1"/>
            <w:noWrap/>
            <w:vAlign w:val="bottom"/>
            <w:hideMark/>
          </w:tcPr>
          <w:p w:rsidR="002B76A0" w:rsidRPr="00D848A2" w:rsidRDefault="002B76A0" w:rsidP="00754C47">
            <w:pPr>
              <w:pStyle w:val="Styletable1Centered"/>
              <w:rPr>
                <w:lang w:eastAsia="en-AU"/>
              </w:rPr>
            </w:pPr>
            <w:r>
              <w:rPr>
                <w:lang w:eastAsia="en-AU"/>
              </w:rPr>
              <w:t>2</w:t>
            </w:r>
          </w:p>
        </w:tc>
      </w:tr>
      <w:tr w:rsidR="002B76A0" w:rsidRPr="00D848A2" w:rsidTr="002B76A0">
        <w:trPr>
          <w:trHeight w:val="255"/>
        </w:trPr>
        <w:tc>
          <w:tcPr>
            <w:tcW w:w="1636" w:type="dxa"/>
            <w:tcBorders>
              <w:top w:val="nil"/>
              <w:left w:val="nil"/>
              <w:bottom w:val="nil"/>
              <w:right w:val="nil"/>
            </w:tcBorders>
            <w:shd w:val="clear" w:color="auto" w:fill="auto"/>
            <w:noWrap/>
            <w:vAlign w:val="bottom"/>
            <w:hideMark/>
          </w:tcPr>
          <w:p w:rsidR="002B76A0" w:rsidRPr="00D848A2" w:rsidRDefault="002B76A0" w:rsidP="002B76A0">
            <w:pPr>
              <w:pStyle w:val="table1"/>
              <w:rPr>
                <w:lang w:eastAsia="en-AU"/>
              </w:rPr>
            </w:pPr>
          </w:p>
        </w:tc>
        <w:tc>
          <w:tcPr>
            <w:tcW w:w="737" w:type="dxa"/>
            <w:tcBorders>
              <w:top w:val="nil"/>
              <w:left w:val="nil"/>
              <w:bottom w:val="nil"/>
              <w:right w:val="nil"/>
            </w:tcBorders>
            <w:shd w:val="clear" w:color="000000" w:fill="D8D8D8"/>
            <w:noWrap/>
            <w:vAlign w:val="bottom"/>
            <w:hideMark/>
          </w:tcPr>
          <w:p w:rsidR="002B76A0" w:rsidRPr="00D848A2" w:rsidRDefault="002B76A0" w:rsidP="002B76A0">
            <w:pPr>
              <w:pStyle w:val="table1"/>
              <w:rPr>
                <w:lang w:eastAsia="en-AU"/>
              </w:rPr>
            </w:pPr>
            <w:r>
              <w:rPr>
                <w:lang w:eastAsia="en-AU"/>
              </w:rPr>
              <w:t>1401B</w:t>
            </w:r>
          </w:p>
        </w:tc>
        <w:tc>
          <w:tcPr>
            <w:tcW w:w="821" w:type="dxa"/>
            <w:tcBorders>
              <w:top w:val="nil"/>
              <w:left w:val="nil"/>
              <w:bottom w:val="nil"/>
              <w:right w:val="nil"/>
            </w:tcBorders>
            <w:shd w:val="clear" w:color="auto" w:fill="auto"/>
            <w:noWrap/>
            <w:vAlign w:val="bottom"/>
            <w:hideMark/>
          </w:tcPr>
          <w:p w:rsidR="002B76A0" w:rsidRPr="00D848A2" w:rsidRDefault="002B76A0" w:rsidP="00754C47">
            <w:pPr>
              <w:pStyle w:val="Styletable1Centered"/>
              <w:rPr>
                <w:lang w:eastAsia="en-AU"/>
              </w:rPr>
            </w:pPr>
            <w:r>
              <w:rPr>
                <w:lang w:eastAsia="en-AU"/>
              </w:rPr>
              <w:t>6.1</w:t>
            </w:r>
          </w:p>
        </w:tc>
        <w:tc>
          <w:tcPr>
            <w:tcW w:w="1059" w:type="dxa"/>
            <w:tcBorders>
              <w:top w:val="nil"/>
              <w:left w:val="nil"/>
              <w:bottom w:val="nil"/>
              <w:right w:val="nil"/>
            </w:tcBorders>
            <w:shd w:val="clear" w:color="auto" w:fill="FFFFFF" w:themeFill="background1"/>
            <w:noWrap/>
            <w:vAlign w:val="bottom"/>
            <w:hideMark/>
          </w:tcPr>
          <w:p w:rsidR="002B76A0" w:rsidRPr="00D848A2" w:rsidRDefault="002B76A0" w:rsidP="00754C47">
            <w:pPr>
              <w:pStyle w:val="Styletable1Centered"/>
              <w:rPr>
                <w:lang w:eastAsia="en-AU"/>
              </w:rPr>
            </w:pPr>
            <w:r>
              <w:rPr>
                <w:lang w:eastAsia="en-AU"/>
              </w:rPr>
              <w:t>6.3</w:t>
            </w:r>
          </w:p>
        </w:tc>
        <w:tc>
          <w:tcPr>
            <w:tcW w:w="567" w:type="dxa"/>
            <w:tcBorders>
              <w:top w:val="nil"/>
              <w:left w:val="nil"/>
              <w:bottom w:val="nil"/>
              <w:right w:val="nil"/>
            </w:tcBorders>
            <w:shd w:val="clear" w:color="auto" w:fill="D9D9D9" w:themeFill="background1" w:themeFillShade="D9"/>
            <w:noWrap/>
            <w:vAlign w:val="bottom"/>
            <w:hideMark/>
          </w:tcPr>
          <w:p w:rsidR="002B76A0" w:rsidRPr="00D848A2" w:rsidRDefault="002B76A0" w:rsidP="00754C47">
            <w:pPr>
              <w:pStyle w:val="Styletable1Centered"/>
              <w:rPr>
                <w:lang w:eastAsia="en-AU"/>
              </w:rPr>
            </w:pPr>
            <w:r>
              <w:rPr>
                <w:lang w:eastAsia="en-AU"/>
              </w:rPr>
              <w:t>15</w:t>
            </w:r>
          </w:p>
        </w:tc>
        <w:tc>
          <w:tcPr>
            <w:tcW w:w="567" w:type="dxa"/>
            <w:tcBorders>
              <w:top w:val="nil"/>
              <w:left w:val="nil"/>
              <w:bottom w:val="nil"/>
              <w:right w:val="nil"/>
            </w:tcBorders>
            <w:shd w:val="clear" w:color="auto" w:fill="D9D9D9" w:themeFill="background1" w:themeFillShade="D9"/>
            <w:noWrap/>
            <w:vAlign w:val="bottom"/>
            <w:hideMark/>
          </w:tcPr>
          <w:p w:rsidR="002B76A0" w:rsidRPr="00D848A2" w:rsidRDefault="002B76A0" w:rsidP="00754C47">
            <w:pPr>
              <w:pStyle w:val="Styletable1Centered"/>
              <w:rPr>
                <w:lang w:eastAsia="en-AU"/>
              </w:rPr>
            </w:pPr>
            <w:r>
              <w:rPr>
                <w:lang w:eastAsia="en-AU"/>
              </w:rPr>
              <w:t>17</w:t>
            </w:r>
          </w:p>
        </w:tc>
        <w:tc>
          <w:tcPr>
            <w:tcW w:w="567" w:type="dxa"/>
            <w:tcBorders>
              <w:top w:val="nil"/>
              <w:left w:val="nil"/>
              <w:bottom w:val="nil"/>
              <w:right w:val="nil"/>
            </w:tcBorders>
            <w:shd w:val="clear" w:color="auto" w:fill="auto"/>
            <w:noWrap/>
            <w:vAlign w:val="bottom"/>
            <w:hideMark/>
          </w:tcPr>
          <w:p w:rsidR="002B76A0" w:rsidRPr="00D848A2" w:rsidRDefault="002B76A0" w:rsidP="00754C47">
            <w:pPr>
              <w:pStyle w:val="Styletable1Centered"/>
              <w:rPr>
                <w:lang w:eastAsia="en-AU"/>
              </w:rPr>
            </w:pPr>
            <w:r>
              <w:rPr>
                <w:lang w:eastAsia="en-AU"/>
              </w:rPr>
              <w:t>95</w:t>
            </w:r>
          </w:p>
        </w:tc>
        <w:tc>
          <w:tcPr>
            <w:tcW w:w="709" w:type="dxa"/>
            <w:tcBorders>
              <w:top w:val="nil"/>
              <w:left w:val="nil"/>
              <w:bottom w:val="nil"/>
              <w:right w:val="nil"/>
            </w:tcBorders>
            <w:shd w:val="clear" w:color="auto" w:fill="FFFFFF" w:themeFill="background1"/>
            <w:noWrap/>
            <w:vAlign w:val="bottom"/>
            <w:hideMark/>
          </w:tcPr>
          <w:p w:rsidR="002B76A0" w:rsidRPr="00D848A2" w:rsidRDefault="002B76A0" w:rsidP="00754C47">
            <w:pPr>
              <w:pStyle w:val="Styletable1Centered"/>
              <w:rPr>
                <w:lang w:eastAsia="en-AU"/>
              </w:rPr>
            </w:pPr>
            <w:r>
              <w:rPr>
                <w:lang w:eastAsia="en-AU"/>
              </w:rPr>
              <w:t>100</w:t>
            </w:r>
          </w:p>
        </w:tc>
        <w:tc>
          <w:tcPr>
            <w:tcW w:w="708" w:type="dxa"/>
            <w:tcBorders>
              <w:top w:val="nil"/>
              <w:left w:val="nil"/>
              <w:bottom w:val="nil"/>
              <w:right w:val="nil"/>
            </w:tcBorders>
            <w:shd w:val="clear" w:color="auto" w:fill="D9D9D9" w:themeFill="background1" w:themeFillShade="D9"/>
            <w:noWrap/>
            <w:vAlign w:val="bottom"/>
            <w:hideMark/>
          </w:tcPr>
          <w:p w:rsidR="002B76A0" w:rsidRPr="00D848A2" w:rsidRDefault="002B76A0" w:rsidP="00754C47">
            <w:pPr>
              <w:pStyle w:val="Styletable1Centered"/>
              <w:rPr>
                <w:lang w:eastAsia="en-AU"/>
              </w:rPr>
            </w:pPr>
            <w:r>
              <w:rPr>
                <w:lang w:eastAsia="en-AU"/>
              </w:rPr>
              <w:t>2.5</w:t>
            </w:r>
          </w:p>
        </w:tc>
        <w:tc>
          <w:tcPr>
            <w:tcW w:w="1043" w:type="dxa"/>
            <w:tcBorders>
              <w:top w:val="nil"/>
              <w:left w:val="nil"/>
              <w:bottom w:val="nil"/>
              <w:right w:val="nil"/>
            </w:tcBorders>
            <w:shd w:val="clear" w:color="auto" w:fill="FFFFFF" w:themeFill="background1"/>
            <w:noWrap/>
            <w:vAlign w:val="bottom"/>
            <w:hideMark/>
          </w:tcPr>
          <w:p w:rsidR="002B76A0" w:rsidRPr="00D848A2" w:rsidRDefault="002B76A0" w:rsidP="00754C47">
            <w:pPr>
              <w:pStyle w:val="Styletable1Centered"/>
              <w:rPr>
                <w:lang w:eastAsia="en-AU"/>
              </w:rPr>
            </w:pPr>
            <w:r>
              <w:rPr>
                <w:lang w:eastAsia="en-AU"/>
              </w:rPr>
              <w:t>&lt;1</w:t>
            </w:r>
          </w:p>
        </w:tc>
      </w:tr>
      <w:tr w:rsidR="002B76A0" w:rsidRPr="00D848A2" w:rsidTr="002B76A0">
        <w:trPr>
          <w:trHeight w:val="255"/>
        </w:trPr>
        <w:tc>
          <w:tcPr>
            <w:tcW w:w="1636" w:type="dxa"/>
            <w:tcBorders>
              <w:top w:val="nil"/>
              <w:left w:val="nil"/>
              <w:bottom w:val="nil"/>
              <w:right w:val="nil"/>
            </w:tcBorders>
            <w:shd w:val="clear" w:color="auto" w:fill="auto"/>
            <w:noWrap/>
            <w:vAlign w:val="bottom"/>
            <w:hideMark/>
          </w:tcPr>
          <w:p w:rsidR="002B76A0" w:rsidRPr="00D848A2" w:rsidRDefault="002B76A0" w:rsidP="002B76A0">
            <w:pPr>
              <w:pStyle w:val="table1"/>
              <w:rPr>
                <w:lang w:eastAsia="en-AU"/>
              </w:rPr>
            </w:pPr>
          </w:p>
        </w:tc>
        <w:tc>
          <w:tcPr>
            <w:tcW w:w="737" w:type="dxa"/>
            <w:tcBorders>
              <w:top w:val="nil"/>
              <w:left w:val="nil"/>
              <w:bottom w:val="nil"/>
              <w:right w:val="nil"/>
            </w:tcBorders>
            <w:shd w:val="clear" w:color="000000" w:fill="D8D8D8"/>
            <w:noWrap/>
            <w:vAlign w:val="bottom"/>
            <w:hideMark/>
          </w:tcPr>
          <w:p w:rsidR="002B76A0" w:rsidRPr="00D848A2" w:rsidRDefault="002B76A0" w:rsidP="002B76A0">
            <w:pPr>
              <w:pStyle w:val="table1"/>
              <w:rPr>
                <w:lang w:eastAsia="en-AU"/>
              </w:rPr>
            </w:pPr>
          </w:p>
        </w:tc>
        <w:tc>
          <w:tcPr>
            <w:tcW w:w="821" w:type="dxa"/>
            <w:tcBorders>
              <w:top w:val="nil"/>
              <w:left w:val="nil"/>
              <w:bottom w:val="nil"/>
              <w:right w:val="nil"/>
            </w:tcBorders>
            <w:shd w:val="clear" w:color="auto" w:fill="auto"/>
            <w:noWrap/>
            <w:vAlign w:val="bottom"/>
            <w:hideMark/>
          </w:tcPr>
          <w:p w:rsidR="002B76A0" w:rsidRPr="00D848A2" w:rsidRDefault="002B76A0" w:rsidP="002B76A0">
            <w:pPr>
              <w:pStyle w:val="table1"/>
              <w:jc w:val="center"/>
              <w:rPr>
                <w:lang w:eastAsia="en-AU"/>
              </w:rPr>
            </w:pPr>
          </w:p>
        </w:tc>
        <w:tc>
          <w:tcPr>
            <w:tcW w:w="1059" w:type="dxa"/>
            <w:tcBorders>
              <w:top w:val="nil"/>
              <w:left w:val="nil"/>
              <w:bottom w:val="nil"/>
              <w:right w:val="nil"/>
            </w:tcBorders>
            <w:shd w:val="clear" w:color="auto" w:fill="FFFFFF" w:themeFill="background1"/>
            <w:noWrap/>
            <w:vAlign w:val="bottom"/>
            <w:hideMark/>
          </w:tcPr>
          <w:p w:rsidR="002B76A0" w:rsidRPr="00D848A2" w:rsidRDefault="002B76A0" w:rsidP="002B76A0">
            <w:pPr>
              <w:pStyle w:val="table1"/>
              <w:jc w:val="center"/>
              <w:rPr>
                <w:lang w:eastAsia="en-AU"/>
              </w:rPr>
            </w:pPr>
          </w:p>
        </w:tc>
        <w:tc>
          <w:tcPr>
            <w:tcW w:w="567" w:type="dxa"/>
            <w:tcBorders>
              <w:top w:val="nil"/>
              <w:left w:val="nil"/>
              <w:bottom w:val="nil"/>
              <w:right w:val="nil"/>
            </w:tcBorders>
            <w:shd w:val="clear" w:color="auto" w:fill="D9D9D9" w:themeFill="background1" w:themeFillShade="D9"/>
            <w:noWrap/>
            <w:vAlign w:val="bottom"/>
            <w:hideMark/>
          </w:tcPr>
          <w:p w:rsidR="002B76A0" w:rsidRPr="00D848A2" w:rsidRDefault="002B76A0" w:rsidP="002B76A0">
            <w:pPr>
              <w:pStyle w:val="table1"/>
              <w:jc w:val="center"/>
              <w:rPr>
                <w:lang w:eastAsia="en-AU"/>
              </w:rPr>
            </w:pPr>
          </w:p>
        </w:tc>
        <w:tc>
          <w:tcPr>
            <w:tcW w:w="567" w:type="dxa"/>
            <w:tcBorders>
              <w:top w:val="nil"/>
              <w:left w:val="nil"/>
              <w:bottom w:val="nil"/>
              <w:right w:val="nil"/>
            </w:tcBorders>
            <w:shd w:val="clear" w:color="auto" w:fill="D9D9D9" w:themeFill="background1" w:themeFillShade="D9"/>
            <w:noWrap/>
            <w:vAlign w:val="bottom"/>
            <w:hideMark/>
          </w:tcPr>
          <w:p w:rsidR="002B76A0" w:rsidRPr="00D848A2" w:rsidRDefault="002B76A0" w:rsidP="002B76A0">
            <w:pPr>
              <w:pStyle w:val="table1"/>
              <w:jc w:val="center"/>
              <w:rPr>
                <w:lang w:eastAsia="en-AU"/>
              </w:rPr>
            </w:pPr>
          </w:p>
        </w:tc>
        <w:tc>
          <w:tcPr>
            <w:tcW w:w="567" w:type="dxa"/>
            <w:tcBorders>
              <w:top w:val="nil"/>
              <w:left w:val="nil"/>
              <w:bottom w:val="nil"/>
              <w:right w:val="nil"/>
            </w:tcBorders>
            <w:shd w:val="clear" w:color="auto" w:fill="auto"/>
            <w:noWrap/>
            <w:vAlign w:val="bottom"/>
            <w:hideMark/>
          </w:tcPr>
          <w:p w:rsidR="002B76A0" w:rsidRPr="00D848A2" w:rsidRDefault="002B76A0" w:rsidP="002B76A0">
            <w:pPr>
              <w:pStyle w:val="table1"/>
              <w:jc w:val="center"/>
              <w:rPr>
                <w:lang w:eastAsia="en-AU"/>
              </w:rPr>
            </w:pPr>
          </w:p>
        </w:tc>
        <w:tc>
          <w:tcPr>
            <w:tcW w:w="709" w:type="dxa"/>
            <w:tcBorders>
              <w:top w:val="nil"/>
              <w:left w:val="nil"/>
              <w:bottom w:val="nil"/>
              <w:right w:val="nil"/>
            </w:tcBorders>
            <w:shd w:val="clear" w:color="auto" w:fill="FFFFFF" w:themeFill="background1"/>
            <w:noWrap/>
            <w:vAlign w:val="bottom"/>
            <w:hideMark/>
          </w:tcPr>
          <w:p w:rsidR="002B76A0" w:rsidRPr="00D848A2" w:rsidRDefault="002B76A0" w:rsidP="002B76A0">
            <w:pPr>
              <w:pStyle w:val="table1"/>
              <w:jc w:val="center"/>
              <w:rPr>
                <w:lang w:eastAsia="en-AU"/>
              </w:rPr>
            </w:pPr>
          </w:p>
        </w:tc>
        <w:tc>
          <w:tcPr>
            <w:tcW w:w="708" w:type="dxa"/>
            <w:tcBorders>
              <w:top w:val="nil"/>
              <w:left w:val="nil"/>
              <w:bottom w:val="nil"/>
              <w:right w:val="nil"/>
            </w:tcBorders>
            <w:shd w:val="clear" w:color="auto" w:fill="D9D9D9" w:themeFill="background1" w:themeFillShade="D9"/>
            <w:noWrap/>
            <w:vAlign w:val="bottom"/>
            <w:hideMark/>
          </w:tcPr>
          <w:p w:rsidR="002B76A0" w:rsidRPr="00D848A2" w:rsidRDefault="002B76A0" w:rsidP="002B76A0">
            <w:pPr>
              <w:pStyle w:val="table1"/>
              <w:jc w:val="center"/>
              <w:rPr>
                <w:lang w:eastAsia="en-AU"/>
              </w:rPr>
            </w:pPr>
          </w:p>
        </w:tc>
        <w:tc>
          <w:tcPr>
            <w:tcW w:w="1043" w:type="dxa"/>
            <w:tcBorders>
              <w:top w:val="nil"/>
              <w:left w:val="nil"/>
              <w:bottom w:val="nil"/>
              <w:right w:val="nil"/>
            </w:tcBorders>
            <w:shd w:val="clear" w:color="auto" w:fill="FFFFFF" w:themeFill="background1"/>
            <w:noWrap/>
            <w:vAlign w:val="bottom"/>
            <w:hideMark/>
          </w:tcPr>
          <w:p w:rsidR="002B76A0" w:rsidRPr="00D848A2" w:rsidRDefault="002B76A0" w:rsidP="002B76A0">
            <w:pPr>
              <w:pStyle w:val="table1"/>
              <w:jc w:val="center"/>
              <w:rPr>
                <w:lang w:eastAsia="en-AU"/>
              </w:rPr>
            </w:pPr>
          </w:p>
        </w:tc>
      </w:tr>
      <w:tr w:rsidR="002B76A0" w:rsidRPr="00D848A2" w:rsidTr="002B76A0">
        <w:trPr>
          <w:trHeight w:val="255"/>
        </w:trPr>
        <w:tc>
          <w:tcPr>
            <w:tcW w:w="1636" w:type="dxa"/>
            <w:tcBorders>
              <w:top w:val="nil"/>
              <w:left w:val="nil"/>
              <w:bottom w:val="single" w:sz="4" w:space="0" w:color="auto"/>
              <w:right w:val="nil"/>
            </w:tcBorders>
            <w:shd w:val="clear" w:color="auto" w:fill="auto"/>
            <w:noWrap/>
            <w:vAlign w:val="bottom"/>
            <w:hideMark/>
          </w:tcPr>
          <w:p w:rsidR="002B76A0" w:rsidRPr="00D848A2" w:rsidRDefault="002B76A0" w:rsidP="002B76A0">
            <w:pPr>
              <w:pStyle w:val="table1"/>
              <w:rPr>
                <w:lang w:eastAsia="en-AU"/>
              </w:rPr>
            </w:pPr>
            <w:r w:rsidRPr="00D848A2">
              <w:rPr>
                <w:i/>
                <w:iCs/>
                <w:lang w:eastAsia="en-AU"/>
              </w:rPr>
              <w:t>Lemna aequinoctialis</w:t>
            </w:r>
          </w:p>
        </w:tc>
        <w:tc>
          <w:tcPr>
            <w:tcW w:w="737" w:type="dxa"/>
            <w:tcBorders>
              <w:top w:val="nil"/>
              <w:left w:val="nil"/>
              <w:bottom w:val="single" w:sz="4" w:space="0" w:color="auto"/>
              <w:right w:val="nil"/>
            </w:tcBorders>
            <w:shd w:val="clear" w:color="000000" w:fill="D8D8D8"/>
            <w:noWrap/>
            <w:vAlign w:val="bottom"/>
            <w:hideMark/>
          </w:tcPr>
          <w:p w:rsidR="002B76A0" w:rsidRPr="00D848A2" w:rsidRDefault="002B76A0" w:rsidP="002B76A0">
            <w:pPr>
              <w:pStyle w:val="table1"/>
              <w:rPr>
                <w:lang w:eastAsia="en-AU"/>
              </w:rPr>
            </w:pPr>
            <w:r>
              <w:rPr>
                <w:lang w:eastAsia="en-AU"/>
              </w:rPr>
              <w:t>1421L</w:t>
            </w:r>
          </w:p>
        </w:tc>
        <w:tc>
          <w:tcPr>
            <w:tcW w:w="821" w:type="dxa"/>
            <w:tcBorders>
              <w:top w:val="nil"/>
              <w:left w:val="nil"/>
              <w:bottom w:val="single" w:sz="4" w:space="0" w:color="auto"/>
              <w:right w:val="nil"/>
            </w:tcBorders>
            <w:shd w:val="clear" w:color="auto" w:fill="auto"/>
            <w:noWrap/>
            <w:vAlign w:val="bottom"/>
            <w:hideMark/>
          </w:tcPr>
          <w:p w:rsidR="002B76A0" w:rsidRPr="00D848A2" w:rsidRDefault="002B76A0" w:rsidP="00754C47">
            <w:pPr>
              <w:pStyle w:val="Styletable1Centered"/>
              <w:rPr>
                <w:lang w:eastAsia="en-AU"/>
              </w:rPr>
            </w:pPr>
            <w:r>
              <w:rPr>
                <w:lang w:eastAsia="en-AU"/>
              </w:rPr>
              <w:t>6.1</w:t>
            </w:r>
          </w:p>
        </w:tc>
        <w:tc>
          <w:tcPr>
            <w:tcW w:w="1059" w:type="dxa"/>
            <w:tcBorders>
              <w:top w:val="nil"/>
              <w:left w:val="nil"/>
              <w:bottom w:val="single" w:sz="4" w:space="0" w:color="auto"/>
              <w:right w:val="nil"/>
            </w:tcBorders>
            <w:shd w:val="clear" w:color="auto" w:fill="FFFFFF" w:themeFill="background1"/>
            <w:noWrap/>
            <w:vAlign w:val="bottom"/>
            <w:hideMark/>
          </w:tcPr>
          <w:p w:rsidR="002B76A0" w:rsidRPr="00D848A2" w:rsidRDefault="002B76A0" w:rsidP="00754C47">
            <w:pPr>
              <w:pStyle w:val="Styletable1Centered"/>
              <w:rPr>
                <w:lang w:eastAsia="en-AU"/>
              </w:rPr>
            </w:pPr>
            <w:r>
              <w:rPr>
                <w:lang w:eastAsia="en-AU"/>
              </w:rPr>
              <w:t>6.1</w:t>
            </w:r>
          </w:p>
        </w:tc>
        <w:tc>
          <w:tcPr>
            <w:tcW w:w="567" w:type="dxa"/>
            <w:tcBorders>
              <w:top w:val="nil"/>
              <w:left w:val="nil"/>
              <w:bottom w:val="single" w:sz="4" w:space="0" w:color="auto"/>
              <w:right w:val="nil"/>
            </w:tcBorders>
            <w:shd w:val="clear" w:color="auto" w:fill="D9D9D9" w:themeFill="background1" w:themeFillShade="D9"/>
            <w:noWrap/>
            <w:vAlign w:val="bottom"/>
            <w:hideMark/>
          </w:tcPr>
          <w:p w:rsidR="002B76A0" w:rsidRPr="00D848A2" w:rsidRDefault="002B76A0" w:rsidP="00754C47">
            <w:pPr>
              <w:pStyle w:val="Styletable1Centered"/>
              <w:rPr>
                <w:lang w:eastAsia="en-AU"/>
              </w:rPr>
            </w:pPr>
            <w:r>
              <w:rPr>
                <w:lang w:eastAsia="en-AU"/>
              </w:rPr>
              <w:t>23</w:t>
            </w:r>
          </w:p>
        </w:tc>
        <w:tc>
          <w:tcPr>
            <w:tcW w:w="567" w:type="dxa"/>
            <w:tcBorders>
              <w:top w:val="nil"/>
              <w:left w:val="nil"/>
              <w:bottom w:val="single" w:sz="4" w:space="0" w:color="auto"/>
              <w:right w:val="nil"/>
            </w:tcBorders>
            <w:shd w:val="clear" w:color="auto" w:fill="D9D9D9" w:themeFill="background1" w:themeFillShade="D9"/>
            <w:noWrap/>
            <w:vAlign w:val="bottom"/>
            <w:hideMark/>
          </w:tcPr>
          <w:p w:rsidR="002B76A0" w:rsidRPr="00D848A2" w:rsidRDefault="002B76A0" w:rsidP="00754C47">
            <w:pPr>
              <w:pStyle w:val="Styletable1Centered"/>
              <w:rPr>
                <w:lang w:eastAsia="en-AU"/>
              </w:rPr>
            </w:pPr>
            <w:r>
              <w:rPr>
                <w:lang w:eastAsia="en-AU"/>
              </w:rPr>
              <w:t>16</w:t>
            </w:r>
          </w:p>
        </w:tc>
        <w:tc>
          <w:tcPr>
            <w:tcW w:w="567" w:type="dxa"/>
            <w:tcBorders>
              <w:top w:val="nil"/>
              <w:left w:val="nil"/>
              <w:bottom w:val="single" w:sz="4" w:space="0" w:color="auto"/>
              <w:right w:val="nil"/>
            </w:tcBorders>
            <w:shd w:val="clear" w:color="auto" w:fill="auto"/>
            <w:noWrap/>
            <w:vAlign w:val="bottom"/>
            <w:hideMark/>
          </w:tcPr>
          <w:p w:rsidR="002B76A0" w:rsidRPr="00D848A2" w:rsidRDefault="002B76A0" w:rsidP="00754C47">
            <w:pPr>
              <w:pStyle w:val="Styletable1Centered"/>
              <w:rPr>
                <w:lang w:eastAsia="en-AU"/>
              </w:rPr>
            </w:pPr>
            <w:r>
              <w:rPr>
                <w:lang w:eastAsia="en-AU"/>
              </w:rPr>
              <w:t>113</w:t>
            </w:r>
          </w:p>
        </w:tc>
        <w:tc>
          <w:tcPr>
            <w:tcW w:w="709" w:type="dxa"/>
            <w:tcBorders>
              <w:top w:val="nil"/>
              <w:left w:val="nil"/>
              <w:bottom w:val="single" w:sz="4" w:space="0" w:color="auto"/>
              <w:right w:val="nil"/>
            </w:tcBorders>
            <w:shd w:val="clear" w:color="auto" w:fill="FFFFFF" w:themeFill="background1"/>
            <w:noWrap/>
            <w:vAlign w:val="bottom"/>
            <w:hideMark/>
          </w:tcPr>
          <w:p w:rsidR="002B76A0" w:rsidRPr="00D848A2" w:rsidRDefault="002B76A0" w:rsidP="00754C47">
            <w:pPr>
              <w:pStyle w:val="Styletable1Centered"/>
              <w:rPr>
                <w:lang w:eastAsia="en-AU"/>
              </w:rPr>
            </w:pPr>
            <w:r>
              <w:rPr>
                <w:lang w:eastAsia="en-AU"/>
              </w:rPr>
              <w:t>101</w:t>
            </w:r>
          </w:p>
        </w:tc>
        <w:tc>
          <w:tcPr>
            <w:tcW w:w="708" w:type="dxa"/>
            <w:tcBorders>
              <w:top w:val="nil"/>
              <w:left w:val="nil"/>
              <w:bottom w:val="single" w:sz="4" w:space="0" w:color="auto"/>
              <w:right w:val="nil"/>
            </w:tcBorders>
            <w:shd w:val="clear" w:color="auto" w:fill="D9D9D9" w:themeFill="background1" w:themeFillShade="D9"/>
            <w:noWrap/>
            <w:vAlign w:val="bottom"/>
            <w:hideMark/>
          </w:tcPr>
          <w:p w:rsidR="002B76A0" w:rsidRPr="00D848A2" w:rsidRDefault="002B76A0" w:rsidP="00754C47">
            <w:pPr>
              <w:pStyle w:val="Styletable1Centered"/>
              <w:rPr>
                <w:lang w:eastAsia="en-AU"/>
              </w:rPr>
            </w:pPr>
            <w:r>
              <w:rPr>
                <w:lang w:eastAsia="en-AU"/>
              </w:rPr>
              <w:t>1.5</w:t>
            </w:r>
          </w:p>
        </w:tc>
        <w:tc>
          <w:tcPr>
            <w:tcW w:w="1043" w:type="dxa"/>
            <w:tcBorders>
              <w:top w:val="nil"/>
              <w:left w:val="nil"/>
              <w:bottom w:val="single" w:sz="4" w:space="0" w:color="auto"/>
              <w:right w:val="nil"/>
            </w:tcBorders>
            <w:shd w:val="clear" w:color="auto" w:fill="FFFFFF" w:themeFill="background1"/>
            <w:noWrap/>
            <w:vAlign w:val="bottom"/>
            <w:hideMark/>
          </w:tcPr>
          <w:p w:rsidR="002B76A0" w:rsidRPr="00D848A2" w:rsidRDefault="002B76A0" w:rsidP="00754C47">
            <w:pPr>
              <w:pStyle w:val="Styletable1Centered"/>
              <w:rPr>
                <w:lang w:eastAsia="en-AU"/>
              </w:rPr>
            </w:pPr>
            <w:r>
              <w:rPr>
                <w:lang w:eastAsia="en-AU"/>
              </w:rPr>
              <w:t>3</w:t>
            </w:r>
          </w:p>
        </w:tc>
      </w:tr>
      <w:tr w:rsidR="002B76A0" w:rsidRPr="00D848A2" w:rsidTr="002B76A0">
        <w:trPr>
          <w:trHeight w:val="255"/>
        </w:trPr>
        <w:tc>
          <w:tcPr>
            <w:tcW w:w="8414" w:type="dxa"/>
            <w:gridSpan w:val="10"/>
            <w:tcBorders>
              <w:top w:val="single" w:sz="4" w:space="0" w:color="auto"/>
              <w:left w:val="nil"/>
              <w:bottom w:val="single" w:sz="4" w:space="0" w:color="auto"/>
              <w:right w:val="nil"/>
            </w:tcBorders>
            <w:shd w:val="clear" w:color="auto" w:fill="auto"/>
            <w:noWrap/>
            <w:vAlign w:val="bottom"/>
            <w:hideMark/>
          </w:tcPr>
          <w:p w:rsidR="002B76A0" w:rsidRPr="00D848A2" w:rsidRDefault="002B76A0" w:rsidP="002B76A0">
            <w:pPr>
              <w:pStyle w:val="table1"/>
              <w:rPr>
                <w:lang w:eastAsia="en-AU"/>
              </w:rPr>
            </w:pPr>
            <w:r>
              <w:rPr>
                <w:lang w:eastAsia="en-AU"/>
              </w:rPr>
              <w:t>Buffer Trials</w:t>
            </w:r>
          </w:p>
        </w:tc>
      </w:tr>
      <w:tr w:rsidR="002B76A0" w:rsidRPr="00D848A2" w:rsidTr="002B76A0">
        <w:trPr>
          <w:trHeight w:val="255"/>
        </w:trPr>
        <w:tc>
          <w:tcPr>
            <w:tcW w:w="1636" w:type="dxa"/>
            <w:tcBorders>
              <w:top w:val="single" w:sz="4" w:space="0" w:color="auto"/>
              <w:left w:val="nil"/>
              <w:right w:val="nil"/>
            </w:tcBorders>
            <w:shd w:val="clear" w:color="auto" w:fill="auto"/>
            <w:noWrap/>
            <w:vAlign w:val="bottom"/>
            <w:hideMark/>
          </w:tcPr>
          <w:p w:rsidR="002B76A0" w:rsidRPr="00D848A2" w:rsidRDefault="002B76A0" w:rsidP="002B76A0">
            <w:pPr>
              <w:pStyle w:val="table1"/>
              <w:rPr>
                <w:i/>
                <w:iCs/>
                <w:lang w:eastAsia="en-AU"/>
              </w:rPr>
            </w:pPr>
            <w:r w:rsidRPr="00D848A2">
              <w:rPr>
                <w:i/>
                <w:iCs/>
                <w:lang w:eastAsia="en-AU"/>
              </w:rPr>
              <w:t>Amerianna cumingi</w:t>
            </w:r>
          </w:p>
        </w:tc>
        <w:tc>
          <w:tcPr>
            <w:tcW w:w="737" w:type="dxa"/>
            <w:tcBorders>
              <w:top w:val="single" w:sz="4" w:space="0" w:color="auto"/>
              <w:left w:val="nil"/>
              <w:right w:val="nil"/>
            </w:tcBorders>
            <w:shd w:val="clear" w:color="000000" w:fill="D8D8D8"/>
            <w:noWrap/>
            <w:vAlign w:val="bottom"/>
            <w:hideMark/>
          </w:tcPr>
          <w:p w:rsidR="002B76A0" w:rsidRPr="00D848A2" w:rsidRDefault="002B76A0" w:rsidP="002B76A0">
            <w:pPr>
              <w:pStyle w:val="table1"/>
              <w:rPr>
                <w:lang w:eastAsia="en-AU"/>
              </w:rPr>
            </w:pPr>
            <w:r>
              <w:rPr>
                <w:lang w:eastAsia="en-AU"/>
              </w:rPr>
              <w:t>1405S</w:t>
            </w:r>
          </w:p>
        </w:tc>
        <w:tc>
          <w:tcPr>
            <w:tcW w:w="821" w:type="dxa"/>
            <w:tcBorders>
              <w:top w:val="single" w:sz="4" w:space="0" w:color="auto"/>
              <w:left w:val="nil"/>
              <w:right w:val="nil"/>
            </w:tcBorders>
            <w:shd w:val="clear" w:color="auto" w:fill="auto"/>
            <w:noWrap/>
            <w:vAlign w:val="bottom"/>
            <w:hideMark/>
          </w:tcPr>
          <w:p w:rsidR="002B76A0" w:rsidRPr="00D848A2" w:rsidRDefault="002B76A0" w:rsidP="00754C47">
            <w:pPr>
              <w:pStyle w:val="Styletable1Centered"/>
              <w:rPr>
                <w:lang w:eastAsia="en-AU"/>
              </w:rPr>
            </w:pPr>
            <w:r>
              <w:rPr>
                <w:lang w:eastAsia="en-AU"/>
              </w:rPr>
              <w:t>6.3</w:t>
            </w:r>
            <w:r>
              <w:rPr>
                <w:snapToGrid w:val="0"/>
                <w:color w:val="000000"/>
                <w:position w:val="4"/>
                <w:sz w:val="11"/>
                <w:szCs w:val="0"/>
                <w:u w:color="000000"/>
                <w:lang w:eastAsia="en-AU"/>
              </w:rPr>
              <w:t>b</w:t>
            </w:r>
          </w:p>
        </w:tc>
        <w:tc>
          <w:tcPr>
            <w:tcW w:w="1059" w:type="dxa"/>
            <w:tcBorders>
              <w:top w:val="single" w:sz="4" w:space="0" w:color="auto"/>
              <w:left w:val="nil"/>
              <w:right w:val="nil"/>
            </w:tcBorders>
            <w:shd w:val="clear" w:color="auto" w:fill="FFFFFF" w:themeFill="background1"/>
            <w:noWrap/>
            <w:vAlign w:val="bottom"/>
            <w:hideMark/>
          </w:tcPr>
          <w:p w:rsidR="002B76A0" w:rsidRPr="00D848A2" w:rsidRDefault="002B76A0" w:rsidP="00754C47">
            <w:pPr>
              <w:pStyle w:val="Styletable1Centered"/>
              <w:rPr>
                <w:lang w:eastAsia="en-AU"/>
              </w:rPr>
            </w:pPr>
            <w:r>
              <w:rPr>
                <w:lang w:eastAsia="en-AU"/>
              </w:rPr>
              <w:t>6.8</w:t>
            </w:r>
            <w:r>
              <w:rPr>
                <w:snapToGrid w:val="0"/>
                <w:color w:val="000000"/>
                <w:position w:val="4"/>
                <w:sz w:val="11"/>
                <w:szCs w:val="0"/>
                <w:u w:color="000000"/>
                <w:lang w:eastAsia="en-AU"/>
              </w:rPr>
              <w:t>b</w:t>
            </w:r>
          </w:p>
        </w:tc>
        <w:tc>
          <w:tcPr>
            <w:tcW w:w="567" w:type="dxa"/>
            <w:tcBorders>
              <w:top w:val="single" w:sz="4" w:space="0" w:color="auto"/>
              <w:left w:val="nil"/>
              <w:right w:val="nil"/>
            </w:tcBorders>
            <w:shd w:val="clear" w:color="auto" w:fill="D9D9D9" w:themeFill="background1" w:themeFillShade="D9"/>
            <w:noWrap/>
            <w:vAlign w:val="bottom"/>
            <w:hideMark/>
          </w:tcPr>
          <w:p w:rsidR="002B76A0" w:rsidRPr="00D848A2" w:rsidRDefault="002B76A0" w:rsidP="00754C47">
            <w:pPr>
              <w:pStyle w:val="Styletable1Centered"/>
              <w:rPr>
                <w:lang w:eastAsia="en-AU"/>
              </w:rPr>
            </w:pPr>
            <w:r>
              <w:rPr>
                <w:lang w:eastAsia="en-AU"/>
              </w:rPr>
              <w:t>12</w:t>
            </w:r>
          </w:p>
        </w:tc>
        <w:tc>
          <w:tcPr>
            <w:tcW w:w="567" w:type="dxa"/>
            <w:tcBorders>
              <w:top w:val="single" w:sz="4" w:space="0" w:color="auto"/>
              <w:left w:val="nil"/>
              <w:right w:val="nil"/>
            </w:tcBorders>
            <w:shd w:val="clear" w:color="auto" w:fill="D9D9D9" w:themeFill="background1" w:themeFillShade="D9"/>
            <w:noWrap/>
            <w:vAlign w:val="bottom"/>
            <w:hideMark/>
          </w:tcPr>
          <w:p w:rsidR="002B76A0" w:rsidRPr="00D848A2" w:rsidRDefault="002B76A0" w:rsidP="00754C47">
            <w:pPr>
              <w:pStyle w:val="Styletable1Centered"/>
              <w:rPr>
                <w:lang w:eastAsia="en-AU"/>
              </w:rPr>
            </w:pPr>
            <w:r>
              <w:rPr>
                <w:lang w:eastAsia="en-AU"/>
              </w:rPr>
              <w:t>33</w:t>
            </w:r>
          </w:p>
        </w:tc>
        <w:tc>
          <w:tcPr>
            <w:tcW w:w="567" w:type="dxa"/>
            <w:tcBorders>
              <w:top w:val="single" w:sz="4" w:space="0" w:color="auto"/>
              <w:left w:val="nil"/>
              <w:right w:val="nil"/>
            </w:tcBorders>
            <w:shd w:val="clear" w:color="auto" w:fill="auto"/>
            <w:noWrap/>
            <w:vAlign w:val="bottom"/>
            <w:hideMark/>
          </w:tcPr>
          <w:p w:rsidR="002B76A0" w:rsidRPr="00D848A2" w:rsidRDefault="002B76A0" w:rsidP="00754C47">
            <w:pPr>
              <w:pStyle w:val="Styletable1Centered"/>
              <w:rPr>
                <w:lang w:eastAsia="en-AU"/>
              </w:rPr>
            </w:pPr>
            <w:r>
              <w:rPr>
                <w:lang w:eastAsia="en-AU"/>
              </w:rPr>
              <w:t>99</w:t>
            </w:r>
          </w:p>
        </w:tc>
        <w:tc>
          <w:tcPr>
            <w:tcW w:w="709" w:type="dxa"/>
            <w:tcBorders>
              <w:top w:val="single" w:sz="4" w:space="0" w:color="auto"/>
              <w:left w:val="nil"/>
              <w:right w:val="nil"/>
            </w:tcBorders>
            <w:shd w:val="clear" w:color="auto" w:fill="FFFFFF" w:themeFill="background1"/>
            <w:noWrap/>
            <w:vAlign w:val="bottom"/>
            <w:hideMark/>
          </w:tcPr>
          <w:p w:rsidR="002B76A0" w:rsidRPr="00D848A2" w:rsidRDefault="002B76A0" w:rsidP="00754C47">
            <w:pPr>
              <w:pStyle w:val="Styletable1Centered"/>
              <w:rPr>
                <w:lang w:eastAsia="en-AU"/>
              </w:rPr>
            </w:pPr>
            <w:r>
              <w:rPr>
                <w:lang w:eastAsia="en-AU"/>
              </w:rPr>
              <w:t>80</w:t>
            </w:r>
          </w:p>
        </w:tc>
        <w:tc>
          <w:tcPr>
            <w:tcW w:w="708" w:type="dxa"/>
            <w:tcBorders>
              <w:top w:val="single" w:sz="4" w:space="0" w:color="auto"/>
              <w:left w:val="nil"/>
              <w:right w:val="nil"/>
            </w:tcBorders>
            <w:shd w:val="clear" w:color="auto" w:fill="D9D9D9" w:themeFill="background1" w:themeFillShade="D9"/>
            <w:noWrap/>
            <w:vAlign w:val="bottom"/>
            <w:hideMark/>
          </w:tcPr>
          <w:p w:rsidR="002B76A0" w:rsidRPr="00D848A2" w:rsidRDefault="002B76A0" w:rsidP="00754C47">
            <w:pPr>
              <w:pStyle w:val="Styletable1Centered"/>
              <w:rPr>
                <w:lang w:eastAsia="en-AU"/>
              </w:rPr>
            </w:pPr>
            <w:r>
              <w:rPr>
                <w:lang w:eastAsia="en-AU"/>
              </w:rPr>
              <w:t>1.5</w:t>
            </w:r>
          </w:p>
        </w:tc>
        <w:tc>
          <w:tcPr>
            <w:tcW w:w="1043" w:type="dxa"/>
            <w:tcBorders>
              <w:top w:val="single" w:sz="4" w:space="0" w:color="auto"/>
              <w:left w:val="nil"/>
              <w:right w:val="nil"/>
            </w:tcBorders>
            <w:shd w:val="clear" w:color="auto" w:fill="FFFFFF" w:themeFill="background1"/>
            <w:noWrap/>
            <w:vAlign w:val="bottom"/>
            <w:hideMark/>
          </w:tcPr>
          <w:p w:rsidR="002B76A0" w:rsidRPr="00D848A2" w:rsidRDefault="002B76A0" w:rsidP="00754C47">
            <w:pPr>
              <w:pStyle w:val="Styletable1Centered"/>
              <w:rPr>
                <w:lang w:eastAsia="en-AU"/>
              </w:rPr>
            </w:pPr>
            <w:r>
              <w:rPr>
                <w:lang w:eastAsia="en-AU"/>
              </w:rPr>
              <w:t>1</w:t>
            </w:r>
          </w:p>
        </w:tc>
      </w:tr>
      <w:tr w:rsidR="002B76A0" w:rsidRPr="00D848A2" w:rsidTr="002B76A0">
        <w:trPr>
          <w:trHeight w:val="351"/>
        </w:trPr>
        <w:tc>
          <w:tcPr>
            <w:tcW w:w="1636" w:type="dxa"/>
            <w:tcBorders>
              <w:top w:val="nil"/>
              <w:left w:val="nil"/>
              <w:bottom w:val="single" w:sz="4" w:space="0" w:color="auto"/>
              <w:right w:val="nil"/>
            </w:tcBorders>
            <w:shd w:val="clear" w:color="auto" w:fill="auto"/>
            <w:noWrap/>
            <w:vAlign w:val="bottom"/>
            <w:hideMark/>
          </w:tcPr>
          <w:p w:rsidR="002B76A0" w:rsidRPr="00D848A2" w:rsidRDefault="002B76A0" w:rsidP="002B76A0">
            <w:pPr>
              <w:pStyle w:val="table1"/>
              <w:rPr>
                <w:lang w:eastAsia="en-AU"/>
              </w:rPr>
            </w:pPr>
          </w:p>
        </w:tc>
        <w:tc>
          <w:tcPr>
            <w:tcW w:w="737" w:type="dxa"/>
            <w:tcBorders>
              <w:top w:val="nil"/>
              <w:left w:val="nil"/>
              <w:bottom w:val="single" w:sz="4" w:space="0" w:color="auto"/>
              <w:right w:val="nil"/>
            </w:tcBorders>
            <w:shd w:val="clear" w:color="000000" w:fill="D8D8D8"/>
            <w:noWrap/>
            <w:vAlign w:val="bottom"/>
            <w:hideMark/>
          </w:tcPr>
          <w:p w:rsidR="002B76A0" w:rsidRPr="00D848A2" w:rsidRDefault="002B76A0" w:rsidP="002B76A0">
            <w:pPr>
              <w:pStyle w:val="table1"/>
              <w:rPr>
                <w:lang w:eastAsia="en-AU"/>
              </w:rPr>
            </w:pPr>
            <w:r>
              <w:rPr>
                <w:lang w:eastAsia="en-AU"/>
              </w:rPr>
              <w:t>1411S</w:t>
            </w:r>
          </w:p>
        </w:tc>
        <w:tc>
          <w:tcPr>
            <w:tcW w:w="821" w:type="dxa"/>
            <w:tcBorders>
              <w:top w:val="nil"/>
              <w:left w:val="nil"/>
              <w:bottom w:val="single" w:sz="4" w:space="0" w:color="auto"/>
              <w:right w:val="nil"/>
            </w:tcBorders>
            <w:shd w:val="clear" w:color="auto" w:fill="auto"/>
            <w:noWrap/>
            <w:vAlign w:val="bottom"/>
            <w:hideMark/>
          </w:tcPr>
          <w:p w:rsidR="002B76A0" w:rsidRPr="00D848A2" w:rsidRDefault="002B76A0" w:rsidP="00754C47">
            <w:pPr>
              <w:pStyle w:val="Styletable1Centered"/>
              <w:rPr>
                <w:lang w:eastAsia="en-AU"/>
              </w:rPr>
            </w:pPr>
            <w:r>
              <w:rPr>
                <w:lang w:eastAsia="en-AU"/>
              </w:rPr>
              <w:t>6.3</w:t>
            </w:r>
            <w:r>
              <w:rPr>
                <w:snapToGrid w:val="0"/>
                <w:color w:val="000000"/>
                <w:position w:val="4"/>
                <w:sz w:val="11"/>
                <w:szCs w:val="0"/>
                <w:u w:color="000000"/>
                <w:lang w:eastAsia="en-AU"/>
              </w:rPr>
              <w:t>b</w:t>
            </w:r>
          </w:p>
        </w:tc>
        <w:tc>
          <w:tcPr>
            <w:tcW w:w="1059" w:type="dxa"/>
            <w:tcBorders>
              <w:top w:val="nil"/>
              <w:left w:val="nil"/>
              <w:bottom w:val="single" w:sz="4" w:space="0" w:color="auto"/>
              <w:right w:val="nil"/>
            </w:tcBorders>
            <w:shd w:val="clear" w:color="auto" w:fill="FFFFFF" w:themeFill="background1"/>
            <w:noWrap/>
            <w:vAlign w:val="bottom"/>
            <w:hideMark/>
          </w:tcPr>
          <w:p w:rsidR="002B76A0" w:rsidRPr="00D848A2" w:rsidRDefault="002B76A0" w:rsidP="00754C47">
            <w:pPr>
              <w:pStyle w:val="Styletable1Centered"/>
              <w:rPr>
                <w:lang w:eastAsia="en-AU"/>
              </w:rPr>
            </w:pPr>
            <w:r>
              <w:rPr>
                <w:lang w:eastAsia="en-AU"/>
              </w:rPr>
              <w:t>6.9</w:t>
            </w:r>
            <w:r>
              <w:rPr>
                <w:snapToGrid w:val="0"/>
                <w:color w:val="000000"/>
                <w:position w:val="4"/>
                <w:sz w:val="11"/>
                <w:szCs w:val="0"/>
                <w:u w:color="000000"/>
                <w:lang w:eastAsia="en-AU"/>
              </w:rPr>
              <w:t>b</w:t>
            </w:r>
          </w:p>
        </w:tc>
        <w:tc>
          <w:tcPr>
            <w:tcW w:w="567" w:type="dxa"/>
            <w:tcBorders>
              <w:top w:val="nil"/>
              <w:left w:val="nil"/>
              <w:bottom w:val="single" w:sz="4" w:space="0" w:color="auto"/>
              <w:right w:val="nil"/>
            </w:tcBorders>
            <w:shd w:val="clear" w:color="auto" w:fill="D9D9D9" w:themeFill="background1" w:themeFillShade="D9"/>
            <w:noWrap/>
            <w:vAlign w:val="bottom"/>
            <w:hideMark/>
          </w:tcPr>
          <w:p w:rsidR="002B76A0" w:rsidRPr="00D848A2" w:rsidRDefault="002B76A0" w:rsidP="00754C47">
            <w:pPr>
              <w:pStyle w:val="Styletable1Centered"/>
              <w:rPr>
                <w:lang w:eastAsia="en-AU"/>
              </w:rPr>
            </w:pPr>
            <w:r>
              <w:rPr>
                <w:lang w:eastAsia="en-AU"/>
              </w:rPr>
              <w:t>14</w:t>
            </w:r>
          </w:p>
        </w:tc>
        <w:tc>
          <w:tcPr>
            <w:tcW w:w="567" w:type="dxa"/>
            <w:tcBorders>
              <w:top w:val="nil"/>
              <w:left w:val="nil"/>
              <w:bottom w:val="single" w:sz="4" w:space="0" w:color="auto"/>
              <w:right w:val="nil"/>
            </w:tcBorders>
            <w:shd w:val="clear" w:color="auto" w:fill="D9D9D9" w:themeFill="background1" w:themeFillShade="D9"/>
            <w:noWrap/>
            <w:vAlign w:val="bottom"/>
            <w:hideMark/>
          </w:tcPr>
          <w:p w:rsidR="002B76A0" w:rsidRPr="00D848A2" w:rsidRDefault="002B76A0" w:rsidP="00754C47">
            <w:pPr>
              <w:pStyle w:val="Styletable1Centered"/>
              <w:rPr>
                <w:lang w:eastAsia="en-AU"/>
              </w:rPr>
            </w:pPr>
            <w:r>
              <w:rPr>
                <w:lang w:eastAsia="en-AU"/>
              </w:rPr>
              <w:t>23</w:t>
            </w:r>
          </w:p>
        </w:tc>
        <w:tc>
          <w:tcPr>
            <w:tcW w:w="567" w:type="dxa"/>
            <w:tcBorders>
              <w:top w:val="nil"/>
              <w:left w:val="nil"/>
              <w:bottom w:val="single" w:sz="4" w:space="0" w:color="auto"/>
              <w:right w:val="nil"/>
            </w:tcBorders>
            <w:shd w:val="clear" w:color="auto" w:fill="auto"/>
            <w:noWrap/>
            <w:vAlign w:val="bottom"/>
            <w:hideMark/>
          </w:tcPr>
          <w:p w:rsidR="002B76A0" w:rsidRPr="00D848A2" w:rsidRDefault="002B76A0" w:rsidP="00754C47">
            <w:pPr>
              <w:pStyle w:val="Styletable1Centered"/>
              <w:rPr>
                <w:lang w:eastAsia="en-AU"/>
              </w:rPr>
            </w:pPr>
            <w:r>
              <w:rPr>
                <w:lang w:eastAsia="en-AU"/>
              </w:rPr>
              <w:t>101</w:t>
            </w:r>
          </w:p>
        </w:tc>
        <w:tc>
          <w:tcPr>
            <w:tcW w:w="709" w:type="dxa"/>
            <w:tcBorders>
              <w:top w:val="nil"/>
              <w:left w:val="nil"/>
              <w:bottom w:val="single" w:sz="4" w:space="0" w:color="auto"/>
              <w:right w:val="nil"/>
            </w:tcBorders>
            <w:shd w:val="clear" w:color="auto" w:fill="FFFFFF" w:themeFill="background1"/>
            <w:noWrap/>
            <w:vAlign w:val="bottom"/>
            <w:hideMark/>
          </w:tcPr>
          <w:p w:rsidR="002B76A0" w:rsidRPr="00D848A2" w:rsidRDefault="002B76A0" w:rsidP="00754C47">
            <w:pPr>
              <w:pStyle w:val="Styletable1Centered"/>
              <w:rPr>
                <w:lang w:eastAsia="en-AU"/>
              </w:rPr>
            </w:pPr>
            <w:r>
              <w:rPr>
                <w:lang w:eastAsia="en-AU"/>
              </w:rPr>
              <w:t>84</w:t>
            </w:r>
          </w:p>
        </w:tc>
        <w:tc>
          <w:tcPr>
            <w:tcW w:w="708" w:type="dxa"/>
            <w:tcBorders>
              <w:top w:val="nil"/>
              <w:left w:val="nil"/>
              <w:bottom w:val="single" w:sz="4" w:space="0" w:color="auto"/>
              <w:right w:val="nil"/>
            </w:tcBorders>
            <w:shd w:val="clear" w:color="auto" w:fill="D9D9D9" w:themeFill="background1" w:themeFillShade="D9"/>
            <w:noWrap/>
            <w:vAlign w:val="bottom"/>
            <w:hideMark/>
          </w:tcPr>
          <w:p w:rsidR="002B76A0" w:rsidRPr="00D848A2" w:rsidRDefault="002B76A0" w:rsidP="00754C47">
            <w:pPr>
              <w:pStyle w:val="Styletable1Centered"/>
              <w:rPr>
                <w:lang w:eastAsia="en-AU"/>
              </w:rPr>
            </w:pPr>
            <w:r>
              <w:rPr>
                <w:lang w:eastAsia="en-AU"/>
              </w:rPr>
              <w:t>2.1</w:t>
            </w:r>
          </w:p>
        </w:tc>
        <w:tc>
          <w:tcPr>
            <w:tcW w:w="1043" w:type="dxa"/>
            <w:tcBorders>
              <w:top w:val="nil"/>
              <w:left w:val="nil"/>
              <w:bottom w:val="single" w:sz="4" w:space="0" w:color="auto"/>
              <w:right w:val="nil"/>
            </w:tcBorders>
            <w:shd w:val="clear" w:color="auto" w:fill="FFFFFF" w:themeFill="background1"/>
            <w:noWrap/>
            <w:vAlign w:val="bottom"/>
            <w:hideMark/>
          </w:tcPr>
          <w:p w:rsidR="002B76A0" w:rsidRPr="00D848A2" w:rsidRDefault="002B76A0" w:rsidP="00754C47">
            <w:pPr>
              <w:pStyle w:val="Styletable1Centered"/>
              <w:rPr>
                <w:lang w:eastAsia="en-AU"/>
              </w:rPr>
            </w:pPr>
            <w:r>
              <w:rPr>
                <w:lang w:eastAsia="en-AU"/>
              </w:rPr>
              <w:t>2</w:t>
            </w:r>
          </w:p>
        </w:tc>
      </w:tr>
    </w:tbl>
    <w:p w:rsidR="002B76A0" w:rsidRDefault="002B76A0" w:rsidP="002B76A0">
      <w:pPr>
        <w:spacing w:after="0"/>
        <w:rPr>
          <w:rFonts w:ascii="Arial" w:hAnsi="Arial"/>
          <w:snapToGrid w:val="0"/>
          <w:color w:val="000000"/>
          <w:sz w:val="14"/>
          <w:szCs w:val="14"/>
          <w:u w:color="000000"/>
        </w:rPr>
      </w:pPr>
      <w:proofErr w:type="gramStart"/>
      <w:r w:rsidRPr="00590139">
        <w:rPr>
          <w:rFonts w:ascii="Arial" w:hAnsi="Arial" w:cs="Arial"/>
          <w:snapToGrid w:val="0"/>
          <w:color w:val="000000"/>
          <w:position w:val="3"/>
          <w:sz w:val="14"/>
          <w:szCs w:val="14"/>
          <w:u w:color="000000"/>
        </w:rPr>
        <w:t>a</w:t>
      </w:r>
      <w:proofErr w:type="gramEnd"/>
      <w:r w:rsidRPr="00D67FAC">
        <w:rPr>
          <w:rFonts w:ascii="Arial" w:hAnsi="Arial"/>
          <w:snapToGrid w:val="0"/>
          <w:color w:val="000000"/>
          <w:sz w:val="14"/>
          <w:szCs w:val="14"/>
          <w:u w:color="000000"/>
        </w:rPr>
        <w:t xml:space="preserve"> </w:t>
      </w:r>
      <w:r>
        <w:rPr>
          <w:rFonts w:ascii="Arial" w:hAnsi="Arial"/>
          <w:snapToGrid w:val="0"/>
          <w:color w:val="000000"/>
          <w:sz w:val="14"/>
          <w:szCs w:val="14"/>
          <w:u w:color="000000"/>
        </w:rPr>
        <w:t xml:space="preserve">Measured pH values were rounded to the nearest 0.1 of a pH unit, therefore </w:t>
      </w:r>
      <w:r w:rsidRPr="00D67FAC">
        <w:rPr>
          <w:rFonts w:ascii="Arial" w:hAnsi="Arial"/>
          <w:snapToGrid w:val="0"/>
          <w:color w:val="000000"/>
          <w:sz w:val="14"/>
          <w:szCs w:val="14"/>
          <w:u w:color="000000"/>
        </w:rPr>
        <w:t xml:space="preserve">pH drift appears </w:t>
      </w:r>
      <w:r>
        <w:rPr>
          <w:rFonts w:ascii="Arial" w:hAnsi="Arial" w:cs="Arial"/>
          <w:snapToGrid w:val="0"/>
          <w:color w:val="000000"/>
          <w:sz w:val="14"/>
          <w:szCs w:val="14"/>
          <w:u w:color="000000"/>
        </w:rPr>
        <w:t xml:space="preserve">to be &gt;0.3 of a pH unit. </w:t>
      </w:r>
    </w:p>
    <w:p w:rsidR="002B76A0" w:rsidRDefault="002B76A0" w:rsidP="002B76A0">
      <w:pPr>
        <w:spacing w:after="0"/>
        <w:rPr>
          <w:rFonts w:ascii="Arial" w:hAnsi="Arial"/>
          <w:snapToGrid w:val="0"/>
          <w:color w:val="000000"/>
          <w:sz w:val="14"/>
          <w:szCs w:val="14"/>
          <w:u w:color="000000"/>
        </w:rPr>
      </w:pPr>
      <w:proofErr w:type="gramStart"/>
      <w:r w:rsidRPr="00590139">
        <w:rPr>
          <w:rFonts w:ascii="Arial" w:hAnsi="Arial" w:cs="Arial"/>
          <w:snapToGrid w:val="0"/>
          <w:color w:val="000000"/>
          <w:position w:val="3"/>
          <w:sz w:val="14"/>
          <w:szCs w:val="14"/>
          <w:u w:color="000000"/>
        </w:rPr>
        <w:t>b</w:t>
      </w:r>
      <w:proofErr w:type="gramEnd"/>
      <w:r>
        <w:rPr>
          <w:rFonts w:ascii="Arial" w:hAnsi="Arial"/>
          <w:snapToGrid w:val="0"/>
          <w:color w:val="000000"/>
          <w:sz w:val="14"/>
          <w:szCs w:val="14"/>
          <w:u w:color="000000"/>
        </w:rPr>
        <w:t xml:space="preserve"> Buffer trial, control test waters were not buffered.   </w:t>
      </w:r>
    </w:p>
    <w:p w:rsidR="002B76A0" w:rsidRPr="00D67FAC" w:rsidRDefault="002B76A0" w:rsidP="002B76A0">
      <w:pPr>
        <w:spacing w:after="0"/>
        <w:rPr>
          <w:rFonts w:ascii="Arial" w:hAnsi="Arial"/>
          <w:snapToGrid w:val="0"/>
          <w:color w:val="000000"/>
          <w:sz w:val="14"/>
          <w:szCs w:val="14"/>
          <w:u w:color="000000"/>
        </w:rPr>
      </w:pPr>
      <w:proofErr w:type="gramStart"/>
      <w:r w:rsidRPr="00590139">
        <w:rPr>
          <w:rFonts w:ascii="Arial" w:hAnsi="Arial" w:cs="Arial"/>
          <w:snapToGrid w:val="0"/>
          <w:color w:val="000000"/>
          <w:position w:val="3"/>
          <w:sz w:val="14"/>
          <w:szCs w:val="14"/>
          <w:u w:color="000000"/>
        </w:rPr>
        <w:t>c</w:t>
      </w:r>
      <w:proofErr w:type="gramEnd"/>
      <w:r>
        <w:rPr>
          <w:rFonts w:ascii="Arial" w:hAnsi="Arial" w:cs="Arial"/>
          <w:sz w:val="14"/>
          <w:szCs w:val="14"/>
        </w:rPr>
        <w:t xml:space="preserve"> Reported pH values are the range over a whole test. Drift in pH was less for the majority of 24hr periods for the </w:t>
      </w:r>
      <w:r w:rsidRPr="007B6955">
        <w:rPr>
          <w:rFonts w:ascii="Arial" w:hAnsi="Arial" w:cs="Arial"/>
          <w:i/>
          <w:sz w:val="14"/>
          <w:szCs w:val="14"/>
        </w:rPr>
        <w:t xml:space="preserve">H. viridissima </w:t>
      </w:r>
      <w:r>
        <w:rPr>
          <w:rFonts w:ascii="Arial" w:hAnsi="Arial" w:cs="Arial"/>
          <w:sz w:val="14"/>
          <w:szCs w:val="14"/>
        </w:rPr>
        <w:t>and</w:t>
      </w:r>
      <w:r w:rsidRPr="007B6955">
        <w:rPr>
          <w:rFonts w:ascii="Arial" w:hAnsi="Arial" w:cs="Arial"/>
          <w:i/>
          <w:sz w:val="14"/>
          <w:szCs w:val="14"/>
        </w:rPr>
        <w:t xml:space="preserve"> M.</w:t>
      </w:r>
      <w:r>
        <w:rPr>
          <w:rFonts w:ascii="Arial" w:hAnsi="Arial" w:cs="Arial"/>
          <w:i/>
          <w:sz w:val="14"/>
          <w:szCs w:val="14"/>
        </w:rPr>
        <w:t xml:space="preserve"> </w:t>
      </w:r>
      <w:r w:rsidRPr="007B6955">
        <w:rPr>
          <w:rFonts w:ascii="Arial" w:hAnsi="Arial" w:cs="Arial"/>
          <w:i/>
          <w:sz w:val="14"/>
          <w:szCs w:val="14"/>
        </w:rPr>
        <w:t>mogurnda</w:t>
      </w:r>
      <w:r>
        <w:rPr>
          <w:rFonts w:ascii="Arial" w:hAnsi="Arial" w:cs="Arial"/>
          <w:sz w:val="14"/>
          <w:szCs w:val="14"/>
        </w:rPr>
        <w:t xml:space="preserve"> tests. </w:t>
      </w:r>
    </w:p>
    <w:p w:rsidR="002B76A0" w:rsidRDefault="002B76A0" w:rsidP="002B76A0">
      <w:pPr>
        <w:spacing w:after="0"/>
        <w:rPr>
          <w:rFonts w:ascii="Arial" w:hAnsi="Arial" w:cs="Arial"/>
          <w:sz w:val="14"/>
          <w:szCs w:val="14"/>
        </w:rPr>
      </w:pPr>
    </w:p>
    <w:p w:rsidR="008532AB" w:rsidRDefault="002B76A0" w:rsidP="008532AB">
      <w:pPr>
        <w:jc w:val="left"/>
        <w:rPr>
          <w:szCs w:val="24"/>
        </w:rPr>
        <w:sectPr w:rsidR="008532AB" w:rsidSect="004336E9">
          <w:headerReference w:type="default" r:id="rId57"/>
          <w:pgSz w:w="11906" w:h="16838" w:code="9"/>
          <w:pgMar w:top="1440" w:right="1800" w:bottom="1440" w:left="1800" w:header="1080" w:footer="835" w:gutter="0"/>
          <w:cols w:space="360"/>
          <w:noEndnote/>
        </w:sectPr>
      </w:pPr>
      <w:r w:rsidRPr="00F64E04">
        <w:rPr>
          <w:szCs w:val="24"/>
        </w:rPr>
        <w:t>Of the species tested, ammonia toxicity varied markedly</w:t>
      </w:r>
      <w:r>
        <w:rPr>
          <w:szCs w:val="24"/>
        </w:rPr>
        <w:t xml:space="preserve"> (Table 3; Figure 1)</w:t>
      </w:r>
      <w:r w:rsidRPr="00F64E04">
        <w:rPr>
          <w:szCs w:val="24"/>
        </w:rPr>
        <w:t xml:space="preserve">. </w:t>
      </w:r>
      <w:r>
        <w:rPr>
          <w:i/>
          <w:szCs w:val="24"/>
        </w:rPr>
        <w:t>Hydra</w:t>
      </w:r>
      <w:r w:rsidRPr="00F64E04">
        <w:rPr>
          <w:i/>
          <w:szCs w:val="24"/>
        </w:rPr>
        <w:t xml:space="preserve"> viridissima</w:t>
      </w:r>
      <w:r w:rsidRPr="00F64E04">
        <w:rPr>
          <w:szCs w:val="24"/>
        </w:rPr>
        <w:t xml:space="preserve"> was the most sensitive species followed by </w:t>
      </w:r>
      <w:r w:rsidRPr="00F64E04">
        <w:rPr>
          <w:i/>
          <w:szCs w:val="24"/>
        </w:rPr>
        <w:t xml:space="preserve">M. </w:t>
      </w:r>
      <w:r>
        <w:rPr>
          <w:i/>
          <w:szCs w:val="24"/>
        </w:rPr>
        <w:t>m</w:t>
      </w:r>
      <w:r w:rsidRPr="00F64E04">
        <w:rPr>
          <w:i/>
          <w:szCs w:val="24"/>
        </w:rPr>
        <w:t>ogurnda</w:t>
      </w:r>
      <w:r>
        <w:rPr>
          <w:szCs w:val="24"/>
        </w:rPr>
        <w:t xml:space="preserve"> and</w:t>
      </w:r>
      <w:r w:rsidRPr="00F64E04">
        <w:rPr>
          <w:szCs w:val="24"/>
        </w:rPr>
        <w:t xml:space="preserve"> </w:t>
      </w:r>
      <w:r w:rsidRPr="00F64E04">
        <w:rPr>
          <w:i/>
          <w:szCs w:val="24"/>
        </w:rPr>
        <w:t>Chlorella</w:t>
      </w:r>
      <w:r w:rsidRPr="00F64E04">
        <w:rPr>
          <w:szCs w:val="24"/>
        </w:rPr>
        <w:t xml:space="preserve"> sp. </w:t>
      </w:r>
      <w:r>
        <w:rPr>
          <w:szCs w:val="24"/>
        </w:rPr>
        <w:t>(Table 3; Figure 1). Testing is currently underway</w:t>
      </w:r>
      <w:r w:rsidRPr="00F64E04">
        <w:rPr>
          <w:szCs w:val="24"/>
        </w:rPr>
        <w:t xml:space="preserve"> for </w:t>
      </w:r>
      <w:r>
        <w:rPr>
          <w:szCs w:val="24"/>
        </w:rPr>
        <w:t xml:space="preserve">the </w:t>
      </w:r>
      <w:r w:rsidRPr="00F64E04">
        <w:rPr>
          <w:szCs w:val="24"/>
        </w:rPr>
        <w:t xml:space="preserve">three </w:t>
      </w:r>
      <w:r>
        <w:rPr>
          <w:szCs w:val="24"/>
        </w:rPr>
        <w:t xml:space="preserve">remaining </w:t>
      </w:r>
      <w:r w:rsidRPr="00F64E04">
        <w:rPr>
          <w:szCs w:val="24"/>
        </w:rPr>
        <w:t>species</w:t>
      </w:r>
      <w:r>
        <w:rPr>
          <w:i/>
          <w:iCs/>
          <w:snapToGrid w:val="0"/>
          <w:color w:val="000000"/>
          <w:szCs w:val="24"/>
          <w:u w:color="000000"/>
        </w:rPr>
        <w:t>.</w:t>
      </w:r>
      <w:r>
        <w:rPr>
          <w:szCs w:val="24"/>
        </w:rPr>
        <w:t xml:space="preserve"> Completed toxicity tests have yielded results </w:t>
      </w:r>
      <w:r w:rsidRPr="00F64E04">
        <w:rPr>
          <w:szCs w:val="24"/>
        </w:rPr>
        <w:t>consistent with the current literature in regards to species sensitivities</w:t>
      </w:r>
      <w:r w:rsidR="00DC2F6A">
        <w:rPr>
          <w:szCs w:val="24"/>
        </w:rPr>
        <w:t xml:space="preserve"> (USEPA</w:t>
      </w:r>
      <w:r>
        <w:rPr>
          <w:szCs w:val="24"/>
        </w:rPr>
        <w:t xml:space="preserve"> 2013)</w:t>
      </w:r>
      <w:r w:rsidRPr="00F64E04">
        <w:rPr>
          <w:szCs w:val="24"/>
        </w:rPr>
        <w:t xml:space="preserve">. </w:t>
      </w:r>
      <w:r>
        <w:rPr>
          <w:szCs w:val="24"/>
        </w:rPr>
        <w:t xml:space="preserve">These have been detailed </w:t>
      </w:r>
      <w:r w:rsidRPr="00E07CEB">
        <w:rPr>
          <w:szCs w:val="24"/>
        </w:rPr>
        <w:t xml:space="preserve">previously in </w:t>
      </w:r>
      <w:r>
        <w:rPr>
          <w:szCs w:val="24"/>
        </w:rPr>
        <w:t>(van D</w:t>
      </w:r>
      <w:r w:rsidR="00DC2F6A">
        <w:rPr>
          <w:szCs w:val="24"/>
        </w:rPr>
        <w:t>am et al.</w:t>
      </w:r>
      <w:r>
        <w:rPr>
          <w:szCs w:val="24"/>
        </w:rPr>
        <w:t xml:space="preserve"> 2011).</w:t>
      </w:r>
      <w:r w:rsidRPr="00E07CEB">
        <w:rPr>
          <w:szCs w:val="24"/>
        </w:rPr>
        <w:t xml:space="preserve"> However</w:t>
      </w:r>
      <w:r>
        <w:rPr>
          <w:szCs w:val="24"/>
        </w:rPr>
        <w:t>,</w:t>
      </w:r>
      <w:r w:rsidRPr="00F64E04">
        <w:rPr>
          <w:szCs w:val="24"/>
        </w:rPr>
        <w:t xml:space="preserve"> </w:t>
      </w:r>
      <w:r>
        <w:rPr>
          <w:szCs w:val="24"/>
        </w:rPr>
        <w:t xml:space="preserve">in the international literature two species of unionid freshwater mussel are of particular note due to their high sensitivity to ammonia; </w:t>
      </w:r>
      <w:r w:rsidRPr="000E4FAF">
        <w:rPr>
          <w:i/>
          <w:szCs w:val="24"/>
        </w:rPr>
        <w:t>Lampsilis siliquoidea</w:t>
      </w:r>
      <w:r>
        <w:rPr>
          <w:szCs w:val="24"/>
        </w:rPr>
        <w:t xml:space="preserve"> had an EC20 of 3.2 mg TAN </w:t>
      </w:r>
      <w:r w:rsidRPr="00F64E04">
        <w:rPr>
          <w:szCs w:val="24"/>
        </w:rPr>
        <w:t>L</w:t>
      </w:r>
      <w:r w:rsidRPr="00117B5D">
        <w:rPr>
          <w:snapToGrid w:val="0"/>
          <w:color w:val="000000"/>
          <w:position w:val="6"/>
          <w:sz w:val="16"/>
          <w:szCs w:val="0"/>
          <w:u w:color="000000"/>
        </w:rPr>
        <w:t>-1</w:t>
      </w:r>
      <w:r>
        <w:rPr>
          <w:snapToGrid w:val="0"/>
          <w:color w:val="000000"/>
          <w:position w:val="6"/>
          <w:sz w:val="16"/>
          <w:szCs w:val="0"/>
          <w:u w:color="000000"/>
        </w:rPr>
        <w:t xml:space="preserve"> </w:t>
      </w:r>
      <w:r>
        <w:rPr>
          <w:szCs w:val="24"/>
        </w:rPr>
        <w:t xml:space="preserve">and </w:t>
      </w:r>
      <w:r w:rsidRPr="000E4FAF">
        <w:rPr>
          <w:i/>
          <w:szCs w:val="24"/>
        </w:rPr>
        <w:t>Lampsilis fasciola</w:t>
      </w:r>
      <w:r w:rsidRPr="00F64E04">
        <w:rPr>
          <w:szCs w:val="24"/>
        </w:rPr>
        <w:t xml:space="preserve"> </w:t>
      </w:r>
      <w:r>
        <w:rPr>
          <w:szCs w:val="24"/>
        </w:rPr>
        <w:t xml:space="preserve">of 1.4 mg TAN </w:t>
      </w:r>
      <w:r w:rsidRPr="00F64E04">
        <w:rPr>
          <w:szCs w:val="24"/>
        </w:rPr>
        <w:t>L</w:t>
      </w:r>
      <w:r w:rsidRPr="00117B5D">
        <w:rPr>
          <w:snapToGrid w:val="0"/>
          <w:color w:val="000000"/>
          <w:position w:val="6"/>
          <w:sz w:val="16"/>
          <w:szCs w:val="0"/>
          <w:u w:color="000000"/>
        </w:rPr>
        <w:t>-1</w:t>
      </w:r>
      <w:r>
        <w:rPr>
          <w:szCs w:val="24"/>
        </w:rPr>
        <w:t xml:space="preserve"> after normalisation to a pH of 7 a</w:t>
      </w:r>
      <w:r w:rsidR="00F80878">
        <w:rPr>
          <w:szCs w:val="24"/>
        </w:rPr>
        <w:t>nd a temperature of 20°C (USEPA</w:t>
      </w:r>
      <w:r>
        <w:rPr>
          <w:szCs w:val="24"/>
        </w:rPr>
        <w:t xml:space="preserve"> 2013). As a result, investigations are underway to develop a freshwater mussel toxicity test using a native species of unionid mussel, </w:t>
      </w:r>
      <w:r w:rsidRPr="005D0A52">
        <w:rPr>
          <w:i/>
          <w:szCs w:val="24"/>
        </w:rPr>
        <w:t>Velesunio angasi</w:t>
      </w:r>
      <w:r>
        <w:rPr>
          <w:szCs w:val="24"/>
        </w:rPr>
        <w:t>, which is known to inhabit Magela Creek and to be an important bush food for communities downstream of Ranger. Upon development of a successful test, ammonia toxicity results for the mussel will be included in future site-specific GV revisions for Magela Creek.</w:t>
      </w:r>
    </w:p>
    <w:p w:rsidR="002B76A0" w:rsidRPr="00740C09" w:rsidRDefault="002B76A0" w:rsidP="002B76A0">
      <w:pPr>
        <w:pStyle w:val="tablecaption"/>
      </w:pPr>
      <w:r w:rsidRPr="00F93B1D">
        <w:rPr>
          <w:b/>
        </w:rPr>
        <w:t xml:space="preserve">Table </w:t>
      </w:r>
      <w:r>
        <w:rPr>
          <w:b/>
        </w:rPr>
        <w:t>3</w:t>
      </w:r>
      <w:r>
        <w:t xml:space="preserve"> Preliminary ammonia</w:t>
      </w:r>
      <w:r w:rsidRPr="00740C09">
        <w:t xml:space="preserve"> toxicity estimates</w:t>
      </w:r>
      <w:r>
        <w:t xml:space="preserve"> (</w:t>
      </w:r>
      <w:r>
        <w:rPr>
          <w:rFonts w:cs="Arial"/>
        </w:rPr>
        <w:t>±</w:t>
      </w:r>
      <w:r w:rsidRPr="00740C09">
        <w:t xml:space="preserve"> </w:t>
      </w:r>
      <w:r>
        <w:t xml:space="preserve">95% confidence limits) </w:t>
      </w:r>
      <w:r w:rsidRPr="00740C09">
        <w:t xml:space="preserve">to </w:t>
      </w:r>
      <w:r>
        <w:t>3</w:t>
      </w:r>
      <w:r w:rsidRPr="00740C09">
        <w:t xml:space="preserve"> local freshwater species in </w:t>
      </w:r>
      <w:r>
        <w:t>Magela</w:t>
      </w:r>
      <w:r w:rsidRPr="00740C09">
        <w:t xml:space="preserve"> Creek Water</w:t>
      </w:r>
    </w:p>
    <w:tbl>
      <w:tblPr>
        <w:tblW w:w="0" w:type="auto"/>
        <w:jc w:val="center"/>
        <w:tblLook w:val="04A0"/>
      </w:tblPr>
      <w:tblGrid>
        <w:gridCol w:w="2093"/>
        <w:gridCol w:w="2551"/>
        <w:gridCol w:w="2977"/>
      </w:tblGrid>
      <w:tr w:rsidR="002B76A0" w:rsidRPr="00A928BC" w:rsidTr="002B76A0">
        <w:trPr>
          <w:jc w:val="center"/>
        </w:trPr>
        <w:tc>
          <w:tcPr>
            <w:tcW w:w="2093" w:type="dxa"/>
            <w:tcBorders>
              <w:top w:val="single" w:sz="4" w:space="0" w:color="auto"/>
              <w:bottom w:val="single" w:sz="4" w:space="0" w:color="auto"/>
            </w:tcBorders>
            <w:vAlign w:val="bottom"/>
          </w:tcPr>
          <w:p w:rsidR="002B76A0" w:rsidRPr="00752A69" w:rsidRDefault="002B76A0" w:rsidP="00E027D4">
            <w:pPr>
              <w:pStyle w:val="table1"/>
              <w:rPr>
                <w:b/>
                <w:color w:val="000000"/>
                <w:u w:color="000000"/>
                <w:lang w:eastAsia="en-AU"/>
              </w:rPr>
            </w:pPr>
            <w:r w:rsidRPr="00752A69">
              <w:rPr>
                <w:b/>
                <w:color w:val="000000"/>
                <w:u w:color="000000"/>
                <w:lang w:eastAsia="en-AU"/>
              </w:rPr>
              <w:t>Species</w:t>
            </w:r>
          </w:p>
        </w:tc>
        <w:tc>
          <w:tcPr>
            <w:tcW w:w="2551" w:type="dxa"/>
            <w:tcBorders>
              <w:top w:val="single" w:sz="4" w:space="0" w:color="auto"/>
              <w:bottom w:val="single" w:sz="4" w:space="0" w:color="auto"/>
            </w:tcBorders>
            <w:vAlign w:val="bottom"/>
          </w:tcPr>
          <w:p w:rsidR="002B76A0" w:rsidRPr="00752A69" w:rsidRDefault="002B76A0" w:rsidP="00E027D4">
            <w:pPr>
              <w:pStyle w:val="table1"/>
              <w:rPr>
                <w:b/>
                <w:color w:val="000000"/>
                <w:u w:color="000000"/>
                <w:lang w:eastAsia="en-AU"/>
              </w:rPr>
            </w:pPr>
            <w:r w:rsidRPr="00752A69">
              <w:rPr>
                <w:b/>
                <w:color w:val="000000"/>
                <w:u w:color="000000"/>
                <w:lang w:eastAsia="en-AU"/>
              </w:rPr>
              <w:t>IC10 (mg TAN L</w:t>
            </w:r>
            <w:r w:rsidR="00645589" w:rsidRPr="00645589">
              <w:rPr>
                <w:rFonts w:ascii="Arial Bold" w:hAnsi="Arial Bold"/>
                <w:b/>
                <w:color w:val="000000"/>
                <w:u w:color="000000"/>
                <w:vertAlign w:val="superscript"/>
                <w:lang w:eastAsia="en-AU"/>
              </w:rPr>
              <w:t>-1</w:t>
            </w:r>
            <w:r w:rsidRPr="00752A69">
              <w:rPr>
                <w:b/>
                <w:color w:val="000000"/>
                <w:u w:color="000000"/>
                <w:lang w:eastAsia="en-AU"/>
              </w:rPr>
              <w:t>)</w:t>
            </w:r>
            <w:r w:rsidRPr="00752A69">
              <w:rPr>
                <w:b/>
                <w:snapToGrid w:val="0"/>
                <w:color w:val="000000"/>
                <w:szCs w:val="0"/>
                <w:u w:color="000000"/>
                <w:lang w:eastAsia="en-AU"/>
              </w:rPr>
              <w:t>a</w:t>
            </w:r>
          </w:p>
        </w:tc>
        <w:tc>
          <w:tcPr>
            <w:tcW w:w="2977" w:type="dxa"/>
            <w:tcBorders>
              <w:top w:val="single" w:sz="4" w:space="0" w:color="auto"/>
              <w:bottom w:val="single" w:sz="4" w:space="0" w:color="auto"/>
            </w:tcBorders>
            <w:vAlign w:val="bottom"/>
          </w:tcPr>
          <w:p w:rsidR="002B76A0" w:rsidRPr="00752A69" w:rsidRDefault="002B76A0" w:rsidP="00E027D4">
            <w:pPr>
              <w:pStyle w:val="table1"/>
              <w:rPr>
                <w:b/>
                <w:color w:val="000000"/>
                <w:u w:color="000000"/>
                <w:lang w:eastAsia="en-AU"/>
              </w:rPr>
            </w:pPr>
            <w:r w:rsidRPr="00752A69">
              <w:rPr>
                <w:b/>
                <w:color w:val="000000"/>
                <w:u w:color="000000"/>
                <w:lang w:eastAsia="en-AU"/>
              </w:rPr>
              <w:t>IC50 (mg TAN L</w:t>
            </w:r>
            <w:r w:rsidR="00645589" w:rsidRPr="00645589">
              <w:rPr>
                <w:rFonts w:ascii="Arial Bold" w:hAnsi="Arial Bold"/>
                <w:b/>
                <w:color w:val="000000"/>
                <w:u w:color="000000"/>
                <w:vertAlign w:val="superscript"/>
                <w:lang w:eastAsia="en-AU"/>
              </w:rPr>
              <w:t>-1</w:t>
            </w:r>
            <w:r w:rsidRPr="00752A69">
              <w:rPr>
                <w:b/>
                <w:color w:val="000000"/>
                <w:u w:color="000000"/>
                <w:lang w:eastAsia="en-AU"/>
              </w:rPr>
              <w:t>)</w:t>
            </w:r>
            <w:r w:rsidRPr="00752A69">
              <w:rPr>
                <w:b/>
                <w:snapToGrid w:val="0"/>
                <w:color w:val="000000"/>
                <w:szCs w:val="0"/>
                <w:u w:color="000000"/>
                <w:lang w:eastAsia="en-AU"/>
              </w:rPr>
              <w:t>b</w:t>
            </w:r>
          </w:p>
        </w:tc>
      </w:tr>
      <w:tr w:rsidR="002B76A0" w:rsidTr="002B76A0">
        <w:trPr>
          <w:jc w:val="center"/>
        </w:trPr>
        <w:tc>
          <w:tcPr>
            <w:tcW w:w="2093" w:type="dxa"/>
            <w:tcBorders>
              <w:top w:val="single" w:sz="4" w:space="0" w:color="auto"/>
            </w:tcBorders>
            <w:vAlign w:val="bottom"/>
          </w:tcPr>
          <w:p w:rsidR="002B76A0" w:rsidRPr="00752A69" w:rsidRDefault="002B76A0" w:rsidP="00E027D4">
            <w:pPr>
              <w:pStyle w:val="table1"/>
              <w:rPr>
                <w:color w:val="000000"/>
                <w:u w:color="000000"/>
                <w:lang w:eastAsia="en-AU"/>
              </w:rPr>
            </w:pPr>
            <w:r w:rsidRPr="008D1BF0">
              <w:rPr>
                <w:i/>
                <w:color w:val="000000"/>
                <w:u w:color="000000"/>
                <w:lang w:eastAsia="en-AU"/>
              </w:rPr>
              <w:t>Chlorella</w:t>
            </w:r>
            <w:r w:rsidRPr="00752A69">
              <w:rPr>
                <w:color w:val="000000"/>
                <w:u w:color="000000"/>
                <w:lang w:eastAsia="en-AU"/>
              </w:rPr>
              <w:t xml:space="preserve"> sp.</w:t>
            </w:r>
          </w:p>
        </w:tc>
        <w:tc>
          <w:tcPr>
            <w:tcW w:w="2551" w:type="dxa"/>
            <w:tcBorders>
              <w:top w:val="single" w:sz="4" w:space="0" w:color="auto"/>
            </w:tcBorders>
          </w:tcPr>
          <w:p w:rsidR="002B76A0" w:rsidRPr="00E027D4" w:rsidRDefault="00E027D4" w:rsidP="00E027D4">
            <w:pPr>
              <w:pStyle w:val="table1"/>
              <w:rPr>
                <w:color w:val="000000"/>
                <w:u w:color="000000"/>
                <w:lang w:eastAsia="en-AU"/>
              </w:rPr>
            </w:pPr>
            <w:r>
              <w:rPr>
                <w:color w:val="000000"/>
                <w:u w:color="000000"/>
                <w:lang w:eastAsia="en-AU"/>
              </w:rPr>
              <w:t xml:space="preserve">70 </w:t>
            </w:r>
            <w:r w:rsidR="00645589">
              <w:rPr>
                <w:color w:val="000000"/>
                <w:u w:color="000000"/>
                <w:lang w:eastAsia="en-AU"/>
              </w:rPr>
              <w:br/>
            </w:r>
            <w:r w:rsidR="002B76A0" w:rsidRPr="00E027D4">
              <w:rPr>
                <w:color w:val="000000"/>
                <w:u w:color="000000"/>
                <w:lang w:eastAsia="en-AU"/>
              </w:rPr>
              <w:t>(45 – 85)</w:t>
            </w:r>
          </w:p>
        </w:tc>
        <w:tc>
          <w:tcPr>
            <w:tcW w:w="2977" w:type="dxa"/>
            <w:tcBorders>
              <w:top w:val="single" w:sz="4" w:space="0" w:color="auto"/>
            </w:tcBorders>
          </w:tcPr>
          <w:p w:rsidR="002B76A0" w:rsidRPr="00E027D4" w:rsidRDefault="00E027D4" w:rsidP="00E027D4">
            <w:pPr>
              <w:pStyle w:val="table1"/>
              <w:rPr>
                <w:color w:val="000000"/>
                <w:u w:color="000000"/>
                <w:lang w:eastAsia="en-AU"/>
              </w:rPr>
            </w:pPr>
            <w:r>
              <w:rPr>
                <w:color w:val="000000"/>
                <w:u w:color="000000"/>
                <w:lang w:eastAsia="en-AU"/>
              </w:rPr>
              <w:t xml:space="preserve">230 </w:t>
            </w:r>
            <w:r w:rsidR="00645589">
              <w:rPr>
                <w:color w:val="000000"/>
                <w:u w:color="000000"/>
                <w:lang w:eastAsia="en-AU"/>
              </w:rPr>
              <w:br/>
            </w:r>
            <w:r w:rsidR="002B76A0" w:rsidRPr="00E027D4">
              <w:rPr>
                <w:color w:val="000000"/>
                <w:u w:color="000000"/>
                <w:lang w:eastAsia="en-AU"/>
              </w:rPr>
              <w:t>(200 - 260)</w:t>
            </w:r>
          </w:p>
        </w:tc>
      </w:tr>
      <w:tr w:rsidR="002B76A0" w:rsidTr="002B76A0">
        <w:trPr>
          <w:jc w:val="center"/>
        </w:trPr>
        <w:tc>
          <w:tcPr>
            <w:tcW w:w="2093" w:type="dxa"/>
            <w:vAlign w:val="bottom"/>
          </w:tcPr>
          <w:p w:rsidR="002B76A0" w:rsidRPr="008D1BF0" w:rsidRDefault="002B76A0" w:rsidP="00E027D4">
            <w:pPr>
              <w:pStyle w:val="table1"/>
              <w:rPr>
                <w:i/>
                <w:color w:val="000000"/>
                <w:u w:color="000000"/>
                <w:lang w:eastAsia="en-AU"/>
              </w:rPr>
            </w:pPr>
            <w:r w:rsidRPr="008D1BF0">
              <w:rPr>
                <w:i/>
                <w:color w:val="000000"/>
                <w:u w:color="000000"/>
                <w:lang w:eastAsia="en-AU"/>
              </w:rPr>
              <w:t>H. viridissima</w:t>
            </w:r>
          </w:p>
        </w:tc>
        <w:tc>
          <w:tcPr>
            <w:tcW w:w="2551" w:type="dxa"/>
            <w:vAlign w:val="bottom"/>
          </w:tcPr>
          <w:p w:rsidR="00645589" w:rsidRDefault="00E027D4" w:rsidP="00E027D4">
            <w:pPr>
              <w:pStyle w:val="table1"/>
              <w:rPr>
                <w:color w:val="000000"/>
                <w:u w:color="000000"/>
                <w:lang w:eastAsia="en-AU"/>
              </w:rPr>
            </w:pPr>
            <w:r>
              <w:rPr>
                <w:color w:val="000000"/>
                <w:u w:color="000000"/>
                <w:lang w:eastAsia="en-AU"/>
              </w:rPr>
              <w:t xml:space="preserve">1.5 </w:t>
            </w:r>
          </w:p>
          <w:p w:rsidR="002B76A0" w:rsidRPr="00E027D4" w:rsidRDefault="002B76A0" w:rsidP="00E027D4">
            <w:pPr>
              <w:pStyle w:val="table1"/>
              <w:rPr>
                <w:color w:val="000000"/>
                <w:u w:color="000000"/>
                <w:lang w:eastAsia="en-AU"/>
              </w:rPr>
            </w:pPr>
            <w:r w:rsidRPr="00E027D4">
              <w:rPr>
                <w:color w:val="000000"/>
                <w:u w:color="000000"/>
                <w:lang w:eastAsia="en-AU"/>
              </w:rPr>
              <w:t>(1 – 3)</w:t>
            </w:r>
          </w:p>
        </w:tc>
        <w:tc>
          <w:tcPr>
            <w:tcW w:w="2977" w:type="dxa"/>
            <w:vAlign w:val="bottom"/>
          </w:tcPr>
          <w:p w:rsidR="002B76A0" w:rsidRPr="00E027D4" w:rsidRDefault="00E027D4" w:rsidP="00E027D4">
            <w:pPr>
              <w:pStyle w:val="table1"/>
              <w:rPr>
                <w:color w:val="000000"/>
                <w:u w:color="000000"/>
                <w:lang w:eastAsia="en-AU"/>
              </w:rPr>
            </w:pPr>
            <w:r>
              <w:rPr>
                <w:color w:val="000000"/>
                <w:u w:color="000000"/>
                <w:lang w:eastAsia="en-AU"/>
              </w:rPr>
              <w:t xml:space="preserve">8 </w:t>
            </w:r>
            <w:r w:rsidR="00645589">
              <w:rPr>
                <w:color w:val="000000"/>
                <w:u w:color="000000"/>
                <w:lang w:eastAsia="en-AU"/>
              </w:rPr>
              <w:br/>
            </w:r>
            <w:r w:rsidR="002B76A0" w:rsidRPr="00E027D4">
              <w:rPr>
                <w:color w:val="000000"/>
                <w:u w:color="000000"/>
                <w:lang w:eastAsia="en-AU"/>
              </w:rPr>
              <w:t>(6 – 10)</w:t>
            </w:r>
          </w:p>
        </w:tc>
      </w:tr>
      <w:tr w:rsidR="002B76A0" w:rsidTr="002B76A0">
        <w:trPr>
          <w:jc w:val="center"/>
        </w:trPr>
        <w:tc>
          <w:tcPr>
            <w:tcW w:w="2093" w:type="dxa"/>
            <w:vAlign w:val="bottom"/>
          </w:tcPr>
          <w:p w:rsidR="002B76A0" w:rsidRPr="00E027D4" w:rsidRDefault="002B76A0" w:rsidP="00E027D4">
            <w:pPr>
              <w:pStyle w:val="table1"/>
              <w:rPr>
                <w:color w:val="000000"/>
                <w:u w:color="000000"/>
                <w:lang w:eastAsia="en-AU"/>
              </w:rPr>
            </w:pPr>
          </w:p>
        </w:tc>
        <w:tc>
          <w:tcPr>
            <w:tcW w:w="2551" w:type="dxa"/>
            <w:tcBorders>
              <w:bottom w:val="single" w:sz="4" w:space="0" w:color="auto"/>
            </w:tcBorders>
            <w:vAlign w:val="bottom"/>
          </w:tcPr>
          <w:p w:rsidR="002B76A0" w:rsidRPr="00645589" w:rsidRDefault="002B76A0" w:rsidP="00E027D4">
            <w:pPr>
              <w:pStyle w:val="table1"/>
              <w:rPr>
                <w:b/>
                <w:color w:val="000000"/>
                <w:u w:color="000000"/>
                <w:lang w:eastAsia="en-AU"/>
              </w:rPr>
            </w:pPr>
            <w:r w:rsidRPr="00645589">
              <w:rPr>
                <w:b/>
                <w:color w:val="000000"/>
                <w:u w:color="000000"/>
                <w:lang w:eastAsia="en-AU"/>
              </w:rPr>
              <w:t xml:space="preserve">LC05 (mg </w:t>
            </w:r>
            <w:r w:rsidR="00645589" w:rsidRPr="00645589">
              <w:rPr>
                <w:b/>
                <w:color w:val="000000"/>
                <w:u w:color="000000"/>
                <w:lang w:eastAsia="en-AU"/>
              </w:rPr>
              <w:t>TAN L</w:t>
            </w:r>
            <w:r w:rsidR="00645589" w:rsidRPr="00645589">
              <w:rPr>
                <w:rFonts w:ascii="Arial Bold" w:hAnsi="Arial Bold"/>
                <w:b/>
                <w:color w:val="000000"/>
                <w:u w:color="000000"/>
                <w:vertAlign w:val="superscript"/>
                <w:lang w:eastAsia="en-AU"/>
              </w:rPr>
              <w:t>-1</w:t>
            </w:r>
            <w:r w:rsidRPr="00645589">
              <w:rPr>
                <w:b/>
                <w:color w:val="000000"/>
                <w:u w:color="000000"/>
                <w:lang w:eastAsia="en-AU"/>
              </w:rPr>
              <w:t>)</w:t>
            </w:r>
            <w:r w:rsidRPr="00645589">
              <w:rPr>
                <w:b/>
                <w:snapToGrid w:val="0"/>
                <w:color w:val="000000"/>
                <w:szCs w:val="0"/>
                <w:u w:color="000000"/>
                <w:lang w:eastAsia="en-AU"/>
              </w:rPr>
              <w:t>c</w:t>
            </w:r>
          </w:p>
        </w:tc>
        <w:tc>
          <w:tcPr>
            <w:tcW w:w="2977" w:type="dxa"/>
            <w:tcBorders>
              <w:bottom w:val="single" w:sz="4" w:space="0" w:color="auto"/>
            </w:tcBorders>
            <w:vAlign w:val="bottom"/>
          </w:tcPr>
          <w:p w:rsidR="002B76A0" w:rsidRPr="00645589" w:rsidRDefault="002B76A0" w:rsidP="00E027D4">
            <w:pPr>
              <w:pStyle w:val="table1"/>
              <w:rPr>
                <w:b/>
                <w:color w:val="000000"/>
                <w:u w:color="000000"/>
                <w:lang w:eastAsia="en-AU"/>
              </w:rPr>
            </w:pPr>
            <w:r w:rsidRPr="00645589">
              <w:rPr>
                <w:b/>
                <w:color w:val="000000"/>
                <w:u w:color="000000"/>
                <w:lang w:eastAsia="en-AU"/>
              </w:rPr>
              <w:t>LC50 (mg TAN L</w:t>
            </w:r>
            <w:r w:rsidR="00645589" w:rsidRPr="00645589">
              <w:rPr>
                <w:rFonts w:ascii="Arial Bold" w:hAnsi="Arial Bold"/>
                <w:b/>
                <w:color w:val="000000"/>
                <w:u w:color="000000"/>
                <w:vertAlign w:val="superscript"/>
                <w:lang w:eastAsia="en-AU"/>
              </w:rPr>
              <w:t>-1</w:t>
            </w:r>
            <w:r w:rsidRPr="00645589">
              <w:rPr>
                <w:b/>
                <w:color w:val="000000"/>
                <w:u w:color="000000"/>
                <w:lang w:eastAsia="en-AU"/>
              </w:rPr>
              <w:t>)</w:t>
            </w:r>
            <w:r w:rsidRPr="00645589">
              <w:rPr>
                <w:b/>
                <w:snapToGrid w:val="0"/>
                <w:color w:val="000000"/>
                <w:szCs w:val="0"/>
                <w:u w:color="000000"/>
                <w:lang w:eastAsia="en-AU"/>
              </w:rPr>
              <w:t>c</w:t>
            </w:r>
          </w:p>
        </w:tc>
      </w:tr>
      <w:tr w:rsidR="002B76A0" w:rsidTr="002B76A0">
        <w:trPr>
          <w:jc w:val="center"/>
        </w:trPr>
        <w:tc>
          <w:tcPr>
            <w:tcW w:w="2093" w:type="dxa"/>
            <w:tcBorders>
              <w:bottom w:val="single" w:sz="4" w:space="0" w:color="auto"/>
            </w:tcBorders>
            <w:vAlign w:val="bottom"/>
          </w:tcPr>
          <w:p w:rsidR="002B76A0" w:rsidRPr="008D1BF0" w:rsidRDefault="002B76A0" w:rsidP="00E027D4">
            <w:pPr>
              <w:pStyle w:val="table1"/>
              <w:rPr>
                <w:i/>
                <w:color w:val="000000"/>
                <w:u w:color="000000"/>
                <w:lang w:eastAsia="en-AU"/>
              </w:rPr>
            </w:pPr>
            <w:r w:rsidRPr="008D1BF0">
              <w:rPr>
                <w:i/>
                <w:color w:val="000000"/>
                <w:u w:color="000000"/>
                <w:lang w:eastAsia="en-AU"/>
              </w:rPr>
              <w:t>M. mogurnda</w:t>
            </w:r>
          </w:p>
        </w:tc>
        <w:tc>
          <w:tcPr>
            <w:tcW w:w="2551" w:type="dxa"/>
            <w:tcBorders>
              <w:top w:val="single" w:sz="4" w:space="0" w:color="auto"/>
              <w:bottom w:val="single" w:sz="4" w:space="0" w:color="auto"/>
            </w:tcBorders>
          </w:tcPr>
          <w:p w:rsidR="002B76A0" w:rsidRPr="00E027D4" w:rsidRDefault="00E027D4" w:rsidP="00E027D4">
            <w:pPr>
              <w:pStyle w:val="table1"/>
              <w:rPr>
                <w:color w:val="000000"/>
                <w:u w:color="000000"/>
                <w:lang w:eastAsia="en-AU"/>
              </w:rPr>
            </w:pPr>
            <w:r>
              <w:rPr>
                <w:color w:val="000000"/>
                <w:u w:color="000000"/>
                <w:lang w:eastAsia="en-AU"/>
              </w:rPr>
              <w:t xml:space="preserve">28 </w:t>
            </w:r>
            <w:r w:rsidR="002B76A0" w:rsidRPr="00E027D4">
              <w:rPr>
                <w:color w:val="000000"/>
                <w:u w:color="000000"/>
                <w:lang w:eastAsia="en-AU"/>
              </w:rPr>
              <w:t>(1 – 33)</w:t>
            </w:r>
          </w:p>
        </w:tc>
        <w:tc>
          <w:tcPr>
            <w:tcW w:w="2977" w:type="dxa"/>
            <w:tcBorders>
              <w:top w:val="single" w:sz="4" w:space="0" w:color="auto"/>
              <w:bottom w:val="single" w:sz="4" w:space="0" w:color="auto"/>
            </w:tcBorders>
          </w:tcPr>
          <w:p w:rsidR="002B76A0" w:rsidRPr="00E027D4" w:rsidRDefault="00E027D4" w:rsidP="00E027D4">
            <w:pPr>
              <w:pStyle w:val="table1"/>
              <w:rPr>
                <w:color w:val="000000"/>
                <w:u w:color="000000"/>
                <w:lang w:eastAsia="en-AU"/>
              </w:rPr>
            </w:pPr>
            <w:r>
              <w:rPr>
                <w:color w:val="000000"/>
                <w:u w:color="000000"/>
                <w:lang w:eastAsia="en-AU"/>
              </w:rPr>
              <w:t xml:space="preserve">42 </w:t>
            </w:r>
            <w:r w:rsidR="002B76A0" w:rsidRPr="00E027D4">
              <w:rPr>
                <w:color w:val="000000"/>
                <w:u w:color="000000"/>
                <w:lang w:eastAsia="en-AU"/>
              </w:rPr>
              <w:t>(40 – 44)</w:t>
            </w:r>
          </w:p>
        </w:tc>
      </w:tr>
    </w:tbl>
    <w:p w:rsidR="002B76A0" w:rsidRDefault="002B76A0" w:rsidP="002B76A0">
      <w:pPr>
        <w:pStyle w:val="tablenote"/>
        <w:tabs>
          <w:tab w:val="clear" w:pos="240"/>
          <w:tab w:val="left" w:pos="0"/>
        </w:tabs>
        <w:spacing w:before="40"/>
        <w:ind w:left="0" w:firstLine="0"/>
        <w:rPr>
          <w:rFonts w:ascii="Garamond" w:hAnsi="Garamond"/>
          <w:b/>
        </w:rPr>
      </w:pPr>
      <w:r>
        <w:rPr>
          <w:vertAlign w:val="superscript"/>
        </w:rPr>
        <w:t>a</w:t>
      </w:r>
      <w:r>
        <w:t xml:space="preserve"> IC</w:t>
      </w:r>
      <w:r>
        <w:rPr>
          <w:snapToGrid w:val="0"/>
          <w:color w:val="000000"/>
          <w:position w:val="-3"/>
          <w:sz w:val="9"/>
          <w:szCs w:val="0"/>
          <w:u w:color="000000"/>
        </w:rPr>
        <w:t>10</w:t>
      </w:r>
      <w:r>
        <w:t>: the concentration that results in a 10% reduction in growth rate relative to the controls</w:t>
      </w:r>
      <w:r>
        <w:br/>
      </w:r>
      <w:r>
        <w:rPr>
          <w:snapToGrid w:val="0"/>
          <w:color w:val="000000"/>
          <w:position w:val="3"/>
          <w:sz w:val="9"/>
          <w:szCs w:val="0"/>
          <w:u w:color="000000"/>
        </w:rPr>
        <w:t>b</w:t>
      </w:r>
      <w:r w:rsidRPr="003827E7">
        <w:rPr>
          <w:snapToGrid w:val="0"/>
          <w:color w:val="000000"/>
          <w:position w:val="3"/>
          <w:sz w:val="9"/>
          <w:szCs w:val="0"/>
          <w:u w:color="000000"/>
        </w:rPr>
        <w:t xml:space="preserve"> </w:t>
      </w:r>
      <w:r>
        <w:t>IC</w:t>
      </w:r>
      <w:r>
        <w:rPr>
          <w:snapToGrid w:val="0"/>
          <w:color w:val="000000"/>
          <w:position w:val="-3"/>
          <w:sz w:val="9"/>
          <w:szCs w:val="0"/>
          <w:u w:color="000000"/>
        </w:rPr>
        <w:t>50</w:t>
      </w:r>
      <w:r>
        <w:t>: the concentration that results in a 50% reduction in growth rate relative to the controls</w:t>
      </w:r>
      <w:r>
        <w:br/>
      </w:r>
      <w:r>
        <w:rPr>
          <w:snapToGrid w:val="0"/>
          <w:color w:val="000000"/>
          <w:position w:val="3"/>
          <w:sz w:val="9"/>
          <w:szCs w:val="0"/>
          <w:u w:color="000000"/>
        </w:rPr>
        <w:t>c</w:t>
      </w:r>
      <w:r>
        <w:t xml:space="preserve"> Toxicity estimates for </w:t>
      </w:r>
      <w:r w:rsidRPr="003827E7">
        <w:rPr>
          <w:i/>
        </w:rPr>
        <w:t>M. mogurnda</w:t>
      </w:r>
      <w:r>
        <w:t xml:space="preserve"> are LC05 and LC50, that is the concentration that results in 10 and 50% reduction in the survival of the fish</w:t>
      </w:r>
    </w:p>
    <w:p w:rsidR="005325F5" w:rsidRDefault="001A7E73" w:rsidP="005325F5">
      <w:r>
        <w:object w:dxaOrig="11310" w:dyaOrig="1234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06.75pt;height:445.1pt" o:ole="">
            <v:imagedata r:id="rId58" o:title=""/>
          </v:shape>
          <o:OLEObject Type="Embed" ProgID="SigmaPlotGraphicObject.12" ShapeID="_x0000_i1025" DrawAspect="Content" ObjectID="_1496667988" r:id="rId59"/>
        </w:object>
      </w:r>
    </w:p>
    <w:p w:rsidR="001A7E73" w:rsidRDefault="002B76A0" w:rsidP="00D82C9B">
      <w:pPr>
        <w:pStyle w:val="figurecaption"/>
        <w:sectPr w:rsidR="001A7E73" w:rsidSect="004336E9">
          <w:pgSz w:w="11906" w:h="16838" w:code="9"/>
          <w:pgMar w:top="1440" w:right="1800" w:bottom="1440" w:left="1800" w:header="1080" w:footer="835" w:gutter="0"/>
          <w:cols w:space="360"/>
          <w:noEndnote/>
        </w:sectPr>
      </w:pPr>
      <w:r w:rsidRPr="008532AB">
        <w:rPr>
          <w:b/>
        </w:rPr>
        <w:t>Figure 1</w:t>
      </w:r>
      <w:r w:rsidRPr="008532AB">
        <w:t xml:space="preserve"> Effect of ammonia on A) </w:t>
      </w:r>
      <w:r w:rsidRPr="008532AB">
        <w:rPr>
          <w:i/>
        </w:rPr>
        <w:t>Chlorella</w:t>
      </w:r>
      <w:r w:rsidRPr="008532AB">
        <w:t xml:space="preserve"> sp. growth rate B) </w:t>
      </w:r>
      <w:r w:rsidRPr="008532AB">
        <w:rPr>
          <w:i/>
        </w:rPr>
        <w:t xml:space="preserve">H. viridissima </w:t>
      </w:r>
      <w:r w:rsidRPr="008532AB">
        <w:t xml:space="preserve">population growth rate and; C) </w:t>
      </w:r>
      <w:r w:rsidRPr="008532AB">
        <w:rPr>
          <w:i/>
        </w:rPr>
        <w:t xml:space="preserve">M. mogurnda </w:t>
      </w:r>
      <w:r w:rsidRPr="008532AB">
        <w:t xml:space="preserve">survival. Data points represent the mean ± standard error of 2-3 replicates. 3-parameter logistic models were used to determine toxicity estimates for all species. Test were conducted at pH 6 ± 0.3 and temperatures of 27.5°C ± 1°C for </w:t>
      </w:r>
      <w:r w:rsidRPr="008532AB">
        <w:rPr>
          <w:i/>
        </w:rPr>
        <w:t>M. mogurnda</w:t>
      </w:r>
      <w:r w:rsidRPr="008532AB">
        <w:t xml:space="preserve"> and </w:t>
      </w:r>
      <w:r w:rsidRPr="008532AB">
        <w:rPr>
          <w:i/>
        </w:rPr>
        <w:t xml:space="preserve">H. viridissima, </w:t>
      </w:r>
      <w:r w:rsidRPr="008532AB">
        <w:t xml:space="preserve">and 29°C ± 1°C for </w:t>
      </w:r>
      <w:r w:rsidRPr="008532AB">
        <w:rPr>
          <w:i/>
        </w:rPr>
        <w:t>Chlorella</w:t>
      </w:r>
      <w:r w:rsidRPr="008532AB">
        <w:t xml:space="preserve"> sp. </w:t>
      </w:r>
    </w:p>
    <w:p w:rsidR="002B76A0" w:rsidRPr="008532AB" w:rsidRDefault="002B76A0" w:rsidP="00D82C9B">
      <w:pPr>
        <w:pStyle w:val="figurecaption"/>
      </w:pPr>
    </w:p>
    <w:p w:rsidR="002B76A0" w:rsidRDefault="002B76A0" w:rsidP="00587E07">
      <w:pPr>
        <w:pStyle w:val="Heading3"/>
      </w:pPr>
      <w:r w:rsidRPr="00876D5E">
        <w:t>Buffer trials</w:t>
      </w:r>
    </w:p>
    <w:p w:rsidR="002B76A0" w:rsidRDefault="002B76A0" w:rsidP="002B76A0">
      <w:pPr>
        <w:rPr>
          <w:iCs/>
          <w:snapToGrid w:val="0"/>
          <w:color w:val="000000"/>
          <w:szCs w:val="24"/>
          <w:u w:color="000000"/>
        </w:rPr>
      </w:pPr>
      <w:r>
        <w:rPr>
          <w:iCs/>
          <w:snapToGrid w:val="0"/>
          <w:color w:val="000000"/>
          <w:szCs w:val="24"/>
          <w:u w:color="000000"/>
        </w:rPr>
        <w:t xml:space="preserve">Logistically, it was not possible to implement the bicarbonate buffering system during </w:t>
      </w:r>
      <w:r w:rsidRPr="00F64E04">
        <w:rPr>
          <w:i/>
          <w:iCs/>
          <w:snapToGrid w:val="0"/>
          <w:color w:val="000000"/>
          <w:szCs w:val="24"/>
          <w:u w:color="000000"/>
        </w:rPr>
        <w:t>A</w:t>
      </w:r>
      <w:r>
        <w:rPr>
          <w:i/>
          <w:iCs/>
          <w:snapToGrid w:val="0"/>
          <w:color w:val="000000"/>
          <w:szCs w:val="24"/>
          <w:u w:color="000000"/>
        </w:rPr>
        <w:t>. </w:t>
      </w:r>
      <w:r w:rsidRPr="00F64E04">
        <w:rPr>
          <w:i/>
          <w:iCs/>
          <w:snapToGrid w:val="0"/>
          <w:color w:val="000000"/>
          <w:szCs w:val="24"/>
          <w:u w:color="000000"/>
        </w:rPr>
        <w:t>cumingi</w:t>
      </w:r>
      <w:r>
        <w:rPr>
          <w:iCs/>
          <w:snapToGrid w:val="0"/>
          <w:color w:val="000000"/>
          <w:szCs w:val="24"/>
          <w:u w:color="000000"/>
        </w:rPr>
        <w:t xml:space="preserve"> ammonia toxicity testing due to the large volume of test water required and the size of the exposure vessels. Therefore, trials are underway t</w:t>
      </w:r>
      <w:r w:rsidRPr="00F64E04">
        <w:rPr>
          <w:iCs/>
          <w:snapToGrid w:val="0"/>
          <w:color w:val="000000"/>
          <w:szCs w:val="24"/>
          <w:u w:color="000000"/>
        </w:rPr>
        <w:t>o determine</w:t>
      </w:r>
      <w:r>
        <w:rPr>
          <w:szCs w:val="24"/>
        </w:rPr>
        <w:t xml:space="preserve"> an</w:t>
      </w:r>
      <w:r w:rsidRPr="00F64E04">
        <w:rPr>
          <w:szCs w:val="24"/>
        </w:rPr>
        <w:t xml:space="preserve"> appropriate buffer to use</w:t>
      </w:r>
      <w:r w:rsidRPr="00F64E04">
        <w:rPr>
          <w:iCs/>
          <w:snapToGrid w:val="0"/>
          <w:color w:val="000000"/>
          <w:szCs w:val="24"/>
          <w:u w:color="000000"/>
        </w:rPr>
        <w:t>.</w:t>
      </w:r>
      <w:r>
        <w:rPr>
          <w:iCs/>
          <w:snapToGrid w:val="0"/>
          <w:color w:val="000000"/>
          <w:szCs w:val="24"/>
          <w:u w:color="000000"/>
        </w:rPr>
        <w:t xml:space="preserve"> Once appropriate pH buffers are identified ammonia toxicity testing can commence. To date, two buffers have been trialled for</w:t>
      </w:r>
      <w:r w:rsidRPr="00F64E04">
        <w:rPr>
          <w:iCs/>
          <w:snapToGrid w:val="0"/>
          <w:color w:val="000000"/>
          <w:szCs w:val="24"/>
          <w:u w:color="000000"/>
        </w:rPr>
        <w:t xml:space="preserve"> </w:t>
      </w:r>
      <w:r w:rsidRPr="00F64E04">
        <w:rPr>
          <w:i/>
          <w:iCs/>
          <w:snapToGrid w:val="0"/>
          <w:color w:val="000000"/>
          <w:szCs w:val="24"/>
          <w:u w:color="000000"/>
        </w:rPr>
        <w:t>A</w:t>
      </w:r>
      <w:r>
        <w:rPr>
          <w:i/>
          <w:iCs/>
          <w:snapToGrid w:val="0"/>
          <w:color w:val="000000"/>
          <w:szCs w:val="24"/>
          <w:u w:color="000000"/>
        </w:rPr>
        <w:t>. </w:t>
      </w:r>
      <w:r w:rsidRPr="00F64E04">
        <w:rPr>
          <w:i/>
          <w:iCs/>
          <w:snapToGrid w:val="0"/>
          <w:color w:val="000000"/>
          <w:szCs w:val="24"/>
          <w:u w:color="000000"/>
        </w:rPr>
        <w:t>cumingi</w:t>
      </w:r>
      <w:r>
        <w:rPr>
          <w:i/>
          <w:iCs/>
          <w:snapToGrid w:val="0"/>
          <w:color w:val="000000"/>
          <w:szCs w:val="24"/>
          <w:u w:color="000000"/>
        </w:rPr>
        <w:t xml:space="preserve">, </w:t>
      </w:r>
      <w:r>
        <w:rPr>
          <w:iCs/>
          <w:snapToGrid w:val="0"/>
          <w:color w:val="000000"/>
          <w:szCs w:val="24"/>
          <w:u w:color="000000"/>
        </w:rPr>
        <w:t xml:space="preserve">HEPES and MES. Exposure to both buffers resulted in a concentration-dependent reduction in </w:t>
      </w:r>
      <w:r w:rsidRPr="00F64E04">
        <w:rPr>
          <w:i/>
          <w:iCs/>
          <w:snapToGrid w:val="0"/>
          <w:color w:val="000000"/>
          <w:szCs w:val="24"/>
          <w:u w:color="000000"/>
        </w:rPr>
        <w:t>A. cumingi</w:t>
      </w:r>
      <w:r>
        <w:rPr>
          <w:i/>
          <w:iCs/>
          <w:snapToGrid w:val="0"/>
          <w:color w:val="000000"/>
          <w:szCs w:val="24"/>
          <w:u w:color="000000"/>
        </w:rPr>
        <w:t xml:space="preserve"> </w:t>
      </w:r>
      <w:r>
        <w:rPr>
          <w:iCs/>
          <w:snapToGrid w:val="0"/>
          <w:color w:val="000000"/>
          <w:szCs w:val="24"/>
          <w:u w:color="000000"/>
        </w:rPr>
        <w:t xml:space="preserve">egg production (Figure 2). Furthermore, the pH control during the HEPES test was unacceptable (Figure 2a), ruling this buffer out as a potential option. While pH control using MES buffer was at an acceptable standard (Figure 2b), there was an 18% effect at the lowest concentration of 1 mM MES, indicating further testing is required. </w:t>
      </w:r>
    </w:p>
    <w:p w:rsidR="002B76A0" w:rsidRDefault="002B76A0" w:rsidP="002B76A0">
      <w:pPr>
        <w:rPr>
          <w:iCs/>
          <w:snapToGrid w:val="0"/>
          <w:color w:val="000000"/>
          <w:szCs w:val="24"/>
          <w:u w:color="000000"/>
        </w:rPr>
      </w:pPr>
      <w:r>
        <w:rPr>
          <w:iCs/>
          <w:snapToGrid w:val="0"/>
          <w:color w:val="000000"/>
          <w:szCs w:val="24"/>
          <w:u w:color="000000"/>
        </w:rPr>
        <w:t xml:space="preserve">The bicarbonate buffering system was trialled during </w:t>
      </w:r>
      <w:r w:rsidRPr="00F64E04">
        <w:rPr>
          <w:iCs/>
          <w:snapToGrid w:val="0"/>
          <w:color w:val="000000"/>
          <w:szCs w:val="24"/>
          <w:u w:color="000000"/>
        </w:rPr>
        <w:t xml:space="preserve">ammonia </w:t>
      </w:r>
      <w:r>
        <w:rPr>
          <w:iCs/>
          <w:snapToGrid w:val="0"/>
          <w:color w:val="000000"/>
          <w:szCs w:val="24"/>
          <w:u w:color="000000"/>
        </w:rPr>
        <w:t xml:space="preserve">toxicity </w:t>
      </w:r>
      <w:r w:rsidRPr="00F64E04">
        <w:rPr>
          <w:iCs/>
          <w:snapToGrid w:val="0"/>
          <w:color w:val="000000"/>
          <w:szCs w:val="24"/>
          <w:u w:color="000000"/>
        </w:rPr>
        <w:t xml:space="preserve">testing with </w:t>
      </w:r>
      <w:r>
        <w:rPr>
          <w:i/>
          <w:iCs/>
          <w:snapToGrid w:val="0"/>
          <w:color w:val="000000"/>
          <w:szCs w:val="24"/>
          <w:u w:color="000000"/>
        </w:rPr>
        <w:t>L. a</w:t>
      </w:r>
      <w:r w:rsidRPr="00F64E04">
        <w:rPr>
          <w:i/>
          <w:iCs/>
          <w:snapToGrid w:val="0"/>
          <w:color w:val="000000"/>
          <w:szCs w:val="24"/>
          <w:u w:color="000000"/>
        </w:rPr>
        <w:t>equinoctialis</w:t>
      </w:r>
      <w:r>
        <w:rPr>
          <w:iCs/>
          <w:snapToGrid w:val="0"/>
          <w:color w:val="000000"/>
          <w:szCs w:val="24"/>
          <w:u w:color="000000"/>
        </w:rPr>
        <w:t>. This buffering system was not effective and the test failed due to a decrease in pH to 4.5 at ammonia concentrations of 2 mg TAN L</w:t>
      </w:r>
      <w:r>
        <w:rPr>
          <w:snapToGrid w:val="0"/>
          <w:color w:val="000000"/>
          <w:position w:val="6"/>
          <w:sz w:val="16"/>
          <w:szCs w:val="0"/>
          <w:u w:color="000000"/>
        </w:rPr>
        <w:t>-1</w:t>
      </w:r>
      <w:r>
        <w:rPr>
          <w:snapToGrid w:val="0"/>
          <w:color w:val="000000"/>
          <w:szCs w:val="0"/>
          <w:u w:color="000000"/>
        </w:rPr>
        <w:t>, with pH concomitantly increasing as TAN concentrations increased</w:t>
      </w:r>
      <w:r>
        <w:rPr>
          <w:iCs/>
          <w:snapToGrid w:val="0"/>
          <w:color w:val="000000"/>
          <w:szCs w:val="24"/>
          <w:u w:color="000000"/>
        </w:rPr>
        <w:t xml:space="preserve"> (Figure 3). We believe this was caused by an interaction between</w:t>
      </w:r>
      <w:r w:rsidRPr="00F64E04">
        <w:rPr>
          <w:i/>
          <w:iCs/>
          <w:snapToGrid w:val="0"/>
          <w:color w:val="000000"/>
          <w:szCs w:val="24"/>
          <w:u w:color="000000"/>
        </w:rPr>
        <w:t xml:space="preserve"> L. aequinoctialis</w:t>
      </w:r>
      <w:r>
        <w:rPr>
          <w:iCs/>
          <w:snapToGrid w:val="0"/>
          <w:color w:val="000000"/>
          <w:szCs w:val="24"/>
          <w:u w:color="000000"/>
        </w:rPr>
        <w:t xml:space="preserve"> and ammonia, because there was no decrease in pH observed in the controls (Figure 3). The metabolic pathway</w:t>
      </w:r>
      <w:r w:rsidDel="00BE438E">
        <w:rPr>
          <w:iCs/>
          <w:snapToGrid w:val="0"/>
          <w:color w:val="000000"/>
          <w:szCs w:val="24"/>
          <w:u w:color="000000"/>
        </w:rPr>
        <w:t xml:space="preserve"> </w:t>
      </w:r>
      <w:r>
        <w:rPr>
          <w:iCs/>
          <w:snapToGrid w:val="0"/>
          <w:color w:val="000000"/>
          <w:szCs w:val="24"/>
          <w:u w:color="000000"/>
        </w:rPr>
        <w:t>of ammonia nitrification might be the cause of the pH decrease, because it results in the generation of H</w:t>
      </w:r>
      <w:r w:rsidRPr="00E9572E">
        <w:rPr>
          <w:snapToGrid w:val="0"/>
          <w:color w:val="000000"/>
          <w:position w:val="6"/>
          <w:sz w:val="16"/>
          <w:szCs w:val="0"/>
          <w:u w:color="000000"/>
        </w:rPr>
        <w:t>+</w:t>
      </w:r>
      <w:r>
        <w:rPr>
          <w:iCs/>
          <w:snapToGrid w:val="0"/>
          <w:color w:val="000000"/>
          <w:szCs w:val="24"/>
          <w:u w:color="000000"/>
        </w:rPr>
        <w:t xml:space="preserve"> ions. However, nitrifying bacteria would need to be present in order for this metabolic pathway to be complete. More testing is required before a definitive conclusion can be drawn. Since the bicarbonate buffering system was not effective in this instance, trials will be undertaken to find a suitable buffer that can effectively control decreasing pH.</w:t>
      </w:r>
    </w:p>
    <w:p w:rsidR="005325F5" w:rsidRDefault="005325F5" w:rsidP="002B76A0">
      <w:pPr>
        <w:rPr>
          <w:iCs/>
          <w:snapToGrid w:val="0"/>
          <w:color w:val="000000"/>
          <w:szCs w:val="24"/>
          <w:u w:color="000000"/>
        </w:rPr>
      </w:pPr>
    </w:p>
    <w:p w:rsidR="005325F5" w:rsidRPr="00DB6C8A" w:rsidRDefault="005325F5" w:rsidP="005325F5">
      <w:r>
        <w:object w:dxaOrig="11940" w:dyaOrig="5700">
          <v:shape id="_x0000_i1026" type="#_x0000_t75" style="width:415.15pt;height:198.25pt" o:ole="">
            <v:imagedata r:id="rId60" o:title=""/>
          </v:shape>
          <o:OLEObject Type="Embed" ProgID="SigmaPlotGraphicObject.12" ShapeID="_x0000_i1026" DrawAspect="Content" ObjectID="_1496667989" r:id="rId61"/>
        </w:object>
      </w:r>
    </w:p>
    <w:p w:rsidR="002B76A0" w:rsidRDefault="002B76A0" w:rsidP="002B76A0">
      <w:pPr>
        <w:pStyle w:val="figurecaption"/>
      </w:pPr>
      <w:r w:rsidRPr="00E9572E">
        <w:rPr>
          <w:b/>
        </w:rPr>
        <w:t>Figure 2</w:t>
      </w:r>
      <w:r w:rsidRPr="000F205F">
        <w:t xml:space="preserve"> </w:t>
      </w:r>
      <w:r>
        <w:t xml:space="preserve">Effect of A) </w:t>
      </w:r>
      <w:r w:rsidRPr="000F205F">
        <w:t>HEPES and</w:t>
      </w:r>
      <w:r>
        <w:t xml:space="preserve"> B)</w:t>
      </w:r>
      <w:r w:rsidRPr="000F205F">
        <w:t xml:space="preserve"> MES </w:t>
      </w:r>
      <w:r>
        <w:t xml:space="preserve">on </w:t>
      </w:r>
      <w:r w:rsidRPr="000F205F">
        <w:rPr>
          <w:i/>
        </w:rPr>
        <w:t>Amerianna cumingi</w:t>
      </w:r>
      <w:r>
        <w:rPr>
          <w:i/>
        </w:rPr>
        <w:t xml:space="preserve"> </w:t>
      </w:r>
      <w:r>
        <w:t>egg production</w:t>
      </w:r>
      <w:r w:rsidRPr="000F205F">
        <w:t xml:space="preserve">. </w:t>
      </w:r>
      <w:r>
        <w:t>Black d</w:t>
      </w:r>
      <w:r w:rsidRPr="003640B8">
        <w:t>ata points repr</w:t>
      </w:r>
      <w:r>
        <w:t>esent the mean ± standard error</w:t>
      </w:r>
      <w:r w:rsidR="00DC2F6A">
        <w:t xml:space="preserve"> of 2–</w:t>
      </w:r>
      <w:r w:rsidRPr="003640B8">
        <w:t>3 replicates</w:t>
      </w:r>
      <w:r w:rsidRPr="000F205F">
        <w:t xml:space="preserve">. </w:t>
      </w:r>
      <w:r>
        <w:t xml:space="preserve">Red data points represent pH drift ± standard error </w:t>
      </w:r>
      <w:r w:rsidR="00DC2F6A">
        <w:t>of 2–</w:t>
      </w:r>
      <w:r w:rsidRPr="003640B8">
        <w:t>3 replicate</w:t>
      </w:r>
      <w:r>
        <w:t xml:space="preserve">s and </w:t>
      </w:r>
      <w:r>
        <w:rPr>
          <w:iCs/>
          <w:snapToGrid w:val="0"/>
          <w:color w:val="000000"/>
          <w:u w:color="000000"/>
        </w:rPr>
        <w:t>correspond</w:t>
      </w:r>
      <w:r w:rsidRPr="000F205F">
        <w:rPr>
          <w:iCs/>
          <w:snapToGrid w:val="0"/>
          <w:color w:val="000000"/>
          <w:u w:color="000000"/>
        </w:rPr>
        <w:t xml:space="preserve"> with the right y-axis.</w:t>
      </w:r>
      <w:r>
        <w:rPr>
          <w:iCs/>
          <w:snapToGrid w:val="0"/>
          <w:color w:val="000000"/>
          <w:u w:color="000000"/>
        </w:rPr>
        <w:t xml:space="preserve"> </w:t>
      </w:r>
      <w:r w:rsidRPr="003640B8">
        <w:t xml:space="preserve">3-parameter logistic models were used to determine toxicity </w:t>
      </w:r>
      <w:r>
        <w:t>e</w:t>
      </w:r>
      <w:r w:rsidRPr="003640B8">
        <w:t>s</w:t>
      </w:r>
      <w:r>
        <w:t>timates.</w:t>
      </w:r>
    </w:p>
    <w:p w:rsidR="002B76A0" w:rsidRDefault="002B76A0" w:rsidP="002B76A0">
      <w:pPr>
        <w:pStyle w:val="figurecaption"/>
        <w:rPr>
          <w:iCs/>
          <w:snapToGrid w:val="0"/>
          <w:color w:val="000000"/>
          <w:sz w:val="24"/>
          <w:szCs w:val="24"/>
          <w:u w:color="000000"/>
        </w:rPr>
      </w:pPr>
    </w:p>
    <w:p w:rsidR="002B76A0" w:rsidRDefault="002B76A0" w:rsidP="002B76A0">
      <w:pPr>
        <w:jc w:val="center"/>
      </w:pPr>
      <w:r>
        <w:object w:dxaOrig="6918" w:dyaOrig="5162">
          <v:shape id="_x0000_i1027" type="#_x0000_t75" style="width:345.95pt;height:258.1pt" o:ole="">
            <v:imagedata r:id="rId62" o:title=""/>
          </v:shape>
          <o:OLEObject Type="Embed" ProgID="SigmaPlotGraphicObject.12" ShapeID="_x0000_i1027" DrawAspect="Content" ObjectID="_1496667990" r:id="rId63"/>
        </w:object>
      </w:r>
    </w:p>
    <w:p w:rsidR="002B76A0" w:rsidRDefault="002B76A0" w:rsidP="002B76A0">
      <w:pPr>
        <w:pStyle w:val="figurecaption"/>
      </w:pPr>
      <w:r w:rsidRPr="00E9572E">
        <w:rPr>
          <w:b/>
          <w:iCs/>
          <w:snapToGrid w:val="0"/>
          <w:color w:val="000000"/>
          <w:u w:color="000000"/>
        </w:rPr>
        <w:t>Figure 3</w:t>
      </w:r>
      <w:r w:rsidRPr="000F205F">
        <w:rPr>
          <w:iCs/>
          <w:snapToGrid w:val="0"/>
          <w:color w:val="000000"/>
          <w:u w:color="000000"/>
        </w:rPr>
        <w:t xml:space="preserve"> </w:t>
      </w:r>
      <w:r>
        <w:rPr>
          <w:iCs/>
          <w:snapToGrid w:val="0"/>
          <w:color w:val="000000"/>
          <w:u w:color="000000"/>
        </w:rPr>
        <w:t>Effect of ammonia on</w:t>
      </w:r>
      <w:r w:rsidRPr="000F205F">
        <w:rPr>
          <w:iCs/>
          <w:snapToGrid w:val="0"/>
          <w:color w:val="000000"/>
          <w:u w:color="000000"/>
        </w:rPr>
        <w:t xml:space="preserve"> </w:t>
      </w:r>
      <w:r w:rsidRPr="000F205F">
        <w:rPr>
          <w:i/>
          <w:iCs/>
          <w:snapToGrid w:val="0"/>
          <w:color w:val="000000"/>
          <w:u w:color="000000"/>
        </w:rPr>
        <w:t>L</w:t>
      </w:r>
      <w:r>
        <w:rPr>
          <w:i/>
          <w:iCs/>
          <w:snapToGrid w:val="0"/>
          <w:color w:val="000000"/>
          <w:u w:color="000000"/>
        </w:rPr>
        <w:t>.</w:t>
      </w:r>
      <w:r w:rsidRPr="000F205F">
        <w:rPr>
          <w:i/>
          <w:iCs/>
          <w:snapToGrid w:val="0"/>
          <w:color w:val="000000"/>
          <w:u w:color="000000"/>
        </w:rPr>
        <w:t xml:space="preserve"> aequinoctialis</w:t>
      </w:r>
      <w:r>
        <w:rPr>
          <w:i/>
          <w:iCs/>
          <w:snapToGrid w:val="0"/>
          <w:color w:val="000000"/>
          <w:u w:color="000000"/>
        </w:rPr>
        <w:t xml:space="preserve"> </w:t>
      </w:r>
      <w:r>
        <w:t>frond and surface area growth rates</w:t>
      </w:r>
      <w:r w:rsidRPr="000F205F">
        <w:rPr>
          <w:i/>
          <w:iCs/>
          <w:snapToGrid w:val="0"/>
          <w:color w:val="000000"/>
          <w:u w:color="000000"/>
        </w:rPr>
        <w:t>.</w:t>
      </w:r>
      <w:r w:rsidRPr="000F205F">
        <w:rPr>
          <w:iCs/>
          <w:snapToGrid w:val="0"/>
          <w:color w:val="000000"/>
          <w:u w:color="000000"/>
        </w:rPr>
        <w:t xml:space="preserve"> </w:t>
      </w:r>
      <w:r>
        <w:t>Black (frond count growth rate) and white (surface area growth rate) d</w:t>
      </w:r>
      <w:r w:rsidRPr="003640B8">
        <w:t>ata points repr</w:t>
      </w:r>
      <w:r>
        <w:t>esent the mean ± standard error</w:t>
      </w:r>
      <w:r w:rsidR="00DC2F6A">
        <w:t xml:space="preserve"> of 2–</w:t>
      </w:r>
      <w:r w:rsidRPr="003640B8">
        <w:t>3 replicates</w:t>
      </w:r>
      <w:r w:rsidRPr="000F205F">
        <w:t xml:space="preserve">. </w:t>
      </w:r>
      <w:r>
        <w:t xml:space="preserve">Red data points represents end of test pH ± standard error </w:t>
      </w:r>
      <w:r w:rsidR="00DC2F6A">
        <w:t>of 2–</w:t>
      </w:r>
      <w:r w:rsidRPr="003640B8">
        <w:t>3 replicate</w:t>
      </w:r>
      <w:r>
        <w:t xml:space="preserve">s, </w:t>
      </w:r>
      <w:r>
        <w:rPr>
          <w:iCs/>
          <w:snapToGrid w:val="0"/>
          <w:color w:val="000000"/>
          <w:u w:color="000000"/>
        </w:rPr>
        <w:t>corresponding</w:t>
      </w:r>
      <w:r w:rsidRPr="000F205F">
        <w:rPr>
          <w:iCs/>
          <w:snapToGrid w:val="0"/>
          <w:color w:val="000000"/>
          <w:u w:color="000000"/>
        </w:rPr>
        <w:t xml:space="preserve"> with the right y-</w:t>
      </w:r>
      <w:r>
        <w:rPr>
          <w:iCs/>
          <w:snapToGrid w:val="0"/>
          <w:color w:val="000000"/>
          <w:u w:color="000000"/>
        </w:rPr>
        <w:t>axis</w:t>
      </w:r>
      <w:r w:rsidRPr="000F205F">
        <w:rPr>
          <w:iCs/>
          <w:snapToGrid w:val="0"/>
          <w:color w:val="000000"/>
          <w:u w:color="000000"/>
        </w:rPr>
        <w:t>.</w:t>
      </w:r>
      <w:r>
        <w:rPr>
          <w:iCs/>
          <w:snapToGrid w:val="0"/>
          <w:color w:val="000000"/>
          <w:u w:color="000000"/>
        </w:rPr>
        <w:t xml:space="preserve"> </w:t>
      </w:r>
      <w:r w:rsidRPr="003640B8">
        <w:t xml:space="preserve">3-parameter logistic models were used to determine toxicity </w:t>
      </w:r>
      <w:r>
        <w:t>e</w:t>
      </w:r>
      <w:r w:rsidRPr="003640B8">
        <w:t>s</w:t>
      </w:r>
      <w:r>
        <w:t xml:space="preserve">timates. </w:t>
      </w:r>
    </w:p>
    <w:p w:rsidR="002B76A0" w:rsidRPr="006170C4" w:rsidRDefault="002B76A0" w:rsidP="002B76A0">
      <w:r w:rsidRPr="006170C4">
        <w:t xml:space="preserve">In conclusion, ammonia toxicity testing has been successfully completed for three of the six local species. These species showed a wide range of sensitivities, with </w:t>
      </w:r>
      <w:r w:rsidRPr="00211641">
        <w:rPr>
          <w:i/>
          <w:snapToGrid w:val="0"/>
          <w:u w:color="000000"/>
        </w:rPr>
        <w:t>H. viridissima</w:t>
      </w:r>
      <w:r w:rsidRPr="006170C4">
        <w:t xml:space="preserve"> being the most sensitive and the second most sensitive species reported in the literature to-date (USEPA 2013), despite the low pH at which the tests were conducted. Toxicity testing is still required for three species: </w:t>
      </w:r>
      <w:r>
        <w:rPr>
          <w:i/>
          <w:snapToGrid w:val="0"/>
          <w:u w:color="000000"/>
        </w:rPr>
        <w:t>L. a</w:t>
      </w:r>
      <w:r w:rsidRPr="00F64E04">
        <w:rPr>
          <w:i/>
          <w:snapToGrid w:val="0"/>
          <w:u w:color="000000"/>
        </w:rPr>
        <w:t>equinoctialis</w:t>
      </w:r>
      <w:r>
        <w:rPr>
          <w:i/>
          <w:snapToGrid w:val="0"/>
          <w:u w:color="000000"/>
        </w:rPr>
        <w:t xml:space="preserve">, A. cumingi and M. </w:t>
      </w:r>
      <w:r w:rsidRPr="00E07CEB">
        <w:rPr>
          <w:i/>
          <w:snapToGrid w:val="0"/>
          <w:u w:color="000000"/>
        </w:rPr>
        <w:t>macleayi</w:t>
      </w:r>
      <w:r w:rsidRPr="006170C4">
        <w:t>.</w:t>
      </w:r>
      <w:r w:rsidRPr="00E07CEB">
        <w:rPr>
          <w:i/>
          <w:snapToGrid w:val="0"/>
          <w:u w:color="000000"/>
        </w:rPr>
        <w:t xml:space="preserve"> </w:t>
      </w:r>
      <w:r w:rsidRPr="006170C4">
        <w:t xml:space="preserve">To control pH, the bicarbonate buffering system has been highly effective for some species, but was not suitable or practical for others. In these instances, other buffers, such as MES, HEPES and MOPS are currently being trialled.  </w:t>
      </w:r>
    </w:p>
    <w:p w:rsidR="002B76A0" w:rsidRDefault="002B76A0" w:rsidP="003A673B">
      <w:pPr>
        <w:pStyle w:val="Heading2"/>
      </w:pPr>
      <w:r w:rsidRPr="00FA390F">
        <w:t xml:space="preserve">References </w:t>
      </w:r>
    </w:p>
    <w:p w:rsidR="002B76A0" w:rsidRPr="002954F9" w:rsidRDefault="002B76A0" w:rsidP="002954F9">
      <w:pPr>
        <w:pStyle w:val="referencelist1"/>
      </w:pPr>
      <w:proofErr w:type="gramStart"/>
      <w:r w:rsidRPr="002954F9">
        <w:t>ANZECC &amp; ARMCANZ 2000.</w:t>
      </w:r>
      <w:proofErr w:type="gramEnd"/>
      <w:r w:rsidRPr="002954F9">
        <w:t xml:space="preserve"> </w:t>
      </w:r>
      <w:proofErr w:type="gramStart"/>
      <w:r w:rsidRPr="002954F9">
        <w:t>Australian and New Zealand guidelines for fresh and marine water quality.</w:t>
      </w:r>
      <w:proofErr w:type="gramEnd"/>
      <w:r w:rsidRPr="002954F9">
        <w:t xml:space="preserve"> National water quality management </w:t>
      </w:r>
      <w:proofErr w:type="gramStart"/>
      <w:r w:rsidRPr="002954F9">
        <w:t>strategy paper</w:t>
      </w:r>
      <w:proofErr w:type="gramEnd"/>
      <w:r w:rsidRPr="002954F9">
        <w:t xml:space="preserve"> no 4, Australian and New Zealand Environment and Conservation Council &amp; Agriculture and Resource Management Council of Australia and New Zealand, Canberra.</w:t>
      </w:r>
    </w:p>
    <w:p w:rsidR="002B76A0" w:rsidRPr="002954F9" w:rsidRDefault="002B76A0" w:rsidP="002954F9">
      <w:pPr>
        <w:pStyle w:val="referencelist1"/>
      </w:pPr>
      <w:r w:rsidRPr="002954F9">
        <w:t xml:space="preserve">Harford AJ, Jones DR &amp; van Dam RA 2013. Highly treated mine waters may require major ion addition before environmental release. </w:t>
      </w:r>
      <w:r w:rsidRPr="00F13227">
        <w:rPr>
          <w:i/>
        </w:rPr>
        <w:t>S</w:t>
      </w:r>
      <w:r w:rsidR="00DC2F6A" w:rsidRPr="00F13227">
        <w:rPr>
          <w:i/>
        </w:rPr>
        <w:t>cience of the Total Environment</w:t>
      </w:r>
      <w:r w:rsidRPr="002954F9">
        <w:t xml:space="preserve"> </w:t>
      </w:r>
      <w:r w:rsidR="00DC2F6A" w:rsidRPr="002954F9">
        <w:t>443, 143–</w:t>
      </w:r>
      <w:r w:rsidRPr="002954F9">
        <w:t>151.</w:t>
      </w:r>
    </w:p>
    <w:p w:rsidR="002B76A0" w:rsidRPr="002954F9" w:rsidRDefault="002B76A0" w:rsidP="002954F9">
      <w:pPr>
        <w:pStyle w:val="referencelist1"/>
      </w:pPr>
      <w:r w:rsidRPr="002954F9">
        <w:t xml:space="preserve">Houston M, Hogan A, van Dam R &amp; Nou S 2007. </w:t>
      </w:r>
      <w:proofErr w:type="gramStart"/>
      <w:r w:rsidRPr="002954F9">
        <w:t>Procedure for the 96 hour gastropod reproduction toxicity test using Amerianna cumingi.</w:t>
      </w:r>
      <w:proofErr w:type="gramEnd"/>
      <w:r w:rsidRPr="002954F9">
        <w:t xml:space="preserve"> </w:t>
      </w:r>
      <w:proofErr w:type="gramStart"/>
      <w:r w:rsidRPr="002954F9">
        <w:t>Internal Report 525, June,</w:t>
      </w:r>
      <w:r w:rsidR="00DC2F6A" w:rsidRPr="002954F9">
        <w:t xml:space="preserve"> Supervising Scientist, Darwin.</w:t>
      </w:r>
      <w:proofErr w:type="gramEnd"/>
    </w:p>
    <w:p w:rsidR="002B76A0" w:rsidRPr="002954F9" w:rsidRDefault="002B76A0" w:rsidP="004E6332">
      <w:pPr>
        <w:pStyle w:val="referencelist1"/>
      </w:pPr>
      <w:bookmarkStart w:id="100" w:name="_ENREF_1"/>
      <w:proofErr w:type="gramStart"/>
      <w:r w:rsidRPr="002954F9">
        <w:t xml:space="preserve">Elphick, J. R., H. C. Bailey, A. Hindle </w:t>
      </w:r>
      <w:r w:rsidR="00220DDF" w:rsidRPr="002954F9">
        <w:t>&amp; S. E. Bertold 2005</w:t>
      </w:r>
      <w:r w:rsidR="004E6332">
        <w:t>.</w:t>
      </w:r>
      <w:proofErr w:type="gramEnd"/>
      <w:r w:rsidR="004E6332">
        <w:t xml:space="preserve"> Aeration with carbon dioxide-</w:t>
      </w:r>
      <w:r w:rsidRPr="002954F9">
        <w:t xml:space="preserve">supplemented air as a method to control pH drift in toxicity tests with effluents from wastewater treatment plants. </w:t>
      </w:r>
      <w:proofErr w:type="gramStart"/>
      <w:r w:rsidRPr="00F13227">
        <w:rPr>
          <w:i/>
        </w:rPr>
        <w:t xml:space="preserve">Environmental Toxicology and Chemistry </w:t>
      </w:r>
      <w:r w:rsidRPr="002954F9">
        <w:t>24</w:t>
      </w:r>
      <w:r w:rsidR="00220DDF" w:rsidRPr="002954F9">
        <w:t>(9), 2222–</w:t>
      </w:r>
      <w:r w:rsidRPr="002954F9">
        <w:t>2225.</w:t>
      </w:r>
      <w:bookmarkEnd w:id="100"/>
      <w:proofErr w:type="gramEnd"/>
    </w:p>
    <w:p w:rsidR="002B76A0" w:rsidRPr="002954F9" w:rsidRDefault="002B76A0" w:rsidP="002954F9">
      <w:pPr>
        <w:pStyle w:val="referencelist1"/>
      </w:pPr>
      <w:proofErr w:type="gramStart"/>
      <w:r w:rsidRPr="002954F9">
        <w:t xml:space="preserve">Emerson K, Russo RC, Lund RE </w:t>
      </w:r>
      <w:r w:rsidR="002954F9" w:rsidRPr="002954F9">
        <w:t>&amp;</w:t>
      </w:r>
      <w:r w:rsidRPr="002954F9">
        <w:t xml:space="preserve"> Thurston RV 1975.</w:t>
      </w:r>
      <w:proofErr w:type="gramEnd"/>
      <w:r w:rsidRPr="002954F9">
        <w:t xml:space="preserve"> Aqueous ammonia equilibrium calculations: Effect of pH and temperature.</w:t>
      </w:r>
      <w:r w:rsidRPr="00F13227">
        <w:rPr>
          <w:i/>
        </w:rPr>
        <w:t xml:space="preserve"> Journal of the Fisheries Research </w:t>
      </w:r>
      <w:proofErr w:type="gramStart"/>
      <w:r w:rsidRPr="00F13227">
        <w:rPr>
          <w:i/>
        </w:rPr>
        <w:t xml:space="preserve">Board </w:t>
      </w:r>
      <w:r w:rsidR="00780176">
        <w:t xml:space="preserve"> </w:t>
      </w:r>
      <w:r w:rsidR="006F3E6F">
        <w:t>32</w:t>
      </w:r>
      <w:proofErr w:type="gramEnd"/>
      <w:r w:rsidR="006F3E6F">
        <w:t>, 2379–</w:t>
      </w:r>
      <w:r w:rsidRPr="002954F9">
        <w:t>2383.</w:t>
      </w:r>
    </w:p>
    <w:p w:rsidR="002B76A0" w:rsidRPr="002954F9" w:rsidRDefault="002B76A0" w:rsidP="002954F9">
      <w:pPr>
        <w:pStyle w:val="referencelist1"/>
      </w:pPr>
      <w:proofErr w:type="gramStart"/>
      <w:r w:rsidRPr="002954F9">
        <w:t>Environment Canada 2010.</w:t>
      </w:r>
      <w:proofErr w:type="gramEnd"/>
      <w:r w:rsidRPr="002954F9">
        <w:t xml:space="preserve"> Canadian water quality guidelines for the protection of aquatic life: Ammonia. In: Canadian environmental quality guidelines. </w:t>
      </w:r>
      <w:proofErr w:type="gramStart"/>
      <w:r w:rsidRPr="002954F9">
        <w:t>Canadian Council of Ministers of the Environment, Winnipeg.</w:t>
      </w:r>
      <w:proofErr w:type="gramEnd"/>
    </w:p>
    <w:p w:rsidR="002B76A0" w:rsidRPr="002954F9" w:rsidRDefault="002B76A0" w:rsidP="002954F9">
      <w:pPr>
        <w:pStyle w:val="referencelist1"/>
      </w:pPr>
      <w:r w:rsidRPr="002954F9">
        <w:t>UKTAG (United Kingdom Technical Advisory Group) 2007. Proposed EQS for Water Framework Directive Annex VIII substances: ammonia (un-ionised) Science Report: SC040038/SR2, Environment Agency, Bristol, United Kingdom.</w:t>
      </w:r>
    </w:p>
    <w:p w:rsidR="002B76A0" w:rsidRPr="002954F9" w:rsidRDefault="002B76A0" w:rsidP="002954F9">
      <w:pPr>
        <w:pStyle w:val="referencelist1"/>
      </w:pPr>
      <w:r w:rsidRPr="002954F9">
        <w:t xml:space="preserve">United States Environmental Protection Agency 1985. </w:t>
      </w:r>
      <w:proofErr w:type="gramStart"/>
      <w:r w:rsidRPr="002954F9">
        <w:t>Ambient water quality criteria for ammonia - 1984.</w:t>
      </w:r>
      <w:proofErr w:type="gramEnd"/>
      <w:r w:rsidRPr="002954F9">
        <w:t xml:space="preserve"> </w:t>
      </w:r>
      <w:proofErr w:type="gramStart"/>
      <w:r w:rsidRPr="002954F9">
        <w:t>EPA-440/5-85-001.</w:t>
      </w:r>
      <w:proofErr w:type="gramEnd"/>
      <w:r w:rsidRPr="002954F9">
        <w:t xml:space="preserve"> </w:t>
      </w:r>
      <w:proofErr w:type="gramStart"/>
      <w:r w:rsidRPr="002954F9">
        <w:t>National Technical Information Service, Springfield, VA.</w:t>
      </w:r>
      <w:proofErr w:type="gramEnd"/>
    </w:p>
    <w:p w:rsidR="002B76A0" w:rsidRPr="002954F9" w:rsidRDefault="002B76A0" w:rsidP="002954F9">
      <w:pPr>
        <w:pStyle w:val="referencelist1"/>
        <w:rPr>
          <w:szCs w:val="23"/>
        </w:rPr>
      </w:pPr>
      <w:proofErr w:type="gramStart"/>
      <w:r w:rsidRPr="002954F9">
        <w:t>USEPA (United States Environmental Protection Agency) 1999.</w:t>
      </w:r>
      <w:proofErr w:type="gramEnd"/>
      <w:r w:rsidRPr="002954F9">
        <w:t xml:space="preserve"> Update of ambient water quality criteria for ammonia. </w:t>
      </w:r>
      <w:proofErr w:type="gramStart"/>
      <w:r w:rsidRPr="002954F9">
        <w:t>EPA-822-R-99-014.</w:t>
      </w:r>
      <w:proofErr w:type="gramEnd"/>
      <w:r w:rsidRPr="002954F9">
        <w:t xml:space="preserve"> </w:t>
      </w:r>
      <w:proofErr w:type="gramStart"/>
      <w:r w:rsidRPr="002954F9">
        <w:t>National Technical Information Service, Springfield, VA.</w:t>
      </w:r>
      <w:proofErr w:type="gramEnd"/>
      <w:r w:rsidRPr="002954F9">
        <w:t xml:space="preserve"> </w:t>
      </w:r>
      <w:r w:rsidRPr="002954F9">
        <w:rPr>
          <w:szCs w:val="23"/>
        </w:rPr>
        <w:t>United States.</w:t>
      </w:r>
    </w:p>
    <w:p w:rsidR="002B76A0" w:rsidRPr="002954F9" w:rsidRDefault="002B76A0" w:rsidP="002954F9">
      <w:pPr>
        <w:pStyle w:val="referencelist1"/>
        <w:rPr>
          <w:szCs w:val="23"/>
        </w:rPr>
      </w:pPr>
      <w:proofErr w:type="gramStart"/>
      <w:r w:rsidRPr="002954F9">
        <w:t>USEPA (United States Environmental Protection Agency) 2013.</w:t>
      </w:r>
      <w:proofErr w:type="gramEnd"/>
      <w:r w:rsidRPr="002954F9">
        <w:t xml:space="preserve"> </w:t>
      </w:r>
      <w:proofErr w:type="gramStart"/>
      <w:r w:rsidRPr="002954F9">
        <w:t>Aquatic life ambient water quality criteria for ammonia.</w:t>
      </w:r>
      <w:proofErr w:type="gramEnd"/>
      <w:r w:rsidRPr="002954F9">
        <w:t xml:space="preserve"> </w:t>
      </w:r>
      <w:proofErr w:type="gramStart"/>
      <w:r w:rsidRPr="002954F9">
        <w:t>EPA 822-R-13-001.</w:t>
      </w:r>
      <w:proofErr w:type="gramEnd"/>
      <w:r w:rsidRPr="002954F9">
        <w:t xml:space="preserve"> </w:t>
      </w:r>
      <w:proofErr w:type="gramStart"/>
      <w:r w:rsidRPr="002954F9">
        <w:t>National Technical Information Service, Springfield, VA.</w:t>
      </w:r>
      <w:proofErr w:type="gramEnd"/>
      <w:r w:rsidRPr="002954F9">
        <w:t xml:space="preserve"> </w:t>
      </w:r>
      <w:r w:rsidRPr="002954F9">
        <w:rPr>
          <w:szCs w:val="23"/>
        </w:rPr>
        <w:t>United States.</w:t>
      </w:r>
    </w:p>
    <w:p w:rsidR="002B76A0" w:rsidRPr="002954F9" w:rsidRDefault="002B76A0" w:rsidP="002954F9">
      <w:pPr>
        <w:pStyle w:val="referencelist1"/>
      </w:pPr>
      <w:proofErr w:type="gramStart"/>
      <w:r w:rsidRPr="002954F9">
        <w:t>van</w:t>
      </w:r>
      <w:proofErr w:type="gramEnd"/>
      <w:r w:rsidRPr="002954F9">
        <w:t xml:space="preserve"> Dam RA,</w:t>
      </w:r>
      <w:r w:rsidR="002954F9" w:rsidRPr="002954F9">
        <w:t xml:space="preserve"> Hogan AC, Harford AJ, Cheng KC &amp; Costello C 2011.</w:t>
      </w:r>
      <w:r w:rsidRPr="002954F9">
        <w:t xml:space="preserve"> Toxicity testing of Ranger process water </w:t>
      </w:r>
      <w:proofErr w:type="gramStart"/>
      <w:r w:rsidRPr="002954F9">
        <w:t>permeate</w:t>
      </w:r>
      <w:proofErr w:type="gramEnd"/>
      <w:r w:rsidRPr="002954F9">
        <w:t>. In: Jones DR &amp; Webb A (</w:t>
      </w:r>
      <w:proofErr w:type="gramStart"/>
      <w:r w:rsidRPr="002954F9">
        <w:t>eds</w:t>
      </w:r>
      <w:proofErr w:type="gramEnd"/>
      <w:r w:rsidRPr="002954F9">
        <w:t xml:space="preserve">) 2011. </w:t>
      </w:r>
      <w:proofErr w:type="gramStart"/>
      <w:r w:rsidRPr="004E6332">
        <w:rPr>
          <w:rFonts w:ascii="Times New Roman" w:hAnsi="Times New Roman"/>
          <w:b/>
          <w:i/>
          <w:iCs/>
          <w:sz w:val="26"/>
        </w:rPr>
        <w:t>eriss</w:t>
      </w:r>
      <w:proofErr w:type="gramEnd"/>
      <w:r w:rsidRPr="002954F9">
        <w:t xml:space="preserve"> </w:t>
      </w:r>
      <w:r w:rsidRPr="00761FE9">
        <w:rPr>
          <w:i/>
        </w:rPr>
        <w:t>research summary 2009–2010</w:t>
      </w:r>
      <w:r w:rsidRPr="002954F9">
        <w:t>. Supervising Scientist Report 202, Supervising Scientist, Darwin NT.</w:t>
      </w:r>
    </w:p>
    <w:p w:rsidR="002B76A0" w:rsidRPr="002954F9" w:rsidRDefault="002954F9" w:rsidP="002954F9">
      <w:pPr>
        <w:pStyle w:val="referencelist1"/>
      </w:pPr>
      <w:proofErr w:type="gramStart"/>
      <w:r w:rsidRPr="002954F9">
        <w:t>Weast  RC</w:t>
      </w:r>
      <w:proofErr w:type="gramEnd"/>
      <w:r w:rsidRPr="002954F9">
        <w:t>, Astle MJ &amp; Beyer WH 1988</w:t>
      </w:r>
      <w:r w:rsidR="002B76A0" w:rsidRPr="002954F9">
        <w:t xml:space="preserve">. </w:t>
      </w:r>
      <w:proofErr w:type="gramStart"/>
      <w:r w:rsidR="002B76A0" w:rsidRPr="002954F9">
        <w:t>CRC Handbook of Chemistry and Physics.</w:t>
      </w:r>
      <w:proofErr w:type="gramEnd"/>
      <w:r w:rsidR="002B76A0" w:rsidRPr="002954F9">
        <w:t xml:space="preserve"> CRC Press, Inc., Boca Raton, Florida.</w:t>
      </w:r>
    </w:p>
    <w:p w:rsidR="002B76A0" w:rsidRDefault="002B76A0">
      <w:pPr>
        <w:spacing w:after="0" w:line="240" w:lineRule="auto"/>
      </w:pPr>
      <w:r>
        <w:br w:type="page"/>
      </w:r>
    </w:p>
    <w:p w:rsidR="0047118F" w:rsidRDefault="0047118F" w:rsidP="009A3243">
      <w:pPr>
        <w:pStyle w:val="Heading1"/>
      </w:pPr>
      <w:bookmarkStart w:id="101" w:name="_Toc401910165"/>
      <w:bookmarkStart w:id="102" w:name="_Toc409772783"/>
      <w:bookmarkStart w:id="103" w:name="_Toc418172696"/>
      <w:r>
        <w:t xml:space="preserve">The sensitivity of </w:t>
      </w:r>
      <w:r w:rsidRPr="00405183">
        <w:rPr>
          <w:i/>
        </w:rPr>
        <w:t>Moinodaphnia macleayi</w:t>
      </w:r>
      <w:r>
        <w:t xml:space="preserve"> to uranium</w:t>
      </w:r>
      <w:bookmarkEnd w:id="101"/>
      <w:bookmarkEnd w:id="102"/>
      <w:bookmarkEnd w:id="103"/>
    </w:p>
    <w:p w:rsidR="009A3243" w:rsidRPr="009A3243" w:rsidRDefault="002831E1" w:rsidP="008D1BF0">
      <w:pPr>
        <w:pStyle w:val="Heading3"/>
        <w:spacing w:after="480"/>
        <w:jc w:val="center"/>
      </w:pPr>
      <w:r>
        <w:t>A Hogan, C Pease, M Trenfield, C Costello, T</w:t>
      </w:r>
      <w:r w:rsidR="008D1BF0">
        <w:t xml:space="preserve"> Mooney </w:t>
      </w:r>
      <w:r>
        <w:t>&amp; A</w:t>
      </w:r>
      <w:r w:rsidR="008D1BF0">
        <w:t xml:space="preserve"> Harford</w:t>
      </w:r>
    </w:p>
    <w:p w:rsidR="0047118F" w:rsidRDefault="0047118F" w:rsidP="005D0894">
      <w:pPr>
        <w:pStyle w:val="Heading2"/>
      </w:pPr>
      <w:r w:rsidRPr="003F181C">
        <w:t>Introduction</w:t>
      </w:r>
    </w:p>
    <w:p w:rsidR="0047118F" w:rsidRDefault="0047118F" w:rsidP="0047118F">
      <w:r>
        <w:t xml:space="preserve">The cladoceran </w:t>
      </w:r>
      <w:r w:rsidRPr="00883C2D">
        <w:rPr>
          <w:i/>
        </w:rPr>
        <w:t>Moinodaphnia macleayi</w:t>
      </w:r>
      <w:r>
        <w:t xml:space="preserve"> has been used by </w:t>
      </w:r>
      <w:r w:rsidRPr="003D2252">
        <w:rPr>
          <w:rFonts w:ascii="Times New Roman" w:hAnsi="Times New Roman"/>
          <w:b/>
          <w:i/>
          <w:sz w:val="26"/>
        </w:rPr>
        <w:t>eriss</w:t>
      </w:r>
      <w:r w:rsidRPr="003D2252">
        <w:rPr>
          <w:rFonts w:ascii="Times New Roman" w:hAnsi="Times New Roman"/>
        </w:rPr>
        <w:t xml:space="preserve"> </w:t>
      </w:r>
      <w:r>
        <w:t>as a standard toxicity testing organism to assess the toxicity of mine waters and their toxic constituents</w:t>
      </w:r>
      <w:r w:rsidRPr="00CC5A44">
        <w:t xml:space="preserve"> </w:t>
      </w:r>
      <w:r>
        <w:t>for over 20 years (McBride et al</w:t>
      </w:r>
      <w:r w:rsidR="003D2252">
        <w:t>.</w:t>
      </w:r>
      <w:r>
        <w:t xml:space="preserve"> 1991). The chronic toxicity of uranium (U) to </w:t>
      </w:r>
      <w:r w:rsidRPr="00A645D9">
        <w:rPr>
          <w:i/>
        </w:rPr>
        <w:t>M. macleayi</w:t>
      </w:r>
      <w:r>
        <w:t xml:space="preserve"> has been assessed on several occasions (e</w:t>
      </w:r>
      <w:r w:rsidR="003D2252">
        <w:t>.</w:t>
      </w:r>
      <w:r>
        <w:t>g</w:t>
      </w:r>
      <w:r w:rsidR="003D2252">
        <w:t>.</w:t>
      </w:r>
      <w:r>
        <w:t xml:space="preserve"> Hyne et al</w:t>
      </w:r>
      <w:r w:rsidR="003D2252">
        <w:t>.</w:t>
      </w:r>
      <w:r>
        <w:t xml:space="preserve"> 1993, Semaan et al</w:t>
      </w:r>
      <w:r w:rsidR="001000AA">
        <w:t>.</w:t>
      </w:r>
      <w:r>
        <w:t xml:space="preserve"> 2001, </w:t>
      </w:r>
      <w:r w:rsidR="003D2252" w:rsidRPr="003D2252">
        <w:rPr>
          <w:rFonts w:ascii="Times New Roman" w:hAnsi="Times New Roman"/>
          <w:b/>
          <w:i/>
          <w:sz w:val="26"/>
        </w:rPr>
        <w:t>eriss</w:t>
      </w:r>
      <w:r>
        <w:t xml:space="preserve"> unpublished data 1992, 2011</w:t>
      </w:r>
      <w:r w:rsidR="001D7D97">
        <w:t xml:space="preserve"> </w:t>
      </w:r>
      <w:r>
        <w:t>&amp; 2012), and this species was found to be the most sensitive of the five local species used to derive a site-specific water quality guideline for U in Magela Creek (Hogan et al</w:t>
      </w:r>
      <w:r w:rsidR="003D2252">
        <w:t>.</w:t>
      </w:r>
      <w:r>
        <w:t xml:space="preserve"> 2005).</w:t>
      </w:r>
    </w:p>
    <w:p w:rsidR="0047118F" w:rsidRDefault="0047118F" w:rsidP="0047118F">
      <w:r w:rsidRPr="00C75EF2">
        <w:t xml:space="preserve">Cladocera require feeding during toxicity testing in order to maintain survival, growth and reproduction </w:t>
      </w:r>
      <w:r>
        <w:t>(</w:t>
      </w:r>
      <w:r w:rsidRPr="00C75EF2">
        <w:t xml:space="preserve">Norberg &amp; Mount 1985). Optimal culture health and environmental relevance of test results is more readily </w:t>
      </w:r>
      <w:r>
        <w:t>achieved</w:t>
      </w:r>
      <w:r w:rsidRPr="00C75EF2">
        <w:t xml:space="preserve"> through the provision of </w:t>
      </w:r>
      <w:r>
        <w:t xml:space="preserve">a </w:t>
      </w:r>
      <w:r w:rsidRPr="00C75EF2">
        <w:t xml:space="preserve">ration that reflects the organism’s natural diet. However, the need for standardisation in laboratory testing </w:t>
      </w:r>
      <w:r>
        <w:t xml:space="preserve">requires a compromise, </w:t>
      </w:r>
      <w:r w:rsidRPr="00C75EF2">
        <w:t xml:space="preserve">usually in the form of </w:t>
      </w:r>
      <w:r>
        <w:t xml:space="preserve">a more standardised and/or </w:t>
      </w:r>
      <w:r w:rsidRPr="00C75EF2">
        <w:t xml:space="preserve">defined diet. </w:t>
      </w:r>
      <w:r w:rsidRPr="0020099C">
        <w:t>Hyne et al</w:t>
      </w:r>
      <w:r w:rsidR="003D2252">
        <w:t>.</w:t>
      </w:r>
      <w:r w:rsidRPr="0020099C">
        <w:t xml:space="preserve"> (1993) hypothesised that the natural diet of </w:t>
      </w:r>
      <w:r w:rsidRPr="0020099C">
        <w:rPr>
          <w:i/>
        </w:rPr>
        <w:t>M. macleayi</w:t>
      </w:r>
      <w:r w:rsidRPr="0020099C">
        <w:t xml:space="preserve"> is likely to consist of unicellular algae, small organic particles and bacteria</w:t>
      </w:r>
      <w:r>
        <w:t>,</w:t>
      </w:r>
      <w:r w:rsidRPr="0020099C">
        <w:t xml:space="preserve"> because other species of cladocera were shown to utilise these food sources (Kobayashi 1991) and </w:t>
      </w:r>
      <w:r w:rsidRPr="0020099C">
        <w:rPr>
          <w:i/>
        </w:rPr>
        <w:t>M. macleayi</w:t>
      </w:r>
      <w:r w:rsidRPr="0020099C">
        <w:t xml:space="preserve"> were known to inhabit weed bed environments (Julli 1986).</w:t>
      </w:r>
      <w:r>
        <w:t xml:space="preserve"> In our laboratory, </w:t>
      </w:r>
      <w:r w:rsidRPr="008872E0">
        <w:rPr>
          <w:i/>
        </w:rPr>
        <w:t>M</w:t>
      </w:r>
      <w:r>
        <w:rPr>
          <w:i/>
        </w:rPr>
        <w:t>.</w:t>
      </w:r>
      <w:r w:rsidRPr="00855270">
        <w:rPr>
          <w:i/>
        </w:rPr>
        <w:t xml:space="preserve"> macleayi</w:t>
      </w:r>
      <w:r>
        <w:t xml:space="preserve"> are fed a fermented bacterial suspension that also contains organic particulates (Fermented Food with Vitamins; FFV), and a unicellular alga, </w:t>
      </w:r>
      <w:r w:rsidRPr="00855270">
        <w:rPr>
          <w:i/>
        </w:rPr>
        <w:t>Chlorella</w:t>
      </w:r>
      <w:r>
        <w:t xml:space="preserve"> sp., during both culturing and testing. The introduction of the FFV in the early 90’s resulted in a marked improvement in the survival and fecundity of </w:t>
      </w:r>
      <w:r w:rsidRPr="00CD2286">
        <w:rPr>
          <w:i/>
        </w:rPr>
        <w:t>M. macleayi</w:t>
      </w:r>
      <w:r>
        <w:t>, and was adopted as standard practice for this species (Hyne 1991). The FFV</w:t>
      </w:r>
      <w:r w:rsidDel="00B92470">
        <w:t xml:space="preserve"> </w:t>
      </w:r>
      <w:r>
        <w:t>is prepared by fermenting ground fish food and alfalfa in water for several days before settling, straining and then adding vitamin B12 and calcium pantothenate (vitamin B5). The cladocera are fed 30 µL of this suspension, which is equivalent to 2–4.5 mg L</w:t>
      </w:r>
      <w:r w:rsidRPr="007C4712">
        <w:rPr>
          <w:snapToGrid w:val="0"/>
          <w:color w:val="000000"/>
          <w:position w:val="5"/>
          <w:sz w:val="15"/>
          <w:szCs w:val="0"/>
          <w:u w:color="000000"/>
        </w:rPr>
        <w:t>-1</w:t>
      </w:r>
      <w:r>
        <w:t xml:space="preserve"> Total Organic Carbon (TOC). </w:t>
      </w:r>
      <w:r w:rsidRPr="00115C7D">
        <w:rPr>
          <w:i/>
        </w:rPr>
        <w:t>Chlorella</w:t>
      </w:r>
      <w:r>
        <w:t xml:space="preserve"> sp. is cultured under axenic conditions in a standard nutrient medium and cell density is enumerated prior to calculating a consistent feeding ration of 6 × 10</w:t>
      </w:r>
      <w:r>
        <w:rPr>
          <w:snapToGrid w:val="0"/>
          <w:color w:val="000000"/>
          <w:position w:val="5"/>
          <w:sz w:val="15"/>
          <w:szCs w:val="0"/>
          <w:u w:color="000000"/>
        </w:rPr>
        <w:t>4</w:t>
      </w:r>
      <w:r>
        <w:rPr>
          <w:snapToGrid w:val="0"/>
          <w:color w:val="000000"/>
          <w:szCs w:val="0"/>
          <w:u w:color="000000"/>
        </w:rPr>
        <w:t xml:space="preserve"> cells mL</w:t>
      </w:r>
      <w:r>
        <w:rPr>
          <w:snapToGrid w:val="0"/>
          <w:color w:val="000000"/>
          <w:position w:val="5"/>
          <w:sz w:val="15"/>
          <w:szCs w:val="0"/>
          <w:u w:color="000000"/>
        </w:rPr>
        <w:t>-1</w:t>
      </w:r>
      <w:r>
        <w:t>.</w:t>
      </w:r>
    </w:p>
    <w:p w:rsidR="0047118F" w:rsidRDefault="0047118F" w:rsidP="0047118F">
      <w:r>
        <w:t xml:space="preserve">The establishment of a reference toxicity testing </w:t>
      </w:r>
      <w:r w:rsidR="00E16AC4">
        <w:t>programme</w:t>
      </w:r>
      <w:r>
        <w:t xml:space="preserve"> for the ecotoxicology laboratory in 2006 enabled the tracking of test organism performance over time (Cheng et al</w:t>
      </w:r>
      <w:r w:rsidR="00915981">
        <w:t>.</w:t>
      </w:r>
      <w:r>
        <w:t xml:space="preserve"> 2012). In the first few years of this </w:t>
      </w:r>
      <w:r w:rsidR="00E16AC4">
        <w:t>programme</w:t>
      </w:r>
      <w:r>
        <w:t xml:space="preserve"> it was noted that the sensitivity of </w:t>
      </w:r>
      <w:r w:rsidRPr="00313C65">
        <w:rPr>
          <w:i/>
        </w:rPr>
        <w:t xml:space="preserve">M. macleayi </w:t>
      </w:r>
      <w:r>
        <w:t xml:space="preserve">changed significantly on occasion. As this only occurred infrequently these tests were considered outliers, but as the dataset increased it became apparent that the shifts in sensitivity were a real issue for this species. The overall range of LC50s (median lethal concentrations) observed in reference toxicity testing over the past eight years has varied from 9 to 240 </w:t>
      </w:r>
      <w:r>
        <w:rPr>
          <w:rFonts w:ascii="Symbol" w:hAnsi="Symbol"/>
        </w:rPr>
        <w:t></w:t>
      </w:r>
      <w:r>
        <w:t>g L</w:t>
      </w:r>
      <w:r>
        <w:rPr>
          <w:snapToGrid w:val="0"/>
          <w:color w:val="000000"/>
          <w:position w:val="5"/>
          <w:sz w:val="15"/>
          <w:szCs w:val="0"/>
          <w:u w:color="000000"/>
        </w:rPr>
        <w:t>-1</w:t>
      </w:r>
      <w:r>
        <w:t xml:space="preserve"> U (</w:t>
      </w:r>
      <w:r w:rsidRPr="00077948">
        <w:t>Pease et al</w:t>
      </w:r>
      <w:r w:rsidR="00915981">
        <w:t>.</w:t>
      </w:r>
      <w:r w:rsidRPr="00077948">
        <w:t xml:space="preserve"> 2013</w:t>
      </w:r>
      <w:r>
        <w:t>). A similar level of variability has been found in chronic (3 brood reproduction) tests using this species (van Dam et al</w:t>
      </w:r>
      <w:r w:rsidR="00915981">
        <w:t>.</w:t>
      </w:r>
      <w:r>
        <w:t xml:space="preserve"> 2012).</w:t>
      </w:r>
    </w:p>
    <w:p w:rsidR="0047118F" w:rsidRDefault="0047118F" w:rsidP="0047118F">
      <w:r>
        <w:t xml:space="preserve">In trying to resolve this issue, several stand alone experiments, analyses and trials have been conducted. These include undertaking side by side comparisons of </w:t>
      </w:r>
      <w:r w:rsidRPr="00BD60E4">
        <w:rPr>
          <w:i/>
        </w:rPr>
        <w:t>M. macleayi</w:t>
      </w:r>
      <w:r>
        <w:t xml:space="preserve"> performance and sensitivity using different batches of FFV and characterising the bacterial assemblages and organic carbon content of different FFV batches. This project has been created to formalise the collation of these data and to undertake further laboratory work to elucidate the cause of the reduction in sensitivity and trial potential replacement food types.</w:t>
      </w:r>
    </w:p>
    <w:p w:rsidR="0047118F" w:rsidRDefault="0047118F" w:rsidP="0047118F">
      <w:r>
        <w:t>This project aims to:</w:t>
      </w:r>
    </w:p>
    <w:p w:rsidR="0047118F" w:rsidRDefault="0047118F" w:rsidP="00932A96">
      <w:pPr>
        <w:pStyle w:val="Normallist1"/>
        <w:numPr>
          <w:ilvl w:val="0"/>
          <w:numId w:val="22"/>
        </w:numPr>
        <w:ind w:left="426" w:hanging="426"/>
      </w:pPr>
      <w:r>
        <w:t xml:space="preserve">Document the temporal changes in sensitivity of </w:t>
      </w:r>
      <w:r w:rsidRPr="00915981">
        <w:rPr>
          <w:i/>
        </w:rPr>
        <w:t>M. macleayi</w:t>
      </w:r>
      <w:r>
        <w:t xml:space="preserve"> to U and elucidate the cause for this shift in sensitivity; and</w:t>
      </w:r>
    </w:p>
    <w:p w:rsidR="0047118F" w:rsidRDefault="0047118F" w:rsidP="00932A96">
      <w:pPr>
        <w:pStyle w:val="Normallist1"/>
        <w:numPr>
          <w:ilvl w:val="0"/>
          <w:numId w:val="22"/>
        </w:numPr>
        <w:ind w:left="426" w:hanging="426"/>
      </w:pPr>
      <w:r>
        <w:t xml:space="preserve">Alter the feeding procedure to create a more standardised testing environment where </w:t>
      </w:r>
      <w:r w:rsidRPr="00915981">
        <w:rPr>
          <w:i/>
        </w:rPr>
        <w:t>M. macleayi</w:t>
      </w:r>
      <w:r>
        <w:t xml:space="preserve"> is found to be consistently sensitive to U and other toxicants.</w:t>
      </w:r>
    </w:p>
    <w:p w:rsidR="0047118F" w:rsidRPr="003C6C11" w:rsidRDefault="0047118F" w:rsidP="00A6529D">
      <w:pPr>
        <w:pStyle w:val="Heading5"/>
        <w:rPr>
          <w:b/>
          <w:i w:val="0"/>
          <w:sz w:val="26"/>
          <w:szCs w:val="26"/>
        </w:rPr>
      </w:pPr>
      <w:r w:rsidRPr="003C6C11">
        <w:rPr>
          <w:b/>
          <w:i w:val="0"/>
          <w:sz w:val="26"/>
          <w:szCs w:val="26"/>
        </w:rPr>
        <w:t>Summary of other research for this project</w:t>
      </w:r>
    </w:p>
    <w:p w:rsidR="0047118F" w:rsidRDefault="0047118F" w:rsidP="00AF28CF">
      <w:r>
        <w:t xml:space="preserve">Concurrent reference toxicity tests undertaken in previous years confirmed that the sensitivity of </w:t>
      </w:r>
      <w:r w:rsidRPr="00C319F3">
        <w:rPr>
          <w:i/>
        </w:rPr>
        <w:t xml:space="preserve">M. macleayi </w:t>
      </w:r>
      <w:r>
        <w:t>is strongly influenced by the batch of FFV they are fed during testing. However, sensitivity was not correlated with the organic carbon concentration of the FFV across 14 tests (r</w:t>
      </w:r>
      <w:r>
        <w:rPr>
          <w:snapToGrid w:val="0"/>
          <w:color w:val="000000"/>
          <w:position w:val="5"/>
          <w:sz w:val="15"/>
          <w:szCs w:val="0"/>
          <w:u w:color="000000"/>
        </w:rPr>
        <w:t>2</w:t>
      </w:r>
      <w:r>
        <w:rPr>
          <w:snapToGrid w:val="0"/>
          <w:color w:val="000000"/>
          <w:szCs w:val="0"/>
          <w:u w:color="000000"/>
        </w:rPr>
        <w:t xml:space="preserve"> = -0.07)</w:t>
      </w:r>
      <w:r>
        <w:t>. There was also no correlation between test water pH and sensitivity (</w:t>
      </w:r>
      <w:r w:rsidRPr="00197457">
        <w:rPr>
          <w:snapToGrid w:val="0"/>
          <w:color w:val="000000"/>
          <w:szCs w:val="0"/>
          <w:u w:color="000000"/>
        </w:rPr>
        <w:t>r</w:t>
      </w:r>
      <w:r>
        <w:rPr>
          <w:snapToGrid w:val="0"/>
          <w:color w:val="000000"/>
          <w:position w:val="5"/>
          <w:sz w:val="15"/>
          <w:szCs w:val="0"/>
          <w:u w:color="000000"/>
        </w:rPr>
        <w:t>2</w:t>
      </w:r>
      <w:r>
        <w:rPr>
          <w:snapToGrid w:val="0"/>
          <w:color w:val="000000"/>
          <w:szCs w:val="0"/>
          <w:u w:color="000000"/>
        </w:rPr>
        <w:t xml:space="preserve"> = -0.20, </w:t>
      </w:r>
      <w:r w:rsidRPr="00197457">
        <w:rPr>
          <w:snapToGrid w:val="0"/>
          <w:color w:val="000000"/>
          <w:szCs w:val="0"/>
          <w:u w:color="000000"/>
        </w:rPr>
        <w:t>n</w:t>
      </w:r>
      <w:r>
        <w:t xml:space="preserve"> = 29), nor the organic carbon concentrations of the algal ration and sensitivity (r</w:t>
      </w:r>
      <w:r>
        <w:rPr>
          <w:snapToGrid w:val="0"/>
          <w:color w:val="000000"/>
          <w:position w:val="5"/>
          <w:sz w:val="15"/>
          <w:szCs w:val="0"/>
          <w:u w:color="000000"/>
        </w:rPr>
        <w:t>2</w:t>
      </w:r>
      <w:r>
        <w:rPr>
          <w:snapToGrid w:val="0"/>
          <w:color w:val="000000"/>
          <w:szCs w:val="0"/>
          <w:u w:color="000000"/>
        </w:rPr>
        <w:t xml:space="preserve"> = 0.14,</w:t>
      </w:r>
      <w:r>
        <w:t xml:space="preserve"> n = 6), indicating that these factors were unlikely to be responsible for the observed variability.</w:t>
      </w:r>
    </w:p>
    <w:p w:rsidR="0047118F" w:rsidRDefault="0047118F" w:rsidP="00AF28CF">
      <w:r>
        <w:t xml:space="preserve">Nuclear magnetic resonance (NMR) analysis undertaken by the University of Melbourne suggested that the metal binding capacity of the FFV may have increased after a batch of dried alfalfa used for FFV preparation was replaced. Nuclear magnetic resonance spectroscopy provided a semi-quantitative measure of the functional groups on the organic carbon molecules. The carboxylic groups are known to have the highest affinity for metals and therefore considered the most influential with respect to metal complexation (Tipping 2002). When normalised according to TOC concentration of the sample, the carboxylic group peak heights were higher in FFV produced from the new batch of alfalfa compared to those produced with the older alfalfa. This corresponded with a reduction in cladoceran sensitivity in the reference toxicity testing </w:t>
      </w:r>
      <w:r w:rsidR="00E16AC4">
        <w:t>programme</w:t>
      </w:r>
      <w:r>
        <w:t xml:space="preserve"> and indicated that the structure of organic carbon may be more important than the overall TOC concentration. This hypothesis is supported by work done by Kolts et al</w:t>
      </w:r>
      <w:r w:rsidR="006F3E6F">
        <w:t>.</w:t>
      </w:r>
      <w:r>
        <w:t xml:space="preserve"> (2008) </w:t>
      </w:r>
      <w:r w:rsidRPr="000B3D72">
        <w:rPr>
          <w:szCs w:val="22"/>
        </w:rPr>
        <w:t>who directly related cladoceran sensitivity, not only to the quantity, but also the source of dissolved organic matter in the test system</w:t>
      </w:r>
      <w:r>
        <w:rPr>
          <w:szCs w:val="22"/>
        </w:rPr>
        <w:t>.</w:t>
      </w:r>
    </w:p>
    <w:p w:rsidR="0047118F" w:rsidRDefault="0047118F" w:rsidP="00AF28CF">
      <w:r>
        <w:t>Microbial characterisation of nine different batches of FFV showed large differences in species composition and diversity across batches. While there was insufficient data to relate this information to sensitivity in reference toxicity testing, there appears to be no relationship between the dominant microbial species, or diversity of species, and cladoceran culture health. As such, we were unable to identify a preferred species of bacteria for isolation and use as an axenically cultured bacterial source.</w:t>
      </w:r>
    </w:p>
    <w:p w:rsidR="0047118F" w:rsidRDefault="0047118F" w:rsidP="00AF28CF">
      <w:r>
        <w:t xml:space="preserve">Despite these investigations being unable to explain the cause of the variability in cladoceran sensitivity, the concurrent tests using different FFV batches clearly demonstrate that FFV batch was a key factor. Accordingly, recent efforts in the ecotoxicology laboratory have been focused on finding a replacement food source for </w:t>
      </w:r>
      <w:r w:rsidRPr="006D7ED0">
        <w:rPr>
          <w:i/>
        </w:rPr>
        <w:t>M. macleayi</w:t>
      </w:r>
      <w:r>
        <w:t>. The current paper focuses on these food trials.</w:t>
      </w:r>
    </w:p>
    <w:p w:rsidR="0047118F" w:rsidRDefault="0047118F" w:rsidP="005D0894">
      <w:pPr>
        <w:pStyle w:val="Heading2"/>
      </w:pPr>
      <w:r>
        <w:t>Methods</w:t>
      </w:r>
    </w:p>
    <w:p w:rsidR="0047118F" w:rsidRDefault="0047118F" w:rsidP="004726C2">
      <w:pPr>
        <w:pStyle w:val="Heading3"/>
      </w:pPr>
      <w:r>
        <w:t>Off-the-shelf food products</w:t>
      </w:r>
    </w:p>
    <w:p w:rsidR="0047118F" w:rsidRDefault="0047118F" w:rsidP="00587E07">
      <w:pPr>
        <w:pStyle w:val="Heading4"/>
      </w:pPr>
      <w:r>
        <w:t>Nutraplus</w:t>
      </w:r>
    </w:p>
    <w:p w:rsidR="0047118F" w:rsidRDefault="0047118F" w:rsidP="0047118F">
      <w:r>
        <w:t xml:space="preserve">Nutraplus is an off-the-shelf red algal suspension that is used as a food source in the aquaculture industry. This product has successfully been used to maintain cultures of </w:t>
      </w:r>
      <w:r w:rsidRPr="00837995">
        <w:rPr>
          <w:i/>
        </w:rPr>
        <w:t>Ceriodaphnia dubia</w:t>
      </w:r>
      <w:r>
        <w:t xml:space="preserve"> at the CSIRO Biogeochemistry Programme’s Ecotoxicology Laboratory, when provided alongside a fresh unicellular algal ration.</w:t>
      </w:r>
    </w:p>
    <w:p w:rsidR="0047118F" w:rsidRDefault="0047118F" w:rsidP="0047118F">
      <w:r>
        <w:t xml:space="preserve">Two dilutions of Nutraplus, 1:1000 and 1:2000 were chosen as they were equivalent to that provided to </w:t>
      </w:r>
      <w:r w:rsidRPr="007670A3">
        <w:rPr>
          <w:i/>
        </w:rPr>
        <w:t>C. dubia</w:t>
      </w:r>
      <w:r>
        <w:t xml:space="preserve"> at CSIRO. The Nutraplus stock was fortified with calcium pantothenate and Vitamin B12 at the same rate normally added to FFV</w:t>
      </w:r>
      <w:r w:rsidRPr="00003685">
        <w:t xml:space="preserve"> </w:t>
      </w:r>
      <w:r>
        <w:t xml:space="preserve">and fed to </w:t>
      </w:r>
      <w:r w:rsidRPr="00E65216">
        <w:rPr>
          <w:i/>
        </w:rPr>
        <w:t>M. macleayi</w:t>
      </w:r>
      <w:r>
        <w:t xml:space="preserve"> in combination with the regular algal ration. The trial was conducted alongside the </w:t>
      </w:r>
      <w:r w:rsidRPr="00C941F6">
        <w:rPr>
          <w:i/>
        </w:rPr>
        <w:t>M. macleayi</w:t>
      </w:r>
      <w:r>
        <w:t xml:space="preserve"> culture, which was used as the control treatment. All treatments consisted of twelve vials, each containing an individual female neonate. Natural Magela Creek water (NMCW) was used as the diluent. The cladocera were observed and transferred daily into freshly prepared waters containing food.</w:t>
      </w:r>
    </w:p>
    <w:p w:rsidR="0047118F" w:rsidRDefault="0047118F" w:rsidP="00587E07">
      <w:pPr>
        <w:pStyle w:val="Heading4"/>
      </w:pPr>
      <w:r>
        <w:t>Yeast</w:t>
      </w:r>
    </w:p>
    <w:p w:rsidR="0047118F" w:rsidRPr="00005062" w:rsidRDefault="0047118F" w:rsidP="0047118F">
      <w:r>
        <w:t>The yeast ration trialled was based on attaining 4.5 mg L</w:t>
      </w:r>
      <w:r>
        <w:rPr>
          <w:snapToGrid w:val="0"/>
          <w:color w:val="000000"/>
          <w:position w:val="5"/>
          <w:sz w:val="15"/>
          <w:szCs w:val="0"/>
          <w:u w:color="000000"/>
        </w:rPr>
        <w:t>-1</w:t>
      </w:r>
      <w:r>
        <w:t xml:space="preserve"> TOC, which is equivalent to the upper end of the organic carbon concentration of FFV typically fed to </w:t>
      </w:r>
      <w:r w:rsidRPr="00473D82">
        <w:rPr>
          <w:i/>
        </w:rPr>
        <w:t>M. macleayi</w:t>
      </w:r>
      <w:r>
        <w:t>. Trials were conducted as described above for Nutraplus, including the fortification of the feed ration with calcium pantothenate and Vitamin B12.</w:t>
      </w:r>
    </w:p>
    <w:p w:rsidR="0047118F" w:rsidRDefault="0047118F" w:rsidP="00587E07">
      <w:pPr>
        <w:pStyle w:val="Heading4"/>
      </w:pPr>
      <w:r>
        <w:t>Probiotics</w:t>
      </w:r>
    </w:p>
    <w:p w:rsidR="0047118F" w:rsidRPr="00005062" w:rsidRDefault="0047118F" w:rsidP="0047118F">
      <w:r>
        <w:t xml:space="preserve">Orthoplex Multiflora is a probiotic formulated for human use containing twelve different species of lyophilised bacteria from the genera </w:t>
      </w:r>
      <w:r w:rsidRPr="004364E7">
        <w:rPr>
          <w:i/>
        </w:rPr>
        <w:t>Lactobacillus</w:t>
      </w:r>
      <w:r>
        <w:t xml:space="preserve">, </w:t>
      </w:r>
      <w:r w:rsidRPr="004364E7">
        <w:rPr>
          <w:i/>
        </w:rPr>
        <w:t>Bifidobac</w:t>
      </w:r>
      <w:r>
        <w:rPr>
          <w:i/>
        </w:rPr>
        <w:t>t</w:t>
      </w:r>
      <w:r w:rsidRPr="004364E7">
        <w:rPr>
          <w:i/>
        </w:rPr>
        <w:t>erium</w:t>
      </w:r>
      <w:r>
        <w:t xml:space="preserve"> and </w:t>
      </w:r>
      <w:r w:rsidRPr="004364E7">
        <w:rPr>
          <w:i/>
        </w:rPr>
        <w:t>Streptococcus</w:t>
      </w:r>
      <w:r>
        <w:t>. The amount of Orthoplex Multiflora provided during trial was also based on attaining a concentration of 4.5 mg L</w:t>
      </w:r>
      <w:r>
        <w:rPr>
          <w:snapToGrid w:val="0"/>
          <w:color w:val="000000"/>
          <w:position w:val="5"/>
          <w:sz w:val="15"/>
          <w:szCs w:val="0"/>
          <w:u w:color="000000"/>
        </w:rPr>
        <w:t>-1</w:t>
      </w:r>
      <w:r>
        <w:t xml:space="preserve"> TOC.</w:t>
      </w:r>
      <w:r w:rsidRPr="001A55CD">
        <w:t xml:space="preserve"> </w:t>
      </w:r>
      <w:r>
        <w:t>Trials were conducted as described above for Nutraplus, including the fortification of the feed ration with calcium pantothenate and Vitamin B12.</w:t>
      </w:r>
    </w:p>
    <w:p w:rsidR="0047118F" w:rsidRDefault="0047118F" w:rsidP="0047118F">
      <w:r>
        <w:t xml:space="preserve">Protexin Professional is a probiotic formulated for veterinary and livestock use containing seven different species of lyophilised bacteria from the genera </w:t>
      </w:r>
      <w:r w:rsidRPr="004364E7">
        <w:rPr>
          <w:i/>
        </w:rPr>
        <w:t>Lactobacillus</w:t>
      </w:r>
      <w:r>
        <w:t xml:space="preserve">, </w:t>
      </w:r>
      <w:r w:rsidRPr="004364E7">
        <w:rPr>
          <w:i/>
        </w:rPr>
        <w:t>Bifidobac</w:t>
      </w:r>
      <w:r>
        <w:rPr>
          <w:i/>
        </w:rPr>
        <w:t>t</w:t>
      </w:r>
      <w:r w:rsidRPr="004364E7">
        <w:rPr>
          <w:i/>
        </w:rPr>
        <w:t>erium</w:t>
      </w:r>
      <w:r>
        <w:rPr>
          <w:i/>
        </w:rPr>
        <w:t>, Enterococcus</w:t>
      </w:r>
      <w:r>
        <w:t xml:space="preserve"> and </w:t>
      </w:r>
      <w:r w:rsidRPr="004364E7">
        <w:rPr>
          <w:i/>
        </w:rPr>
        <w:t>Streptococcus</w:t>
      </w:r>
      <w:r>
        <w:rPr>
          <w:i/>
        </w:rPr>
        <w:t>.</w:t>
      </w:r>
      <w:r>
        <w:t xml:space="preserve"> A similar product, Protexin Aquatic is used by the aquaculture industry to feed to finfish by bioencapsulating the probiotic by feeding to </w:t>
      </w:r>
      <w:r w:rsidRPr="005858CA">
        <w:rPr>
          <w:i/>
        </w:rPr>
        <w:t>Daphnia magna</w:t>
      </w:r>
      <w:r>
        <w:t xml:space="preserve"> which are subsequently eaten by the fish (Faramarzi et al</w:t>
      </w:r>
      <w:r w:rsidR="00AF28CF">
        <w:t>.</w:t>
      </w:r>
      <w:r>
        <w:t xml:space="preserve"> 2011). Unfortunately, Protexin Aquatic is unavailable in Australia.</w:t>
      </w:r>
    </w:p>
    <w:p w:rsidR="0047118F" w:rsidRPr="00005062" w:rsidRDefault="0047118F" w:rsidP="0047118F">
      <w:r>
        <w:t>Protexin Professional was found to contain 210 mg of TOC per gram. In order to estimate the contribution of bacterial cells to the overall organic carbon load, a 50 mgL</w:t>
      </w:r>
      <w:r>
        <w:rPr>
          <w:snapToGrid w:val="0"/>
          <w:color w:val="000000"/>
          <w:position w:val="5"/>
          <w:sz w:val="15"/>
          <w:szCs w:val="0"/>
          <w:u w:color="000000"/>
        </w:rPr>
        <w:t>-1</w:t>
      </w:r>
      <w:r>
        <w:t xml:space="preserve"> suspension (in Milli Q) was filtered through, 0.45, 0.2 and 0.1 </w:t>
      </w:r>
      <w:r w:rsidRPr="00E34CB3">
        <w:rPr>
          <w:rFonts w:ascii="Symbol" w:hAnsi="Symbol"/>
        </w:rPr>
        <w:t></w:t>
      </w:r>
      <w:r>
        <w:t xml:space="preserve">m pore size filters, with pore sizes of </w:t>
      </w:r>
      <w:r>
        <w:sym w:font="Symbol" w:char="F0A3"/>
      </w:r>
      <w:r>
        <w:t xml:space="preserve">0.2 </w:t>
      </w:r>
      <w:r w:rsidRPr="00E34CB3">
        <w:rPr>
          <w:rFonts w:ascii="Symbol" w:hAnsi="Symbol"/>
        </w:rPr>
        <w:t></w:t>
      </w:r>
      <w:r>
        <w:t xml:space="preserve">m being known to remove bacteria cells (Levy 2001). The findings of this exercise (see results below) resulted in a decision being made not to trial this product with </w:t>
      </w:r>
      <w:r w:rsidRPr="00557B6C">
        <w:rPr>
          <w:i/>
        </w:rPr>
        <w:t>M. macleayi</w:t>
      </w:r>
      <w:r>
        <w:t>, but rather to redirect efforts to another product called ‘Platypus Aquaculture’.</w:t>
      </w:r>
    </w:p>
    <w:p w:rsidR="0047118F" w:rsidRPr="003C6C11" w:rsidRDefault="0047118F" w:rsidP="00A6529D">
      <w:pPr>
        <w:pStyle w:val="Heading5"/>
        <w:rPr>
          <w:b/>
          <w:i w:val="0"/>
        </w:rPr>
      </w:pPr>
      <w:r w:rsidRPr="003C6C11">
        <w:rPr>
          <w:b/>
          <w:i w:val="0"/>
        </w:rPr>
        <w:t xml:space="preserve">Trials using commercially available </w:t>
      </w:r>
      <w:r w:rsidRPr="003C6C11">
        <w:rPr>
          <w:b/>
        </w:rPr>
        <w:t>Bacillus</w:t>
      </w:r>
      <w:r w:rsidRPr="003C6C11">
        <w:rPr>
          <w:b/>
          <w:i w:val="0"/>
        </w:rPr>
        <w:t xml:space="preserve"> spore suspension</w:t>
      </w:r>
    </w:p>
    <w:p w:rsidR="0047118F" w:rsidRDefault="0047118F" w:rsidP="0047118F">
      <w:r>
        <w:t xml:space="preserve">‘Platypus Aquaculture’ consists of dormant </w:t>
      </w:r>
      <w:r w:rsidRPr="0025367B">
        <w:rPr>
          <w:i/>
        </w:rPr>
        <w:t>Bacillus</w:t>
      </w:r>
      <w:r>
        <w:t xml:space="preserve"> spores suspended in distilled water with sodium salts and acetic acid. The spores are activated by heat shocking with boiling Milli Q water and then brewing for 4 hours in an aerated cone in the presence of a nutrient powder called ‘Platypus Activate’. In the absence of any other guide for setting the feed ration, the concentration range of brew fed to </w:t>
      </w:r>
      <w:r w:rsidRPr="008067BA">
        <w:rPr>
          <w:i/>
        </w:rPr>
        <w:t>M. macleayi</w:t>
      </w:r>
      <w:r>
        <w:t xml:space="preserve"> during the trial was based on that recommended for use in aquaculture ponds. The brew was prepared following the manufacturer’s instructions, after which a 1:4 dilution was undertaken using ultra-pure water. Six different volumes of this suspension (12, 24, 48, 96, 192 and 384 </w:t>
      </w:r>
      <w:r w:rsidRPr="003251BD">
        <w:rPr>
          <w:rFonts w:ascii="Symbol" w:hAnsi="Symbol"/>
        </w:rPr>
        <w:t></w:t>
      </w:r>
      <w:r>
        <w:t xml:space="preserve">L) were added to 30 mL NMCW in the presence of the regular </w:t>
      </w:r>
      <w:r w:rsidRPr="00CA72BD">
        <w:t>unicellular algal</w:t>
      </w:r>
      <w:r>
        <w:t xml:space="preserve"> ration to make up the different feed treatments. Each treatment consisted of ten vials, each containing an individual cladoceran. A FFV and algal control, as well as</w:t>
      </w:r>
      <w:r w:rsidRPr="006D2F53">
        <w:rPr>
          <w:i/>
        </w:rPr>
        <w:t xml:space="preserve"> </w:t>
      </w:r>
      <w:r w:rsidRPr="00AC7968">
        <w:t>algal-</w:t>
      </w:r>
      <w:r>
        <w:t>only treatment, were included for comparative purposes. The trial was run until the day the cladocerans released their third brood. Cladoceran appearance, survival and neonate production were recorded daily.</w:t>
      </w:r>
    </w:p>
    <w:p w:rsidR="0047118F" w:rsidRDefault="0047118F" w:rsidP="0047118F">
      <w:r>
        <w:t xml:space="preserve">Observation of the brew under ×400 magnification indicated that another larger cell type dominated the final suspension being fed to </w:t>
      </w:r>
      <w:r w:rsidRPr="00772BBB">
        <w:rPr>
          <w:i/>
        </w:rPr>
        <w:t>M. macleayi</w:t>
      </w:r>
      <w:r>
        <w:t xml:space="preserve">. These cells were identified as yeast. The manufacturer confirmed that yeast extract was a primary ingredient in Platypus Activate and that it was possible that some live cells were also present. In order to then establish whether </w:t>
      </w:r>
      <w:r w:rsidRPr="00772BBB">
        <w:rPr>
          <w:i/>
        </w:rPr>
        <w:t>M. macleayi</w:t>
      </w:r>
      <w:r>
        <w:t xml:space="preserve"> were being sustained by yeast rather than </w:t>
      </w:r>
      <w:r w:rsidRPr="00E32D57">
        <w:rPr>
          <w:i/>
        </w:rPr>
        <w:t>Bacillus</w:t>
      </w:r>
      <w:r>
        <w:t xml:space="preserve"> spp. cells, another trial was undertaken where </w:t>
      </w:r>
      <w:r w:rsidRPr="00041D8E">
        <w:rPr>
          <w:i/>
        </w:rPr>
        <w:t>M. macleayi</w:t>
      </w:r>
      <w:r>
        <w:t xml:space="preserve"> were fed the nutrient powder, Platypus Activate, brewed following the same method but in the absence of Platypus Aquaculture. The feeding rate for this small-scale trial was based on the volume of brew that sustained the best cladoceran performance in the Platypus Aquaculture + Activate trial. An additional electronically homogenised treatment was added to determine if greater dispersion of cells made them more available to </w:t>
      </w:r>
      <w:r w:rsidRPr="000C6EF0">
        <w:rPr>
          <w:i/>
        </w:rPr>
        <w:t>M. macleayi</w:t>
      </w:r>
      <w:r>
        <w:t>.</w:t>
      </w:r>
    </w:p>
    <w:p w:rsidR="0047118F" w:rsidRDefault="0047118F" w:rsidP="0047118F">
      <w:r>
        <w:t xml:space="preserve">The viability of </w:t>
      </w:r>
      <w:r w:rsidRPr="00541E43">
        <w:rPr>
          <w:i/>
        </w:rPr>
        <w:t>Bacillus</w:t>
      </w:r>
      <w:r>
        <w:t xml:space="preserve"> spp. spores in the Platypus Aquaculture product was tested by heating shocking and inoculation into Nutrient Broth, a general microbiological medium. This exercise confirmed cell viability through good growth over ~72 h (Figure 1) and visual confirmation of rod and elliptical shaped cells under ×1000 magnification.</w:t>
      </w:r>
    </w:p>
    <w:p w:rsidR="0047118F" w:rsidRDefault="0047118F" w:rsidP="0047118F">
      <w:pPr>
        <w:jc w:val="center"/>
      </w:pPr>
      <w:r w:rsidRPr="00F834BA">
        <w:rPr>
          <w:noProof/>
          <w:lang w:eastAsia="en-AU"/>
        </w:rPr>
        <w:drawing>
          <wp:inline distT="0" distB="0" distL="0" distR="0">
            <wp:extent cx="3126981" cy="2232248"/>
            <wp:effectExtent l="19050" t="0" r="0" b="0"/>
            <wp:docPr id="4" name="Picture 2"/>
            <wp:cNvGraphicFramePr/>
            <a:graphic xmlns:a="http://schemas.openxmlformats.org/drawingml/2006/main">
              <a:graphicData uri="http://schemas.openxmlformats.org/drawingml/2006/picture">
                <pic:pic xmlns:pic="http://schemas.openxmlformats.org/drawingml/2006/picture">
                  <pic:nvPicPr>
                    <pic:cNvPr id="32791" name="Picture 23"/>
                    <pic:cNvPicPr>
                      <a:picLocks noChangeAspect="1" noChangeArrowheads="1"/>
                    </pic:cNvPicPr>
                  </pic:nvPicPr>
                  <pic:blipFill>
                    <a:blip r:embed="rId64" cstate="screen"/>
                    <a:srcRect/>
                    <a:stretch>
                      <a:fillRect/>
                    </a:stretch>
                  </pic:blipFill>
                  <pic:spPr bwMode="auto">
                    <a:xfrm>
                      <a:off x="0" y="0"/>
                      <a:ext cx="3126981" cy="2232248"/>
                    </a:xfrm>
                    <a:prstGeom prst="rect">
                      <a:avLst/>
                    </a:prstGeom>
                    <a:noFill/>
                    <a:ln w="9525">
                      <a:noFill/>
                      <a:miter lim="800000"/>
                      <a:headEnd/>
                      <a:tailEnd/>
                    </a:ln>
                    <a:effectLst/>
                  </pic:spPr>
                </pic:pic>
              </a:graphicData>
            </a:graphic>
          </wp:inline>
        </w:drawing>
      </w:r>
    </w:p>
    <w:p w:rsidR="0047118F" w:rsidRDefault="0047118F" w:rsidP="0047118F">
      <w:pPr>
        <w:pStyle w:val="figurecaption"/>
      </w:pPr>
      <w:r w:rsidRPr="00506B4F">
        <w:rPr>
          <w:b/>
        </w:rPr>
        <w:t xml:space="preserve">Figure </w:t>
      </w:r>
      <w:proofErr w:type="gramStart"/>
      <w:r w:rsidRPr="00506B4F">
        <w:rPr>
          <w:b/>
        </w:rPr>
        <w:t>1</w:t>
      </w:r>
      <w:r>
        <w:t xml:space="preserve">  Platypus</w:t>
      </w:r>
      <w:proofErr w:type="gramEnd"/>
      <w:r>
        <w:t xml:space="preserve"> </w:t>
      </w:r>
      <w:r w:rsidRPr="003763BD">
        <w:rPr>
          <w:i/>
        </w:rPr>
        <w:t>Bacillus</w:t>
      </w:r>
      <w:r>
        <w:t xml:space="preserve"> spores cultured in nutrient broth. Note the clarity of the un-inoculated medium on the left and the cloudiness of the other two that were inoculated with spores.</w:t>
      </w:r>
    </w:p>
    <w:p w:rsidR="0047118F" w:rsidRDefault="0047118F" w:rsidP="0047118F">
      <w:r>
        <w:t xml:space="preserve">A third trial was conducted where </w:t>
      </w:r>
      <w:r w:rsidRPr="00E75A53">
        <w:rPr>
          <w:i/>
        </w:rPr>
        <w:t>M. macleayi</w:t>
      </w:r>
      <w:r>
        <w:t xml:space="preserve"> were fed Platypus Aquaculture grown in a standard microbial nutrient broth in the absence of Platypus Activate in order to determine the relative contribution of the </w:t>
      </w:r>
      <w:r w:rsidRPr="006215B3">
        <w:rPr>
          <w:i/>
        </w:rPr>
        <w:t>Bacillus</w:t>
      </w:r>
      <w:r>
        <w:t xml:space="preserve"> spp. cells to cladoceran health. Five mL of Platypus Aquaculture was heat shocked in 100 mL of boiling ultra-pure water and 100 </w:t>
      </w:r>
      <w:r w:rsidRPr="001B3807">
        <w:rPr>
          <w:rFonts w:ascii="Symbol" w:hAnsi="Symbol"/>
        </w:rPr>
        <w:t></w:t>
      </w:r>
      <w:r>
        <w:t xml:space="preserve">L of this suspension was added to 40 mL of nutrient broth. A 1:10 dilution of the ~50 h old culture was undertaken and a range of volumes (12, 24, 48, 96, 192 and 384 </w:t>
      </w:r>
      <w:r w:rsidRPr="001B3807">
        <w:rPr>
          <w:rFonts w:ascii="Symbol" w:hAnsi="Symbol"/>
        </w:rPr>
        <w:t></w:t>
      </w:r>
      <w:r>
        <w:t xml:space="preserve">L) trialled in the presence of the regular algal ration. Observations of </w:t>
      </w:r>
      <w:r>
        <w:rPr>
          <w:i/>
        </w:rPr>
        <w:t>M. macleayi</w:t>
      </w:r>
      <w:r>
        <w:t xml:space="preserve"> health were recorded as described above.</w:t>
      </w:r>
    </w:p>
    <w:p w:rsidR="0047118F" w:rsidRDefault="0047118F" w:rsidP="005D0894">
      <w:pPr>
        <w:pStyle w:val="Heading2"/>
      </w:pPr>
      <w:r>
        <w:t>Results and Discussion</w:t>
      </w:r>
    </w:p>
    <w:p w:rsidR="0047118F" w:rsidRDefault="0047118F" w:rsidP="004726C2">
      <w:pPr>
        <w:pStyle w:val="Heading3"/>
      </w:pPr>
      <w:r>
        <w:t>Off-the-shelf food products</w:t>
      </w:r>
    </w:p>
    <w:p w:rsidR="0047118F" w:rsidRDefault="0047118F" w:rsidP="00587E07">
      <w:pPr>
        <w:pStyle w:val="Heading4"/>
      </w:pPr>
      <w:r>
        <w:t>Nutraplus</w:t>
      </w:r>
    </w:p>
    <w:p w:rsidR="0047118F" w:rsidRDefault="0047118F" w:rsidP="0047118F">
      <w:r>
        <w:t xml:space="preserve">All twelve </w:t>
      </w:r>
      <w:r w:rsidRPr="007C4712">
        <w:rPr>
          <w:i/>
        </w:rPr>
        <w:t>M. macleayi</w:t>
      </w:r>
      <w:r>
        <w:t xml:space="preserve"> died within 24 h in the 1:1000 </w:t>
      </w:r>
      <w:proofErr w:type="gramStart"/>
      <w:r>
        <w:t>dilution</w:t>
      </w:r>
      <w:proofErr w:type="gramEnd"/>
      <w:r>
        <w:t xml:space="preserve"> and within 48 h in the 1:2000 dilution.</w:t>
      </w:r>
    </w:p>
    <w:p w:rsidR="0047118F" w:rsidRDefault="0047118F" w:rsidP="0047118F">
      <w:r>
        <w:t xml:space="preserve">Both the 1:1000 and 1:2000 Nutraplus feeding rates resulted in orange tinted waters with a high amount of large particulate matter and electrical conductivities of 295 and 564 </w:t>
      </w:r>
      <w:r w:rsidRPr="00003685">
        <w:rPr>
          <w:rFonts w:ascii="Symbol" w:hAnsi="Symbol"/>
        </w:rPr>
        <w:t></w:t>
      </w:r>
      <w:r>
        <w:t>S cm</w:t>
      </w:r>
      <w:r w:rsidRPr="00003685">
        <w:rPr>
          <w:snapToGrid w:val="0"/>
          <w:color w:val="000000"/>
          <w:position w:val="5"/>
          <w:sz w:val="15"/>
          <w:szCs w:val="0"/>
          <w:u w:color="000000"/>
        </w:rPr>
        <w:t>-1</w:t>
      </w:r>
      <w:r>
        <w:rPr>
          <w:snapToGrid w:val="0"/>
          <w:color w:val="000000"/>
          <w:szCs w:val="0"/>
          <w:u w:color="000000"/>
        </w:rPr>
        <w:t>,</w:t>
      </w:r>
      <w:r>
        <w:t xml:space="preserve"> respectively. Homogenisation using a hand held tissue grinder did not disperse the large particles.</w:t>
      </w:r>
    </w:p>
    <w:p w:rsidR="0047118F" w:rsidRPr="00005062" w:rsidRDefault="0047118F" w:rsidP="0047118F">
      <w:r>
        <w:t xml:space="preserve">Greater dilutions of Nutraplus could have been trialled but considering the amount of large particulate material and that </w:t>
      </w:r>
      <w:r w:rsidRPr="00E8194D">
        <w:rPr>
          <w:i/>
        </w:rPr>
        <w:t>M. macleayi</w:t>
      </w:r>
      <w:r>
        <w:t xml:space="preserve"> are thought to require a bacterial component to their diet, it was decided to trial other products rather than continue further trials with this product.</w:t>
      </w:r>
    </w:p>
    <w:p w:rsidR="0047118F" w:rsidRDefault="0047118F" w:rsidP="004726C2">
      <w:pPr>
        <w:pStyle w:val="Heading4"/>
      </w:pPr>
      <w:r>
        <w:t>Yeast</w:t>
      </w:r>
    </w:p>
    <w:p w:rsidR="0047118F" w:rsidRDefault="0047118F" w:rsidP="0047118F">
      <w:r>
        <w:t>The</w:t>
      </w:r>
      <w:r w:rsidRPr="008E159C">
        <w:rPr>
          <w:i/>
        </w:rPr>
        <w:t xml:space="preserve"> </w:t>
      </w:r>
      <w:r w:rsidRPr="00E8194D">
        <w:rPr>
          <w:i/>
        </w:rPr>
        <w:t>M. macleayi</w:t>
      </w:r>
      <w:r>
        <w:t xml:space="preserve"> fed on yeast appeared healthy (based on size, colour and mobility) for the first two days of the trial. By the third day, at which point the adults were having their first brood, they still appeared healthy but neonate counts were approximately 20% lower than the controls. At the time of the second brood, neonate counts were similar to control but the health of the adults was poor, with only 5/12 surviving. The following day the remaining adults had also died.</w:t>
      </w:r>
    </w:p>
    <w:p w:rsidR="0047118F" w:rsidRPr="00005062" w:rsidRDefault="0047118F" w:rsidP="004726C2">
      <w:pPr>
        <w:pStyle w:val="Heading4"/>
      </w:pPr>
      <w:r>
        <w:t>Probiotics</w:t>
      </w:r>
    </w:p>
    <w:p w:rsidR="0047118F" w:rsidRDefault="0047118F" w:rsidP="0047118F">
      <w:r w:rsidRPr="00C858A9">
        <w:rPr>
          <w:i/>
        </w:rPr>
        <w:t>Moinodaphnia macleayi</w:t>
      </w:r>
      <w:r>
        <w:t xml:space="preserve"> fed Orthoplex Multiflora appeared healthy until they had their first brood, at which point they were paler and smaller than the FFV fed culture. Only 3/12 survived and none had produced a second brood when the control treatment had all had their second brood. The following day the remaining probiotic-fed adults had also died.</w:t>
      </w:r>
    </w:p>
    <w:p w:rsidR="0047118F" w:rsidRPr="00005062" w:rsidRDefault="0047118F" w:rsidP="0047118F">
      <w:r>
        <w:t>The exercise involving the filtration of Protexin Professional demonstrated that the contribution of bacteria cells to the overall TOC load was negligible (i</w:t>
      </w:r>
      <w:r w:rsidR="00AF28CF">
        <w:t>.</w:t>
      </w:r>
      <w:r>
        <w:t xml:space="preserve">e. 100% of the TOC passed through all filters down to 0.1 </w:t>
      </w:r>
      <w:r w:rsidRPr="00A11AC7">
        <w:rPr>
          <w:rFonts w:ascii="Symbol" w:hAnsi="Symbol"/>
        </w:rPr>
        <w:t></w:t>
      </w:r>
      <w:r>
        <w:t xml:space="preserve">m pore size). This initiated a conversation with the manufacturer (International Animal Health Products, IAH) who confirmed that the bulk of the product consisted of a soluble carbohydrate carrier. Given that one of the primary aims of this study was to find a food source that would have minimal effects on the bioavailability of toxicants during testing, a decision was made not to trial Protexin Professional in the </w:t>
      </w:r>
      <w:r w:rsidRPr="005D760C">
        <w:rPr>
          <w:i/>
        </w:rPr>
        <w:t>M. macleayi</w:t>
      </w:r>
      <w:r>
        <w:t xml:space="preserve"> culture. On the advice of the IAH microbiologist an alternative product, that consisted of suspended dormant spores of </w:t>
      </w:r>
      <w:r w:rsidRPr="001E1650">
        <w:rPr>
          <w:i/>
        </w:rPr>
        <w:t>Bacillus</w:t>
      </w:r>
      <w:r>
        <w:t xml:space="preserve"> spp., was trialled instead.</w:t>
      </w:r>
    </w:p>
    <w:p w:rsidR="0047118F" w:rsidRDefault="0047118F" w:rsidP="004726C2">
      <w:pPr>
        <w:pStyle w:val="Heading3"/>
      </w:pPr>
      <w:r>
        <w:t xml:space="preserve">Trials using commercially available </w:t>
      </w:r>
      <w:r w:rsidRPr="003C6C11">
        <w:rPr>
          <w:i/>
        </w:rPr>
        <w:t>Bacillus</w:t>
      </w:r>
      <w:r>
        <w:t xml:space="preserve"> spore suspension</w:t>
      </w:r>
    </w:p>
    <w:p w:rsidR="0047118F" w:rsidRDefault="0047118F" w:rsidP="004726C2">
      <w:pPr>
        <w:pStyle w:val="Heading4"/>
      </w:pPr>
      <w:r>
        <w:t xml:space="preserve">Platypus </w:t>
      </w:r>
      <w:r w:rsidRPr="00A4201E">
        <w:rPr>
          <w:i/>
        </w:rPr>
        <w:t>Bacillus</w:t>
      </w:r>
      <w:r>
        <w:t xml:space="preserve"> spores in Activate medium</w:t>
      </w:r>
    </w:p>
    <w:p w:rsidR="0047118F" w:rsidRPr="006C1D33" w:rsidRDefault="0047118F" w:rsidP="0047118F">
      <w:r w:rsidRPr="00AD6627">
        <w:t>Survival of</w:t>
      </w:r>
      <w:r>
        <w:rPr>
          <w:i/>
        </w:rPr>
        <w:t xml:space="preserve"> M.</w:t>
      </w:r>
      <w:r w:rsidRPr="00A06118">
        <w:rPr>
          <w:i/>
        </w:rPr>
        <w:t xml:space="preserve"> macleayi</w:t>
      </w:r>
      <w:r>
        <w:t xml:space="preserve"> was good up to a ration of 192 </w:t>
      </w:r>
      <w:r w:rsidRPr="00A06118">
        <w:rPr>
          <w:rFonts w:ascii="Symbol" w:hAnsi="Symbol"/>
        </w:rPr>
        <w:t></w:t>
      </w:r>
      <w:r>
        <w:t xml:space="preserve">L of Platypus Aquaculture + Activate (Figure 2). Neonate production was greatest at the 48 </w:t>
      </w:r>
      <w:r w:rsidRPr="00A06118">
        <w:rPr>
          <w:rFonts w:ascii="Symbol" w:hAnsi="Symbol"/>
        </w:rPr>
        <w:t></w:t>
      </w:r>
      <w:r>
        <w:t xml:space="preserve">L treatment where the average number of neonates per individual was approximately 20% lower than the control treatment. The total organic carbon content of Platypus Aquaculture + Activate at this ration was only 0.4 mg/L TOC, suggesting that the potential for this food product to ameliorate U toxicity may be lower than FFV. Neonate numbers in the 12–96 </w:t>
      </w:r>
      <w:r w:rsidRPr="00A06118">
        <w:rPr>
          <w:rFonts w:ascii="Symbol" w:hAnsi="Symbol"/>
        </w:rPr>
        <w:t></w:t>
      </w:r>
      <w:r>
        <w:t xml:space="preserve">L treatments were higher than in the algal–only treatment indicating that the Platypus brew was nutritionally beneficial. While performance of </w:t>
      </w:r>
      <w:r w:rsidRPr="007C4712">
        <w:rPr>
          <w:i/>
        </w:rPr>
        <w:t>M. macleayi</w:t>
      </w:r>
      <w:r>
        <w:t xml:space="preserve"> fed Platypus did not meet the acceptability criteria for neonate production in a three brood reproduction test using this species (i</w:t>
      </w:r>
      <w:r w:rsidR="00925262">
        <w:t>.</w:t>
      </w:r>
      <w:r>
        <w:t>e. control reproduction ≥ 30 neonates per individual), they did reasonably well overall and it was thought that further optimisation of the diet (e.g. homogenising the brew to improve cell dispersion) may further improve cladoceran health.</w:t>
      </w:r>
    </w:p>
    <w:p w:rsidR="0047118F" w:rsidRDefault="0047118F" w:rsidP="0047118F">
      <w:pPr>
        <w:pStyle w:val="figurecaption"/>
      </w:pPr>
      <w:r>
        <w:object w:dxaOrig="8617" w:dyaOrig="7659">
          <v:shape id="_x0000_i1028" type="#_x0000_t75" style="width:429.2pt;height:385.25pt" o:ole="" o:allowoverlap="f" fillcolor="#4f81bd">
            <v:imagedata r:id="rId65" o:title=""/>
          </v:shape>
          <o:OLEObject Type="Embed" ProgID="SigmaPlotGraphicObject.12" ShapeID="_x0000_i1028" DrawAspect="Content" ObjectID="_1496667991" r:id="rId66"/>
        </w:object>
      </w:r>
      <w:r w:rsidRPr="007C4712">
        <w:rPr>
          <w:b/>
        </w:rPr>
        <w:t xml:space="preserve">Figure </w:t>
      </w:r>
      <w:proofErr w:type="gramStart"/>
      <w:r>
        <w:rPr>
          <w:b/>
        </w:rPr>
        <w:t>2</w:t>
      </w:r>
      <w:r>
        <w:t xml:space="preserve">  Response</w:t>
      </w:r>
      <w:proofErr w:type="gramEnd"/>
      <w:r>
        <w:t xml:space="preserve"> of </w:t>
      </w:r>
      <w:r>
        <w:rPr>
          <w:i/>
        </w:rPr>
        <w:t>M.</w:t>
      </w:r>
      <w:r w:rsidRPr="00F7199D">
        <w:rPr>
          <w:i/>
        </w:rPr>
        <w:t xml:space="preserve"> macleayi</w:t>
      </w:r>
      <w:r>
        <w:t xml:space="preserve"> to different food rations. The light grey bar represents the neonate production of the cladocera fed the regular food ration of FFV and unicellular algae; the dotted grey bar represents the regular algal ration in the absence of FFV; and the dark bars represent different volumes of Platypus </w:t>
      </w:r>
      <w:r w:rsidRPr="00F7199D">
        <w:rPr>
          <w:i/>
        </w:rPr>
        <w:t>Bacillus</w:t>
      </w:r>
      <w:r>
        <w:t xml:space="preserve"> spores in activate medium provided in combination with the regular algal ration. The numbers above the bars indicate the number (out of ten) cladocera surviving until the end of the test.</w:t>
      </w:r>
    </w:p>
    <w:p w:rsidR="0047118F" w:rsidRDefault="0047118F" w:rsidP="004726C2">
      <w:pPr>
        <w:pStyle w:val="Heading4"/>
      </w:pPr>
      <w:r>
        <w:t>Activate medium only</w:t>
      </w:r>
    </w:p>
    <w:p w:rsidR="0047118F" w:rsidRPr="00A4201E" w:rsidRDefault="0047118F" w:rsidP="00780176">
      <w:r>
        <w:t>A Platypus Activate-only trial was conducted to determine if the yeast cells identified in the nutrient powder were being utilised by the cladocera</w:t>
      </w:r>
      <w:r w:rsidRPr="00226B50">
        <w:t xml:space="preserve"> </w:t>
      </w:r>
      <w:r>
        <w:t xml:space="preserve">rather than the </w:t>
      </w:r>
      <w:r w:rsidRPr="00226B50">
        <w:rPr>
          <w:i/>
        </w:rPr>
        <w:t>Bacillus</w:t>
      </w:r>
      <w:r>
        <w:t xml:space="preserve"> spp. cells in the Platypus Aquaculture product. None of the </w:t>
      </w:r>
      <w:r w:rsidRPr="003024F3">
        <w:rPr>
          <w:i/>
        </w:rPr>
        <w:t>M. macleayi</w:t>
      </w:r>
      <w:r>
        <w:t xml:space="preserve"> survived through to their third brood when only fed Platypus Activate (Figure 3). Similarly, neonate production was very low with 6 and 7 neonates per individual for the unmodified and homogenised treatments, respectively. Note that cladoceran culture health in the ecotoxicology laboratory had declined and the control performance did not meet the acceptability criteria (see section ‘Current culture condition’ below). As such, this experiment will be repeated, with a greater number of treatments, when the culture health becomes more reliable.</w:t>
      </w:r>
    </w:p>
    <w:p w:rsidR="0047118F" w:rsidRDefault="0047118F" w:rsidP="0047118F">
      <w:r>
        <w:object w:dxaOrig="8617" w:dyaOrig="8016">
          <v:shape id="_x0000_i1029" type="#_x0000_t75" style="width:415.15pt;height:387.1pt" o:ole="" o:allowoverlap="f" fillcolor="#4f81bd">
            <v:imagedata r:id="rId67" o:title=""/>
          </v:shape>
          <o:OLEObject Type="Embed" ProgID="SigmaPlotGraphicObject.12" ShapeID="_x0000_i1029" DrawAspect="Content" ObjectID="_1496667992" r:id="rId68"/>
        </w:object>
      </w:r>
    </w:p>
    <w:p w:rsidR="0047118F" w:rsidRDefault="0047118F" w:rsidP="0047118F">
      <w:pPr>
        <w:pStyle w:val="figurecaption"/>
      </w:pPr>
      <w:r w:rsidRPr="007C4712">
        <w:rPr>
          <w:b/>
        </w:rPr>
        <w:t xml:space="preserve">Figure </w:t>
      </w:r>
      <w:proofErr w:type="gramStart"/>
      <w:r>
        <w:rPr>
          <w:b/>
        </w:rPr>
        <w:t>3</w:t>
      </w:r>
      <w:r>
        <w:t xml:space="preserve">  Response</w:t>
      </w:r>
      <w:proofErr w:type="gramEnd"/>
      <w:r>
        <w:t xml:space="preserve"> of </w:t>
      </w:r>
      <w:r w:rsidRPr="000C374B">
        <w:rPr>
          <w:i/>
        </w:rPr>
        <w:t>M. macleayi</w:t>
      </w:r>
      <w:r>
        <w:t xml:space="preserve"> to Platypus Activate medium only, prepared in the same manner as the activated </w:t>
      </w:r>
      <w:r w:rsidRPr="000C374B">
        <w:rPr>
          <w:i/>
        </w:rPr>
        <w:t>Bacillus</w:t>
      </w:r>
      <w:r>
        <w:t xml:space="preserve"> spp. spores. The light grey bar represents the neonate production of the cladocera fed the regular food ration of FFV and algae; the cross-hatched bars represent the volume of Activate medium that was equivalent to the best performing treatment of activated </w:t>
      </w:r>
      <w:r w:rsidRPr="002F2763">
        <w:rPr>
          <w:i/>
        </w:rPr>
        <w:t>Bacillus</w:t>
      </w:r>
      <w:r>
        <w:t xml:space="preserve"> spp. spores in the previous experiment. ‘Unmod’ indicates that the brew was fed to the cladocera in an unmodified form; ‘homog’ indicates that the Activate medium was electronically homogenised prior to feeding. The numbers above the bars indicate the number (out of ten) cladocera surviving until the end of the test.</w:t>
      </w:r>
    </w:p>
    <w:p w:rsidR="0047118F" w:rsidRDefault="0047118F" w:rsidP="004726C2">
      <w:pPr>
        <w:pStyle w:val="Heading4"/>
      </w:pPr>
      <w:r>
        <w:t xml:space="preserve">Platypus </w:t>
      </w:r>
      <w:r w:rsidRPr="00A4201E">
        <w:rPr>
          <w:i/>
        </w:rPr>
        <w:t>Bacillus</w:t>
      </w:r>
      <w:r>
        <w:t xml:space="preserve"> spores cultured in nutrient broth</w:t>
      </w:r>
    </w:p>
    <w:p w:rsidR="0047118F" w:rsidRPr="001550CD" w:rsidRDefault="0047118F" w:rsidP="0047118F">
      <w:r w:rsidRPr="006D54A1">
        <w:rPr>
          <w:i/>
        </w:rPr>
        <w:t>Moinodaphnia macleayi</w:t>
      </w:r>
      <w:r>
        <w:t xml:space="preserve"> fed Platypus Aquaculture </w:t>
      </w:r>
      <w:r w:rsidRPr="002A1759">
        <w:rPr>
          <w:i/>
        </w:rPr>
        <w:t>Bacillus</w:t>
      </w:r>
      <w:r>
        <w:t xml:space="preserve"> spp. grown in nutrient broth performed similarly to the FFV control (Figure 4), indicating that </w:t>
      </w:r>
      <w:r w:rsidRPr="00FD7694">
        <w:rPr>
          <w:i/>
        </w:rPr>
        <w:t>Bacillus</w:t>
      </w:r>
      <w:r>
        <w:t xml:space="preserve"> cells may support cladoceran survival and reproduction. However, control performance did not meet the acceptability criteria for neonate production or survival so this test requires repeating. Interestingly, </w:t>
      </w:r>
      <w:r w:rsidRPr="00B628D5">
        <w:rPr>
          <w:i/>
        </w:rPr>
        <w:t>M. macleayi</w:t>
      </w:r>
      <w:r>
        <w:t xml:space="preserve"> fed the algal-only diet out-performed all other treatments, possibly because the provision of sub-optimal FFV for an extended period had caused the cladocera to adapt to this food source alone.</w:t>
      </w:r>
    </w:p>
    <w:p w:rsidR="0047118F" w:rsidRDefault="0047118F" w:rsidP="0047118F">
      <w:pPr>
        <w:pStyle w:val="figurecaption"/>
      </w:pPr>
      <w:r>
        <w:object w:dxaOrig="8617" w:dyaOrig="7659">
          <v:shape id="_x0000_i1030" type="#_x0000_t75" style="width:429.2pt;height:385.25pt" o:ole="" o:allowoverlap="f" fillcolor="#4f81bd">
            <v:imagedata r:id="rId69" o:title=""/>
          </v:shape>
          <o:OLEObject Type="Embed" ProgID="SigmaPlotGraphicObject.12" ShapeID="_x0000_i1030" DrawAspect="Content" ObjectID="_1496667993" r:id="rId70"/>
        </w:object>
      </w:r>
      <w:r w:rsidRPr="007C4712">
        <w:rPr>
          <w:b/>
        </w:rPr>
        <w:t xml:space="preserve">Figure </w:t>
      </w:r>
      <w:proofErr w:type="gramStart"/>
      <w:r>
        <w:rPr>
          <w:b/>
        </w:rPr>
        <w:t>4</w:t>
      </w:r>
      <w:r>
        <w:t xml:space="preserve">  Response</w:t>
      </w:r>
      <w:proofErr w:type="gramEnd"/>
      <w:r>
        <w:t xml:space="preserve"> of </w:t>
      </w:r>
      <w:r w:rsidRPr="007C02DA">
        <w:rPr>
          <w:i/>
        </w:rPr>
        <w:t>M</w:t>
      </w:r>
      <w:r>
        <w:rPr>
          <w:i/>
        </w:rPr>
        <w:t>.</w:t>
      </w:r>
      <w:r w:rsidRPr="007C02DA">
        <w:rPr>
          <w:i/>
        </w:rPr>
        <w:t xml:space="preserve"> macleayi </w:t>
      </w:r>
      <w:r>
        <w:t>to different food rations. The light grey bar represents the regular FFV control. The numbers above the bars indicate the number (out of nine or ten) cladocera surviving until the end of the test.</w:t>
      </w:r>
    </w:p>
    <w:p w:rsidR="0047118F" w:rsidRDefault="0047118F" w:rsidP="00E479BD">
      <w:pPr>
        <w:pStyle w:val="Heading3"/>
        <w:spacing w:before="120"/>
      </w:pPr>
      <w:r>
        <w:t>Current culture condition</w:t>
      </w:r>
    </w:p>
    <w:p w:rsidR="0047118F" w:rsidRPr="00E479BD" w:rsidRDefault="0047118F" w:rsidP="0047118F">
      <w:pPr>
        <w:rPr>
          <w:spacing w:val="-2"/>
        </w:rPr>
      </w:pPr>
      <w:r w:rsidRPr="00E479BD">
        <w:rPr>
          <w:spacing w:val="-2"/>
        </w:rPr>
        <w:t xml:space="preserve">The health of the </w:t>
      </w:r>
      <w:r w:rsidRPr="00E479BD">
        <w:rPr>
          <w:rFonts w:ascii="Times New Roman" w:hAnsi="Times New Roman"/>
          <w:b/>
          <w:i/>
          <w:spacing w:val="-2"/>
          <w:sz w:val="26"/>
        </w:rPr>
        <w:t>eriss</w:t>
      </w:r>
      <w:r w:rsidRPr="00E479BD">
        <w:rPr>
          <w:rFonts w:ascii="Times New Roman" w:hAnsi="Times New Roman"/>
          <w:spacing w:val="-2"/>
        </w:rPr>
        <w:t xml:space="preserve"> </w:t>
      </w:r>
      <w:r w:rsidRPr="00E479BD">
        <w:rPr>
          <w:spacing w:val="-2"/>
        </w:rPr>
        <w:t>cladoceran culture periodically experiences short-term declines in culture health. However, since April 2014, an extended period of less than optimal neonate production and percent survival at their third brood has been experienced with this culture (Figure 5). Despite a large amount of effort to find a batch of FFV that improves cladoceran performance, a resolution to this issue has not yet been found.</w:t>
      </w:r>
    </w:p>
    <w:p w:rsidR="0047118F" w:rsidRPr="00E479BD" w:rsidRDefault="0047118F" w:rsidP="0047118F">
      <w:pPr>
        <w:rPr>
          <w:spacing w:val="-2"/>
        </w:rPr>
      </w:pPr>
      <w:r w:rsidRPr="00E479BD">
        <w:rPr>
          <w:spacing w:val="-2"/>
        </w:rPr>
        <w:t>Many more tests have been conducted than those reported above (e</w:t>
      </w:r>
      <w:r w:rsidR="00AF28CF" w:rsidRPr="00E479BD">
        <w:rPr>
          <w:spacing w:val="-2"/>
        </w:rPr>
        <w:t>.</w:t>
      </w:r>
      <w:r w:rsidRPr="00E479BD">
        <w:rPr>
          <w:spacing w:val="-2"/>
        </w:rPr>
        <w:t>g. 8 toxicity tests to investigate the Platypus products while only the results of three have been presented in this summary)</w:t>
      </w:r>
      <w:proofErr w:type="gramStart"/>
      <w:r w:rsidRPr="00E479BD">
        <w:rPr>
          <w:spacing w:val="-2"/>
        </w:rPr>
        <w:t>,</w:t>
      </w:r>
      <w:proofErr w:type="gramEnd"/>
      <w:r w:rsidRPr="00E479BD">
        <w:rPr>
          <w:spacing w:val="-2"/>
        </w:rPr>
        <w:t xml:space="preserve"> however, their quality has not been sufficient to draw any conclusions.</w:t>
      </w:r>
    </w:p>
    <w:p w:rsidR="0047118F" w:rsidRPr="00E479BD" w:rsidRDefault="0047118F" w:rsidP="0047118F">
      <w:pPr>
        <w:rPr>
          <w:spacing w:val="-2"/>
        </w:rPr>
      </w:pPr>
      <w:r w:rsidRPr="00E479BD">
        <w:rPr>
          <w:spacing w:val="-2"/>
        </w:rPr>
        <w:t xml:space="preserve">A decision has recently been made to re-stock the laboratory culture with wild </w:t>
      </w:r>
      <w:r w:rsidRPr="00E479BD">
        <w:rPr>
          <w:i/>
          <w:spacing w:val="-2"/>
        </w:rPr>
        <w:t>M. macleayi</w:t>
      </w:r>
      <w:r w:rsidRPr="00E479BD">
        <w:rPr>
          <w:spacing w:val="-2"/>
        </w:rPr>
        <w:t>, as it is possible that the culture is so nutritionally deplete that it is not responding when provided with suitable conditions.</w:t>
      </w:r>
    </w:p>
    <w:p w:rsidR="0047118F" w:rsidRPr="00697E8D" w:rsidRDefault="006B5A61" w:rsidP="0047118F">
      <w:r>
        <w:rPr>
          <w:noProof/>
          <w:lang w:eastAsia="en-AU"/>
        </w:rPr>
        <w:pict>
          <v:oval id="_x0000_s1028" style="position:absolute;left:0;text-align:left;margin-left:53.85pt;margin-top:105pt;width:69.75pt;height:110.25pt;z-index:251648000;mso-position-horizontal:absolute" filled="f"/>
        </w:pict>
      </w:r>
      <w:r>
        <w:rPr>
          <w:noProof/>
          <w:lang w:eastAsia="en-AU"/>
        </w:rPr>
        <w:pict>
          <v:oval id="_x0000_s1029" style="position:absolute;left:0;text-align:left;margin-left:284.25pt;margin-top:108.75pt;width:81pt;height:142.5pt;z-index:251649024" filled="f"/>
        </w:pict>
      </w:r>
      <w:r>
        <w:rPr>
          <w:noProof/>
          <w:lang w:eastAsia="en-AU"/>
        </w:rPr>
        <w:pict>
          <v:shape id="_x0000_s1027" type="#_x0000_t202" style="position:absolute;left:0;text-align:left;margin-left:260.75pt;margin-top:290.9pt;width:46.75pt;height:27.95pt;z-index:251650048;mso-height-percent:200;mso-height-percent:200;mso-width-relative:margin;mso-height-relative:margin" strokecolor="white [3212]">
            <v:textbox style="mso-next-textbox:#_x0000_s1027;mso-fit-shape-to-text:t">
              <w:txbxContent>
                <w:p w:rsidR="00F260FF" w:rsidRPr="00F412FA" w:rsidRDefault="00F260FF" w:rsidP="0047118F">
                  <w:pPr>
                    <w:rPr>
                      <w:rFonts w:ascii="Arial" w:hAnsi="Arial" w:cs="Arial"/>
                      <w:sz w:val="18"/>
                      <w:szCs w:val="18"/>
                    </w:rPr>
                  </w:pPr>
                  <w:r w:rsidRPr="00F412FA">
                    <w:rPr>
                      <w:rFonts w:ascii="Arial" w:hAnsi="Arial" w:cs="Arial"/>
                      <w:sz w:val="18"/>
                      <w:szCs w:val="18"/>
                    </w:rPr>
                    <w:t>2014</w:t>
                  </w:r>
                </w:p>
              </w:txbxContent>
            </v:textbox>
          </v:shape>
        </w:pict>
      </w:r>
      <w:r w:rsidRPr="006B5A61">
        <w:rPr>
          <w:noProof/>
          <w:lang w:val="en-US" w:eastAsia="zh-TW"/>
        </w:rPr>
        <w:pict>
          <v:shape id="_x0000_s1026" type="#_x0000_t202" style="position:absolute;left:0;text-align:left;margin-left:112.25pt;margin-top:290.5pt;width:46.75pt;height:27.95pt;z-index:251651072;mso-height-percent:200;mso-height-percent:200;mso-width-relative:margin;mso-height-relative:margin" strokecolor="white [3212]">
            <v:textbox style="mso-next-textbox:#_x0000_s1026;mso-fit-shape-to-text:t">
              <w:txbxContent>
                <w:p w:rsidR="00F260FF" w:rsidRPr="00F412FA" w:rsidRDefault="00F260FF" w:rsidP="0047118F">
                  <w:pPr>
                    <w:rPr>
                      <w:rFonts w:ascii="Arial" w:hAnsi="Arial" w:cs="Arial"/>
                      <w:sz w:val="18"/>
                      <w:szCs w:val="18"/>
                    </w:rPr>
                  </w:pPr>
                  <w:r w:rsidRPr="00F412FA">
                    <w:rPr>
                      <w:rFonts w:ascii="Arial" w:hAnsi="Arial" w:cs="Arial"/>
                      <w:sz w:val="18"/>
                      <w:szCs w:val="18"/>
                    </w:rPr>
                    <w:t>2013</w:t>
                  </w:r>
                </w:p>
              </w:txbxContent>
            </v:textbox>
          </v:shape>
        </w:pict>
      </w:r>
      <w:r w:rsidR="0047118F">
        <w:object w:dxaOrig="8954" w:dyaOrig="6719">
          <v:shape id="_x0000_i1031" type="#_x0000_t75" style="width:414.25pt;height:309.5pt" o:ole="" o:allowoverlap="f" fillcolor="#4f81bd">
            <v:imagedata r:id="rId71" o:title=""/>
          </v:shape>
          <o:OLEObject Type="Embed" ProgID="SigmaPlotGraphicObject.12" ShapeID="_x0000_i1031" DrawAspect="Content" ObjectID="_1496667994" r:id="rId72"/>
        </w:object>
      </w:r>
    </w:p>
    <w:p w:rsidR="0047118F" w:rsidRDefault="0047118F" w:rsidP="0047118F">
      <w:pPr>
        <w:pStyle w:val="figurecaption"/>
      </w:pPr>
      <w:r w:rsidRPr="007C4712">
        <w:rPr>
          <w:b/>
        </w:rPr>
        <w:t xml:space="preserve">Figure </w:t>
      </w:r>
      <w:proofErr w:type="gramStart"/>
      <w:r>
        <w:rPr>
          <w:b/>
        </w:rPr>
        <w:t>5</w:t>
      </w:r>
      <w:r>
        <w:t xml:space="preserve">  Neonate</w:t>
      </w:r>
      <w:proofErr w:type="gramEnd"/>
      <w:r>
        <w:t xml:space="preserve"> production and percent adult survival (after their third brood) in the ecotoxicology laboratory since February 2013. The dotted line indicates the acceptability threshold for both metrics. Periods of poor culture health are circled.</w:t>
      </w:r>
    </w:p>
    <w:p w:rsidR="0047118F" w:rsidRPr="00E479BD" w:rsidRDefault="0047118F" w:rsidP="004726C2">
      <w:pPr>
        <w:pStyle w:val="Heading3"/>
        <w:rPr>
          <w:spacing w:val="-4"/>
        </w:rPr>
      </w:pPr>
      <w:r w:rsidRPr="00E479BD">
        <w:rPr>
          <w:spacing w:val="-4"/>
        </w:rPr>
        <w:t>Steps for completion</w:t>
      </w:r>
    </w:p>
    <w:p w:rsidR="0047118F" w:rsidRPr="00E479BD" w:rsidRDefault="00AF28CF" w:rsidP="0047118F">
      <w:pPr>
        <w:rPr>
          <w:spacing w:val="-4"/>
        </w:rPr>
      </w:pPr>
      <w:r w:rsidRPr="00E479BD">
        <w:rPr>
          <w:spacing w:val="-4"/>
        </w:rPr>
        <w:t>Efforts in 2014–</w:t>
      </w:r>
      <w:r w:rsidR="0047118F" w:rsidRPr="00E479BD">
        <w:rPr>
          <w:spacing w:val="-4"/>
        </w:rPr>
        <w:t xml:space="preserve">15 will be focused on continuing to restock the laboratory </w:t>
      </w:r>
      <w:r w:rsidR="0047118F" w:rsidRPr="00E479BD">
        <w:rPr>
          <w:i/>
          <w:spacing w:val="-4"/>
        </w:rPr>
        <w:t>M. macleayi</w:t>
      </w:r>
      <w:r w:rsidR="0047118F" w:rsidRPr="00E479BD">
        <w:rPr>
          <w:spacing w:val="-4"/>
        </w:rPr>
        <w:t xml:space="preserve"> culture with wild animals, and return the culture to a reliably healthy condition.</w:t>
      </w:r>
    </w:p>
    <w:p w:rsidR="0047118F" w:rsidRPr="00E479BD" w:rsidRDefault="0047118F" w:rsidP="0047118F">
      <w:pPr>
        <w:rPr>
          <w:spacing w:val="-4"/>
        </w:rPr>
      </w:pPr>
      <w:r w:rsidRPr="00E479BD">
        <w:rPr>
          <w:spacing w:val="-4"/>
        </w:rPr>
        <w:t xml:space="preserve">Further trials will be conducted using the Platypus Aquaculture </w:t>
      </w:r>
      <w:r w:rsidRPr="00E479BD">
        <w:rPr>
          <w:i/>
          <w:spacing w:val="-4"/>
        </w:rPr>
        <w:t>Bacillus</w:t>
      </w:r>
      <w:r w:rsidRPr="00E479BD">
        <w:rPr>
          <w:spacing w:val="-4"/>
        </w:rPr>
        <w:t xml:space="preserve"> spp. grown in different microbiological media (including ‘Platypus Activate’). Where control treatments did not meet test acceptability criteria in previous experiments, this work will be repeated.</w:t>
      </w:r>
    </w:p>
    <w:p w:rsidR="0047118F" w:rsidRPr="00E479BD" w:rsidRDefault="0047118F" w:rsidP="0047118F">
      <w:pPr>
        <w:rPr>
          <w:spacing w:val="-4"/>
        </w:rPr>
      </w:pPr>
      <w:r w:rsidRPr="00E479BD">
        <w:rPr>
          <w:spacing w:val="-4"/>
        </w:rPr>
        <w:t>Depending on the success with Platypus Aquaculture, there may be a need to trial an axenically cultured bacterium.</w:t>
      </w:r>
    </w:p>
    <w:p w:rsidR="004726C2" w:rsidRDefault="0047118F" w:rsidP="00780176">
      <w:r w:rsidRPr="00E479BD">
        <w:t>Consideration is also being given to moving away from a standardised food source in favour of a more natural diet that may more reliably sustain good culture health. Research undertaken by Loh et al</w:t>
      </w:r>
      <w:r w:rsidR="007123C0" w:rsidRPr="00E479BD">
        <w:t>.</w:t>
      </w:r>
      <w:r w:rsidRPr="00E479BD">
        <w:t xml:space="preserve"> (2009) has demonstrated the viability of fish faeces as a food source for large cultures of </w:t>
      </w:r>
      <w:r w:rsidRPr="00E479BD">
        <w:rPr>
          <w:i/>
        </w:rPr>
        <w:t>Moina macrocopa</w:t>
      </w:r>
      <w:r w:rsidRPr="00E479BD">
        <w:t xml:space="preserve"> in aquaculture. However, the</w:t>
      </w:r>
      <w:r>
        <w:t xml:space="preserve"> implications of this type of approach on the variability of U bioavailability needs to be considered.</w:t>
      </w:r>
      <w:r w:rsidR="004726C2">
        <w:br w:type="page"/>
      </w:r>
    </w:p>
    <w:p w:rsidR="0047118F" w:rsidRPr="001F6C06" w:rsidRDefault="0047118F" w:rsidP="00E479BD">
      <w:pPr>
        <w:pStyle w:val="Heading2"/>
        <w:spacing w:before="0" w:after="0"/>
      </w:pPr>
      <w:r w:rsidRPr="001F6C06">
        <w:t>References</w:t>
      </w:r>
    </w:p>
    <w:p w:rsidR="00AD64BF" w:rsidRPr="00E479BD" w:rsidRDefault="00AD64BF" w:rsidP="00AD64BF">
      <w:pPr>
        <w:pStyle w:val="referencelist1"/>
        <w:rPr>
          <w:spacing w:val="-4"/>
        </w:rPr>
      </w:pPr>
      <w:r w:rsidRPr="00E479BD">
        <w:rPr>
          <w:spacing w:val="-4"/>
        </w:rPr>
        <w:t xml:space="preserve">Cheng KL, Harford AJ &amp; van Dam RA 2012. </w:t>
      </w:r>
      <w:proofErr w:type="gramStart"/>
      <w:r w:rsidRPr="00E479BD">
        <w:rPr>
          <w:spacing w:val="-4"/>
        </w:rPr>
        <w:t xml:space="preserve">Development of a toxicity testing </w:t>
      </w:r>
      <w:r w:rsidR="00E16AC4">
        <w:rPr>
          <w:spacing w:val="-4"/>
        </w:rPr>
        <w:t>programme</w:t>
      </w:r>
      <w:r w:rsidRPr="00E479BD">
        <w:rPr>
          <w:spacing w:val="-4"/>
        </w:rPr>
        <w:t xml:space="preserve"> for routine toxicity test species.</w:t>
      </w:r>
      <w:proofErr w:type="gramEnd"/>
      <w:r w:rsidRPr="00E479BD">
        <w:rPr>
          <w:spacing w:val="-4"/>
        </w:rPr>
        <w:t xml:space="preserve"> In Jones DR &amp; Webb A (</w:t>
      </w:r>
      <w:proofErr w:type="gramStart"/>
      <w:r w:rsidRPr="00E479BD">
        <w:rPr>
          <w:spacing w:val="-4"/>
        </w:rPr>
        <w:t>eds</w:t>
      </w:r>
      <w:proofErr w:type="gramEnd"/>
      <w:r w:rsidRPr="00E479BD">
        <w:rPr>
          <w:spacing w:val="-4"/>
        </w:rPr>
        <w:t xml:space="preserve">) 2012. </w:t>
      </w:r>
      <w:proofErr w:type="gramStart"/>
      <w:r w:rsidRPr="00E479BD">
        <w:rPr>
          <w:rFonts w:ascii="Times New Roman" w:hAnsi="Times New Roman"/>
          <w:b/>
          <w:i/>
          <w:iCs/>
          <w:spacing w:val="-4"/>
          <w:sz w:val="26"/>
        </w:rPr>
        <w:t>eriss</w:t>
      </w:r>
      <w:proofErr w:type="gramEnd"/>
      <w:r w:rsidRPr="00E479BD">
        <w:rPr>
          <w:spacing w:val="-4"/>
        </w:rPr>
        <w:t xml:space="preserve"> </w:t>
      </w:r>
      <w:r w:rsidRPr="00E479BD">
        <w:rPr>
          <w:i/>
          <w:spacing w:val="-4"/>
        </w:rPr>
        <w:t>research summary</w:t>
      </w:r>
      <w:r w:rsidRPr="00E479BD">
        <w:rPr>
          <w:spacing w:val="-4"/>
        </w:rPr>
        <w:t xml:space="preserve"> </w:t>
      </w:r>
      <w:r w:rsidRPr="00E479BD">
        <w:rPr>
          <w:i/>
          <w:spacing w:val="-4"/>
        </w:rPr>
        <w:t>2011–2012</w:t>
      </w:r>
      <w:r w:rsidRPr="00E479BD">
        <w:rPr>
          <w:spacing w:val="-4"/>
        </w:rPr>
        <w:t>. Supervising Scientist Report 203, Supervising Scientist, Darwin, NT, 27–32.</w:t>
      </w:r>
    </w:p>
    <w:p w:rsidR="0047118F" w:rsidRPr="00E479BD" w:rsidRDefault="0047118F" w:rsidP="0047118F">
      <w:pPr>
        <w:pStyle w:val="referencelist1"/>
        <w:rPr>
          <w:spacing w:val="-4"/>
        </w:rPr>
      </w:pPr>
      <w:r w:rsidRPr="00E479BD">
        <w:rPr>
          <w:spacing w:val="-4"/>
        </w:rPr>
        <w:t>Faramarzi M, Jafaryan H, Patimar R, Iranshahi F, Boloki M, Faraahi A, Kiaalvandi S, Gha</w:t>
      </w:r>
      <w:r w:rsidR="00544C89" w:rsidRPr="00E479BD">
        <w:rPr>
          <w:spacing w:val="-4"/>
        </w:rPr>
        <w:t>msay M &amp;</w:t>
      </w:r>
      <w:r w:rsidRPr="00E479BD">
        <w:rPr>
          <w:spacing w:val="-4"/>
        </w:rPr>
        <w:t xml:space="preserve"> Makhtoumi N 2011. </w:t>
      </w:r>
      <w:proofErr w:type="gramStart"/>
      <w:r w:rsidRPr="00E479BD">
        <w:rPr>
          <w:spacing w:val="-4"/>
        </w:rPr>
        <w:t>The effects of different concentrations of probiotic Bacillus spp. and different bioencapsulation times on growth performance and survival rate of Persian sturgeon (</w:t>
      </w:r>
      <w:r w:rsidRPr="00E479BD">
        <w:rPr>
          <w:i/>
          <w:spacing w:val="-4"/>
        </w:rPr>
        <w:t>Acipencer persicus</w:t>
      </w:r>
      <w:r w:rsidRPr="00E479BD">
        <w:rPr>
          <w:spacing w:val="-4"/>
        </w:rPr>
        <w:t>) larvae.</w:t>
      </w:r>
      <w:proofErr w:type="gramEnd"/>
      <w:r w:rsidRPr="00E479BD">
        <w:rPr>
          <w:spacing w:val="-4"/>
        </w:rPr>
        <w:t xml:space="preserve"> </w:t>
      </w:r>
      <w:r w:rsidRPr="00E479BD">
        <w:rPr>
          <w:i/>
          <w:spacing w:val="-4"/>
        </w:rPr>
        <w:t>World Journal of Fish and Marine Sciences</w:t>
      </w:r>
      <w:r w:rsidR="00544C89" w:rsidRPr="00E479BD">
        <w:rPr>
          <w:spacing w:val="-4"/>
        </w:rPr>
        <w:t xml:space="preserve"> 3, 145–</w:t>
      </w:r>
      <w:r w:rsidRPr="00E479BD">
        <w:rPr>
          <w:spacing w:val="-4"/>
        </w:rPr>
        <w:t>150.</w:t>
      </w:r>
    </w:p>
    <w:p w:rsidR="0047118F" w:rsidRPr="00E479BD" w:rsidRDefault="0047118F" w:rsidP="0047118F">
      <w:pPr>
        <w:pStyle w:val="referencelist1"/>
        <w:rPr>
          <w:spacing w:val="-4"/>
        </w:rPr>
      </w:pPr>
      <w:r w:rsidRPr="00E479BD">
        <w:rPr>
          <w:spacing w:val="-4"/>
        </w:rPr>
        <w:t>Hogan AC, van Dam RA, Markich SJ &amp; Camilleri C 2005. Chronic toxicity of uranium to a tropical green alga (</w:t>
      </w:r>
      <w:r w:rsidRPr="00E479BD">
        <w:rPr>
          <w:i/>
          <w:spacing w:val="-4"/>
        </w:rPr>
        <w:t>Chlorella</w:t>
      </w:r>
      <w:r w:rsidRPr="00E479BD">
        <w:rPr>
          <w:spacing w:val="-4"/>
        </w:rPr>
        <w:t xml:space="preserve"> sp.) in natural waters and the influence of dissolved organic carbon. </w:t>
      </w:r>
      <w:r w:rsidRPr="00E479BD">
        <w:rPr>
          <w:i/>
          <w:spacing w:val="-4"/>
        </w:rPr>
        <w:t>Aquatic Toxicology</w:t>
      </w:r>
      <w:r w:rsidR="00544C89" w:rsidRPr="00E479BD">
        <w:rPr>
          <w:spacing w:val="-4"/>
        </w:rPr>
        <w:t xml:space="preserve"> 75, 343–</w:t>
      </w:r>
      <w:r w:rsidRPr="00E479BD">
        <w:rPr>
          <w:spacing w:val="-4"/>
        </w:rPr>
        <w:t>353.</w:t>
      </w:r>
    </w:p>
    <w:p w:rsidR="0047118F" w:rsidRPr="00E479BD" w:rsidRDefault="0047118F" w:rsidP="0047118F">
      <w:pPr>
        <w:pStyle w:val="referencelist1"/>
        <w:rPr>
          <w:spacing w:val="-4"/>
        </w:rPr>
      </w:pPr>
      <w:r w:rsidRPr="00E479BD">
        <w:rPr>
          <w:spacing w:val="-4"/>
        </w:rPr>
        <w:t xml:space="preserve">Hyne RV 1991. </w:t>
      </w:r>
      <w:proofErr w:type="gramStart"/>
      <w:r w:rsidRPr="00E479BD">
        <w:rPr>
          <w:spacing w:val="-4"/>
        </w:rPr>
        <w:t>Evaluation of environmental factors affecting cladoceran (</w:t>
      </w:r>
      <w:r w:rsidRPr="00E479BD">
        <w:rPr>
          <w:i/>
          <w:iCs/>
          <w:spacing w:val="-4"/>
        </w:rPr>
        <w:t>Moinodaphnia macleayi</w:t>
      </w:r>
      <w:r w:rsidRPr="00E479BD">
        <w:rPr>
          <w:spacing w:val="-4"/>
        </w:rPr>
        <w:t>) survival and fecundity.</w:t>
      </w:r>
      <w:proofErr w:type="gramEnd"/>
      <w:r w:rsidRPr="00E479BD">
        <w:rPr>
          <w:spacing w:val="-4"/>
        </w:rPr>
        <w:t xml:space="preserve"> </w:t>
      </w:r>
      <w:proofErr w:type="gramStart"/>
      <w:r w:rsidRPr="00E479BD">
        <w:rPr>
          <w:spacing w:val="-4"/>
        </w:rPr>
        <w:t>Internal report 45, Supervising Scientist for the Alligator Rivers Region, Canberra.</w:t>
      </w:r>
      <w:proofErr w:type="gramEnd"/>
      <w:r w:rsidRPr="00E479BD">
        <w:rPr>
          <w:spacing w:val="-4"/>
        </w:rPr>
        <w:t xml:space="preserve"> </w:t>
      </w:r>
      <w:proofErr w:type="gramStart"/>
      <w:r w:rsidRPr="00E479BD">
        <w:rPr>
          <w:spacing w:val="-4"/>
        </w:rPr>
        <w:t>Unpublished paper.</w:t>
      </w:r>
      <w:proofErr w:type="gramEnd"/>
    </w:p>
    <w:p w:rsidR="0047118F" w:rsidRPr="00E479BD" w:rsidRDefault="0047118F" w:rsidP="0047118F">
      <w:pPr>
        <w:pStyle w:val="referencelist1"/>
        <w:rPr>
          <w:spacing w:val="-4"/>
        </w:rPr>
      </w:pPr>
      <w:r w:rsidRPr="00E479BD">
        <w:rPr>
          <w:spacing w:val="-4"/>
        </w:rPr>
        <w:t xml:space="preserve">Hyne RV, Padovan A, Parry DL &amp; Renaud SM 1993. Increased fecundity of the cladoceran </w:t>
      </w:r>
      <w:r w:rsidRPr="00E479BD">
        <w:rPr>
          <w:i/>
          <w:spacing w:val="-4"/>
        </w:rPr>
        <w:t>Moinodaphnia macleayi</w:t>
      </w:r>
      <w:r w:rsidRPr="00E479BD">
        <w:rPr>
          <w:spacing w:val="-4"/>
        </w:rPr>
        <w:t xml:space="preserve"> on a diet supplemented with green alga, and its use in uranium toxicity tests. </w:t>
      </w:r>
      <w:r w:rsidRPr="00E479BD">
        <w:rPr>
          <w:i/>
          <w:spacing w:val="-4"/>
        </w:rPr>
        <w:t>Australian Journal of Freshwater Research</w:t>
      </w:r>
      <w:r w:rsidR="00544C89" w:rsidRPr="00E479BD">
        <w:rPr>
          <w:spacing w:val="-4"/>
        </w:rPr>
        <w:t xml:space="preserve"> 44, 389–</w:t>
      </w:r>
      <w:r w:rsidRPr="00E479BD">
        <w:rPr>
          <w:spacing w:val="-4"/>
        </w:rPr>
        <w:t>399.</w:t>
      </w:r>
    </w:p>
    <w:p w:rsidR="0047118F" w:rsidRPr="00E479BD" w:rsidRDefault="0047118F" w:rsidP="0047118F">
      <w:pPr>
        <w:pStyle w:val="referencelist1"/>
        <w:rPr>
          <w:spacing w:val="-4"/>
        </w:rPr>
      </w:pPr>
      <w:r w:rsidRPr="00E479BD">
        <w:rPr>
          <w:spacing w:val="-4"/>
        </w:rPr>
        <w:t>Kolts JM, Brooks ML, Ca</w:t>
      </w:r>
      <w:r w:rsidR="00544C89" w:rsidRPr="00E479BD">
        <w:rPr>
          <w:spacing w:val="-4"/>
        </w:rPr>
        <w:t xml:space="preserve">ntrell BD, Boese CJ, Bell RA Meyer JS </w:t>
      </w:r>
      <w:r w:rsidRPr="00E479BD">
        <w:rPr>
          <w:spacing w:val="-4"/>
        </w:rPr>
        <w:t>20</w:t>
      </w:r>
      <w:r w:rsidR="00544C89" w:rsidRPr="00E479BD">
        <w:rPr>
          <w:spacing w:val="-4"/>
        </w:rPr>
        <w:t>08</w:t>
      </w:r>
      <w:r w:rsidRPr="00E479BD">
        <w:rPr>
          <w:spacing w:val="-4"/>
        </w:rPr>
        <w:t xml:space="preserve">. Dissolved fraction of standard laboratory cladoceran food alters toxicity of waterborne silver to </w:t>
      </w:r>
      <w:r w:rsidRPr="00E479BD">
        <w:rPr>
          <w:i/>
          <w:spacing w:val="-4"/>
        </w:rPr>
        <w:t>Ceriodaphnia dubia</w:t>
      </w:r>
      <w:r w:rsidRPr="00E479BD">
        <w:rPr>
          <w:spacing w:val="-4"/>
        </w:rPr>
        <w:t xml:space="preserve">. </w:t>
      </w:r>
      <w:r w:rsidRPr="00E479BD">
        <w:rPr>
          <w:i/>
          <w:spacing w:val="-4"/>
        </w:rPr>
        <w:t>Environmental Toxicology and Chemistry</w:t>
      </w:r>
      <w:r w:rsidR="00544C89" w:rsidRPr="00E479BD">
        <w:rPr>
          <w:spacing w:val="-4"/>
        </w:rPr>
        <w:t xml:space="preserve"> 27, 1426–</w:t>
      </w:r>
      <w:r w:rsidRPr="00E479BD">
        <w:rPr>
          <w:spacing w:val="-4"/>
        </w:rPr>
        <w:t>1434</w:t>
      </w:r>
      <w:r w:rsidR="006F3E6F">
        <w:rPr>
          <w:spacing w:val="-4"/>
        </w:rPr>
        <w:t>.</w:t>
      </w:r>
    </w:p>
    <w:p w:rsidR="0047118F" w:rsidRPr="00E479BD" w:rsidRDefault="0047118F" w:rsidP="0047118F">
      <w:pPr>
        <w:pStyle w:val="referencelist1"/>
        <w:rPr>
          <w:spacing w:val="-4"/>
        </w:rPr>
      </w:pPr>
      <w:r w:rsidRPr="00E479BD">
        <w:rPr>
          <w:spacing w:val="-4"/>
        </w:rPr>
        <w:t xml:space="preserve">Levy RV 2001. </w:t>
      </w:r>
      <w:proofErr w:type="gramStart"/>
      <w:r w:rsidRPr="00E479BD">
        <w:rPr>
          <w:spacing w:val="-4"/>
        </w:rPr>
        <w:t>Sterile filtration of liquids and gases.</w:t>
      </w:r>
      <w:proofErr w:type="gramEnd"/>
      <w:r w:rsidRPr="00E479BD">
        <w:rPr>
          <w:spacing w:val="-4"/>
        </w:rPr>
        <w:t xml:space="preserve"> In </w:t>
      </w:r>
      <w:r w:rsidRPr="00E479BD">
        <w:rPr>
          <w:i/>
          <w:spacing w:val="-4"/>
        </w:rPr>
        <w:t>Disinfection, Sterilisation and Preservation</w:t>
      </w:r>
      <w:r w:rsidRPr="00E479BD">
        <w:rPr>
          <w:spacing w:val="-4"/>
        </w:rPr>
        <w:t>, Lippincott Williams and Wilkins, Philadelphia PA, 795–822.</w:t>
      </w:r>
    </w:p>
    <w:p w:rsidR="0047118F" w:rsidRPr="00E479BD" w:rsidRDefault="0047118F" w:rsidP="0047118F">
      <w:pPr>
        <w:pStyle w:val="referencelist1"/>
        <w:rPr>
          <w:spacing w:val="-4"/>
        </w:rPr>
      </w:pPr>
      <w:proofErr w:type="gramStart"/>
      <w:r w:rsidRPr="00E479BD">
        <w:rPr>
          <w:spacing w:val="-4"/>
        </w:rPr>
        <w:t>Loh JY, How CW, Hii YS, Khoo G, Ong HK 2009.</w:t>
      </w:r>
      <w:proofErr w:type="gramEnd"/>
      <w:r w:rsidRPr="00E479BD">
        <w:rPr>
          <w:spacing w:val="-4"/>
        </w:rPr>
        <w:t xml:space="preserve"> </w:t>
      </w:r>
      <w:proofErr w:type="gramStart"/>
      <w:r w:rsidRPr="00E479BD">
        <w:rPr>
          <w:spacing w:val="-4"/>
        </w:rPr>
        <w:t xml:space="preserve">Fish faeces as a potential food source for culturing the water flea, </w:t>
      </w:r>
      <w:r w:rsidRPr="00E479BD">
        <w:rPr>
          <w:i/>
          <w:spacing w:val="-4"/>
        </w:rPr>
        <w:t>Moina macrocopa</w:t>
      </w:r>
      <w:r w:rsidRPr="00E479BD">
        <w:rPr>
          <w:spacing w:val="-4"/>
        </w:rPr>
        <w:t>.</w:t>
      </w:r>
      <w:proofErr w:type="gramEnd"/>
      <w:r w:rsidRPr="00E479BD">
        <w:rPr>
          <w:spacing w:val="-4"/>
        </w:rPr>
        <w:t xml:space="preserve"> </w:t>
      </w:r>
      <w:r w:rsidRPr="00E479BD">
        <w:rPr>
          <w:i/>
          <w:spacing w:val="-4"/>
        </w:rPr>
        <w:t>Journal of Science and Technology in the Tropics</w:t>
      </w:r>
      <w:r w:rsidR="00544C89" w:rsidRPr="00E479BD">
        <w:rPr>
          <w:spacing w:val="-4"/>
        </w:rPr>
        <w:t xml:space="preserve"> 5, 5–</w:t>
      </w:r>
      <w:r w:rsidRPr="00E479BD">
        <w:rPr>
          <w:spacing w:val="-4"/>
        </w:rPr>
        <w:t>10.</w:t>
      </w:r>
    </w:p>
    <w:p w:rsidR="0047118F" w:rsidRPr="00E479BD" w:rsidRDefault="0047118F" w:rsidP="0047118F">
      <w:pPr>
        <w:pStyle w:val="referencelist1"/>
        <w:rPr>
          <w:spacing w:val="-4"/>
        </w:rPr>
      </w:pPr>
      <w:proofErr w:type="gramStart"/>
      <w:r w:rsidRPr="00E479BD">
        <w:rPr>
          <w:spacing w:val="-4"/>
        </w:rPr>
        <w:t>McBride P, Allison HE, Hyne RV &amp; Rippon GD 1991.</w:t>
      </w:r>
      <w:proofErr w:type="gramEnd"/>
      <w:r w:rsidRPr="00E479BD">
        <w:rPr>
          <w:spacing w:val="-4"/>
        </w:rPr>
        <w:t xml:space="preserve"> OSS procedures for the biological testing of waste waters for release into Magela Creek. X: Cladoceran reproduction test (</w:t>
      </w:r>
      <w:r w:rsidRPr="00E479BD">
        <w:rPr>
          <w:i/>
          <w:spacing w:val="-4"/>
        </w:rPr>
        <w:t>Moinodaphnia macleayi</w:t>
      </w:r>
      <w:r w:rsidRPr="00E479BD">
        <w:rPr>
          <w:spacing w:val="-4"/>
        </w:rPr>
        <w:t xml:space="preserve">). Open file record 70, Supervising Scientist for the Alligator Rivers Region, Canberra. </w:t>
      </w:r>
      <w:proofErr w:type="gramStart"/>
      <w:r w:rsidRPr="00E479BD">
        <w:rPr>
          <w:spacing w:val="-4"/>
        </w:rPr>
        <w:t>Unpublished paper.</w:t>
      </w:r>
      <w:proofErr w:type="gramEnd"/>
    </w:p>
    <w:p w:rsidR="0047118F" w:rsidRPr="00E479BD" w:rsidRDefault="0047118F" w:rsidP="0047118F">
      <w:pPr>
        <w:pStyle w:val="referencelist1"/>
        <w:rPr>
          <w:spacing w:val="-4"/>
        </w:rPr>
      </w:pPr>
      <w:r w:rsidRPr="00E479BD">
        <w:rPr>
          <w:spacing w:val="-4"/>
          <w:lang w:eastAsia="en-AU"/>
        </w:rPr>
        <w:t xml:space="preserve">Pease C, Cheng K, Harford AJ, Hogan A, Trenfield M &amp; van </w:t>
      </w:r>
      <w:r w:rsidRPr="00E479BD">
        <w:rPr>
          <w:spacing w:val="-4"/>
        </w:rPr>
        <w:t xml:space="preserve">Dam RA 2013. </w:t>
      </w:r>
      <w:proofErr w:type="gramStart"/>
      <w:r w:rsidRPr="00E479BD">
        <w:rPr>
          <w:spacing w:val="-4"/>
          <w:lang w:eastAsia="en-AU"/>
        </w:rPr>
        <w:t>Reference toxicity testing for routine toxicity test species.</w:t>
      </w:r>
      <w:proofErr w:type="gramEnd"/>
      <w:r w:rsidRPr="00E479BD">
        <w:rPr>
          <w:spacing w:val="-4"/>
          <w:lang w:eastAsia="en-AU"/>
        </w:rPr>
        <w:t xml:space="preserve"> </w:t>
      </w:r>
      <w:proofErr w:type="gramStart"/>
      <w:r w:rsidRPr="00E479BD">
        <w:rPr>
          <w:spacing w:val="-4"/>
          <w:szCs w:val="18"/>
        </w:rPr>
        <w:t>In</w:t>
      </w:r>
      <w:r w:rsidRPr="00E479BD">
        <w:rPr>
          <w:rFonts w:ascii="ArialMT" w:hAnsi="ArialMT" w:cs="ArialMT"/>
          <w:spacing w:val="-4"/>
          <w:sz w:val="18"/>
          <w:szCs w:val="18"/>
          <w:lang w:eastAsia="en-AU"/>
        </w:rPr>
        <w:t xml:space="preserve"> </w:t>
      </w:r>
      <w:r w:rsidR="004A3C4C" w:rsidRPr="004A3C4C">
        <w:rPr>
          <w:b/>
          <w:i/>
          <w:spacing w:val="-4"/>
          <w:sz w:val="26"/>
        </w:rPr>
        <w:t>eriss</w:t>
      </w:r>
      <w:r w:rsidRPr="00E479BD">
        <w:rPr>
          <w:spacing w:val="-4"/>
        </w:rPr>
        <w:t xml:space="preserve"> </w:t>
      </w:r>
      <w:r w:rsidRPr="00E479BD">
        <w:rPr>
          <w:i/>
          <w:spacing w:val="-4"/>
          <w:lang w:eastAsia="en-AU"/>
        </w:rPr>
        <w:t>research summary</w:t>
      </w:r>
      <w:r w:rsidRPr="00E479BD">
        <w:rPr>
          <w:spacing w:val="-4"/>
          <w:lang w:eastAsia="en-AU"/>
        </w:rPr>
        <w:t xml:space="preserve"> 2012–2013.</w:t>
      </w:r>
      <w:proofErr w:type="gramEnd"/>
      <w:r w:rsidRPr="00E479BD">
        <w:rPr>
          <w:spacing w:val="-4"/>
          <w:lang w:eastAsia="en-AU"/>
        </w:rPr>
        <w:t xml:space="preserve"> Supervising Scientist Report 205, Supervising Scientist, Darwin </w:t>
      </w:r>
      <w:r w:rsidRPr="00E479BD">
        <w:rPr>
          <w:spacing w:val="-4"/>
        </w:rPr>
        <w:t>NT, 14–20.</w:t>
      </w:r>
    </w:p>
    <w:p w:rsidR="0047118F" w:rsidRPr="00E479BD" w:rsidRDefault="0047118F" w:rsidP="0047118F">
      <w:pPr>
        <w:pStyle w:val="referencelist1"/>
        <w:rPr>
          <w:spacing w:val="-4"/>
        </w:rPr>
      </w:pPr>
      <w:r w:rsidRPr="00E479BD">
        <w:rPr>
          <w:spacing w:val="-4"/>
        </w:rPr>
        <w:t xml:space="preserve">Semaan M, Holdway DA &amp; van Dam RA 2001. </w:t>
      </w:r>
      <w:proofErr w:type="gramStart"/>
      <w:r w:rsidRPr="00E479BD">
        <w:rPr>
          <w:spacing w:val="-4"/>
        </w:rPr>
        <w:t xml:space="preserve">Comparative sensitivity of three populations of the cladoceran </w:t>
      </w:r>
      <w:r w:rsidRPr="00E479BD">
        <w:rPr>
          <w:i/>
          <w:spacing w:val="-4"/>
        </w:rPr>
        <w:t>Moinodaphnia macleayi</w:t>
      </w:r>
      <w:r w:rsidRPr="00E479BD">
        <w:rPr>
          <w:spacing w:val="-4"/>
        </w:rPr>
        <w:t xml:space="preserve"> to acute and chronic uranium exposure.</w:t>
      </w:r>
      <w:proofErr w:type="gramEnd"/>
      <w:r w:rsidRPr="00E479BD">
        <w:rPr>
          <w:spacing w:val="-4"/>
        </w:rPr>
        <w:t xml:space="preserve"> </w:t>
      </w:r>
      <w:r w:rsidRPr="00E479BD">
        <w:rPr>
          <w:i/>
          <w:spacing w:val="-4"/>
        </w:rPr>
        <w:t>Environmental Toxicology</w:t>
      </w:r>
      <w:r w:rsidR="00544C89" w:rsidRPr="00E479BD">
        <w:rPr>
          <w:spacing w:val="-4"/>
        </w:rPr>
        <w:t xml:space="preserve"> 16, 365–</w:t>
      </w:r>
      <w:r w:rsidRPr="00E479BD">
        <w:rPr>
          <w:spacing w:val="-4"/>
        </w:rPr>
        <w:t>376.</w:t>
      </w:r>
    </w:p>
    <w:p w:rsidR="0047118F" w:rsidRPr="00E479BD" w:rsidRDefault="0047118F" w:rsidP="0047118F">
      <w:pPr>
        <w:pStyle w:val="referencelist1"/>
        <w:rPr>
          <w:spacing w:val="-4"/>
          <w:szCs w:val="24"/>
          <w:lang w:eastAsia="en-AU"/>
        </w:rPr>
      </w:pPr>
      <w:proofErr w:type="gramStart"/>
      <w:r w:rsidRPr="00E479BD">
        <w:rPr>
          <w:spacing w:val="-4"/>
          <w:lang w:eastAsia="en-AU"/>
        </w:rPr>
        <w:t>Tipping E 2002.</w:t>
      </w:r>
      <w:proofErr w:type="gramEnd"/>
      <w:r w:rsidRPr="00E479BD">
        <w:rPr>
          <w:spacing w:val="-4"/>
          <w:lang w:eastAsia="en-AU"/>
        </w:rPr>
        <w:t xml:space="preserve"> Cation binding by humic substances; </w:t>
      </w:r>
      <w:r w:rsidRPr="00E479BD">
        <w:rPr>
          <w:spacing w:val="-4"/>
          <w:szCs w:val="24"/>
          <w:lang w:eastAsia="en-AU"/>
        </w:rPr>
        <w:t>Cambridge University Press: New York.</w:t>
      </w:r>
    </w:p>
    <w:p w:rsidR="004726C2" w:rsidRPr="00E479BD" w:rsidRDefault="0047118F" w:rsidP="0047118F">
      <w:pPr>
        <w:pStyle w:val="referencelist1"/>
        <w:rPr>
          <w:spacing w:val="-4"/>
          <w:szCs w:val="24"/>
          <w:lang w:eastAsia="en-AU"/>
        </w:rPr>
        <w:sectPr w:rsidR="004726C2" w:rsidRPr="00E479BD" w:rsidSect="004336E9">
          <w:pgSz w:w="11906" w:h="16838" w:code="9"/>
          <w:pgMar w:top="1440" w:right="1800" w:bottom="1440" w:left="1800" w:header="1080" w:footer="835" w:gutter="0"/>
          <w:cols w:space="360"/>
          <w:noEndnote/>
        </w:sectPr>
      </w:pPr>
      <w:proofErr w:type="gramStart"/>
      <w:r w:rsidRPr="00E479BD">
        <w:rPr>
          <w:spacing w:val="-4"/>
          <w:szCs w:val="24"/>
          <w:lang w:eastAsia="en-AU"/>
        </w:rPr>
        <w:t>van</w:t>
      </w:r>
      <w:proofErr w:type="gramEnd"/>
      <w:r w:rsidRPr="00E479BD">
        <w:rPr>
          <w:spacing w:val="-4"/>
          <w:szCs w:val="24"/>
          <w:lang w:eastAsia="en-AU"/>
        </w:rPr>
        <w:t xml:space="preserve"> Dam RA, Trenfield MA, Markich SJ, Harford AJ, Humphrey CL, Hogan AC</w:t>
      </w:r>
      <w:r w:rsidR="00544C89" w:rsidRPr="00E479BD">
        <w:rPr>
          <w:spacing w:val="-4"/>
          <w:szCs w:val="24"/>
          <w:lang w:eastAsia="en-AU"/>
        </w:rPr>
        <w:t xml:space="preserve"> &amp;</w:t>
      </w:r>
      <w:r w:rsidRPr="00E479BD">
        <w:rPr>
          <w:spacing w:val="-4"/>
          <w:szCs w:val="24"/>
          <w:lang w:eastAsia="en-AU"/>
        </w:rPr>
        <w:t xml:space="preserve"> Stauber JL 2012. Reanalysis of uranium toxicity data for selected freshwater organisms and the influence of dissolved organic carbon. </w:t>
      </w:r>
      <w:r w:rsidRPr="00E479BD">
        <w:rPr>
          <w:i/>
          <w:spacing w:val="-4"/>
          <w:szCs w:val="24"/>
          <w:lang w:eastAsia="en-AU"/>
        </w:rPr>
        <w:t>Environmental Toxicology and Chemistry</w:t>
      </w:r>
      <w:r w:rsidR="00544C89" w:rsidRPr="00E479BD">
        <w:rPr>
          <w:spacing w:val="-4"/>
          <w:szCs w:val="24"/>
          <w:lang w:eastAsia="en-AU"/>
        </w:rPr>
        <w:t xml:space="preserve"> 31, 2606–</w:t>
      </w:r>
      <w:r w:rsidRPr="00E479BD">
        <w:rPr>
          <w:spacing w:val="-4"/>
          <w:szCs w:val="24"/>
          <w:lang w:eastAsia="en-AU"/>
        </w:rPr>
        <w:t>2614.</w:t>
      </w:r>
    </w:p>
    <w:p w:rsidR="0047118F" w:rsidRDefault="0047118F" w:rsidP="0047118F">
      <w:pPr>
        <w:pStyle w:val="referencelist1"/>
        <w:rPr>
          <w:szCs w:val="24"/>
          <w:lang w:eastAsia="en-AU"/>
        </w:rPr>
      </w:pPr>
    </w:p>
    <w:p w:rsidR="00017906" w:rsidRDefault="00017906" w:rsidP="009A3243">
      <w:pPr>
        <w:pStyle w:val="Heading1"/>
      </w:pPr>
      <w:bookmarkStart w:id="104" w:name="_GoBack"/>
      <w:bookmarkStart w:id="105" w:name="_Toc372540174"/>
      <w:bookmarkStart w:id="106" w:name="_Toc401910166"/>
      <w:bookmarkStart w:id="107" w:name="_Toc409772785"/>
      <w:bookmarkStart w:id="108" w:name="_Toc418172697"/>
      <w:bookmarkEnd w:id="104"/>
      <w:r w:rsidRPr="007A5759">
        <w:t>The toxicity of uranium to sediment biota of Magela Creek backflow billabong environments</w:t>
      </w:r>
      <w:bookmarkEnd w:id="105"/>
      <w:bookmarkEnd w:id="106"/>
      <w:bookmarkEnd w:id="107"/>
      <w:bookmarkEnd w:id="108"/>
    </w:p>
    <w:p w:rsidR="008D1BF0" w:rsidRPr="009A3243" w:rsidRDefault="00C50880" w:rsidP="008D1BF0">
      <w:pPr>
        <w:pStyle w:val="Heading3"/>
        <w:spacing w:after="480"/>
        <w:jc w:val="center"/>
      </w:pPr>
      <w:r>
        <w:t xml:space="preserve">A Harford, </w:t>
      </w:r>
      <w:proofErr w:type="gramStart"/>
      <w:r>
        <w:t>A</w:t>
      </w:r>
      <w:r w:rsidR="008D1BF0">
        <w:t xml:space="preserve"> Chariton</w:t>
      </w:r>
      <w:r w:rsidR="000605E5">
        <w:rPr>
          <w:rStyle w:val="FootnoteReference"/>
        </w:rPr>
        <w:footnoteReference w:id="1"/>
      </w:r>
      <w:r>
        <w:t xml:space="preserve"> S</w:t>
      </w:r>
      <w:r w:rsidR="008D1BF0">
        <w:t xml:space="preserve"> Simpson</w:t>
      </w:r>
      <w:r w:rsidR="00FD4AE8">
        <w:rPr>
          <w:rStyle w:val="FootnoteReference"/>
        </w:rPr>
        <w:footnoteReference w:id="2"/>
      </w:r>
      <w:r>
        <w:t>, C</w:t>
      </w:r>
      <w:r w:rsidR="008D1BF0">
        <w:t xml:space="preserve"> Hump</w:t>
      </w:r>
      <w:r>
        <w:t>hrey, J</w:t>
      </w:r>
      <w:r w:rsidR="008D1BF0">
        <w:t xml:space="preserve"> Stauber</w:t>
      </w:r>
      <w:r w:rsidR="00FD4AE8" w:rsidRPr="000F19AB">
        <w:rPr>
          <w:snapToGrid w:val="0"/>
          <w:color w:val="000000"/>
          <w:position w:val="6"/>
          <w:sz w:val="17"/>
          <w:szCs w:val="0"/>
          <w:u w:color="000000"/>
        </w:rPr>
        <w:t>2</w:t>
      </w:r>
      <w:r w:rsidR="008D1BF0">
        <w:t xml:space="preserve"> </w:t>
      </w:r>
      <w:r>
        <w:t xml:space="preserve">&amp; </w:t>
      </w:r>
      <w:r>
        <w:br/>
        <w:t>R</w:t>
      </w:r>
      <w:proofErr w:type="gramEnd"/>
      <w:r>
        <w:t xml:space="preserve"> </w:t>
      </w:r>
      <w:r w:rsidR="008D1BF0">
        <w:t>van Dam</w:t>
      </w:r>
    </w:p>
    <w:p w:rsidR="00017906" w:rsidRPr="004A6440" w:rsidRDefault="00017906" w:rsidP="004726C2">
      <w:pPr>
        <w:pStyle w:val="Heading2"/>
      </w:pPr>
      <w:r w:rsidRPr="004A6440">
        <w:t>Background</w:t>
      </w:r>
    </w:p>
    <w:p w:rsidR="00017906" w:rsidRDefault="00017906" w:rsidP="00017906">
      <w:r>
        <w:rPr>
          <w:szCs w:val="22"/>
        </w:rPr>
        <w:t xml:space="preserve">A project that aims to derive </w:t>
      </w:r>
      <w:proofErr w:type="gramStart"/>
      <w:r>
        <w:rPr>
          <w:szCs w:val="22"/>
        </w:rPr>
        <w:t>a sediment</w:t>
      </w:r>
      <w:proofErr w:type="gramEnd"/>
      <w:r>
        <w:rPr>
          <w:szCs w:val="22"/>
        </w:rPr>
        <w:t xml:space="preserve"> Guideline Value (GV) for uranium (U) has been on-going since 2009. Following an initial site characterisation during the 2008</w:t>
      </w:r>
      <w:r w:rsidR="001D7D97">
        <w:rPr>
          <w:szCs w:val="22"/>
        </w:rPr>
        <w:t>–</w:t>
      </w:r>
      <w:r>
        <w:rPr>
          <w:szCs w:val="22"/>
        </w:rPr>
        <w:t xml:space="preserve">09 wet </w:t>
      </w:r>
      <w:proofErr w:type="gramStart"/>
      <w:r>
        <w:rPr>
          <w:szCs w:val="22"/>
        </w:rPr>
        <w:t>season</w:t>
      </w:r>
      <w:proofErr w:type="gramEnd"/>
      <w:r>
        <w:rPr>
          <w:szCs w:val="22"/>
        </w:rPr>
        <w:t>, two pilot studies were conduc</w:t>
      </w:r>
      <w:r w:rsidR="001E34CE">
        <w:rPr>
          <w:szCs w:val="22"/>
        </w:rPr>
        <w:t>ted during the 2009–10 and 2010–</w:t>
      </w:r>
      <w:r>
        <w:rPr>
          <w:szCs w:val="22"/>
        </w:rPr>
        <w:t>11 wet seasons. The methods and results of the pilot studies have been previously reported in Annual Research Summaries (van Dam et al</w:t>
      </w:r>
      <w:r w:rsidR="001E34CE">
        <w:rPr>
          <w:szCs w:val="22"/>
        </w:rPr>
        <w:t>.</w:t>
      </w:r>
      <w:r>
        <w:rPr>
          <w:szCs w:val="22"/>
        </w:rPr>
        <w:t xml:space="preserve"> 2010, Harford et al</w:t>
      </w:r>
      <w:r w:rsidR="001E34CE">
        <w:rPr>
          <w:szCs w:val="22"/>
        </w:rPr>
        <w:t>.</w:t>
      </w:r>
      <w:r>
        <w:rPr>
          <w:szCs w:val="22"/>
        </w:rPr>
        <w:t xml:space="preserve"> 2011, </w:t>
      </w:r>
      <w:proofErr w:type="gramStart"/>
      <w:r>
        <w:rPr>
          <w:szCs w:val="22"/>
        </w:rPr>
        <w:t>Harford</w:t>
      </w:r>
      <w:proofErr w:type="gramEnd"/>
      <w:r>
        <w:rPr>
          <w:szCs w:val="22"/>
        </w:rPr>
        <w:t xml:space="preserve"> et al</w:t>
      </w:r>
      <w:r w:rsidR="001E34CE">
        <w:rPr>
          <w:szCs w:val="22"/>
        </w:rPr>
        <w:t>.</w:t>
      </w:r>
      <w:r>
        <w:rPr>
          <w:szCs w:val="22"/>
        </w:rPr>
        <w:t xml:space="preserve"> 2012). Briefly, sediments spiked with U were deployed in an unimpacted billabong (Gulungul) for the duration of the wet season. They were retrieved and sub-sampled for the analysis of bacteria (prokaryotes), microinvertebrates (eukaryotes) and macroinvertebrates using a combination of ecogenomic and traditional taxonomic methods.</w:t>
      </w:r>
    </w:p>
    <w:p w:rsidR="00017906" w:rsidRDefault="00017906" w:rsidP="00017906">
      <w:r>
        <w:rPr>
          <w:szCs w:val="22"/>
        </w:rPr>
        <w:t xml:space="preserve">The main experiment, focusing on </w:t>
      </w:r>
      <w:r>
        <w:t xml:space="preserve">macroinvertebrate and microinvertebrate communities, </w:t>
      </w:r>
      <w:r>
        <w:rPr>
          <w:szCs w:val="22"/>
        </w:rPr>
        <w:t>commenc</w:t>
      </w:r>
      <w:r w:rsidR="001E34CE">
        <w:rPr>
          <w:szCs w:val="22"/>
        </w:rPr>
        <w:t>ed at the beginning of the 2012–</w:t>
      </w:r>
      <w:r>
        <w:rPr>
          <w:szCs w:val="22"/>
        </w:rPr>
        <w:t>13 wet season, with the experimental design revised on the basis of the findings of the two pilot studies. The results of the chemical analyses were reported in Harford et al</w:t>
      </w:r>
      <w:r w:rsidR="001E34CE">
        <w:rPr>
          <w:szCs w:val="22"/>
        </w:rPr>
        <w:t>.</w:t>
      </w:r>
      <w:r>
        <w:rPr>
          <w:szCs w:val="22"/>
        </w:rPr>
        <w:t xml:space="preserve"> 2013, and showed that there </w:t>
      </w:r>
      <w:r>
        <w:t>was a strong positive correlation of the total recoverable fraction and porewater concentrations of U. High porewater U might have resulted in higher U bioavailability and toxicity than would be found in the environment, which could cause conservative toxicity estimates. Nonetheless, the spiking method produced a suitable gradient of sediment U concentration across the treatments with up to 90% being extractable with weak acid indicating it was likely to be bioavailable. Porewater U concentrations had also reduced marked</w:t>
      </w:r>
      <w:r w:rsidR="003346CA">
        <w:t>ly</w:t>
      </w:r>
      <w:r>
        <w:t xml:space="preserve"> by the end of the deployment period.  </w:t>
      </w:r>
    </w:p>
    <w:p w:rsidR="00017906" w:rsidRDefault="003346CA" w:rsidP="00017906">
      <w:pPr>
        <w:rPr>
          <w:szCs w:val="22"/>
        </w:rPr>
      </w:pPr>
      <w:r>
        <w:rPr>
          <w:szCs w:val="22"/>
        </w:rPr>
        <w:t>Sub-samples of the 12 U treatments produced during the main experiment were also used in a laboratory-based midge larva (</w:t>
      </w:r>
      <w:r w:rsidRPr="00476B4A">
        <w:rPr>
          <w:i/>
        </w:rPr>
        <w:t>Chironom</w:t>
      </w:r>
      <w:r>
        <w:rPr>
          <w:i/>
        </w:rPr>
        <w:t>us</w:t>
      </w:r>
      <w:r w:rsidRPr="00476B4A">
        <w:rPr>
          <w:i/>
        </w:rPr>
        <w:t xml:space="preserve"> tepperi</w:t>
      </w:r>
      <w:r>
        <w:t>)</w:t>
      </w:r>
      <w:r>
        <w:rPr>
          <w:szCs w:val="22"/>
        </w:rPr>
        <w:t xml:space="preserve"> toxicity test using.</w:t>
      </w:r>
      <w:r w:rsidR="00925262">
        <w:rPr>
          <w:szCs w:val="22"/>
        </w:rPr>
        <w:t xml:space="preserve"> </w:t>
      </w:r>
      <w:r>
        <w:t xml:space="preserve">This test </w:t>
      </w:r>
      <w:r>
        <w:rPr>
          <w:szCs w:val="22"/>
        </w:rPr>
        <w:t xml:space="preserve">found </w:t>
      </w:r>
      <w:r w:rsidR="00017906">
        <w:rPr>
          <w:szCs w:val="22"/>
        </w:rPr>
        <w:t>a median Effective Concentration (EC50) of 610 mg/kg U for inhibiting the larvae’s development to an adult (i</w:t>
      </w:r>
      <w:r w:rsidR="00925262">
        <w:rPr>
          <w:szCs w:val="22"/>
        </w:rPr>
        <w:t>.</w:t>
      </w:r>
      <w:r w:rsidR="00017906">
        <w:rPr>
          <w:szCs w:val="22"/>
        </w:rPr>
        <w:t xml:space="preserve">e. an emergence endpoint). However, </w:t>
      </w:r>
      <w:r w:rsidR="00017906">
        <w:t xml:space="preserve">the observed effects may have been due to exposure of the larvae to metals in the </w:t>
      </w:r>
      <w:r>
        <w:t xml:space="preserve">overlying </w:t>
      </w:r>
      <w:r w:rsidR="00017906">
        <w:t>water and/or porewater because freshly spiked sediments with high porewater U concentrations were used. Hence, the result might not reflect an environmentally realistic scenario and the toxicity estimate is likely to be overly conservative (Harford et al</w:t>
      </w:r>
      <w:r w:rsidR="001E34CE">
        <w:t>.</w:t>
      </w:r>
      <w:r w:rsidR="00017906">
        <w:t xml:space="preserve"> 2013).</w:t>
      </w:r>
    </w:p>
    <w:p w:rsidR="00017906" w:rsidRDefault="00017906" w:rsidP="00017906">
      <w:pPr>
        <w:rPr>
          <w:szCs w:val="22"/>
        </w:rPr>
      </w:pPr>
      <w:r>
        <w:rPr>
          <w:szCs w:val="22"/>
        </w:rPr>
        <w:t xml:space="preserve">Progress has been made on the analyses of the eukaryotic and </w:t>
      </w:r>
      <w:r w:rsidRPr="00087389">
        <w:rPr>
          <w:szCs w:val="22"/>
        </w:rPr>
        <w:t>macroinvertebrate</w:t>
      </w:r>
      <w:r>
        <w:rPr>
          <w:szCs w:val="22"/>
        </w:rPr>
        <w:t xml:space="preserve"> datasets from the main experiment, as is reported below, along with a discussion regarding the derivation of </w:t>
      </w:r>
      <w:proofErr w:type="gramStart"/>
      <w:r>
        <w:rPr>
          <w:szCs w:val="22"/>
        </w:rPr>
        <w:t>a sediment</w:t>
      </w:r>
      <w:proofErr w:type="gramEnd"/>
      <w:r>
        <w:rPr>
          <w:szCs w:val="22"/>
        </w:rPr>
        <w:t xml:space="preserve"> GV for U.</w:t>
      </w:r>
    </w:p>
    <w:p w:rsidR="00017906" w:rsidRPr="00092BF1" w:rsidRDefault="00017906" w:rsidP="004726C2">
      <w:pPr>
        <w:pStyle w:val="Heading2"/>
      </w:pPr>
      <w:r w:rsidRPr="00092BF1">
        <w:t>Methods</w:t>
      </w:r>
    </w:p>
    <w:p w:rsidR="00017906" w:rsidRDefault="00017906" w:rsidP="00017906">
      <w:pPr>
        <w:rPr>
          <w:szCs w:val="22"/>
        </w:rPr>
      </w:pPr>
      <w:r>
        <w:rPr>
          <w:szCs w:val="22"/>
        </w:rPr>
        <w:t>Methods for sediment spiking, deployment and retrieval have been described previously (Harford et al</w:t>
      </w:r>
      <w:r w:rsidR="001E34CE">
        <w:rPr>
          <w:szCs w:val="22"/>
        </w:rPr>
        <w:t>.</w:t>
      </w:r>
      <w:r>
        <w:rPr>
          <w:szCs w:val="22"/>
        </w:rPr>
        <w:t xml:space="preserve"> 2011, Harford et al</w:t>
      </w:r>
      <w:r w:rsidR="001E34CE">
        <w:rPr>
          <w:szCs w:val="22"/>
        </w:rPr>
        <w:t>.</w:t>
      </w:r>
      <w:r>
        <w:rPr>
          <w:szCs w:val="22"/>
        </w:rPr>
        <w:t xml:space="preserve"> 2012).  </w:t>
      </w:r>
      <w:r w:rsidRPr="00387900">
        <w:rPr>
          <w:szCs w:val="22"/>
        </w:rPr>
        <w:t xml:space="preserve">The main experiment employed a reduced number of replicates (4) </w:t>
      </w:r>
      <w:r>
        <w:rPr>
          <w:szCs w:val="22"/>
        </w:rPr>
        <w:t xml:space="preserve">compared to the pilot studies </w:t>
      </w:r>
      <w:r w:rsidRPr="00387900">
        <w:rPr>
          <w:szCs w:val="22"/>
        </w:rPr>
        <w:t>in order to increase the number of U treatments (12), which enable</w:t>
      </w:r>
      <w:r>
        <w:rPr>
          <w:szCs w:val="22"/>
        </w:rPr>
        <w:t>d</w:t>
      </w:r>
      <w:r w:rsidRPr="00387900">
        <w:rPr>
          <w:szCs w:val="22"/>
        </w:rPr>
        <w:t xml:space="preserve"> better characterisation of the concentration-response relationship. The concentration range chosen for the f</w:t>
      </w:r>
      <w:r w:rsidR="003346CA">
        <w:rPr>
          <w:szCs w:val="22"/>
        </w:rPr>
        <w:t>inal experiment was: control (~8</w:t>
      </w:r>
      <w:r w:rsidRPr="00387900">
        <w:rPr>
          <w:szCs w:val="22"/>
        </w:rPr>
        <w:t xml:space="preserve"> mg kg</w:t>
      </w:r>
      <w:r w:rsidRPr="00087389">
        <w:rPr>
          <w:snapToGrid w:val="0"/>
          <w:color w:val="000000"/>
          <w:position w:val="5"/>
          <w:sz w:val="15"/>
          <w:szCs w:val="0"/>
          <w:u w:color="000000"/>
        </w:rPr>
        <w:t>-1</w:t>
      </w:r>
      <w:r w:rsidRPr="00387900">
        <w:rPr>
          <w:szCs w:val="22"/>
        </w:rPr>
        <w:t xml:space="preserve"> U), 50, 100, 200, 400, 600, 800, 1000</w:t>
      </w:r>
      <w:r>
        <w:rPr>
          <w:szCs w:val="22"/>
        </w:rPr>
        <w:t>, 1500, 2000, 3000 and 4000 mg kg</w:t>
      </w:r>
      <w:r w:rsidRPr="00087389">
        <w:rPr>
          <w:snapToGrid w:val="0"/>
          <w:color w:val="000000"/>
          <w:position w:val="5"/>
          <w:sz w:val="15"/>
          <w:szCs w:val="0"/>
          <w:u w:color="000000"/>
        </w:rPr>
        <w:t>-1</w:t>
      </w:r>
      <w:r w:rsidR="001E34CE">
        <w:rPr>
          <w:szCs w:val="22"/>
        </w:rPr>
        <w:t xml:space="preserve"> (nominal U). </w:t>
      </w:r>
      <w:r w:rsidRPr="00387900">
        <w:rPr>
          <w:szCs w:val="22"/>
        </w:rPr>
        <w:t>The passive absorption method of U spiking described in Harford et al</w:t>
      </w:r>
      <w:r w:rsidR="001E34CE">
        <w:rPr>
          <w:szCs w:val="22"/>
        </w:rPr>
        <w:t>.</w:t>
      </w:r>
      <w:r w:rsidRPr="00387900">
        <w:rPr>
          <w:szCs w:val="22"/>
        </w:rPr>
        <w:t xml:space="preserve"> (2012) was used to spike 2 kg x 4 replicates of the each treatment. Deployment, retrieval and </w:t>
      </w:r>
      <w:r>
        <w:rPr>
          <w:szCs w:val="22"/>
        </w:rPr>
        <w:t xml:space="preserve">field and laboratory </w:t>
      </w:r>
      <w:r w:rsidRPr="00387900">
        <w:rPr>
          <w:szCs w:val="22"/>
        </w:rPr>
        <w:t>processing w</w:t>
      </w:r>
      <w:r>
        <w:rPr>
          <w:szCs w:val="22"/>
        </w:rPr>
        <w:t>ere</w:t>
      </w:r>
      <w:r w:rsidRPr="00387900">
        <w:rPr>
          <w:szCs w:val="22"/>
        </w:rPr>
        <w:t xml:space="preserve"> the same as </w:t>
      </w:r>
      <w:r>
        <w:rPr>
          <w:szCs w:val="22"/>
        </w:rPr>
        <w:t xml:space="preserve">previously </w:t>
      </w:r>
      <w:r w:rsidRPr="00387900">
        <w:rPr>
          <w:szCs w:val="22"/>
        </w:rPr>
        <w:t>described (Harford et al</w:t>
      </w:r>
      <w:r w:rsidR="001E34CE">
        <w:rPr>
          <w:szCs w:val="22"/>
        </w:rPr>
        <w:t>.</w:t>
      </w:r>
      <w:r w:rsidRPr="00387900">
        <w:rPr>
          <w:szCs w:val="22"/>
        </w:rPr>
        <w:t xml:space="preserve"> 2012). </w:t>
      </w:r>
    </w:p>
    <w:p w:rsidR="00017906" w:rsidRDefault="00017906" w:rsidP="00017906">
      <w:pPr>
        <w:rPr>
          <w:szCs w:val="22"/>
        </w:rPr>
      </w:pPr>
      <w:r>
        <w:rPr>
          <w:szCs w:val="22"/>
        </w:rPr>
        <w:t>Eukaryote genomic analysis was conducted by CSIRO’s research facility at Lucas Heights through mass sequencing of Polymerase Chain Reaction (PCR) amplified gene sequences derived from the 18S rDNA gene. One sample in the 4000 mg kg</w:t>
      </w:r>
      <w:r w:rsidRPr="00087389">
        <w:rPr>
          <w:snapToGrid w:val="0"/>
          <w:color w:val="000000"/>
          <w:position w:val="5"/>
          <w:sz w:val="15"/>
          <w:szCs w:val="0"/>
          <w:u w:color="000000"/>
        </w:rPr>
        <w:t>-1</w:t>
      </w:r>
      <w:r>
        <w:rPr>
          <w:szCs w:val="22"/>
        </w:rPr>
        <w:t xml:space="preserve"> treatment failed to amplify and could not be included in the analyses. Both 48 pre-deployment and 48 post-deployment samples were processed for ecogenomic analysis, but the pre-deployment batch may have been compromised because the samples thawed during transit to the CSIRO Lucas Height laboratory. Hence, analyses of the post-deployment samples were the focus of further study.</w:t>
      </w:r>
    </w:p>
    <w:p w:rsidR="00017906" w:rsidRDefault="00017906" w:rsidP="00017906">
      <w:r>
        <w:rPr>
          <w:szCs w:val="22"/>
        </w:rPr>
        <w:t xml:space="preserve">A number of univariate and multivariate statistical analyses were conducted on the genomic datasets. For the ecogenomics, the Operational Taxonomic Unit (OTU) abundance data were converted to presence/absence data in each sample in order to remove any biases created by the DNA amplification and sequencing method. A Jaccard similarity matrix was calculated as a measure of the similarity amongst all samples, and metal concentrations were log-transformed for their use in multivariate analyses.  Acid Extractable Metals (AEM, 1M hydrochloric acid), rather than Total Extractable Metals (TRM) were primarily used as  environmental factors in the analyses because this fraction is considered to be bioavailable to organisms </w:t>
      </w:r>
      <w:r>
        <w:rPr>
          <w:noProof/>
          <w:szCs w:val="22"/>
        </w:rPr>
        <w:t>(Simpson &amp; Batley 2007)</w:t>
      </w:r>
      <w:r>
        <w:rPr>
          <w:szCs w:val="22"/>
        </w:rPr>
        <w:t xml:space="preserve"> and, in any case, the AEM U correlated strongly with TRM U. Primer 6 (V6.1.13, Primer-E, Plymouth) was used to </w:t>
      </w:r>
      <w:r w:rsidRPr="00DE4BAE">
        <w:rPr>
          <w:szCs w:val="22"/>
        </w:rPr>
        <w:t xml:space="preserve">produce </w:t>
      </w:r>
      <w:r w:rsidRPr="007769B3">
        <w:rPr>
          <w:bCs/>
        </w:rPr>
        <w:t>multi</w:t>
      </w:r>
      <w:r w:rsidRPr="007769B3">
        <w:t>-</w:t>
      </w:r>
      <w:r w:rsidRPr="007769B3">
        <w:rPr>
          <w:bCs/>
        </w:rPr>
        <w:t>dimensional scaling</w:t>
      </w:r>
      <w:r w:rsidRPr="007769B3">
        <w:rPr>
          <w:rFonts w:ascii="Arial" w:hAnsi="Arial" w:cs="Arial"/>
        </w:rPr>
        <w:t xml:space="preserve"> </w:t>
      </w:r>
      <w:r>
        <w:rPr>
          <w:szCs w:val="22"/>
        </w:rPr>
        <w:t xml:space="preserve">plots (MDS) and Canonical Analysis of Principle Co-ordinates (CAP) analyses, which characterise the differences amongst the treatments (MDS) and identify the factors most related to differences (CAP). Permutational Multivariate Analysis of Variance (PERMANOVA) and </w:t>
      </w:r>
      <w:r>
        <w:t xml:space="preserve">Analysis of Similarity (ANOSIM) were used to measure separation and test for significance of separation between control and successive treatments.  Threshold Indicator Taxa Analysis (TITAN) </w:t>
      </w:r>
      <w:r>
        <w:rPr>
          <w:noProof/>
        </w:rPr>
        <w:t>(Baker &amp; King 2010)</w:t>
      </w:r>
      <w:r>
        <w:t xml:space="preserve"> and Gradient Forests </w:t>
      </w:r>
      <w:r w:rsidRPr="00332EA2">
        <w:rPr>
          <w:noProof/>
        </w:rPr>
        <w:t>(Ellis et al</w:t>
      </w:r>
      <w:r w:rsidR="001E34CE">
        <w:rPr>
          <w:noProof/>
        </w:rPr>
        <w:t>.</w:t>
      </w:r>
      <w:r w:rsidRPr="00332EA2">
        <w:rPr>
          <w:noProof/>
        </w:rPr>
        <w:t xml:space="preserve"> 2011)</w:t>
      </w:r>
      <w:r>
        <w:t>, available as R statistical packages, were used to determine concentration-response relationships for the whole community, and were also able to determine the response of individual species. These statistical tools have been described in more detail in Harford et al</w:t>
      </w:r>
      <w:r w:rsidR="001E34CE">
        <w:t>.</w:t>
      </w:r>
      <w:r>
        <w:t xml:space="preserve"> (2012).</w:t>
      </w:r>
    </w:p>
    <w:p w:rsidR="00017906" w:rsidRDefault="00017906" w:rsidP="00017906">
      <w:pPr>
        <w:rPr>
          <w:szCs w:val="22"/>
        </w:rPr>
      </w:pPr>
      <w:r>
        <w:rPr>
          <w:szCs w:val="22"/>
        </w:rPr>
        <w:t>Results of the pilot studies lead to an expectation that there would be low diversity of macroinvertebrates in the sediment, and so only samples from the three lowest (0, 50 and 100 mg/kg) and the three highest treatments (2000, 3000, 4000 mg/kg) were processed. Processing of t</w:t>
      </w:r>
      <w:r w:rsidRPr="00F06E9E">
        <w:rPr>
          <w:szCs w:val="22"/>
        </w:rPr>
        <w:t>he macroinvertebrate s</w:t>
      </w:r>
      <w:r>
        <w:rPr>
          <w:szCs w:val="22"/>
        </w:rPr>
        <w:t>amples</w:t>
      </w:r>
      <w:r w:rsidRPr="00F06E9E">
        <w:rPr>
          <w:szCs w:val="22"/>
        </w:rPr>
        <w:t xml:space="preserve"> followed </w:t>
      </w:r>
      <w:r>
        <w:rPr>
          <w:szCs w:val="22"/>
        </w:rPr>
        <w:t>an internal</w:t>
      </w:r>
      <w:r w:rsidRPr="00F06E9E">
        <w:rPr>
          <w:szCs w:val="22"/>
        </w:rPr>
        <w:t xml:space="preserve"> protocol </w:t>
      </w:r>
      <w:r>
        <w:rPr>
          <w:szCs w:val="22"/>
        </w:rPr>
        <w:t>developed for these sediment samples.</w:t>
      </w:r>
    </w:p>
    <w:p w:rsidR="00017906" w:rsidRDefault="00017906" w:rsidP="00017906">
      <w:r>
        <w:t>Differences amongst treatment means of macroinvertebrate abundance and taxa richness were tested for, using Analysis of Variance (ANOVA). Abundance data required a Kruska-Wallis ANOVA on ranks due to a non-normal distribution in the dataset, and a Dunnett’s post-hoc test was used to determine statistical differences from the control. For the multivariate analyses, the abundance data were dispersion-weighted (to account for patchiness in samples) and log transformed. Macroinvertebrate data were analysed using PERMANOVA, ANOSIM, MDS and CAP. TITAN and Gradient Forests could not produce a result from the macroinvertebrate datasets.</w:t>
      </w:r>
    </w:p>
    <w:p w:rsidR="00017906" w:rsidRDefault="00017906" w:rsidP="004726C2">
      <w:pPr>
        <w:pStyle w:val="Heading2"/>
      </w:pPr>
      <w:r>
        <w:t xml:space="preserve">Results </w:t>
      </w:r>
    </w:p>
    <w:p w:rsidR="00017906" w:rsidRDefault="00017906" w:rsidP="00587E07">
      <w:pPr>
        <w:pStyle w:val="Heading3"/>
      </w:pPr>
      <w:r>
        <w:t>Microinvertebrate Eukaryotes</w:t>
      </w:r>
    </w:p>
    <w:p w:rsidR="00017906" w:rsidRDefault="00017906" w:rsidP="00017906">
      <w:r>
        <w:t>The number of OTUs in each treatment was consistent at ~400 OTUs across the U gradient, which indicated that the richness of eukaryotes did not respond to the spiked-U contamination (Figure 1).</w:t>
      </w:r>
    </w:p>
    <w:p w:rsidR="009348DD" w:rsidRPr="00644C1D" w:rsidRDefault="009348DD" w:rsidP="009348DD">
      <w:pPr>
        <w:spacing w:after="0"/>
      </w:pPr>
    </w:p>
    <w:p w:rsidR="00017906" w:rsidRPr="00A37147" w:rsidRDefault="00017906" w:rsidP="00017906">
      <w:pPr>
        <w:jc w:val="center"/>
      </w:pPr>
      <w:r w:rsidRPr="00A37147">
        <w:rPr>
          <w:noProof/>
          <w:lang w:eastAsia="en-AU"/>
        </w:rPr>
        <w:drawing>
          <wp:inline distT="0" distB="0" distL="0" distR="0">
            <wp:extent cx="4023360" cy="2406701"/>
            <wp:effectExtent l="0" t="0" r="0" b="0"/>
            <wp:docPr id="15"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rsidR="00017906" w:rsidRDefault="00017906" w:rsidP="00017906">
      <w:pPr>
        <w:pStyle w:val="figurecaption"/>
      </w:pPr>
      <w:r w:rsidRPr="00A37147">
        <w:rPr>
          <w:b/>
        </w:rPr>
        <w:t xml:space="preserve">Figure </w:t>
      </w:r>
      <w:r>
        <w:rPr>
          <w:b/>
        </w:rPr>
        <w:t>1</w:t>
      </w:r>
      <w:r>
        <w:t xml:space="preserve"> The number of eukaryote Operational Taxonomic Units (OTU) in each U treatment (</w:t>
      </w:r>
      <w:r w:rsidRPr="00144C75">
        <w:rPr>
          <w:i/>
        </w:rPr>
        <w:t>n</w:t>
      </w:r>
      <w:r>
        <w:t xml:space="preserve"> = 4 except for 4000 mg/kg where </w:t>
      </w:r>
      <w:r w:rsidRPr="00144C75">
        <w:rPr>
          <w:i/>
        </w:rPr>
        <w:t>n</w:t>
      </w:r>
      <w:r>
        <w:t xml:space="preserve"> = 3).</w:t>
      </w:r>
    </w:p>
    <w:p w:rsidR="001E323E" w:rsidRDefault="00017906" w:rsidP="00254B06">
      <w:r>
        <w:t>MDS ordination of all the post-deployment samples showed separation of the high (≥1500 mg kg</w:t>
      </w:r>
      <w:r w:rsidRPr="00EA395A">
        <w:rPr>
          <w:snapToGrid w:val="0"/>
          <w:color w:val="000000"/>
          <w:position w:val="5"/>
          <w:sz w:val="15"/>
          <w:szCs w:val="0"/>
          <w:u w:color="000000"/>
        </w:rPr>
        <w:t>-1</w:t>
      </w:r>
      <w:r>
        <w:t>), medium (200 – 1000 mg kg</w:t>
      </w:r>
      <w:r w:rsidRPr="00EA395A">
        <w:rPr>
          <w:snapToGrid w:val="0"/>
          <w:color w:val="000000"/>
          <w:position w:val="5"/>
          <w:sz w:val="15"/>
          <w:szCs w:val="0"/>
          <w:u w:color="000000"/>
        </w:rPr>
        <w:t>-1</w:t>
      </w:r>
      <w:r>
        <w:t>) and low (0 – 100 mg kg</w:t>
      </w:r>
      <w:r w:rsidRPr="00EA395A">
        <w:rPr>
          <w:snapToGrid w:val="0"/>
          <w:color w:val="000000"/>
          <w:position w:val="5"/>
          <w:sz w:val="15"/>
          <w:szCs w:val="0"/>
          <w:u w:color="000000"/>
        </w:rPr>
        <w:t>-1</w:t>
      </w:r>
      <w:r>
        <w:t>) samples (Figure 2a). The differences between the high, medium and low treatments were more apparent when the centroids of each treatment were analysed, especially for those samples with ≥1500 mg kg</w:t>
      </w:r>
      <w:r w:rsidRPr="00EA395A">
        <w:rPr>
          <w:snapToGrid w:val="0"/>
          <w:color w:val="000000"/>
          <w:position w:val="5"/>
          <w:sz w:val="15"/>
          <w:szCs w:val="0"/>
          <w:u w:color="000000"/>
        </w:rPr>
        <w:t>-1</w:t>
      </w:r>
      <w:r>
        <w:t xml:space="preserve"> U (Figure 2b).</w:t>
      </w:r>
    </w:p>
    <w:p w:rsidR="00017906" w:rsidRDefault="00017906" w:rsidP="00017906"/>
    <w:p w:rsidR="00017906" w:rsidRPr="00A86F09" w:rsidRDefault="00017906" w:rsidP="00932A96">
      <w:pPr>
        <w:pStyle w:val="ListParagraph"/>
        <w:numPr>
          <w:ilvl w:val="0"/>
          <w:numId w:val="8"/>
        </w:numPr>
        <w:tabs>
          <w:tab w:val="left" w:pos="3969"/>
        </w:tabs>
        <w:ind w:left="3828" w:hanging="3686"/>
        <w:rPr>
          <w:rFonts w:ascii="Arial" w:hAnsi="Arial" w:cs="Arial"/>
          <w:b/>
        </w:rPr>
      </w:pPr>
      <w:r w:rsidRPr="00A86F09">
        <w:rPr>
          <w:rFonts w:ascii="Arial" w:hAnsi="Arial" w:cs="Arial"/>
          <w:b/>
        </w:rPr>
        <w:t>b)</w:t>
      </w:r>
    </w:p>
    <w:p w:rsidR="00017906" w:rsidRDefault="00017906" w:rsidP="00017906">
      <w:r w:rsidRPr="00007168">
        <w:rPr>
          <w:noProof/>
          <w:lang w:eastAsia="en-AU"/>
        </w:rPr>
        <w:drawing>
          <wp:inline distT="0" distB="0" distL="0" distR="0">
            <wp:extent cx="2391769" cy="1606164"/>
            <wp:effectExtent l="0" t="0" r="8531" b="0"/>
            <wp:docPr id="1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4" cstate="screen"/>
                    <a:srcRect t="10222" r="15758"/>
                    <a:stretch>
                      <a:fillRect/>
                    </a:stretch>
                  </pic:blipFill>
                  <pic:spPr bwMode="auto">
                    <a:xfrm>
                      <a:off x="0" y="0"/>
                      <a:ext cx="2391769" cy="1606164"/>
                    </a:xfrm>
                    <a:prstGeom prst="rect">
                      <a:avLst/>
                    </a:prstGeom>
                    <a:noFill/>
                    <a:ln w="9525">
                      <a:noFill/>
                      <a:miter lim="800000"/>
                      <a:headEnd/>
                      <a:tailEnd/>
                    </a:ln>
                  </pic:spPr>
                </pic:pic>
              </a:graphicData>
            </a:graphic>
          </wp:inline>
        </w:drawing>
      </w:r>
      <w:r>
        <w:rPr>
          <w:noProof/>
          <w:lang w:eastAsia="en-AU"/>
        </w:rPr>
        <w:drawing>
          <wp:inline distT="0" distB="0" distL="0" distR="0">
            <wp:extent cx="2829090" cy="1606164"/>
            <wp:effectExtent l="0" t="0" r="9360" b="0"/>
            <wp:docPr id="2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5" cstate="screen"/>
                    <a:srcRect t="10222"/>
                    <a:stretch>
                      <a:fillRect/>
                    </a:stretch>
                  </pic:blipFill>
                  <pic:spPr bwMode="auto">
                    <a:xfrm>
                      <a:off x="0" y="0"/>
                      <a:ext cx="2829090" cy="1606164"/>
                    </a:xfrm>
                    <a:prstGeom prst="rect">
                      <a:avLst/>
                    </a:prstGeom>
                    <a:noFill/>
                    <a:ln w="9525">
                      <a:noFill/>
                      <a:miter lim="800000"/>
                      <a:headEnd/>
                      <a:tailEnd/>
                    </a:ln>
                  </pic:spPr>
                </pic:pic>
              </a:graphicData>
            </a:graphic>
          </wp:inline>
        </w:drawing>
      </w:r>
    </w:p>
    <w:p w:rsidR="009348DD" w:rsidRDefault="00017906" w:rsidP="00017906">
      <w:pPr>
        <w:pStyle w:val="figurecaption"/>
        <w:sectPr w:rsidR="009348DD" w:rsidSect="00487A27">
          <w:pgSz w:w="11906" w:h="16838" w:code="9"/>
          <w:pgMar w:top="1440" w:right="1800" w:bottom="1440" w:left="1800" w:header="1080" w:footer="835" w:gutter="0"/>
          <w:cols w:space="360"/>
          <w:noEndnote/>
        </w:sectPr>
      </w:pPr>
      <w:r w:rsidRPr="00007168">
        <w:rPr>
          <w:b/>
        </w:rPr>
        <w:t xml:space="preserve">Figure </w:t>
      </w:r>
      <w:r>
        <w:rPr>
          <w:b/>
        </w:rPr>
        <w:t>2</w:t>
      </w:r>
      <w:r>
        <w:t xml:space="preserve"> Multi Dimension Scaling of Jaccard </w:t>
      </w:r>
      <w:proofErr w:type="gramStart"/>
      <w:r>
        <w:t>resemblance</w:t>
      </w:r>
      <w:proofErr w:type="gramEnd"/>
      <w:r>
        <w:t xml:space="preserve"> for the eukaryotes. a) </w:t>
      </w:r>
      <w:proofErr w:type="gramStart"/>
      <w:r>
        <w:t>all</w:t>
      </w:r>
      <w:proofErr w:type="gramEnd"/>
      <w:r>
        <w:t xml:space="preserve"> post-deployment treatments and b) the centroids of the treatments</w:t>
      </w:r>
      <w:r w:rsidR="001E34CE">
        <w:t>.</w:t>
      </w:r>
    </w:p>
    <w:p w:rsidR="00017906" w:rsidRDefault="00017906" w:rsidP="00017906">
      <w:pPr>
        <w:pStyle w:val="figurecaption"/>
      </w:pPr>
    </w:p>
    <w:p w:rsidR="009348DD" w:rsidRDefault="00017906" w:rsidP="00017906">
      <w:r>
        <w:t xml:space="preserve">There were statistically significant differences (PERMANOVA, </w:t>
      </w:r>
      <w:r w:rsidRPr="00605E8E">
        <w:rPr>
          <w:i/>
        </w:rPr>
        <w:t>P</w:t>
      </w:r>
      <w:r>
        <w:t xml:space="preserve"> &lt; 0.05, Figure 3a) in community composition for all post-deployment treatments &gt;200 mg kg</w:t>
      </w:r>
      <w:r w:rsidRPr="00F4637C">
        <w:rPr>
          <w:snapToGrid w:val="0"/>
          <w:color w:val="000000"/>
          <w:position w:val="5"/>
          <w:sz w:val="15"/>
          <w:szCs w:val="0"/>
          <w:u w:color="000000"/>
        </w:rPr>
        <w:t>-1</w:t>
      </w:r>
      <w:r>
        <w:t>, except for the 800 mg kg</w:t>
      </w:r>
      <w:r w:rsidRPr="00F4637C">
        <w:rPr>
          <w:snapToGrid w:val="0"/>
          <w:color w:val="000000"/>
          <w:position w:val="5"/>
          <w:sz w:val="15"/>
          <w:szCs w:val="0"/>
          <w:u w:color="000000"/>
        </w:rPr>
        <w:t>-1</w:t>
      </w:r>
      <w:r>
        <w:t xml:space="preserve"> treatment, compared to the control treatment. The 50 and 100 mg kg</w:t>
      </w:r>
      <w:r w:rsidRPr="00F4637C">
        <w:rPr>
          <w:snapToGrid w:val="0"/>
          <w:color w:val="000000"/>
          <w:position w:val="5"/>
          <w:sz w:val="15"/>
          <w:szCs w:val="0"/>
          <w:u w:color="000000"/>
        </w:rPr>
        <w:t>-1</w:t>
      </w:r>
      <w:r>
        <w:t xml:space="preserve"> treatments were not significantly different from the control treatment (</w:t>
      </w:r>
      <w:r w:rsidRPr="00605E8E">
        <w:rPr>
          <w:i/>
        </w:rPr>
        <w:t>P</w:t>
      </w:r>
      <w:r>
        <w:t xml:space="preserve"> &gt; 0.05, Figure 3a). There was a positive correlation between ANOSIM R values and U concentration (r</w:t>
      </w:r>
      <w:r w:rsidRPr="00D60437">
        <w:rPr>
          <w:snapToGrid w:val="0"/>
          <w:color w:val="000000"/>
          <w:position w:val="6"/>
          <w:sz w:val="16"/>
          <w:szCs w:val="0"/>
          <w:u w:color="000000"/>
        </w:rPr>
        <w:t>2</w:t>
      </w:r>
      <w:r>
        <w:t xml:space="preserve">=0.63, </w:t>
      </w:r>
      <w:r w:rsidRPr="00BB511F">
        <w:rPr>
          <w:i/>
        </w:rPr>
        <w:t>P</w:t>
      </w:r>
      <w:r>
        <w:t xml:space="preserve"> = 0.0019; Figure 3b) for the post-deployment samples. A plateau in the ANOSIM R values at ~1000 mg kg</w:t>
      </w:r>
      <w:r w:rsidRPr="00F4637C">
        <w:rPr>
          <w:snapToGrid w:val="0"/>
          <w:color w:val="000000"/>
          <w:position w:val="5"/>
          <w:sz w:val="15"/>
          <w:szCs w:val="0"/>
          <w:u w:color="000000"/>
        </w:rPr>
        <w:t>-1</w:t>
      </w:r>
      <w:r>
        <w:t xml:space="preserve"> suggested that the difference from controls had reached a maximum in samples &gt;2500 mg kg</w:t>
      </w:r>
      <w:r w:rsidRPr="00F4637C">
        <w:rPr>
          <w:snapToGrid w:val="0"/>
          <w:color w:val="000000"/>
          <w:position w:val="5"/>
          <w:sz w:val="15"/>
          <w:szCs w:val="0"/>
          <w:u w:color="000000"/>
        </w:rPr>
        <w:t>-1</w:t>
      </w:r>
      <w:r>
        <w:t>. The 800 mg/kg treatment appeared to be an outlier and various analyses showed that it did not follow the trends of the other treatments.</w:t>
      </w:r>
    </w:p>
    <w:p w:rsidR="00017906" w:rsidRPr="009348DD" w:rsidRDefault="00017906" w:rsidP="00932A96">
      <w:pPr>
        <w:pStyle w:val="ListParagraph"/>
        <w:numPr>
          <w:ilvl w:val="0"/>
          <w:numId w:val="7"/>
        </w:numPr>
        <w:spacing w:after="0"/>
        <w:ind w:left="3969" w:hanging="3827"/>
        <w:rPr>
          <w:rFonts w:ascii="Arial" w:hAnsi="Arial" w:cs="Arial"/>
          <w:b/>
        </w:rPr>
      </w:pPr>
      <w:r w:rsidRPr="009348DD">
        <w:rPr>
          <w:rFonts w:ascii="Arial" w:hAnsi="Arial" w:cs="Arial"/>
          <w:b/>
        </w:rPr>
        <w:t>b)</w:t>
      </w:r>
    </w:p>
    <w:p w:rsidR="00017906" w:rsidRDefault="00017906" w:rsidP="00017906">
      <w:pPr>
        <w:pStyle w:val="figurecaption"/>
        <w:jc w:val="left"/>
        <w:rPr>
          <w:b/>
        </w:rPr>
      </w:pPr>
      <w:r w:rsidRPr="00BB511F">
        <w:rPr>
          <w:noProof/>
          <w:lang w:eastAsia="en-AU"/>
        </w:rPr>
        <w:drawing>
          <wp:inline distT="0" distB="0" distL="0" distR="0">
            <wp:extent cx="2596929" cy="1860605"/>
            <wp:effectExtent l="19050" t="0" r="0" b="0"/>
            <wp:docPr id="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6" cstate="screen"/>
                    <a:srcRect t="7143"/>
                    <a:stretch>
                      <a:fillRect/>
                    </a:stretch>
                  </pic:blipFill>
                  <pic:spPr bwMode="auto">
                    <a:xfrm>
                      <a:off x="0" y="0"/>
                      <a:ext cx="2596929" cy="1860605"/>
                    </a:xfrm>
                    <a:prstGeom prst="rect">
                      <a:avLst/>
                    </a:prstGeom>
                    <a:noFill/>
                    <a:ln w="9525">
                      <a:noFill/>
                      <a:miter lim="800000"/>
                      <a:headEnd/>
                      <a:tailEnd/>
                    </a:ln>
                  </pic:spPr>
                </pic:pic>
              </a:graphicData>
            </a:graphic>
          </wp:inline>
        </w:drawing>
      </w:r>
      <w:r w:rsidRPr="009B7B74">
        <w:rPr>
          <w:noProof/>
          <w:lang w:eastAsia="en-AU"/>
        </w:rPr>
        <w:drawing>
          <wp:inline distT="0" distB="0" distL="0" distR="0">
            <wp:extent cx="2519324" cy="2053975"/>
            <wp:effectExtent l="19050" t="0" r="0" b="0"/>
            <wp:docPr id="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7" cstate="screen"/>
                    <a:srcRect/>
                    <a:stretch>
                      <a:fillRect/>
                    </a:stretch>
                  </pic:blipFill>
                  <pic:spPr bwMode="auto">
                    <a:xfrm>
                      <a:off x="0" y="0"/>
                      <a:ext cx="2520621" cy="2055032"/>
                    </a:xfrm>
                    <a:prstGeom prst="rect">
                      <a:avLst/>
                    </a:prstGeom>
                    <a:noFill/>
                    <a:ln w="9525">
                      <a:noFill/>
                      <a:miter lim="800000"/>
                      <a:headEnd/>
                      <a:tailEnd/>
                    </a:ln>
                  </pic:spPr>
                </pic:pic>
              </a:graphicData>
            </a:graphic>
          </wp:inline>
        </w:drawing>
      </w:r>
    </w:p>
    <w:p w:rsidR="00017906" w:rsidRDefault="00017906" w:rsidP="00017906">
      <w:pPr>
        <w:pStyle w:val="figurecaption"/>
      </w:pPr>
      <w:r w:rsidRPr="00CC6B3E">
        <w:rPr>
          <w:b/>
        </w:rPr>
        <w:t xml:space="preserve">Figure </w:t>
      </w:r>
      <w:proofErr w:type="gramStart"/>
      <w:r>
        <w:rPr>
          <w:b/>
        </w:rPr>
        <w:t>3</w:t>
      </w:r>
      <w:r w:rsidRPr="00CC6B3E">
        <w:rPr>
          <w:b/>
        </w:rPr>
        <w:t xml:space="preserve"> </w:t>
      </w:r>
      <w:r w:rsidRPr="00AC3BE7">
        <w:t xml:space="preserve"> </w:t>
      </w:r>
      <w:r>
        <w:t>a</w:t>
      </w:r>
      <w:proofErr w:type="gramEnd"/>
      <w:r>
        <w:t xml:space="preserve">) </w:t>
      </w:r>
      <w:r w:rsidRPr="00AC3BE7">
        <w:t>PERMANOVA pairwise comparison</w:t>
      </w:r>
      <w:r>
        <w:t xml:space="preserve"> P values, and</w:t>
      </w:r>
      <w:r w:rsidRPr="00AC3BE7">
        <w:t xml:space="preserve"> </w:t>
      </w:r>
      <w:r>
        <w:t xml:space="preserve">b) ANOSIM R value comparisons </w:t>
      </w:r>
      <w:r w:rsidRPr="00AC3BE7">
        <w:t xml:space="preserve">of the post-deployment </w:t>
      </w:r>
      <w:r>
        <w:t>eukaryote Operational Taxonomic Units (blue lines show the 95% confidence intervals).</w:t>
      </w:r>
    </w:p>
    <w:p w:rsidR="001A7E73" w:rsidRDefault="00017906" w:rsidP="001A7E73">
      <w:pPr>
        <w:rPr>
          <w:spacing w:val="-4"/>
        </w:rPr>
      </w:pPr>
      <w:r>
        <w:t>A Distance-based Linear Model (DistLM) using AEM as the predicting factor separated the &gt;1000 mg/kg from the other treatments and identified U as the key factor influencing the changes.  Manganese was also identified as a secondary factor influencing the differences between treatments (Figure 4). This analysis also showed a clear delineation between the treatments &lt;1000 mg kg</w:t>
      </w:r>
      <w:r w:rsidRPr="00F4637C">
        <w:rPr>
          <w:snapToGrid w:val="0"/>
          <w:color w:val="000000"/>
          <w:position w:val="5"/>
          <w:sz w:val="15"/>
          <w:szCs w:val="0"/>
          <w:u w:color="000000"/>
        </w:rPr>
        <w:t>-1</w:t>
      </w:r>
      <w:r>
        <w:t xml:space="preserve"> and those higher.</w:t>
      </w:r>
      <w:r w:rsidR="001A7E73" w:rsidRPr="001A7E73">
        <w:rPr>
          <w:spacing w:val="-4"/>
        </w:rPr>
        <w:t xml:space="preserve"> </w:t>
      </w:r>
    </w:p>
    <w:p w:rsidR="001A7E73" w:rsidRPr="00B9110E" w:rsidRDefault="001A7E73" w:rsidP="001A7E73">
      <w:pPr>
        <w:rPr>
          <w:spacing w:val="-4"/>
        </w:rPr>
      </w:pPr>
      <w:r w:rsidRPr="00B9110E">
        <w:rPr>
          <w:spacing w:val="-4"/>
        </w:rPr>
        <w:t>TITAN results indicated that there was a change point for species appearing (z+) at 955 mg kg</w:t>
      </w:r>
      <w:r w:rsidRPr="00B9110E">
        <w:rPr>
          <w:snapToGrid w:val="0"/>
          <w:color w:val="000000"/>
          <w:spacing w:val="-4"/>
          <w:position w:val="5"/>
          <w:sz w:val="15"/>
          <w:szCs w:val="0"/>
          <w:u w:color="000000"/>
        </w:rPr>
        <w:t>-1</w:t>
      </w:r>
      <w:r w:rsidRPr="00B9110E">
        <w:rPr>
          <w:spacing w:val="-4"/>
        </w:rPr>
        <w:t xml:space="preserve"> and a change point for species disappearing (z-) at 70 mg kg</w:t>
      </w:r>
      <w:r w:rsidRPr="00B9110E">
        <w:rPr>
          <w:snapToGrid w:val="0"/>
          <w:color w:val="000000"/>
          <w:spacing w:val="-4"/>
          <w:position w:val="5"/>
          <w:sz w:val="15"/>
          <w:szCs w:val="0"/>
          <w:u w:color="000000"/>
        </w:rPr>
        <w:t>-1</w:t>
      </w:r>
      <w:r w:rsidRPr="00B9110E">
        <w:rPr>
          <w:spacing w:val="-4"/>
        </w:rPr>
        <w:t>.  However, the initial sumz- scores appeared anomalous because the change point was taken from the low end of the confidence interval (10</w:t>
      </w:r>
      <w:r w:rsidRPr="00B9110E">
        <w:rPr>
          <w:spacing w:val="-4"/>
          <w:vertAlign w:val="superscript"/>
        </w:rPr>
        <w:t>th</w:t>
      </w:r>
      <w:r w:rsidRPr="00B9110E">
        <w:rPr>
          <w:spacing w:val="-4"/>
        </w:rPr>
        <w:t xml:space="preserve"> percentile) and the result was sensitive to changes in algorithm parameters, which should not have altered the change points (Table 1). The reason for this will be investigated further because it may help understand the nature of the ecogenomic dataset. Regardless, a beta-version of TITAN 2.0 was recently provided by the programmers and allowed analysis with only the OTUs with high purity and reliability scores, i.e. 500 bootstraps are used to identify the Indicator Values that have a high proportion (95%) that return the correct directionality (purity) and a statistically significant result (reliability). Using OTUs that were filtered for purity and reliability resulted in a change point for species disappearing of 1000 mg kg</w:t>
      </w:r>
      <w:r w:rsidRPr="00B9110E">
        <w:rPr>
          <w:snapToGrid w:val="0"/>
          <w:color w:val="000000"/>
          <w:spacing w:val="-4"/>
          <w:position w:val="5"/>
          <w:sz w:val="15"/>
          <w:szCs w:val="0"/>
          <w:u w:color="000000"/>
        </w:rPr>
        <w:t>-1</w:t>
      </w:r>
      <w:r w:rsidRPr="00B9110E">
        <w:rPr>
          <w:spacing w:val="-4"/>
        </w:rPr>
        <w:t xml:space="preserve"> U, which was not sensitive to the aforementioned parameter changes. It was also similar to traditional change points of 1100 mg kg</w:t>
      </w:r>
      <w:r w:rsidRPr="00B9110E">
        <w:rPr>
          <w:snapToGrid w:val="0"/>
          <w:color w:val="000000"/>
          <w:spacing w:val="-4"/>
          <w:position w:val="5"/>
          <w:sz w:val="15"/>
          <w:szCs w:val="0"/>
          <w:u w:color="000000"/>
        </w:rPr>
        <w:t>-1</w:t>
      </w:r>
      <w:r w:rsidRPr="00B9110E">
        <w:rPr>
          <w:spacing w:val="-4"/>
        </w:rPr>
        <w:t xml:space="preserve"> based on TITAN analyses using traditional Bray-Curtis and Euclidian distances (Table 1). There were 26 pure and reliable indicator species disappearing across the gradient (z-) and 21 appearing (z+), of which many were unclassifiable (Figure 5). The strongest indicator species in terms of taxa disappearing appear to be from the class</w:t>
      </w:r>
      <w:r w:rsidRPr="00B9110E">
        <w:rPr>
          <w:i/>
          <w:spacing w:val="-4"/>
        </w:rPr>
        <w:t xml:space="preserve"> Colpodea</w:t>
      </w:r>
      <w:r w:rsidRPr="00B9110E">
        <w:rPr>
          <w:spacing w:val="-4"/>
        </w:rPr>
        <w:t xml:space="preserve"> (a ciliated protozoan bactrivore) and two OTUs from the phylum </w:t>
      </w:r>
      <w:r w:rsidRPr="00B9110E">
        <w:rPr>
          <w:i/>
          <w:spacing w:val="-4"/>
        </w:rPr>
        <w:t>Stramenopiles</w:t>
      </w:r>
      <w:r w:rsidRPr="00B9110E">
        <w:rPr>
          <w:spacing w:val="-4"/>
        </w:rPr>
        <w:t xml:space="preserve"> (aka </w:t>
      </w:r>
      <w:r w:rsidRPr="00B9110E">
        <w:rPr>
          <w:i/>
          <w:spacing w:val="-4"/>
        </w:rPr>
        <w:t>Heterknota</w:t>
      </w:r>
      <w:r w:rsidRPr="00B9110E">
        <w:rPr>
          <w:spacing w:val="-4"/>
        </w:rPr>
        <w:t xml:space="preserve">, which is a major phylum of eukaryotes including all algae and diatoms, Figure 5). </w:t>
      </w:r>
    </w:p>
    <w:p w:rsidR="00017906" w:rsidRDefault="00017906" w:rsidP="00017906"/>
    <w:p w:rsidR="00017906" w:rsidRDefault="00017906" w:rsidP="00017906">
      <w:pPr>
        <w:jc w:val="center"/>
      </w:pPr>
      <w:r>
        <w:rPr>
          <w:noProof/>
          <w:lang w:eastAsia="en-AU"/>
        </w:rPr>
        <w:drawing>
          <wp:inline distT="0" distB="0" distL="0" distR="0">
            <wp:extent cx="3733648" cy="3778415"/>
            <wp:effectExtent l="19050" t="0" r="0" b="0"/>
            <wp:docPr id="2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8" cstate="screen"/>
                    <a:srcRect t="7456"/>
                    <a:stretch>
                      <a:fillRect/>
                    </a:stretch>
                  </pic:blipFill>
                  <pic:spPr bwMode="auto">
                    <a:xfrm>
                      <a:off x="0" y="0"/>
                      <a:ext cx="3736043" cy="3780839"/>
                    </a:xfrm>
                    <a:prstGeom prst="rect">
                      <a:avLst/>
                    </a:prstGeom>
                    <a:noFill/>
                    <a:ln w="9525">
                      <a:noFill/>
                      <a:miter lim="800000"/>
                      <a:headEnd/>
                      <a:tailEnd/>
                    </a:ln>
                  </pic:spPr>
                </pic:pic>
              </a:graphicData>
            </a:graphic>
          </wp:inline>
        </w:drawing>
      </w:r>
    </w:p>
    <w:p w:rsidR="001E34CE" w:rsidRDefault="00017906" w:rsidP="001A7E73">
      <w:pPr>
        <w:pStyle w:val="figurecaption"/>
        <w:rPr>
          <w:b/>
          <w:spacing w:val="-4"/>
        </w:rPr>
      </w:pPr>
      <w:r w:rsidRPr="00E82821">
        <w:rPr>
          <w:b/>
        </w:rPr>
        <w:t xml:space="preserve">Figure </w:t>
      </w:r>
      <w:r>
        <w:rPr>
          <w:b/>
        </w:rPr>
        <w:t>4</w:t>
      </w:r>
      <w:r w:rsidRPr="00E82821">
        <w:rPr>
          <w:b/>
        </w:rPr>
        <w:t xml:space="preserve"> </w:t>
      </w:r>
      <w:r>
        <w:t xml:space="preserve">Distance-based linear </w:t>
      </w:r>
      <w:proofErr w:type="gramStart"/>
      <w:r>
        <w:t>model</w:t>
      </w:r>
      <w:proofErr w:type="gramEnd"/>
      <w:r>
        <w:t xml:space="preserve"> of the post-deployment eukaryote treatments</w:t>
      </w:r>
      <w:r w:rsidR="001E34CE">
        <w:t>.</w:t>
      </w:r>
      <w:r w:rsidR="001A7E73" w:rsidRPr="00B9110E">
        <w:rPr>
          <w:b/>
          <w:spacing w:val="-4"/>
        </w:rPr>
        <w:t xml:space="preserve"> </w:t>
      </w:r>
    </w:p>
    <w:p w:rsidR="001A7E73" w:rsidRPr="001A7E73" w:rsidRDefault="001A7E73" w:rsidP="001A7E73"/>
    <w:p w:rsidR="00017906" w:rsidRDefault="00017906" w:rsidP="00017906">
      <w:pPr>
        <w:pStyle w:val="tablecaption"/>
      </w:pPr>
      <w:r w:rsidRPr="003054AD">
        <w:rPr>
          <w:b/>
        </w:rPr>
        <w:t xml:space="preserve">Table </w:t>
      </w:r>
      <w:r>
        <w:rPr>
          <w:b/>
        </w:rPr>
        <w:t>1</w:t>
      </w:r>
      <w:r>
        <w:t xml:space="preserve"> Eukaryote Threshold Indicator Taxa Analysis (TITAN) calculated change points for uranium.</w:t>
      </w:r>
    </w:p>
    <w:tbl>
      <w:tblPr>
        <w:tblW w:w="5000" w:type="pct"/>
        <w:tblLayout w:type="fixed"/>
        <w:tblLook w:val="04A0"/>
      </w:tblPr>
      <w:tblGrid>
        <w:gridCol w:w="1518"/>
        <w:gridCol w:w="1281"/>
        <w:gridCol w:w="1144"/>
        <w:gridCol w:w="1144"/>
        <w:gridCol w:w="1144"/>
        <w:gridCol w:w="1144"/>
        <w:gridCol w:w="1147"/>
      </w:tblGrid>
      <w:tr w:rsidR="00017906" w:rsidRPr="00222EC6" w:rsidTr="00017906">
        <w:tc>
          <w:tcPr>
            <w:tcW w:w="891" w:type="pct"/>
            <w:vMerge w:val="restart"/>
            <w:tcBorders>
              <w:top w:val="single" w:sz="4" w:space="0" w:color="auto"/>
              <w:left w:val="nil"/>
              <w:bottom w:val="single" w:sz="4" w:space="0" w:color="auto"/>
              <w:right w:val="nil"/>
            </w:tcBorders>
          </w:tcPr>
          <w:p w:rsidR="00017906" w:rsidRPr="001E34CE" w:rsidRDefault="00017906" w:rsidP="001E34CE">
            <w:pPr>
              <w:pStyle w:val="table1"/>
              <w:rPr>
                <w:b/>
                <w:color w:val="000000"/>
                <w:u w:color="000000"/>
              </w:rPr>
            </w:pPr>
            <w:r w:rsidRPr="001E34CE">
              <w:rPr>
                <w:b/>
                <w:color w:val="000000"/>
                <w:u w:color="000000"/>
              </w:rPr>
              <w:t>Analysis</w:t>
            </w:r>
          </w:p>
        </w:tc>
        <w:tc>
          <w:tcPr>
            <w:tcW w:w="752" w:type="pct"/>
            <w:vMerge w:val="restart"/>
            <w:tcBorders>
              <w:top w:val="single" w:sz="4" w:space="0" w:color="auto"/>
              <w:left w:val="nil"/>
              <w:bottom w:val="nil"/>
              <w:right w:val="nil"/>
            </w:tcBorders>
          </w:tcPr>
          <w:p w:rsidR="00017906" w:rsidRPr="001E34CE" w:rsidRDefault="00017906" w:rsidP="001E34CE">
            <w:pPr>
              <w:pStyle w:val="table1"/>
              <w:rPr>
                <w:b/>
                <w:color w:val="000000"/>
                <w:u w:color="000000"/>
              </w:rPr>
            </w:pPr>
            <w:r w:rsidRPr="001E34CE">
              <w:rPr>
                <w:b/>
                <w:color w:val="000000"/>
                <w:u w:color="000000"/>
              </w:rPr>
              <w:t>Change point</w:t>
            </w:r>
            <w:r w:rsidRPr="001E34CE">
              <w:rPr>
                <w:b/>
                <w:color w:val="000000"/>
                <w:u w:color="000000"/>
              </w:rPr>
              <w:br/>
              <w:t>(U, mg kg</w:t>
            </w:r>
            <w:r w:rsidRPr="001E34CE">
              <w:rPr>
                <w:b/>
                <w:snapToGrid w:val="0"/>
                <w:color w:val="000000"/>
                <w:szCs w:val="0"/>
                <w:u w:color="000000"/>
              </w:rPr>
              <w:t>-1</w:t>
            </w:r>
            <w:r w:rsidRPr="001E34CE">
              <w:rPr>
                <w:b/>
                <w:color w:val="000000"/>
                <w:u w:color="000000"/>
              </w:rPr>
              <w:t>)</w:t>
            </w:r>
          </w:p>
        </w:tc>
        <w:tc>
          <w:tcPr>
            <w:tcW w:w="3357" w:type="pct"/>
            <w:gridSpan w:val="5"/>
            <w:tcBorders>
              <w:top w:val="single" w:sz="4" w:space="0" w:color="auto"/>
              <w:left w:val="nil"/>
              <w:bottom w:val="single" w:sz="4" w:space="0" w:color="auto"/>
              <w:right w:val="nil"/>
            </w:tcBorders>
          </w:tcPr>
          <w:p w:rsidR="00017906" w:rsidRPr="001E34CE" w:rsidRDefault="00017906" w:rsidP="001E34CE">
            <w:pPr>
              <w:pStyle w:val="table1"/>
              <w:rPr>
                <w:b/>
                <w:color w:val="000000"/>
                <w:u w:color="000000"/>
              </w:rPr>
            </w:pPr>
            <w:r w:rsidRPr="001E34CE">
              <w:rPr>
                <w:b/>
                <w:color w:val="000000"/>
                <w:u w:color="000000"/>
              </w:rPr>
              <w:t>Confidence intervals (mg kg</w:t>
            </w:r>
            <w:r w:rsidR="001E34CE" w:rsidRPr="001E34CE">
              <w:rPr>
                <w:rFonts w:ascii="Arial Bold" w:hAnsi="Arial Bold"/>
                <w:b/>
                <w:color w:val="000000"/>
                <w:u w:color="000000"/>
                <w:vertAlign w:val="superscript"/>
              </w:rPr>
              <w:t>-1</w:t>
            </w:r>
            <w:r w:rsidRPr="001E34CE">
              <w:rPr>
                <w:b/>
                <w:color w:val="000000"/>
                <w:u w:color="000000"/>
              </w:rPr>
              <w:t>)</w:t>
            </w:r>
          </w:p>
        </w:tc>
      </w:tr>
      <w:tr w:rsidR="00017906" w:rsidRPr="0024210B" w:rsidTr="00017906">
        <w:tc>
          <w:tcPr>
            <w:tcW w:w="891" w:type="pct"/>
            <w:vMerge/>
            <w:tcBorders>
              <w:top w:val="nil"/>
              <w:left w:val="nil"/>
              <w:bottom w:val="single" w:sz="4" w:space="0" w:color="auto"/>
              <w:right w:val="nil"/>
            </w:tcBorders>
          </w:tcPr>
          <w:p w:rsidR="00017906" w:rsidRPr="001E34CE" w:rsidRDefault="00017906" w:rsidP="001E34CE">
            <w:pPr>
              <w:pStyle w:val="table1"/>
              <w:rPr>
                <w:b/>
                <w:color w:val="000000"/>
                <w:u w:color="000000"/>
              </w:rPr>
            </w:pPr>
          </w:p>
        </w:tc>
        <w:tc>
          <w:tcPr>
            <w:tcW w:w="752" w:type="pct"/>
            <w:vMerge/>
            <w:tcBorders>
              <w:top w:val="nil"/>
              <w:left w:val="nil"/>
              <w:bottom w:val="single" w:sz="4" w:space="0" w:color="auto"/>
              <w:right w:val="nil"/>
            </w:tcBorders>
          </w:tcPr>
          <w:p w:rsidR="00017906" w:rsidRPr="001E34CE" w:rsidRDefault="00017906" w:rsidP="001E34CE">
            <w:pPr>
              <w:pStyle w:val="table1"/>
              <w:rPr>
                <w:b/>
                <w:color w:val="000000"/>
                <w:u w:color="000000"/>
              </w:rPr>
            </w:pPr>
          </w:p>
        </w:tc>
        <w:tc>
          <w:tcPr>
            <w:tcW w:w="671" w:type="pct"/>
            <w:tcBorders>
              <w:top w:val="single" w:sz="4" w:space="0" w:color="auto"/>
              <w:left w:val="nil"/>
              <w:bottom w:val="single" w:sz="4" w:space="0" w:color="auto"/>
              <w:right w:val="nil"/>
            </w:tcBorders>
          </w:tcPr>
          <w:p w:rsidR="00017906" w:rsidRPr="001E34CE" w:rsidRDefault="00017906" w:rsidP="001E34CE">
            <w:pPr>
              <w:pStyle w:val="table1"/>
              <w:rPr>
                <w:b/>
                <w:color w:val="000000"/>
                <w:u w:color="000000"/>
              </w:rPr>
            </w:pPr>
            <w:r w:rsidRPr="001E34CE">
              <w:rPr>
                <w:b/>
                <w:color w:val="000000"/>
                <w:u w:color="000000"/>
              </w:rPr>
              <w:t>0.05</w:t>
            </w:r>
          </w:p>
        </w:tc>
        <w:tc>
          <w:tcPr>
            <w:tcW w:w="671" w:type="pct"/>
            <w:tcBorders>
              <w:top w:val="single" w:sz="4" w:space="0" w:color="auto"/>
              <w:left w:val="nil"/>
              <w:bottom w:val="single" w:sz="4" w:space="0" w:color="auto"/>
              <w:right w:val="nil"/>
            </w:tcBorders>
          </w:tcPr>
          <w:p w:rsidR="00017906" w:rsidRPr="001E34CE" w:rsidRDefault="00017906" w:rsidP="001E34CE">
            <w:pPr>
              <w:pStyle w:val="table1"/>
              <w:rPr>
                <w:b/>
                <w:color w:val="000000"/>
                <w:u w:color="000000"/>
              </w:rPr>
            </w:pPr>
            <w:r w:rsidRPr="001E34CE">
              <w:rPr>
                <w:b/>
                <w:color w:val="000000"/>
                <w:u w:color="000000"/>
              </w:rPr>
              <w:t>0.10</w:t>
            </w:r>
          </w:p>
        </w:tc>
        <w:tc>
          <w:tcPr>
            <w:tcW w:w="671" w:type="pct"/>
            <w:tcBorders>
              <w:top w:val="single" w:sz="4" w:space="0" w:color="auto"/>
              <w:left w:val="nil"/>
              <w:bottom w:val="single" w:sz="4" w:space="0" w:color="auto"/>
              <w:right w:val="nil"/>
            </w:tcBorders>
          </w:tcPr>
          <w:p w:rsidR="00017906" w:rsidRPr="001E34CE" w:rsidRDefault="00017906" w:rsidP="001E34CE">
            <w:pPr>
              <w:pStyle w:val="table1"/>
              <w:rPr>
                <w:b/>
                <w:color w:val="000000"/>
                <w:u w:color="000000"/>
              </w:rPr>
            </w:pPr>
            <w:r w:rsidRPr="001E34CE">
              <w:rPr>
                <w:b/>
                <w:color w:val="000000"/>
                <w:u w:color="000000"/>
              </w:rPr>
              <w:t>0.50</w:t>
            </w:r>
          </w:p>
        </w:tc>
        <w:tc>
          <w:tcPr>
            <w:tcW w:w="671" w:type="pct"/>
            <w:tcBorders>
              <w:top w:val="single" w:sz="4" w:space="0" w:color="auto"/>
              <w:left w:val="nil"/>
              <w:bottom w:val="single" w:sz="4" w:space="0" w:color="auto"/>
              <w:right w:val="nil"/>
            </w:tcBorders>
          </w:tcPr>
          <w:p w:rsidR="00017906" w:rsidRPr="001E34CE" w:rsidRDefault="00017906" w:rsidP="001E34CE">
            <w:pPr>
              <w:pStyle w:val="table1"/>
              <w:rPr>
                <w:b/>
                <w:color w:val="000000"/>
                <w:u w:color="000000"/>
              </w:rPr>
            </w:pPr>
            <w:r w:rsidRPr="001E34CE">
              <w:rPr>
                <w:b/>
                <w:color w:val="000000"/>
                <w:u w:color="000000"/>
              </w:rPr>
              <w:t>0.90</w:t>
            </w:r>
          </w:p>
        </w:tc>
        <w:tc>
          <w:tcPr>
            <w:tcW w:w="672" w:type="pct"/>
            <w:tcBorders>
              <w:top w:val="single" w:sz="4" w:space="0" w:color="auto"/>
              <w:left w:val="nil"/>
              <w:bottom w:val="single" w:sz="4" w:space="0" w:color="auto"/>
              <w:right w:val="nil"/>
            </w:tcBorders>
          </w:tcPr>
          <w:p w:rsidR="00017906" w:rsidRPr="001E34CE" w:rsidRDefault="00017906" w:rsidP="001E34CE">
            <w:pPr>
              <w:pStyle w:val="table1"/>
              <w:rPr>
                <w:b/>
                <w:color w:val="000000"/>
                <w:u w:color="000000"/>
              </w:rPr>
            </w:pPr>
            <w:r w:rsidRPr="001E34CE">
              <w:rPr>
                <w:b/>
                <w:color w:val="000000"/>
                <w:u w:color="000000"/>
              </w:rPr>
              <w:t>0.95</w:t>
            </w:r>
          </w:p>
        </w:tc>
      </w:tr>
      <w:tr w:rsidR="00017906" w:rsidRPr="001E34CE" w:rsidTr="00017906">
        <w:tc>
          <w:tcPr>
            <w:tcW w:w="891" w:type="pct"/>
            <w:tcBorders>
              <w:top w:val="single" w:sz="4" w:space="0" w:color="auto"/>
              <w:left w:val="nil"/>
              <w:bottom w:val="nil"/>
              <w:right w:val="nil"/>
            </w:tcBorders>
          </w:tcPr>
          <w:p w:rsidR="00017906" w:rsidRPr="001E34CE" w:rsidRDefault="00017906" w:rsidP="001E34CE">
            <w:pPr>
              <w:pStyle w:val="table1"/>
              <w:rPr>
                <w:b/>
                <w:color w:val="000000"/>
                <w:u w:color="000000"/>
              </w:rPr>
            </w:pPr>
            <w:r w:rsidRPr="001E34CE">
              <w:rPr>
                <w:b/>
                <w:color w:val="000000"/>
                <w:u w:color="000000"/>
              </w:rPr>
              <w:t>sumz-</w:t>
            </w:r>
          </w:p>
        </w:tc>
        <w:tc>
          <w:tcPr>
            <w:tcW w:w="752" w:type="pct"/>
            <w:tcBorders>
              <w:top w:val="single" w:sz="4" w:space="0" w:color="auto"/>
              <w:left w:val="nil"/>
              <w:bottom w:val="nil"/>
              <w:right w:val="nil"/>
            </w:tcBorders>
          </w:tcPr>
          <w:p w:rsidR="00017906" w:rsidRPr="001E34CE" w:rsidRDefault="00017906" w:rsidP="001E34CE">
            <w:pPr>
              <w:pStyle w:val="table1"/>
              <w:rPr>
                <w:color w:val="000000"/>
                <w:u w:color="000000"/>
              </w:rPr>
            </w:pPr>
            <w:r w:rsidRPr="001E34CE">
              <w:rPr>
                <w:color w:val="000000"/>
                <w:u w:color="000000"/>
              </w:rPr>
              <w:t>70</w:t>
            </w:r>
          </w:p>
        </w:tc>
        <w:tc>
          <w:tcPr>
            <w:tcW w:w="671" w:type="pct"/>
            <w:tcBorders>
              <w:top w:val="single" w:sz="4" w:space="0" w:color="auto"/>
              <w:left w:val="nil"/>
              <w:bottom w:val="nil"/>
              <w:right w:val="nil"/>
            </w:tcBorders>
          </w:tcPr>
          <w:p w:rsidR="00017906" w:rsidRPr="001E34CE" w:rsidRDefault="00017906" w:rsidP="001E34CE">
            <w:pPr>
              <w:pStyle w:val="table1"/>
              <w:rPr>
                <w:color w:val="000000"/>
                <w:u w:color="000000"/>
              </w:rPr>
            </w:pPr>
            <w:r w:rsidRPr="001E34CE">
              <w:rPr>
                <w:color w:val="000000"/>
                <w:u w:color="000000"/>
              </w:rPr>
              <w:t>5</w:t>
            </w:r>
          </w:p>
        </w:tc>
        <w:tc>
          <w:tcPr>
            <w:tcW w:w="671" w:type="pct"/>
            <w:tcBorders>
              <w:top w:val="single" w:sz="4" w:space="0" w:color="auto"/>
              <w:left w:val="nil"/>
              <w:bottom w:val="nil"/>
              <w:right w:val="nil"/>
            </w:tcBorders>
          </w:tcPr>
          <w:p w:rsidR="00017906" w:rsidRPr="001E34CE" w:rsidRDefault="00017906" w:rsidP="001E34CE">
            <w:pPr>
              <w:pStyle w:val="table1"/>
              <w:rPr>
                <w:color w:val="000000"/>
                <w:u w:color="000000"/>
              </w:rPr>
            </w:pPr>
            <w:r w:rsidRPr="001E34CE">
              <w:rPr>
                <w:color w:val="000000"/>
                <w:u w:color="000000"/>
              </w:rPr>
              <w:t>70</w:t>
            </w:r>
          </w:p>
        </w:tc>
        <w:tc>
          <w:tcPr>
            <w:tcW w:w="671" w:type="pct"/>
            <w:tcBorders>
              <w:top w:val="single" w:sz="4" w:space="0" w:color="auto"/>
              <w:left w:val="nil"/>
              <w:bottom w:val="nil"/>
              <w:right w:val="nil"/>
            </w:tcBorders>
          </w:tcPr>
          <w:p w:rsidR="00017906" w:rsidRPr="001E34CE" w:rsidRDefault="00017906" w:rsidP="001E34CE">
            <w:pPr>
              <w:pStyle w:val="table1"/>
              <w:rPr>
                <w:color w:val="000000"/>
                <w:u w:color="000000"/>
              </w:rPr>
            </w:pPr>
            <w:r w:rsidRPr="001E34CE">
              <w:rPr>
                <w:color w:val="000000"/>
                <w:u w:color="000000"/>
              </w:rPr>
              <w:t>180</w:t>
            </w:r>
          </w:p>
        </w:tc>
        <w:tc>
          <w:tcPr>
            <w:tcW w:w="671" w:type="pct"/>
            <w:tcBorders>
              <w:top w:val="single" w:sz="4" w:space="0" w:color="auto"/>
              <w:left w:val="nil"/>
              <w:bottom w:val="nil"/>
              <w:right w:val="nil"/>
            </w:tcBorders>
          </w:tcPr>
          <w:p w:rsidR="00017906" w:rsidRPr="001E34CE" w:rsidRDefault="00017906" w:rsidP="001E34CE">
            <w:pPr>
              <w:pStyle w:val="table1"/>
              <w:rPr>
                <w:color w:val="000000"/>
                <w:u w:color="000000"/>
              </w:rPr>
            </w:pPr>
            <w:r w:rsidRPr="001E34CE">
              <w:rPr>
                <w:color w:val="000000"/>
                <w:u w:color="000000"/>
              </w:rPr>
              <w:t>650</w:t>
            </w:r>
          </w:p>
        </w:tc>
        <w:tc>
          <w:tcPr>
            <w:tcW w:w="672" w:type="pct"/>
            <w:tcBorders>
              <w:top w:val="single" w:sz="4" w:space="0" w:color="auto"/>
              <w:left w:val="nil"/>
              <w:bottom w:val="nil"/>
              <w:right w:val="nil"/>
            </w:tcBorders>
          </w:tcPr>
          <w:p w:rsidR="00017906" w:rsidRPr="001E34CE" w:rsidRDefault="00017906" w:rsidP="001E34CE">
            <w:pPr>
              <w:pStyle w:val="table1"/>
              <w:rPr>
                <w:color w:val="000000"/>
                <w:u w:color="000000"/>
              </w:rPr>
            </w:pPr>
            <w:r w:rsidRPr="001E34CE">
              <w:rPr>
                <w:color w:val="000000"/>
                <w:u w:color="000000"/>
              </w:rPr>
              <w:t>650</w:t>
            </w:r>
          </w:p>
        </w:tc>
      </w:tr>
      <w:tr w:rsidR="00017906" w:rsidRPr="001E34CE" w:rsidTr="00017906">
        <w:tc>
          <w:tcPr>
            <w:tcW w:w="891" w:type="pct"/>
            <w:tcBorders>
              <w:top w:val="nil"/>
              <w:left w:val="nil"/>
              <w:bottom w:val="nil"/>
              <w:right w:val="nil"/>
            </w:tcBorders>
          </w:tcPr>
          <w:p w:rsidR="00017906" w:rsidRPr="001E34CE" w:rsidRDefault="00017906" w:rsidP="001E34CE">
            <w:pPr>
              <w:pStyle w:val="table1"/>
              <w:rPr>
                <w:b/>
                <w:color w:val="000000"/>
                <w:u w:color="000000"/>
              </w:rPr>
            </w:pPr>
            <w:r w:rsidRPr="001E34CE">
              <w:rPr>
                <w:b/>
                <w:color w:val="000000"/>
                <w:u w:color="000000"/>
              </w:rPr>
              <w:t>sumz+</w:t>
            </w:r>
          </w:p>
        </w:tc>
        <w:tc>
          <w:tcPr>
            <w:tcW w:w="752" w:type="pct"/>
            <w:tcBorders>
              <w:top w:val="nil"/>
              <w:left w:val="nil"/>
              <w:bottom w:val="nil"/>
              <w:right w:val="nil"/>
            </w:tcBorders>
          </w:tcPr>
          <w:p w:rsidR="00017906" w:rsidRPr="001E34CE" w:rsidRDefault="00017906" w:rsidP="001E34CE">
            <w:pPr>
              <w:pStyle w:val="table1"/>
              <w:rPr>
                <w:color w:val="000000"/>
                <w:u w:color="000000"/>
              </w:rPr>
            </w:pPr>
            <w:r w:rsidRPr="001E34CE">
              <w:rPr>
                <w:color w:val="000000"/>
                <w:u w:color="000000"/>
              </w:rPr>
              <w:t>950</w:t>
            </w:r>
          </w:p>
        </w:tc>
        <w:tc>
          <w:tcPr>
            <w:tcW w:w="671" w:type="pct"/>
            <w:tcBorders>
              <w:top w:val="nil"/>
              <w:left w:val="nil"/>
              <w:bottom w:val="nil"/>
              <w:right w:val="nil"/>
            </w:tcBorders>
          </w:tcPr>
          <w:p w:rsidR="00017906" w:rsidRPr="001E34CE" w:rsidRDefault="00017906" w:rsidP="001E34CE">
            <w:pPr>
              <w:pStyle w:val="table1"/>
              <w:rPr>
                <w:color w:val="000000"/>
                <w:u w:color="000000"/>
              </w:rPr>
            </w:pPr>
            <w:r w:rsidRPr="001E34CE">
              <w:rPr>
                <w:color w:val="000000"/>
                <w:u w:color="000000"/>
              </w:rPr>
              <w:t>650</w:t>
            </w:r>
          </w:p>
        </w:tc>
        <w:tc>
          <w:tcPr>
            <w:tcW w:w="671" w:type="pct"/>
            <w:tcBorders>
              <w:top w:val="nil"/>
              <w:left w:val="nil"/>
              <w:bottom w:val="nil"/>
              <w:right w:val="nil"/>
            </w:tcBorders>
          </w:tcPr>
          <w:p w:rsidR="00017906" w:rsidRPr="001E34CE" w:rsidRDefault="00017906" w:rsidP="001E34CE">
            <w:pPr>
              <w:pStyle w:val="table1"/>
              <w:rPr>
                <w:color w:val="000000"/>
                <w:u w:color="000000"/>
              </w:rPr>
            </w:pPr>
            <w:r w:rsidRPr="001E34CE">
              <w:rPr>
                <w:color w:val="000000"/>
                <w:u w:color="000000"/>
              </w:rPr>
              <w:t>820</w:t>
            </w:r>
          </w:p>
        </w:tc>
        <w:tc>
          <w:tcPr>
            <w:tcW w:w="671" w:type="pct"/>
            <w:tcBorders>
              <w:top w:val="nil"/>
              <w:left w:val="nil"/>
              <w:bottom w:val="nil"/>
              <w:right w:val="nil"/>
            </w:tcBorders>
          </w:tcPr>
          <w:p w:rsidR="00017906" w:rsidRPr="001E34CE" w:rsidRDefault="00017906" w:rsidP="001E34CE">
            <w:pPr>
              <w:pStyle w:val="table1"/>
              <w:rPr>
                <w:color w:val="000000"/>
                <w:u w:color="000000"/>
              </w:rPr>
            </w:pPr>
            <w:r w:rsidRPr="001E34CE">
              <w:rPr>
                <w:color w:val="000000"/>
                <w:u w:color="000000"/>
              </w:rPr>
              <w:t>1110</w:t>
            </w:r>
          </w:p>
        </w:tc>
        <w:tc>
          <w:tcPr>
            <w:tcW w:w="671" w:type="pct"/>
            <w:tcBorders>
              <w:top w:val="nil"/>
              <w:left w:val="nil"/>
              <w:bottom w:val="nil"/>
              <w:right w:val="nil"/>
            </w:tcBorders>
          </w:tcPr>
          <w:p w:rsidR="00017906" w:rsidRPr="001E34CE" w:rsidRDefault="00017906" w:rsidP="001E34CE">
            <w:pPr>
              <w:pStyle w:val="table1"/>
              <w:rPr>
                <w:color w:val="000000"/>
                <w:u w:color="000000"/>
              </w:rPr>
            </w:pPr>
            <w:r w:rsidRPr="001E34CE">
              <w:rPr>
                <w:color w:val="000000"/>
                <w:u w:color="000000"/>
              </w:rPr>
              <w:t>1940</w:t>
            </w:r>
          </w:p>
        </w:tc>
        <w:tc>
          <w:tcPr>
            <w:tcW w:w="672" w:type="pct"/>
            <w:tcBorders>
              <w:top w:val="nil"/>
              <w:left w:val="nil"/>
              <w:bottom w:val="nil"/>
              <w:right w:val="nil"/>
            </w:tcBorders>
          </w:tcPr>
          <w:p w:rsidR="00017906" w:rsidRPr="001E34CE" w:rsidRDefault="00017906" w:rsidP="001E34CE">
            <w:pPr>
              <w:pStyle w:val="table1"/>
              <w:rPr>
                <w:color w:val="000000"/>
                <w:u w:color="000000"/>
              </w:rPr>
            </w:pPr>
            <w:r w:rsidRPr="001E34CE">
              <w:rPr>
                <w:color w:val="000000"/>
                <w:u w:color="000000"/>
              </w:rPr>
              <w:t>2270</w:t>
            </w:r>
          </w:p>
        </w:tc>
      </w:tr>
      <w:tr w:rsidR="00017906" w:rsidRPr="001E34CE" w:rsidTr="00017906">
        <w:tc>
          <w:tcPr>
            <w:tcW w:w="891" w:type="pct"/>
            <w:tcBorders>
              <w:top w:val="nil"/>
              <w:left w:val="nil"/>
              <w:bottom w:val="nil"/>
              <w:right w:val="nil"/>
            </w:tcBorders>
          </w:tcPr>
          <w:p w:rsidR="00017906" w:rsidRPr="001E34CE" w:rsidRDefault="00017906" w:rsidP="001E34CE">
            <w:pPr>
              <w:pStyle w:val="table1"/>
              <w:rPr>
                <w:b/>
                <w:color w:val="000000"/>
                <w:u w:color="000000"/>
              </w:rPr>
            </w:pPr>
            <w:r w:rsidRPr="001E34CE">
              <w:rPr>
                <w:b/>
                <w:color w:val="000000"/>
                <w:u w:color="000000"/>
              </w:rPr>
              <w:t>Filtered sumz-</w:t>
            </w:r>
          </w:p>
        </w:tc>
        <w:tc>
          <w:tcPr>
            <w:tcW w:w="752" w:type="pct"/>
            <w:tcBorders>
              <w:top w:val="nil"/>
              <w:left w:val="nil"/>
              <w:bottom w:val="nil"/>
              <w:right w:val="nil"/>
            </w:tcBorders>
            <w:vAlign w:val="bottom"/>
          </w:tcPr>
          <w:p w:rsidR="00017906" w:rsidRPr="001E34CE" w:rsidRDefault="00017906" w:rsidP="001E34CE">
            <w:pPr>
              <w:pStyle w:val="table1"/>
              <w:rPr>
                <w:color w:val="000000"/>
                <w:u w:color="000000"/>
              </w:rPr>
            </w:pPr>
            <w:r w:rsidRPr="001E34CE">
              <w:rPr>
                <w:color w:val="000000"/>
                <w:u w:color="000000"/>
              </w:rPr>
              <w:t>1000</w:t>
            </w:r>
          </w:p>
        </w:tc>
        <w:tc>
          <w:tcPr>
            <w:tcW w:w="671" w:type="pct"/>
            <w:tcBorders>
              <w:top w:val="nil"/>
              <w:left w:val="nil"/>
              <w:bottom w:val="nil"/>
              <w:right w:val="nil"/>
            </w:tcBorders>
            <w:vAlign w:val="bottom"/>
          </w:tcPr>
          <w:p w:rsidR="00017906" w:rsidRPr="001E34CE" w:rsidRDefault="00017906" w:rsidP="001E34CE">
            <w:pPr>
              <w:pStyle w:val="table1"/>
              <w:rPr>
                <w:color w:val="000000"/>
                <w:u w:color="000000"/>
              </w:rPr>
            </w:pPr>
            <w:r w:rsidRPr="001E34CE">
              <w:rPr>
                <w:color w:val="000000"/>
                <w:u w:color="000000"/>
              </w:rPr>
              <w:t>420</w:t>
            </w:r>
          </w:p>
        </w:tc>
        <w:tc>
          <w:tcPr>
            <w:tcW w:w="671" w:type="pct"/>
            <w:tcBorders>
              <w:top w:val="nil"/>
              <w:left w:val="nil"/>
              <w:bottom w:val="nil"/>
              <w:right w:val="nil"/>
            </w:tcBorders>
            <w:vAlign w:val="bottom"/>
          </w:tcPr>
          <w:p w:rsidR="00017906" w:rsidRPr="001E34CE" w:rsidRDefault="00017906" w:rsidP="001E34CE">
            <w:pPr>
              <w:pStyle w:val="table1"/>
              <w:rPr>
                <w:color w:val="000000"/>
                <w:u w:color="000000"/>
              </w:rPr>
            </w:pPr>
            <w:r w:rsidRPr="001E34CE">
              <w:rPr>
                <w:color w:val="000000"/>
                <w:u w:color="000000"/>
              </w:rPr>
              <w:t>520</w:t>
            </w:r>
          </w:p>
        </w:tc>
        <w:tc>
          <w:tcPr>
            <w:tcW w:w="671" w:type="pct"/>
            <w:tcBorders>
              <w:top w:val="nil"/>
              <w:left w:val="nil"/>
              <w:bottom w:val="nil"/>
              <w:right w:val="nil"/>
            </w:tcBorders>
            <w:vAlign w:val="bottom"/>
          </w:tcPr>
          <w:p w:rsidR="00017906" w:rsidRPr="001E34CE" w:rsidRDefault="00017906" w:rsidP="001E34CE">
            <w:pPr>
              <w:pStyle w:val="table1"/>
              <w:rPr>
                <w:color w:val="000000"/>
                <w:u w:color="000000"/>
              </w:rPr>
            </w:pPr>
            <w:r w:rsidRPr="001E34CE">
              <w:rPr>
                <w:color w:val="000000"/>
                <w:u w:color="000000"/>
              </w:rPr>
              <w:t>1000</w:t>
            </w:r>
          </w:p>
        </w:tc>
        <w:tc>
          <w:tcPr>
            <w:tcW w:w="671" w:type="pct"/>
            <w:tcBorders>
              <w:top w:val="nil"/>
              <w:left w:val="nil"/>
              <w:bottom w:val="nil"/>
              <w:right w:val="nil"/>
            </w:tcBorders>
            <w:vAlign w:val="bottom"/>
          </w:tcPr>
          <w:p w:rsidR="00017906" w:rsidRPr="001E34CE" w:rsidRDefault="00017906" w:rsidP="001E34CE">
            <w:pPr>
              <w:pStyle w:val="table1"/>
              <w:rPr>
                <w:color w:val="000000"/>
                <w:u w:color="000000"/>
              </w:rPr>
            </w:pPr>
            <w:r w:rsidRPr="001E34CE">
              <w:rPr>
                <w:color w:val="000000"/>
                <w:u w:color="000000"/>
              </w:rPr>
              <w:t>1180</w:t>
            </w:r>
          </w:p>
        </w:tc>
        <w:tc>
          <w:tcPr>
            <w:tcW w:w="672" w:type="pct"/>
            <w:tcBorders>
              <w:top w:val="nil"/>
              <w:left w:val="nil"/>
              <w:bottom w:val="nil"/>
              <w:right w:val="nil"/>
            </w:tcBorders>
            <w:vAlign w:val="bottom"/>
          </w:tcPr>
          <w:p w:rsidR="00017906" w:rsidRPr="001E34CE" w:rsidRDefault="00017906" w:rsidP="001E34CE">
            <w:pPr>
              <w:pStyle w:val="table1"/>
              <w:rPr>
                <w:color w:val="000000"/>
                <w:u w:color="000000"/>
              </w:rPr>
            </w:pPr>
            <w:r w:rsidRPr="001E34CE">
              <w:rPr>
                <w:color w:val="000000"/>
                <w:u w:color="000000"/>
              </w:rPr>
              <w:t>1210</w:t>
            </w:r>
          </w:p>
        </w:tc>
      </w:tr>
      <w:tr w:rsidR="00017906" w:rsidRPr="001E34CE" w:rsidTr="00017906">
        <w:tc>
          <w:tcPr>
            <w:tcW w:w="891" w:type="pct"/>
            <w:tcBorders>
              <w:top w:val="nil"/>
              <w:left w:val="nil"/>
              <w:bottom w:val="nil"/>
              <w:right w:val="nil"/>
            </w:tcBorders>
          </w:tcPr>
          <w:p w:rsidR="00017906" w:rsidRPr="001E34CE" w:rsidRDefault="00017906" w:rsidP="001E34CE">
            <w:pPr>
              <w:pStyle w:val="table1"/>
              <w:rPr>
                <w:b/>
                <w:color w:val="000000"/>
                <w:u w:color="000000"/>
              </w:rPr>
            </w:pPr>
            <w:r w:rsidRPr="001E34CE">
              <w:rPr>
                <w:b/>
                <w:color w:val="000000"/>
                <w:u w:color="000000"/>
              </w:rPr>
              <w:t>Filtered sum z+</w:t>
            </w:r>
          </w:p>
        </w:tc>
        <w:tc>
          <w:tcPr>
            <w:tcW w:w="752" w:type="pct"/>
            <w:tcBorders>
              <w:top w:val="nil"/>
              <w:left w:val="nil"/>
              <w:bottom w:val="nil"/>
              <w:right w:val="nil"/>
            </w:tcBorders>
            <w:vAlign w:val="bottom"/>
          </w:tcPr>
          <w:p w:rsidR="00017906" w:rsidRPr="001E34CE" w:rsidRDefault="00017906" w:rsidP="001E34CE">
            <w:pPr>
              <w:pStyle w:val="table1"/>
              <w:rPr>
                <w:color w:val="000000"/>
                <w:u w:color="000000"/>
              </w:rPr>
            </w:pPr>
            <w:r w:rsidRPr="001E34CE">
              <w:rPr>
                <w:color w:val="000000"/>
                <w:u w:color="000000"/>
              </w:rPr>
              <w:t>680</w:t>
            </w:r>
          </w:p>
        </w:tc>
        <w:tc>
          <w:tcPr>
            <w:tcW w:w="671" w:type="pct"/>
            <w:tcBorders>
              <w:top w:val="nil"/>
              <w:left w:val="nil"/>
              <w:bottom w:val="nil"/>
              <w:right w:val="nil"/>
            </w:tcBorders>
            <w:vAlign w:val="bottom"/>
          </w:tcPr>
          <w:p w:rsidR="00017906" w:rsidRPr="001E34CE" w:rsidRDefault="00017906" w:rsidP="001E34CE">
            <w:pPr>
              <w:pStyle w:val="table1"/>
              <w:rPr>
                <w:color w:val="000000"/>
                <w:u w:color="000000"/>
              </w:rPr>
            </w:pPr>
            <w:r w:rsidRPr="001E34CE">
              <w:rPr>
                <w:color w:val="000000"/>
                <w:u w:color="000000"/>
              </w:rPr>
              <w:t>650</w:t>
            </w:r>
          </w:p>
        </w:tc>
        <w:tc>
          <w:tcPr>
            <w:tcW w:w="671" w:type="pct"/>
            <w:tcBorders>
              <w:top w:val="nil"/>
              <w:left w:val="nil"/>
              <w:bottom w:val="nil"/>
              <w:right w:val="nil"/>
            </w:tcBorders>
            <w:vAlign w:val="bottom"/>
          </w:tcPr>
          <w:p w:rsidR="00017906" w:rsidRPr="001E34CE" w:rsidRDefault="00017906" w:rsidP="001E34CE">
            <w:pPr>
              <w:pStyle w:val="table1"/>
              <w:rPr>
                <w:color w:val="000000"/>
                <w:u w:color="000000"/>
              </w:rPr>
            </w:pPr>
            <w:r w:rsidRPr="001E34CE">
              <w:rPr>
                <w:color w:val="000000"/>
                <w:u w:color="000000"/>
              </w:rPr>
              <w:t>650</w:t>
            </w:r>
          </w:p>
        </w:tc>
        <w:tc>
          <w:tcPr>
            <w:tcW w:w="671" w:type="pct"/>
            <w:tcBorders>
              <w:top w:val="nil"/>
              <w:left w:val="nil"/>
              <w:bottom w:val="nil"/>
              <w:right w:val="nil"/>
            </w:tcBorders>
            <w:vAlign w:val="bottom"/>
          </w:tcPr>
          <w:p w:rsidR="00017906" w:rsidRPr="001E34CE" w:rsidRDefault="00017906" w:rsidP="001E34CE">
            <w:pPr>
              <w:pStyle w:val="table1"/>
              <w:rPr>
                <w:color w:val="000000"/>
                <w:u w:color="000000"/>
              </w:rPr>
            </w:pPr>
            <w:r w:rsidRPr="001E34CE">
              <w:rPr>
                <w:color w:val="000000"/>
                <w:u w:color="000000"/>
              </w:rPr>
              <w:t>960</w:t>
            </w:r>
          </w:p>
        </w:tc>
        <w:tc>
          <w:tcPr>
            <w:tcW w:w="671" w:type="pct"/>
            <w:tcBorders>
              <w:top w:val="nil"/>
              <w:left w:val="nil"/>
              <w:bottom w:val="nil"/>
              <w:right w:val="nil"/>
            </w:tcBorders>
            <w:vAlign w:val="bottom"/>
          </w:tcPr>
          <w:p w:rsidR="00017906" w:rsidRPr="001E34CE" w:rsidRDefault="00017906" w:rsidP="001E34CE">
            <w:pPr>
              <w:pStyle w:val="table1"/>
              <w:rPr>
                <w:color w:val="000000"/>
                <w:u w:color="000000"/>
              </w:rPr>
            </w:pPr>
            <w:r w:rsidRPr="001E34CE">
              <w:rPr>
                <w:color w:val="000000"/>
                <w:u w:color="000000"/>
              </w:rPr>
              <w:t>1210</w:t>
            </w:r>
          </w:p>
        </w:tc>
        <w:tc>
          <w:tcPr>
            <w:tcW w:w="672" w:type="pct"/>
            <w:tcBorders>
              <w:top w:val="nil"/>
              <w:left w:val="nil"/>
              <w:bottom w:val="nil"/>
              <w:right w:val="nil"/>
            </w:tcBorders>
            <w:vAlign w:val="bottom"/>
          </w:tcPr>
          <w:p w:rsidR="00017906" w:rsidRPr="001E34CE" w:rsidRDefault="00017906" w:rsidP="001E34CE">
            <w:pPr>
              <w:pStyle w:val="table1"/>
              <w:rPr>
                <w:color w:val="000000"/>
                <w:u w:color="000000"/>
              </w:rPr>
            </w:pPr>
            <w:r w:rsidRPr="001E34CE">
              <w:rPr>
                <w:color w:val="000000"/>
                <w:u w:color="000000"/>
              </w:rPr>
              <w:t>1240</w:t>
            </w:r>
          </w:p>
        </w:tc>
      </w:tr>
      <w:tr w:rsidR="00017906" w:rsidRPr="001E34CE" w:rsidTr="00017906">
        <w:tc>
          <w:tcPr>
            <w:tcW w:w="891" w:type="pct"/>
            <w:tcBorders>
              <w:top w:val="nil"/>
              <w:left w:val="nil"/>
              <w:bottom w:val="nil"/>
              <w:right w:val="nil"/>
            </w:tcBorders>
          </w:tcPr>
          <w:p w:rsidR="00017906" w:rsidRPr="001E34CE" w:rsidRDefault="00017906" w:rsidP="001E34CE">
            <w:pPr>
              <w:pStyle w:val="table1"/>
              <w:rPr>
                <w:b/>
                <w:color w:val="000000"/>
                <w:u w:color="000000"/>
              </w:rPr>
            </w:pPr>
            <w:r w:rsidRPr="001E34CE">
              <w:rPr>
                <w:b/>
                <w:color w:val="000000"/>
                <w:u w:color="000000"/>
              </w:rPr>
              <w:t xml:space="preserve">ncpa.bc  </w:t>
            </w:r>
          </w:p>
        </w:tc>
        <w:tc>
          <w:tcPr>
            <w:tcW w:w="752" w:type="pct"/>
            <w:tcBorders>
              <w:top w:val="nil"/>
              <w:left w:val="nil"/>
              <w:bottom w:val="nil"/>
              <w:right w:val="nil"/>
            </w:tcBorders>
          </w:tcPr>
          <w:p w:rsidR="00017906" w:rsidRPr="001E34CE" w:rsidRDefault="00017906" w:rsidP="001E34CE">
            <w:pPr>
              <w:pStyle w:val="table1"/>
              <w:rPr>
                <w:color w:val="000000"/>
                <w:u w:color="000000"/>
              </w:rPr>
            </w:pPr>
            <w:r w:rsidRPr="001E34CE">
              <w:rPr>
                <w:color w:val="000000"/>
                <w:u w:color="000000"/>
              </w:rPr>
              <w:t>1110</w:t>
            </w:r>
          </w:p>
        </w:tc>
        <w:tc>
          <w:tcPr>
            <w:tcW w:w="671" w:type="pct"/>
            <w:tcBorders>
              <w:top w:val="nil"/>
              <w:left w:val="nil"/>
              <w:bottom w:val="nil"/>
              <w:right w:val="nil"/>
            </w:tcBorders>
          </w:tcPr>
          <w:p w:rsidR="00017906" w:rsidRPr="001E34CE" w:rsidRDefault="00017906" w:rsidP="001E34CE">
            <w:pPr>
              <w:pStyle w:val="table1"/>
              <w:rPr>
                <w:color w:val="000000"/>
                <w:u w:color="000000"/>
              </w:rPr>
            </w:pPr>
            <w:r w:rsidRPr="001E34CE">
              <w:rPr>
                <w:color w:val="000000"/>
                <w:u w:color="000000"/>
              </w:rPr>
              <w:t>50</w:t>
            </w:r>
          </w:p>
        </w:tc>
        <w:tc>
          <w:tcPr>
            <w:tcW w:w="671" w:type="pct"/>
            <w:tcBorders>
              <w:top w:val="nil"/>
              <w:left w:val="nil"/>
              <w:bottom w:val="nil"/>
              <w:right w:val="nil"/>
            </w:tcBorders>
          </w:tcPr>
          <w:p w:rsidR="00017906" w:rsidRPr="001E34CE" w:rsidRDefault="00017906" w:rsidP="001E34CE">
            <w:pPr>
              <w:pStyle w:val="table1"/>
              <w:rPr>
                <w:color w:val="000000"/>
                <w:u w:color="000000"/>
              </w:rPr>
            </w:pPr>
            <w:r w:rsidRPr="001E34CE">
              <w:rPr>
                <w:color w:val="000000"/>
                <w:u w:color="000000"/>
              </w:rPr>
              <w:t>55</w:t>
            </w:r>
          </w:p>
        </w:tc>
        <w:tc>
          <w:tcPr>
            <w:tcW w:w="671" w:type="pct"/>
            <w:tcBorders>
              <w:top w:val="nil"/>
              <w:left w:val="nil"/>
              <w:bottom w:val="nil"/>
              <w:right w:val="nil"/>
            </w:tcBorders>
          </w:tcPr>
          <w:p w:rsidR="00017906" w:rsidRPr="001E34CE" w:rsidRDefault="00017906" w:rsidP="001E34CE">
            <w:pPr>
              <w:pStyle w:val="table1"/>
              <w:rPr>
                <w:color w:val="000000"/>
                <w:u w:color="000000"/>
              </w:rPr>
            </w:pPr>
            <w:r w:rsidRPr="001E34CE">
              <w:rPr>
                <w:color w:val="000000"/>
                <w:u w:color="000000"/>
              </w:rPr>
              <w:t>955</w:t>
            </w:r>
          </w:p>
        </w:tc>
        <w:tc>
          <w:tcPr>
            <w:tcW w:w="671" w:type="pct"/>
            <w:tcBorders>
              <w:top w:val="nil"/>
              <w:left w:val="nil"/>
              <w:bottom w:val="nil"/>
              <w:right w:val="nil"/>
            </w:tcBorders>
          </w:tcPr>
          <w:p w:rsidR="00017906" w:rsidRPr="001E34CE" w:rsidRDefault="00017906" w:rsidP="001E34CE">
            <w:pPr>
              <w:pStyle w:val="table1"/>
              <w:rPr>
                <w:color w:val="000000"/>
                <w:u w:color="000000"/>
              </w:rPr>
            </w:pPr>
            <w:r w:rsidRPr="001E34CE">
              <w:rPr>
                <w:color w:val="000000"/>
                <w:u w:color="000000"/>
              </w:rPr>
              <w:t>2145</w:t>
            </w:r>
          </w:p>
        </w:tc>
        <w:tc>
          <w:tcPr>
            <w:tcW w:w="672" w:type="pct"/>
            <w:tcBorders>
              <w:top w:val="nil"/>
              <w:left w:val="nil"/>
              <w:bottom w:val="nil"/>
              <w:right w:val="nil"/>
            </w:tcBorders>
          </w:tcPr>
          <w:p w:rsidR="00017906" w:rsidRPr="001E34CE" w:rsidRDefault="00017906" w:rsidP="001E34CE">
            <w:pPr>
              <w:pStyle w:val="table1"/>
              <w:rPr>
                <w:color w:val="000000"/>
                <w:u w:color="000000"/>
              </w:rPr>
            </w:pPr>
            <w:r w:rsidRPr="001E34CE">
              <w:rPr>
                <w:color w:val="000000"/>
                <w:u w:color="000000"/>
              </w:rPr>
              <w:t>2430</w:t>
            </w:r>
          </w:p>
        </w:tc>
      </w:tr>
      <w:tr w:rsidR="00017906" w:rsidRPr="001E34CE" w:rsidTr="00017906">
        <w:tc>
          <w:tcPr>
            <w:tcW w:w="891" w:type="pct"/>
            <w:tcBorders>
              <w:top w:val="nil"/>
              <w:left w:val="nil"/>
              <w:bottom w:val="single" w:sz="4" w:space="0" w:color="auto"/>
              <w:right w:val="nil"/>
            </w:tcBorders>
          </w:tcPr>
          <w:p w:rsidR="00017906" w:rsidRPr="001E34CE" w:rsidRDefault="00017906" w:rsidP="001E34CE">
            <w:pPr>
              <w:pStyle w:val="table1"/>
              <w:rPr>
                <w:b/>
                <w:color w:val="000000"/>
                <w:u w:color="000000"/>
              </w:rPr>
            </w:pPr>
            <w:r w:rsidRPr="001E34CE">
              <w:rPr>
                <w:b/>
                <w:color w:val="000000"/>
                <w:u w:color="000000"/>
              </w:rPr>
              <w:t xml:space="preserve">ncpa.euc </w:t>
            </w:r>
          </w:p>
        </w:tc>
        <w:tc>
          <w:tcPr>
            <w:tcW w:w="752" w:type="pct"/>
            <w:tcBorders>
              <w:top w:val="nil"/>
              <w:left w:val="nil"/>
              <w:bottom w:val="single" w:sz="4" w:space="0" w:color="auto"/>
              <w:right w:val="nil"/>
            </w:tcBorders>
          </w:tcPr>
          <w:p w:rsidR="00017906" w:rsidRPr="001E34CE" w:rsidRDefault="00017906" w:rsidP="001E34CE">
            <w:pPr>
              <w:pStyle w:val="table1"/>
              <w:rPr>
                <w:color w:val="000000"/>
                <w:u w:color="000000"/>
              </w:rPr>
            </w:pPr>
            <w:r w:rsidRPr="001E34CE">
              <w:rPr>
                <w:color w:val="000000"/>
                <w:u w:color="000000"/>
              </w:rPr>
              <w:t>1110</w:t>
            </w:r>
          </w:p>
        </w:tc>
        <w:tc>
          <w:tcPr>
            <w:tcW w:w="671" w:type="pct"/>
            <w:tcBorders>
              <w:top w:val="nil"/>
              <w:left w:val="nil"/>
              <w:bottom w:val="single" w:sz="4" w:space="0" w:color="auto"/>
              <w:right w:val="nil"/>
            </w:tcBorders>
          </w:tcPr>
          <w:p w:rsidR="00017906" w:rsidRPr="001E34CE" w:rsidRDefault="00017906" w:rsidP="001E34CE">
            <w:pPr>
              <w:pStyle w:val="table1"/>
              <w:rPr>
                <w:color w:val="000000"/>
                <w:u w:color="000000"/>
              </w:rPr>
            </w:pPr>
            <w:r w:rsidRPr="001E34CE">
              <w:rPr>
                <w:color w:val="000000"/>
                <w:u w:color="000000"/>
              </w:rPr>
              <w:t>52</w:t>
            </w:r>
          </w:p>
        </w:tc>
        <w:tc>
          <w:tcPr>
            <w:tcW w:w="671" w:type="pct"/>
            <w:tcBorders>
              <w:top w:val="nil"/>
              <w:left w:val="nil"/>
              <w:bottom w:val="single" w:sz="4" w:space="0" w:color="auto"/>
              <w:right w:val="nil"/>
            </w:tcBorders>
          </w:tcPr>
          <w:p w:rsidR="00017906" w:rsidRPr="001E34CE" w:rsidRDefault="00017906" w:rsidP="001E34CE">
            <w:pPr>
              <w:pStyle w:val="table1"/>
              <w:rPr>
                <w:color w:val="000000"/>
                <w:u w:color="000000"/>
              </w:rPr>
            </w:pPr>
            <w:r w:rsidRPr="001E34CE">
              <w:rPr>
                <w:color w:val="000000"/>
                <w:u w:color="000000"/>
              </w:rPr>
              <w:t>54</w:t>
            </w:r>
          </w:p>
        </w:tc>
        <w:tc>
          <w:tcPr>
            <w:tcW w:w="671" w:type="pct"/>
            <w:tcBorders>
              <w:top w:val="nil"/>
              <w:left w:val="nil"/>
              <w:bottom w:val="single" w:sz="4" w:space="0" w:color="auto"/>
              <w:right w:val="nil"/>
            </w:tcBorders>
          </w:tcPr>
          <w:p w:rsidR="00017906" w:rsidRPr="001E34CE" w:rsidRDefault="00017906" w:rsidP="001E34CE">
            <w:pPr>
              <w:pStyle w:val="table1"/>
              <w:rPr>
                <w:color w:val="000000"/>
                <w:u w:color="000000"/>
              </w:rPr>
            </w:pPr>
            <w:r w:rsidRPr="001E34CE">
              <w:rPr>
                <w:color w:val="000000"/>
                <w:u w:color="000000"/>
              </w:rPr>
              <w:t>920</w:t>
            </w:r>
          </w:p>
        </w:tc>
        <w:tc>
          <w:tcPr>
            <w:tcW w:w="671" w:type="pct"/>
            <w:tcBorders>
              <w:top w:val="nil"/>
              <w:left w:val="nil"/>
              <w:bottom w:val="single" w:sz="4" w:space="0" w:color="auto"/>
              <w:right w:val="nil"/>
            </w:tcBorders>
          </w:tcPr>
          <w:p w:rsidR="00017906" w:rsidRPr="001E34CE" w:rsidRDefault="00017906" w:rsidP="001E34CE">
            <w:pPr>
              <w:pStyle w:val="table1"/>
              <w:rPr>
                <w:color w:val="000000"/>
                <w:u w:color="000000"/>
              </w:rPr>
            </w:pPr>
            <w:r w:rsidRPr="001E34CE">
              <w:rPr>
                <w:color w:val="000000"/>
                <w:u w:color="000000"/>
              </w:rPr>
              <w:t>2430</w:t>
            </w:r>
          </w:p>
        </w:tc>
        <w:tc>
          <w:tcPr>
            <w:tcW w:w="672" w:type="pct"/>
            <w:tcBorders>
              <w:top w:val="nil"/>
              <w:left w:val="nil"/>
              <w:bottom w:val="single" w:sz="4" w:space="0" w:color="auto"/>
              <w:right w:val="nil"/>
            </w:tcBorders>
          </w:tcPr>
          <w:p w:rsidR="00017906" w:rsidRPr="001E34CE" w:rsidRDefault="00017906" w:rsidP="001E34CE">
            <w:pPr>
              <w:pStyle w:val="table1"/>
              <w:rPr>
                <w:color w:val="000000"/>
                <w:u w:color="000000"/>
              </w:rPr>
            </w:pPr>
            <w:r w:rsidRPr="001E34CE">
              <w:rPr>
                <w:color w:val="000000"/>
                <w:u w:color="000000"/>
              </w:rPr>
              <w:t>2640</w:t>
            </w:r>
          </w:p>
        </w:tc>
      </w:tr>
    </w:tbl>
    <w:p w:rsidR="001A7E73" w:rsidRDefault="00017906" w:rsidP="00017906">
      <w:pPr>
        <w:pStyle w:val="tablenote"/>
        <w:sectPr w:rsidR="001A7E73" w:rsidSect="00487A27">
          <w:pgSz w:w="11906" w:h="16838" w:code="9"/>
          <w:pgMar w:top="1440" w:right="1800" w:bottom="1440" w:left="1800" w:header="1080" w:footer="835" w:gutter="0"/>
          <w:cols w:space="360"/>
          <w:noEndnote/>
        </w:sectPr>
      </w:pPr>
      <w:proofErr w:type="gramStart"/>
      <w:r>
        <w:t>sumz-</w:t>
      </w:r>
      <w:proofErr w:type="gramEnd"/>
      <w:r>
        <w:t xml:space="preserve"> = taxa disappearing from samples; sumz+ = taxa appearing in samples; ncpa.bc = Change point analysis using Bray-Curtis; npca.euc = Change point analysis using Euclidian distance.</w:t>
      </w:r>
    </w:p>
    <w:p w:rsidR="00017906" w:rsidRDefault="00017906" w:rsidP="00017906">
      <w:pPr>
        <w:pStyle w:val="tablenote"/>
      </w:pPr>
    </w:p>
    <w:p w:rsidR="00017906" w:rsidRDefault="00017906" w:rsidP="00017906">
      <w:pPr>
        <w:jc w:val="center"/>
      </w:pPr>
      <w:r w:rsidRPr="00F74DAA">
        <w:rPr>
          <w:noProof/>
          <w:lang w:eastAsia="en-AU"/>
        </w:rPr>
        <w:drawing>
          <wp:inline distT="0" distB="0" distL="0" distR="0">
            <wp:extent cx="3268638" cy="3921235"/>
            <wp:effectExtent l="0" t="0" r="7962" b="0"/>
            <wp:docPr id="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9" cstate="screen"/>
                    <a:srcRect/>
                    <a:stretch>
                      <a:fillRect/>
                    </a:stretch>
                  </pic:blipFill>
                  <pic:spPr bwMode="auto">
                    <a:xfrm>
                      <a:off x="0" y="0"/>
                      <a:ext cx="3268596" cy="3921184"/>
                    </a:xfrm>
                    <a:prstGeom prst="rect">
                      <a:avLst/>
                    </a:prstGeom>
                    <a:noFill/>
                    <a:ln w="9525">
                      <a:noFill/>
                      <a:miter lim="800000"/>
                      <a:headEnd/>
                      <a:tailEnd/>
                    </a:ln>
                  </pic:spPr>
                </pic:pic>
              </a:graphicData>
            </a:graphic>
          </wp:inline>
        </w:drawing>
      </w:r>
    </w:p>
    <w:p w:rsidR="00017906" w:rsidRDefault="00017906" w:rsidP="00017906">
      <w:pPr>
        <w:pStyle w:val="figurecaption"/>
      </w:pPr>
      <w:r w:rsidRPr="005515E3">
        <w:rPr>
          <w:b/>
        </w:rPr>
        <w:t xml:space="preserve">Figure </w:t>
      </w:r>
      <w:r>
        <w:rPr>
          <w:b/>
        </w:rPr>
        <w:t>5</w:t>
      </w:r>
      <w:r w:rsidRPr="005515E3">
        <w:rPr>
          <w:b/>
        </w:rPr>
        <w:t xml:space="preserve"> </w:t>
      </w:r>
      <w:r>
        <w:t xml:space="preserve">Reliable and pure OTUs identified from the TITAN analysis.  Dots represent the OTUs change point; the larger the dot, the higher their Indicator Value score.  The bars and dotted lines represent the confidence intervals calculated with the bootstrapping method.  </w:t>
      </w:r>
    </w:p>
    <w:p w:rsidR="00B33D27" w:rsidRDefault="00B33D27" w:rsidP="00B33D27">
      <w:r>
        <w:t>Gradient Forest (GF) analysis calculated that U was clearly the most important predictor of changes across the gradient. Manganese was the second most important, followed by S.  This concurs with the DistLM analysis. The rate of change in species composition was fairly consistent across the U gradient but there were three notable step-ups at 50, 1100 and 1600 mg kg</w:t>
      </w:r>
      <w:r w:rsidRPr="00F74DAA">
        <w:rPr>
          <w:snapToGrid w:val="0"/>
          <w:color w:val="000000"/>
          <w:position w:val="5"/>
          <w:sz w:val="15"/>
          <w:szCs w:val="0"/>
          <w:u w:color="000000"/>
        </w:rPr>
        <w:t>-1</w:t>
      </w:r>
      <w:r>
        <w:t xml:space="preserve"> (Figure 6). This concurs with the unfiltered TITAN result but, unfortunately, GF has no mechanism with which to filter out OTUs that might contribute to noise (e.g. OTUs that do not respond to the U treatments) in the dataset.</w:t>
      </w:r>
    </w:p>
    <w:p w:rsidR="001A7E73" w:rsidRDefault="001A7E73" w:rsidP="00017906">
      <w:pPr>
        <w:jc w:val="center"/>
      </w:pPr>
    </w:p>
    <w:p w:rsidR="00017906" w:rsidRDefault="00017906" w:rsidP="00017906">
      <w:pPr>
        <w:jc w:val="center"/>
      </w:pPr>
      <w:r w:rsidRPr="000D3A64">
        <w:rPr>
          <w:noProof/>
          <w:lang w:eastAsia="en-AU"/>
        </w:rPr>
        <w:drawing>
          <wp:inline distT="0" distB="0" distL="0" distR="0">
            <wp:extent cx="3229778" cy="2139240"/>
            <wp:effectExtent l="0" t="0" r="8722" b="0"/>
            <wp:docPr id="2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0" cstate="screen"/>
                    <a:srcRect l="1210" r="78466" b="81047"/>
                    <a:stretch>
                      <a:fillRect/>
                    </a:stretch>
                  </pic:blipFill>
                  <pic:spPr bwMode="auto">
                    <a:xfrm>
                      <a:off x="0" y="0"/>
                      <a:ext cx="3230157" cy="2139491"/>
                    </a:xfrm>
                    <a:prstGeom prst="rect">
                      <a:avLst/>
                    </a:prstGeom>
                    <a:noFill/>
                    <a:ln w="9525">
                      <a:noFill/>
                      <a:miter lim="800000"/>
                      <a:headEnd/>
                      <a:tailEnd/>
                    </a:ln>
                  </pic:spPr>
                </pic:pic>
              </a:graphicData>
            </a:graphic>
          </wp:inline>
        </w:drawing>
      </w:r>
    </w:p>
    <w:p w:rsidR="001A7E73" w:rsidRDefault="00017906" w:rsidP="00017906">
      <w:pPr>
        <w:pStyle w:val="figurecaption"/>
        <w:sectPr w:rsidR="001A7E73" w:rsidSect="00487A27">
          <w:pgSz w:w="11906" w:h="16838" w:code="9"/>
          <w:pgMar w:top="1440" w:right="1800" w:bottom="1440" w:left="1800" w:header="1080" w:footer="835" w:gutter="0"/>
          <w:cols w:space="360"/>
          <w:noEndnote/>
        </w:sectPr>
      </w:pPr>
      <w:r w:rsidRPr="00247134">
        <w:rPr>
          <w:b/>
        </w:rPr>
        <w:t xml:space="preserve">Figure </w:t>
      </w:r>
      <w:r>
        <w:rPr>
          <w:b/>
        </w:rPr>
        <w:t>6</w:t>
      </w:r>
      <w:r>
        <w:t xml:space="preserve"> Species compositional turn-over across the U gradient calculated by Gradient Forest Analysis</w:t>
      </w:r>
      <w:r w:rsidR="00587FBE">
        <w:t>.</w:t>
      </w:r>
    </w:p>
    <w:p w:rsidR="00017906" w:rsidRDefault="00017906" w:rsidP="00017906">
      <w:pPr>
        <w:pStyle w:val="figurecaption"/>
      </w:pPr>
    </w:p>
    <w:p w:rsidR="00017906" w:rsidRDefault="00017906" w:rsidP="00587E07">
      <w:pPr>
        <w:pStyle w:val="Heading3"/>
      </w:pPr>
      <w:r>
        <w:t>Macroinvertebrates</w:t>
      </w:r>
    </w:p>
    <w:p w:rsidR="00965F06" w:rsidRDefault="00017906" w:rsidP="00254B06">
      <w:r>
        <w:t>The abundance and taxa richness of macroinvertebrates was lowest in the controls and significantly higher in the 50 mg kg</w:t>
      </w:r>
      <w:r w:rsidRPr="000829A2">
        <w:rPr>
          <w:snapToGrid w:val="0"/>
          <w:color w:val="000000"/>
          <w:position w:val="5"/>
          <w:sz w:val="15"/>
          <w:szCs w:val="0"/>
          <w:u w:color="000000"/>
        </w:rPr>
        <w:t>-1</w:t>
      </w:r>
      <w:r>
        <w:t xml:space="preserve"> U treatments (Figure 7). The abundance and richness of the other treatments were not significantly different from the controls. Analysis by PERMANOVA (Figure 8) and ANOSIM (data not shown) indicated that 2000 mg kg</w:t>
      </w:r>
      <w:r w:rsidRPr="000C0BCD">
        <w:rPr>
          <w:snapToGrid w:val="0"/>
          <w:color w:val="000000"/>
          <w:position w:val="5"/>
          <w:sz w:val="15"/>
          <w:szCs w:val="0"/>
          <w:u w:color="000000"/>
        </w:rPr>
        <w:t>-1</w:t>
      </w:r>
      <w:r>
        <w:t xml:space="preserve"> U treatment was not significantly different from the control, with the 50 and 100 mg kg</w:t>
      </w:r>
      <w:r w:rsidRPr="0018100C">
        <w:rPr>
          <w:snapToGrid w:val="0"/>
          <w:color w:val="000000"/>
          <w:position w:val="5"/>
          <w:sz w:val="15"/>
          <w:szCs w:val="0"/>
          <w:u w:color="000000"/>
        </w:rPr>
        <w:t>-1</w:t>
      </w:r>
      <w:r>
        <w:t xml:space="preserve"> being more different than the 3000 and 4000 mg kg</w:t>
      </w:r>
      <w:r w:rsidRPr="0018100C">
        <w:rPr>
          <w:snapToGrid w:val="0"/>
          <w:color w:val="000000"/>
          <w:position w:val="5"/>
          <w:sz w:val="15"/>
          <w:szCs w:val="0"/>
          <w:u w:color="000000"/>
        </w:rPr>
        <w:t>-1</w:t>
      </w:r>
      <w:r>
        <w:t xml:space="preserve"> treatments. MDS ordinati</w:t>
      </w:r>
      <w:r w:rsidR="00B33D27">
        <w:t>on of treatment replicates showed</w:t>
      </w:r>
      <w:r>
        <w:t xml:space="preserve"> that 3 of the 4 control replicates were markedly different from the other </w:t>
      </w:r>
      <w:r w:rsidR="00B33D27">
        <w:t>samples and there</w:t>
      </w:r>
      <w:r w:rsidR="00925262">
        <w:t xml:space="preserve"> </w:t>
      </w:r>
      <w:r w:rsidR="00B33D27">
        <w:t xml:space="preserve">was no pattern of separation in the U-treated replicates (Figure 9). </w:t>
      </w:r>
      <w:r>
        <w:t xml:space="preserve">The results suggest that the U treatments might have encouraged colonisation, possibly through altering the physical structure of the sediments, </w:t>
      </w:r>
      <w:r w:rsidR="00925262">
        <w:t>e.g.</w:t>
      </w:r>
      <w:r>
        <w:t xml:space="preserve"> through particle agglomeration due to higher salinity in the treatments. However, the results may also reflect anomalous variability in the data due to difficulties in processing the fine grained samples and low diversity and patchiness of benthic macroinvertebrate communities previously reported in Gulungul Billabong (Harford et al</w:t>
      </w:r>
      <w:r w:rsidR="00587FBE">
        <w:t>.</w:t>
      </w:r>
      <w:r>
        <w:t xml:space="preserve"> 2012). Regardless, the very high concentrations of U did not appear to adversely affect the macroinvertebrate abundance and richness of the samples. Most of the taxa recorded in the samples are those known to be not particularly sensitive to sediment contamination, with all of the abundant taxa being identified as tolerant by </w:t>
      </w:r>
      <w:r w:rsidR="00B33D27">
        <w:br/>
      </w:r>
      <w:r w:rsidRPr="00301874">
        <w:t xml:space="preserve">Chessman </w:t>
      </w:r>
      <w:r w:rsidRPr="00301874">
        <w:rPr>
          <w:noProof/>
        </w:rPr>
        <w:t>(2003)</w:t>
      </w:r>
      <w:r>
        <w:t>.</w:t>
      </w:r>
    </w:p>
    <w:p w:rsidR="001A7E73" w:rsidRDefault="001A7E73" w:rsidP="00254B06"/>
    <w:p w:rsidR="00017906" w:rsidRPr="000829A2" w:rsidRDefault="00017906" w:rsidP="00932A96">
      <w:pPr>
        <w:pStyle w:val="ListParagraph"/>
        <w:numPr>
          <w:ilvl w:val="0"/>
          <w:numId w:val="6"/>
        </w:numPr>
        <w:spacing w:after="0" w:line="240" w:lineRule="auto"/>
        <w:ind w:left="4395" w:hanging="4394"/>
        <w:rPr>
          <w:b/>
        </w:rPr>
      </w:pPr>
      <w:r w:rsidRPr="000829A2">
        <w:rPr>
          <w:b/>
        </w:rPr>
        <w:t>b)</w:t>
      </w:r>
    </w:p>
    <w:p w:rsidR="00017906" w:rsidRDefault="00017906" w:rsidP="00017906">
      <w:pPr>
        <w:spacing w:after="0"/>
      </w:pPr>
      <w:r w:rsidRPr="00B66562">
        <w:rPr>
          <w:noProof/>
          <w:lang w:eastAsia="en-AU"/>
        </w:rPr>
        <w:drawing>
          <wp:inline distT="0" distB="0" distL="0" distR="0">
            <wp:extent cx="2684997" cy="2128328"/>
            <wp:effectExtent l="19050" t="0" r="1053" b="0"/>
            <wp:docPr id="3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1" cstate="screen"/>
                    <a:srcRect/>
                    <a:stretch>
                      <a:fillRect/>
                    </a:stretch>
                  </pic:blipFill>
                  <pic:spPr bwMode="auto">
                    <a:xfrm>
                      <a:off x="0" y="0"/>
                      <a:ext cx="2684631" cy="2128038"/>
                    </a:xfrm>
                    <a:prstGeom prst="rect">
                      <a:avLst/>
                    </a:prstGeom>
                    <a:noFill/>
                    <a:ln w="9525">
                      <a:noFill/>
                      <a:miter lim="800000"/>
                      <a:headEnd/>
                      <a:tailEnd/>
                    </a:ln>
                  </pic:spPr>
                </pic:pic>
              </a:graphicData>
            </a:graphic>
          </wp:inline>
        </w:drawing>
      </w:r>
      <w:r w:rsidRPr="00B66562">
        <w:rPr>
          <w:noProof/>
          <w:lang w:eastAsia="en-AU"/>
        </w:rPr>
        <w:drawing>
          <wp:inline distT="0" distB="0" distL="0" distR="0">
            <wp:extent cx="2525743" cy="2009955"/>
            <wp:effectExtent l="19050" t="0" r="7907" b="0"/>
            <wp:docPr id="3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2" cstate="screen"/>
                    <a:srcRect t="5285" r="4472"/>
                    <a:stretch>
                      <a:fillRect/>
                    </a:stretch>
                  </pic:blipFill>
                  <pic:spPr bwMode="auto">
                    <a:xfrm>
                      <a:off x="0" y="0"/>
                      <a:ext cx="2525743" cy="2009955"/>
                    </a:xfrm>
                    <a:prstGeom prst="rect">
                      <a:avLst/>
                    </a:prstGeom>
                    <a:noFill/>
                    <a:ln w="9525">
                      <a:noFill/>
                      <a:miter lim="800000"/>
                      <a:headEnd/>
                      <a:tailEnd/>
                    </a:ln>
                  </pic:spPr>
                </pic:pic>
              </a:graphicData>
            </a:graphic>
          </wp:inline>
        </w:drawing>
      </w:r>
    </w:p>
    <w:p w:rsidR="00017906" w:rsidRDefault="00017906" w:rsidP="00017906">
      <w:pPr>
        <w:pStyle w:val="figurecaption"/>
      </w:pPr>
      <w:r w:rsidRPr="00B66562">
        <w:rPr>
          <w:b/>
        </w:rPr>
        <w:t>Figure</w:t>
      </w:r>
      <w:r>
        <w:t xml:space="preserve"> </w:t>
      </w:r>
      <w:r w:rsidRPr="00B66562">
        <w:rPr>
          <w:b/>
        </w:rPr>
        <w:t>7</w:t>
      </w:r>
      <w:r>
        <w:t xml:space="preserve"> Effect of uranium on a) abundance and b) taxa richness of macroinvertebrates in 6 of the treatments. </w:t>
      </w:r>
      <w:proofErr w:type="gramStart"/>
      <w:r>
        <w:t>* represents treatments that are significantly different from the control (</w:t>
      </w:r>
      <w:r w:rsidRPr="00B66562">
        <w:rPr>
          <w:i/>
        </w:rPr>
        <w:t>P</w:t>
      </w:r>
      <w:r>
        <w:t xml:space="preserve"> &lt; 0.05) using Dunnett’s post-hoc test.</w:t>
      </w:r>
      <w:proofErr w:type="gramEnd"/>
    </w:p>
    <w:p w:rsidR="00017906" w:rsidRDefault="00017906" w:rsidP="00017906">
      <w:pPr>
        <w:jc w:val="center"/>
      </w:pPr>
      <w:r w:rsidRPr="00596726">
        <w:rPr>
          <w:noProof/>
          <w:lang w:eastAsia="en-AU"/>
        </w:rPr>
        <w:drawing>
          <wp:inline distT="0" distB="0" distL="0" distR="0">
            <wp:extent cx="4020615" cy="2745938"/>
            <wp:effectExtent l="19050" t="0" r="0" b="0"/>
            <wp:docPr id="3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3" cstate="screen"/>
                    <a:srcRect t="58516"/>
                    <a:stretch>
                      <a:fillRect/>
                    </a:stretch>
                  </pic:blipFill>
                  <pic:spPr bwMode="auto">
                    <a:xfrm>
                      <a:off x="0" y="0"/>
                      <a:ext cx="4020726" cy="2746014"/>
                    </a:xfrm>
                    <a:prstGeom prst="rect">
                      <a:avLst/>
                    </a:prstGeom>
                    <a:noFill/>
                    <a:ln w="9525">
                      <a:noFill/>
                      <a:miter lim="800000"/>
                      <a:headEnd/>
                      <a:tailEnd/>
                    </a:ln>
                  </pic:spPr>
                </pic:pic>
              </a:graphicData>
            </a:graphic>
          </wp:inline>
        </w:drawing>
      </w:r>
    </w:p>
    <w:p w:rsidR="00017906" w:rsidRPr="00CC7A7A" w:rsidRDefault="00017906" w:rsidP="00017906">
      <w:pPr>
        <w:pStyle w:val="figurecaption"/>
      </w:pPr>
      <w:r w:rsidRPr="00CC7A7A">
        <w:rPr>
          <w:b/>
        </w:rPr>
        <w:t xml:space="preserve">Figure 8 </w:t>
      </w:r>
      <w:r w:rsidRPr="00AC3BE7">
        <w:t>PERMANOVA pairwise comparison</w:t>
      </w:r>
      <w:r>
        <w:t xml:space="preserve"> </w:t>
      </w:r>
      <w:r w:rsidRPr="00596726">
        <w:rPr>
          <w:i/>
        </w:rPr>
        <w:t>P</w:t>
      </w:r>
      <w:r>
        <w:t xml:space="preserve"> values</w:t>
      </w:r>
      <w:r w:rsidRPr="00AC3BE7">
        <w:t xml:space="preserve"> of the post-deployment </w:t>
      </w:r>
      <w:r>
        <w:t>macroinvertebrate species</w:t>
      </w:r>
      <w:r w:rsidR="00587FBE">
        <w:t>.</w:t>
      </w:r>
    </w:p>
    <w:p w:rsidR="00017906" w:rsidRDefault="00017906" w:rsidP="00017906">
      <w:pPr>
        <w:jc w:val="center"/>
      </w:pPr>
      <w:r>
        <w:rPr>
          <w:noProof/>
          <w:lang w:eastAsia="en-AU"/>
        </w:rPr>
        <w:drawing>
          <wp:inline distT="0" distB="0" distL="0" distR="0">
            <wp:extent cx="3593990" cy="2313606"/>
            <wp:effectExtent l="0" t="0" r="0" b="0"/>
            <wp:docPr id="3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4" cstate="screen"/>
                    <a:srcRect/>
                    <a:stretch>
                      <a:fillRect/>
                    </a:stretch>
                  </pic:blipFill>
                  <pic:spPr bwMode="auto">
                    <a:xfrm>
                      <a:off x="0" y="0"/>
                      <a:ext cx="3616984" cy="2328408"/>
                    </a:xfrm>
                    <a:prstGeom prst="rect">
                      <a:avLst/>
                    </a:prstGeom>
                    <a:noFill/>
                    <a:ln w="9525">
                      <a:noFill/>
                      <a:miter lim="800000"/>
                      <a:headEnd/>
                      <a:tailEnd/>
                    </a:ln>
                  </pic:spPr>
                </pic:pic>
              </a:graphicData>
            </a:graphic>
          </wp:inline>
        </w:drawing>
      </w:r>
    </w:p>
    <w:p w:rsidR="001A7E73" w:rsidRDefault="00017906" w:rsidP="00017906">
      <w:pPr>
        <w:pStyle w:val="figurecaption"/>
      </w:pPr>
      <w:r w:rsidRPr="0040604B">
        <w:rPr>
          <w:b/>
        </w:rPr>
        <w:t xml:space="preserve">Figure </w:t>
      </w:r>
      <w:r>
        <w:rPr>
          <w:b/>
        </w:rPr>
        <w:t xml:space="preserve">9 </w:t>
      </w:r>
      <w:r>
        <w:t>MDS ordination of the macroinvertebrate communities in U-spiked sediment samples</w:t>
      </w:r>
    </w:p>
    <w:p w:rsidR="00017906" w:rsidRDefault="00017906" w:rsidP="004726C2">
      <w:pPr>
        <w:pStyle w:val="Heading3"/>
      </w:pPr>
      <w:r>
        <w:t>Derivation of a Sediment Quality Guideline Value for uranium</w:t>
      </w:r>
    </w:p>
    <w:p w:rsidR="00625CC3" w:rsidRDefault="00017906" w:rsidP="00625CC3">
      <w:pPr>
        <w:rPr>
          <w:snapToGrid w:val="0"/>
          <w:color w:val="000000"/>
          <w:position w:val="5"/>
          <w:sz w:val="15"/>
          <w:szCs w:val="0"/>
          <w:u w:color="000000"/>
        </w:rPr>
      </w:pPr>
      <w:r>
        <w:t>The ultimate objective of this project was to determine a sediment quality GV for U. The analyses of the macroinvertebrate data show the largest difference was between the control and 50 mg kg</w:t>
      </w:r>
      <w:r w:rsidRPr="004859D7">
        <w:rPr>
          <w:snapToGrid w:val="0"/>
          <w:color w:val="000000"/>
          <w:position w:val="5"/>
          <w:sz w:val="15"/>
          <w:szCs w:val="0"/>
          <w:u w:color="000000"/>
        </w:rPr>
        <w:t>-1</w:t>
      </w:r>
      <w:r>
        <w:t xml:space="preserve"> U, although the effect was stimulatory. The macroinvertebrate data may be further limited due to the low diversity, tolerant fauna present and, as such, they are unlikely to be used to inform the derivation of a sediment quality GV. The various statistical analyses of the eukaryote genomic dataset showed that there were treatments with statistically significant differences from the control, and that concentration-response relationships could be observed as changes in community composition across the U gradient (Table 2). If a sediment quality GV was to be derived from TITAN then the 0.05 Confidence Interval (CI) of 420 mg kg</w:t>
      </w:r>
      <w:r w:rsidRPr="005D0830">
        <w:rPr>
          <w:snapToGrid w:val="0"/>
          <w:color w:val="000000"/>
          <w:position w:val="5"/>
          <w:sz w:val="15"/>
          <w:szCs w:val="0"/>
          <w:u w:color="000000"/>
        </w:rPr>
        <w:t>-1</w:t>
      </w:r>
      <w:r>
        <w:t xml:space="preserve"> for species disappearing (sumz-), would represent a conservative value protecting species. However, PERMANOVA (Figure 3a), examining changes in community </w:t>
      </w:r>
      <w:r w:rsidRPr="00840121">
        <w:t>composition, i</w:t>
      </w:r>
      <w:r>
        <w:t>ndicated that most treatments ≥200 mg kg</w:t>
      </w:r>
      <w:r w:rsidRPr="00AD2BEB">
        <w:rPr>
          <w:snapToGrid w:val="0"/>
          <w:color w:val="000000"/>
          <w:position w:val="5"/>
          <w:sz w:val="15"/>
          <w:szCs w:val="0"/>
          <w:u w:color="000000"/>
        </w:rPr>
        <w:t>-1</w:t>
      </w:r>
      <w:r>
        <w:t xml:space="preserve"> U were significantly different from the control. The No Observed Effect Concentration (NOEC) of 100 mg kg</w:t>
      </w:r>
      <w:r w:rsidRPr="004859D7">
        <w:rPr>
          <w:snapToGrid w:val="0"/>
          <w:color w:val="000000"/>
          <w:position w:val="5"/>
          <w:sz w:val="15"/>
          <w:szCs w:val="0"/>
          <w:u w:color="000000"/>
        </w:rPr>
        <w:t>-1</w:t>
      </w:r>
      <w:r>
        <w:t xml:space="preserve"> identified by PERMANOVA would be more conservative than the TITAN value. An allied multivariate approach would be to use the ANOSIM R v U concentration relationship to derive a GV. If the plateau (shown in Figure 3b as R = 0.55) was regarded as a maximum possible change in community composition, then arbitrary, but conservative, 5% or even 10% change (i.e. R = 0.03) could be chosen as “protective concentrations”. These calculations would produce conservative GVs of between 40 and 80 mg kg</w:t>
      </w:r>
      <w:r w:rsidRPr="00E30207">
        <w:rPr>
          <w:snapToGrid w:val="0"/>
          <w:color w:val="000000"/>
          <w:position w:val="5"/>
          <w:sz w:val="15"/>
          <w:szCs w:val="0"/>
          <w:u w:color="000000"/>
        </w:rPr>
        <w:t>-1</w:t>
      </w:r>
      <w:r>
        <w:rPr>
          <w:snapToGrid w:val="0"/>
          <w:color w:val="000000"/>
          <w:szCs w:val="0"/>
          <w:u w:color="000000"/>
        </w:rPr>
        <w:t xml:space="preserve"> U, for a 5% and 10% change respectively. The derivation of sediment quality GVs using these types of datasets and analyses needs further investigation, as this is still an emerging area of research.  The preliminary analysis indicates that that a sediment quality GV might be between 40 and 420 mg</w:t>
      </w:r>
      <w:r w:rsidR="00925262">
        <w:rPr>
          <w:snapToGrid w:val="0"/>
          <w:color w:val="000000"/>
          <w:szCs w:val="0"/>
          <w:u w:color="000000"/>
        </w:rPr>
        <w:t xml:space="preserve"> </w:t>
      </w:r>
      <w:r>
        <w:rPr>
          <w:snapToGrid w:val="0"/>
          <w:color w:val="000000"/>
          <w:szCs w:val="0"/>
          <w:u w:color="000000"/>
        </w:rPr>
        <w:t>kg</w:t>
      </w:r>
      <w:r w:rsidRPr="00EA2B74">
        <w:rPr>
          <w:snapToGrid w:val="0"/>
          <w:color w:val="000000"/>
          <w:position w:val="5"/>
          <w:sz w:val="15"/>
          <w:szCs w:val="0"/>
          <w:u w:color="000000"/>
        </w:rPr>
        <w:t>-1</w:t>
      </w:r>
      <w:r w:rsidR="004147B2">
        <w:rPr>
          <w:snapToGrid w:val="0"/>
          <w:color w:val="000000"/>
          <w:szCs w:val="0"/>
          <w:u w:color="000000"/>
        </w:rPr>
        <w:t>.</w:t>
      </w:r>
    </w:p>
    <w:p w:rsidR="00017906" w:rsidRPr="004E70D7" w:rsidRDefault="00017906" w:rsidP="00625CC3">
      <w:pPr>
        <w:pStyle w:val="table10"/>
        <w:rPr>
          <w:rFonts w:ascii="Arial" w:hAnsi="Arial" w:cs="Arial"/>
          <w:sz w:val="20"/>
        </w:rPr>
      </w:pPr>
      <w:r w:rsidRPr="004E70D7">
        <w:rPr>
          <w:rFonts w:ascii="Arial" w:hAnsi="Arial" w:cs="Arial"/>
          <w:b/>
          <w:sz w:val="20"/>
        </w:rPr>
        <w:t>Table 2</w:t>
      </w:r>
      <w:r w:rsidRPr="004E70D7">
        <w:rPr>
          <w:rFonts w:ascii="Arial" w:hAnsi="Arial" w:cs="Arial"/>
          <w:sz w:val="20"/>
        </w:rPr>
        <w:t xml:space="preserve"> Potential sediment quality Guideline Values identified in the analyses of the eukaryote dataset.</w:t>
      </w:r>
    </w:p>
    <w:tbl>
      <w:tblPr>
        <w:tblW w:w="0" w:type="auto"/>
        <w:tblLook w:val="04A0"/>
      </w:tblPr>
      <w:tblGrid>
        <w:gridCol w:w="1668"/>
        <w:gridCol w:w="2126"/>
        <w:gridCol w:w="1417"/>
        <w:gridCol w:w="3261"/>
      </w:tblGrid>
      <w:tr w:rsidR="00017906" w:rsidRPr="00587FBE" w:rsidTr="00017906">
        <w:tc>
          <w:tcPr>
            <w:tcW w:w="1668" w:type="dxa"/>
            <w:tcBorders>
              <w:top w:val="single" w:sz="4" w:space="0" w:color="auto"/>
              <w:bottom w:val="single" w:sz="4" w:space="0" w:color="auto"/>
            </w:tcBorders>
          </w:tcPr>
          <w:p w:rsidR="00017906" w:rsidRPr="00587FBE" w:rsidRDefault="00017906" w:rsidP="00587FBE">
            <w:pPr>
              <w:pStyle w:val="table1"/>
              <w:rPr>
                <w:b/>
                <w:color w:val="000000"/>
                <w:u w:color="000000"/>
              </w:rPr>
            </w:pPr>
            <w:r w:rsidRPr="00587FBE">
              <w:rPr>
                <w:b/>
                <w:color w:val="000000"/>
                <w:u w:color="000000"/>
              </w:rPr>
              <w:t>Method</w:t>
            </w:r>
          </w:p>
        </w:tc>
        <w:tc>
          <w:tcPr>
            <w:tcW w:w="2126" w:type="dxa"/>
            <w:tcBorders>
              <w:top w:val="single" w:sz="4" w:space="0" w:color="auto"/>
              <w:bottom w:val="single" w:sz="4" w:space="0" w:color="auto"/>
            </w:tcBorders>
          </w:tcPr>
          <w:p w:rsidR="00017906" w:rsidRPr="00587FBE" w:rsidRDefault="00017906" w:rsidP="00587FBE">
            <w:pPr>
              <w:pStyle w:val="table1"/>
              <w:rPr>
                <w:b/>
                <w:color w:val="000000"/>
                <w:u w:color="000000"/>
              </w:rPr>
            </w:pPr>
            <w:r w:rsidRPr="00587FBE">
              <w:rPr>
                <w:b/>
                <w:color w:val="000000"/>
                <w:u w:color="000000"/>
              </w:rPr>
              <w:t xml:space="preserve">Median and Confidence intervals </w:t>
            </w:r>
            <w:r w:rsidRPr="00587FBE">
              <w:rPr>
                <w:b/>
                <w:color w:val="000000"/>
                <w:u w:color="000000"/>
              </w:rPr>
              <w:br/>
              <w:t>(5, 50 and 95th mg kg</w:t>
            </w:r>
            <w:r w:rsidR="00587FBE" w:rsidRPr="00587FBE">
              <w:rPr>
                <w:b/>
                <w:snapToGrid w:val="0"/>
                <w:color w:val="000000"/>
                <w:position w:val="5"/>
                <w:sz w:val="15"/>
                <w:szCs w:val="0"/>
                <w:u w:color="000000"/>
              </w:rPr>
              <w:t>-1</w:t>
            </w:r>
            <w:r w:rsidRPr="00587FBE">
              <w:rPr>
                <w:b/>
                <w:color w:val="000000"/>
                <w:u w:color="000000"/>
              </w:rPr>
              <w:t xml:space="preserve"> U)</w:t>
            </w:r>
          </w:p>
        </w:tc>
        <w:tc>
          <w:tcPr>
            <w:tcW w:w="1417" w:type="dxa"/>
            <w:tcBorders>
              <w:top w:val="single" w:sz="4" w:space="0" w:color="auto"/>
              <w:bottom w:val="single" w:sz="4" w:space="0" w:color="auto"/>
            </w:tcBorders>
          </w:tcPr>
          <w:p w:rsidR="00017906" w:rsidRPr="00587FBE" w:rsidRDefault="00017906" w:rsidP="00587FBE">
            <w:pPr>
              <w:pStyle w:val="table1"/>
              <w:rPr>
                <w:b/>
                <w:color w:val="000000"/>
                <w:u w:color="000000"/>
              </w:rPr>
            </w:pPr>
            <w:r w:rsidRPr="00587FBE">
              <w:rPr>
                <w:b/>
                <w:color w:val="000000"/>
                <w:u w:color="000000"/>
              </w:rPr>
              <w:t>Potential Guideline Value (mg kg</w:t>
            </w:r>
            <w:r w:rsidR="00587FBE" w:rsidRPr="00587FBE">
              <w:rPr>
                <w:b/>
                <w:snapToGrid w:val="0"/>
                <w:color w:val="000000"/>
                <w:position w:val="5"/>
                <w:sz w:val="15"/>
                <w:szCs w:val="0"/>
                <w:u w:color="000000"/>
              </w:rPr>
              <w:t>-1</w:t>
            </w:r>
            <w:r w:rsidRPr="00587FBE">
              <w:rPr>
                <w:b/>
                <w:color w:val="000000"/>
                <w:u w:color="000000"/>
              </w:rPr>
              <w:t xml:space="preserve"> U)</w:t>
            </w:r>
          </w:p>
        </w:tc>
        <w:tc>
          <w:tcPr>
            <w:tcW w:w="3261" w:type="dxa"/>
            <w:tcBorders>
              <w:top w:val="single" w:sz="4" w:space="0" w:color="auto"/>
              <w:bottom w:val="single" w:sz="4" w:space="0" w:color="auto"/>
            </w:tcBorders>
          </w:tcPr>
          <w:p w:rsidR="00017906" w:rsidRPr="00587FBE" w:rsidRDefault="00017906" w:rsidP="00587FBE">
            <w:pPr>
              <w:pStyle w:val="table1"/>
              <w:rPr>
                <w:b/>
                <w:color w:val="000000"/>
                <w:u w:color="000000"/>
              </w:rPr>
            </w:pPr>
            <w:r w:rsidRPr="00587FBE">
              <w:rPr>
                <w:b/>
                <w:color w:val="000000"/>
                <w:u w:color="000000"/>
              </w:rPr>
              <w:t>Comment</w:t>
            </w:r>
          </w:p>
        </w:tc>
      </w:tr>
      <w:tr w:rsidR="00017906" w:rsidRPr="00587FBE" w:rsidTr="00017906">
        <w:tc>
          <w:tcPr>
            <w:tcW w:w="1668" w:type="dxa"/>
          </w:tcPr>
          <w:p w:rsidR="00017906" w:rsidRPr="00587FBE" w:rsidRDefault="00017906" w:rsidP="00587FBE">
            <w:pPr>
              <w:pStyle w:val="table1"/>
              <w:rPr>
                <w:color w:val="000000"/>
                <w:u w:color="000000"/>
              </w:rPr>
            </w:pPr>
            <w:r w:rsidRPr="00587FBE">
              <w:rPr>
                <w:color w:val="000000"/>
                <w:u w:color="000000"/>
              </w:rPr>
              <w:t>TITAN (sumz-)</w:t>
            </w:r>
          </w:p>
        </w:tc>
        <w:tc>
          <w:tcPr>
            <w:tcW w:w="2126" w:type="dxa"/>
          </w:tcPr>
          <w:p w:rsidR="00017906" w:rsidRPr="00587FBE" w:rsidRDefault="00017906" w:rsidP="00587FBE">
            <w:pPr>
              <w:pStyle w:val="table1"/>
              <w:rPr>
                <w:color w:val="000000"/>
                <w:u w:color="000000"/>
              </w:rPr>
            </w:pPr>
            <w:r w:rsidRPr="00587FBE">
              <w:rPr>
                <w:color w:val="000000"/>
                <w:u w:color="000000"/>
              </w:rPr>
              <w:t>420, 1100 and 1210</w:t>
            </w:r>
          </w:p>
        </w:tc>
        <w:tc>
          <w:tcPr>
            <w:tcW w:w="1417" w:type="dxa"/>
          </w:tcPr>
          <w:p w:rsidR="00017906" w:rsidRPr="00587FBE" w:rsidRDefault="00017906" w:rsidP="00587FBE">
            <w:pPr>
              <w:pStyle w:val="table1"/>
              <w:rPr>
                <w:color w:val="000000"/>
                <w:u w:color="000000"/>
              </w:rPr>
            </w:pPr>
            <w:r w:rsidRPr="00587FBE">
              <w:rPr>
                <w:color w:val="000000"/>
                <w:u w:color="000000"/>
              </w:rPr>
              <w:t>420</w:t>
            </w:r>
          </w:p>
        </w:tc>
        <w:tc>
          <w:tcPr>
            <w:tcW w:w="3261" w:type="dxa"/>
          </w:tcPr>
          <w:p w:rsidR="00017906" w:rsidRPr="00587FBE" w:rsidRDefault="00017906" w:rsidP="00587FBE">
            <w:pPr>
              <w:pStyle w:val="table1"/>
              <w:rPr>
                <w:color w:val="000000"/>
                <w:u w:color="000000"/>
              </w:rPr>
            </w:pPr>
            <w:r w:rsidRPr="00587FBE">
              <w:rPr>
                <w:color w:val="000000"/>
                <w:u w:color="000000"/>
              </w:rPr>
              <w:t>Filtered analysis using pure and reliable OTUs and using lower 5th percentile.</w:t>
            </w:r>
          </w:p>
        </w:tc>
      </w:tr>
      <w:tr w:rsidR="00017906" w:rsidRPr="00587FBE" w:rsidTr="00017906">
        <w:tc>
          <w:tcPr>
            <w:tcW w:w="1668" w:type="dxa"/>
          </w:tcPr>
          <w:p w:rsidR="00017906" w:rsidRPr="00587FBE" w:rsidRDefault="00017906" w:rsidP="00587FBE">
            <w:pPr>
              <w:pStyle w:val="table1"/>
              <w:rPr>
                <w:color w:val="000000"/>
                <w:u w:color="000000"/>
              </w:rPr>
            </w:pPr>
            <w:r w:rsidRPr="00587FBE">
              <w:rPr>
                <w:color w:val="000000"/>
                <w:u w:color="000000"/>
              </w:rPr>
              <w:t>Bray-Curtis Change point analysis</w:t>
            </w:r>
          </w:p>
        </w:tc>
        <w:tc>
          <w:tcPr>
            <w:tcW w:w="2126" w:type="dxa"/>
          </w:tcPr>
          <w:p w:rsidR="00017906" w:rsidRPr="00587FBE" w:rsidRDefault="00017906" w:rsidP="00587FBE">
            <w:pPr>
              <w:pStyle w:val="table1"/>
              <w:rPr>
                <w:color w:val="000000"/>
                <w:u w:color="000000"/>
              </w:rPr>
            </w:pPr>
            <w:r w:rsidRPr="00587FBE">
              <w:rPr>
                <w:color w:val="000000"/>
                <w:u w:color="000000"/>
              </w:rPr>
              <w:t>50, 1100 - 2500</w:t>
            </w:r>
          </w:p>
        </w:tc>
        <w:tc>
          <w:tcPr>
            <w:tcW w:w="1417" w:type="dxa"/>
          </w:tcPr>
          <w:p w:rsidR="00017906" w:rsidRPr="00587FBE" w:rsidRDefault="00017906" w:rsidP="00587FBE">
            <w:pPr>
              <w:pStyle w:val="table1"/>
              <w:rPr>
                <w:color w:val="000000"/>
                <w:u w:color="000000"/>
              </w:rPr>
            </w:pPr>
            <w:r w:rsidRPr="00587FBE">
              <w:rPr>
                <w:color w:val="000000"/>
                <w:u w:color="000000"/>
              </w:rPr>
              <w:t>50</w:t>
            </w:r>
          </w:p>
        </w:tc>
        <w:tc>
          <w:tcPr>
            <w:tcW w:w="3261" w:type="dxa"/>
          </w:tcPr>
          <w:p w:rsidR="00017906" w:rsidRPr="00587FBE" w:rsidRDefault="00017906" w:rsidP="00587FBE">
            <w:pPr>
              <w:pStyle w:val="table1"/>
              <w:rPr>
                <w:color w:val="000000"/>
                <w:u w:color="000000"/>
              </w:rPr>
            </w:pPr>
            <w:r w:rsidRPr="00587FBE">
              <w:rPr>
                <w:color w:val="000000"/>
                <w:u w:color="000000"/>
              </w:rPr>
              <w:t xml:space="preserve">Calculated by TITAN and using lower 5th percentile </w:t>
            </w:r>
          </w:p>
        </w:tc>
      </w:tr>
      <w:tr w:rsidR="00017906" w:rsidRPr="00587FBE" w:rsidTr="00017906">
        <w:tc>
          <w:tcPr>
            <w:tcW w:w="1668" w:type="dxa"/>
          </w:tcPr>
          <w:p w:rsidR="00017906" w:rsidRPr="00587FBE" w:rsidRDefault="00017906" w:rsidP="00587FBE">
            <w:pPr>
              <w:pStyle w:val="table1"/>
              <w:rPr>
                <w:color w:val="000000"/>
                <w:u w:color="000000"/>
              </w:rPr>
            </w:pPr>
            <w:r w:rsidRPr="00587FBE">
              <w:rPr>
                <w:color w:val="000000"/>
                <w:u w:color="000000"/>
              </w:rPr>
              <w:t>Gradient Forests</w:t>
            </w:r>
            <w:r w:rsidRPr="00587FBE">
              <w:rPr>
                <w:snapToGrid w:val="0"/>
                <w:color w:val="000000"/>
                <w:szCs w:val="0"/>
                <w:u w:color="000000"/>
              </w:rPr>
              <w:t xml:space="preserve"> </w:t>
            </w:r>
          </w:p>
        </w:tc>
        <w:tc>
          <w:tcPr>
            <w:tcW w:w="2126" w:type="dxa"/>
          </w:tcPr>
          <w:p w:rsidR="00017906" w:rsidRPr="00587FBE" w:rsidRDefault="00017906" w:rsidP="00587FBE">
            <w:pPr>
              <w:pStyle w:val="table1"/>
              <w:rPr>
                <w:color w:val="000000"/>
                <w:u w:color="000000"/>
              </w:rPr>
            </w:pPr>
            <w:r w:rsidRPr="00587FBE">
              <w:rPr>
                <w:color w:val="000000"/>
                <w:u w:color="000000"/>
              </w:rPr>
              <w:t>80, 1100 and 1600</w:t>
            </w:r>
            <w:r w:rsidRPr="00587FBE">
              <w:rPr>
                <w:snapToGrid w:val="0"/>
                <w:color w:val="000000"/>
                <w:szCs w:val="0"/>
                <w:u w:color="000000"/>
              </w:rPr>
              <w:t xml:space="preserve"> a</w:t>
            </w:r>
            <w:r w:rsidRPr="00587FBE">
              <w:rPr>
                <w:color w:val="000000"/>
                <w:u w:color="000000"/>
              </w:rPr>
              <w:t xml:space="preserve"> </w:t>
            </w:r>
          </w:p>
        </w:tc>
        <w:tc>
          <w:tcPr>
            <w:tcW w:w="1417" w:type="dxa"/>
          </w:tcPr>
          <w:p w:rsidR="00017906" w:rsidRPr="00587FBE" w:rsidRDefault="00017906" w:rsidP="00587FBE">
            <w:pPr>
              <w:pStyle w:val="table1"/>
              <w:rPr>
                <w:color w:val="000000"/>
                <w:u w:color="000000"/>
              </w:rPr>
            </w:pPr>
            <w:r w:rsidRPr="00587FBE">
              <w:rPr>
                <w:color w:val="000000"/>
                <w:u w:color="000000"/>
              </w:rPr>
              <w:t>80</w:t>
            </w:r>
          </w:p>
        </w:tc>
        <w:tc>
          <w:tcPr>
            <w:tcW w:w="3261" w:type="dxa"/>
          </w:tcPr>
          <w:p w:rsidR="00017906" w:rsidRPr="00587FBE" w:rsidRDefault="00587FBE" w:rsidP="00587FBE">
            <w:pPr>
              <w:pStyle w:val="table1"/>
              <w:rPr>
                <w:color w:val="000000"/>
                <w:u w:color="000000"/>
              </w:rPr>
            </w:pPr>
            <w:r>
              <w:rPr>
                <w:color w:val="000000"/>
                <w:u w:color="000000"/>
              </w:rPr>
              <w:t>80 mg kg</w:t>
            </w:r>
            <w:r w:rsidRPr="00E30207">
              <w:rPr>
                <w:snapToGrid w:val="0"/>
                <w:color w:val="000000"/>
                <w:position w:val="5"/>
                <w:sz w:val="15"/>
                <w:szCs w:val="0"/>
                <w:u w:color="000000"/>
              </w:rPr>
              <w:t>-</w:t>
            </w:r>
            <w:r w:rsidRPr="00587FBE">
              <w:rPr>
                <w:snapToGrid w:val="0"/>
                <w:color w:val="000000"/>
                <w:position w:val="5"/>
                <w:sz w:val="15"/>
                <w:szCs w:val="0"/>
                <w:u w:color="000000"/>
              </w:rPr>
              <w:t>1</w:t>
            </w:r>
            <w:r w:rsidR="00017906" w:rsidRPr="00587FBE">
              <w:rPr>
                <w:color w:val="000000"/>
                <w:u w:color="000000"/>
              </w:rPr>
              <w:t xml:space="preserve"> Highest peak appears at 1600</w:t>
            </w:r>
          </w:p>
        </w:tc>
      </w:tr>
      <w:tr w:rsidR="00017906" w:rsidRPr="00587FBE" w:rsidTr="00017906">
        <w:tc>
          <w:tcPr>
            <w:tcW w:w="1668" w:type="dxa"/>
          </w:tcPr>
          <w:p w:rsidR="00017906" w:rsidRPr="00587FBE" w:rsidRDefault="00017906" w:rsidP="00587FBE">
            <w:pPr>
              <w:pStyle w:val="table1"/>
              <w:rPr>
                <w:color w:val="000000"/>
                <w:u w:color="000000"/>
              </w:rPr>
            </w:pPr>
            <w:r w:rsidRPr="00587FBE">
              <w:rPr>
                <w:color w:val="000000"/>
                <w:u w:color="000000"/>
              </w:rPr>
              <w:t>PERMANOVA</w:t>
            </w:r>
          </w:p>
        </w:tc>
        <w:tc>
          <w:tcPr>
            <w:tcW w:w="2126" w:type="dxa"/>
          </w:tcPr>
          <w:p w:rsidR="00017906" w:rsidRPr="00587FBE" w:rsidRDefault="00017906" w:rsidP="00587FBE">
            <w:pPr>
              <w:pStyle w:val="table1"/>
              <w:rPr>
                <w:color w:val="000000"/>
                <w:u w:color="000000"/>
              </w:rPr>
            </w:pPr>
            <w:r w:rsidRPr="00587FBE">
              <w:rPr>
                <w:color w:val="000000"/>
                <w:u w:color="000000"/>
              </w:rPr>
              <w:t>NC</w:t>
            </w:r>
          </w:p>
        </w:tc>
        <w:tc>
          <w:tcPr>
            <w:tcW w:w="1417" w:type="dxa"/>
          </w:tcPr>
          <w:p w:rsidR="00017906" w:rsidRPr="00587FBE" w:rsidRDefault="00017906" w:rsidP="00587FBE">
            <w:pPr>
              <w:pStyle w:val="table1"/>
              <w:rPr>
                <w:color w:val="000000"/>
                <w:u w:color="000000"/>
              </w:rPr>
            </w:pPr>
            <w:r w:rsidRPr="00587FBE">
              <w:rPr>
                <w:color w:val="000000"/>
                <w:u w:color="000000"/>
              </w:rPr>
              <w:t>100</w:t>
            </w:r>
          </w:p>
        </w:tc>
        <w:tc>
          <w:tcPr>
            <w:tcW w:w="3261" w:type="dxa"/>
          </w:tcPr>
          <w:p w:rsidR="00017906" w:rsidRPr="00587FBE" w:rsidRDefault="00017906" w:rsidP="00587FBE">
            <w:pPr>
              <w:pStyle w:val="table1"/>
              <w:rPr>
                <w:color w:val="000000"/>
                <w:u w:color="000000"/>
              </w:rPr>
            </w:pPr>
            <w:r w:rsidRPr="00587FBE">
              <w:rPr>
                <w:color w:val="000000"/>
                <w:u w:color="000000"/>
              </w:rPr>
              <w:t>100 mg kg</w:t>
            </w:r>
            <w:r w:rsidR="00587FBE" w:rsidRPr="00E30207">
              <w:rPr>
                <w:snapToGrid w:val="0"/>
                <w:color w:val="000000"/>
                <w:position w:val="5"/>
                <w:sz w:val="15"/>
                <w:szCs w:val="0"/>
                <w:u w:color="000000"/>
              </w:rPr>
              <w:t>-</w:t>
            </w:r>
            <w:r w:rsidR="00587FBE" w:rsidRPr="00587FBE">
              <w:rPr>
                <w:snapToGrid w:val="0"/>
                <w:color w:val="000000"/>
                <w:position w:val="5"/>
                <w:sz w:val="15"/>
                <w:szCs w:val="0"/>
                <w:u w:color="000000"/>
              </w:rPr>
              <w:t>1</w:t>
            </w:r>
            <w:r w:rsidRPr="00587FBE">
              <w:rPr>
                <w:snapToGrid w:val="0"/>
                <w:color w:val="000000"/>
                <w:szCs w:val="0"/>
                <w:u w:color="000000"/>
              </w:rPr>
              <w:t xml:space="preserve"> is similar to control, and would equate</w:t>
            </w:r>
            <w:r w:rsidRPr="00587FBE">
              <w:rPr>
                <w:color w:val="000000"/>
                <w:u w:color="000000"/>
              </w:rPr>
              <w:t xml:space="preserve"> to a No Observed Effect Concentration (NOEC) </w:t>
            </w:r>
          </w:p>
        </w:tc>
      </w:tr>
      <w:tr w:rsidR="00017906" w:rsidRPr="00587FBE" w:rsidTr="00017906">
        <w:tc>
          <w:tcPr>
            <w:tcW w:w="1668" w:type="dxa"/>
          </w:tcPr>
          <w:p w:rsidR="00017906" w:rsidRPr="00587FBE" w:rsidRDefault="00017906" w:rsidP="00587FBE">
            <w:pPr>
              <w:pStyle w:val="table1"/>
              <w:rPr>
                <w:color w:val="000000"/>
                <w:u w:color="000000"/>
              </w:rPr>
            </w:pPr>
            <w:r w:rsidRPr="00587FBE">
              <w:rPr>
                <w:color w:val="000000"/>
                <w:u w:color="000000"/>
              </w:rPr>
              <w:t xml:space="preserve">ANOSIM </w:t>
            </w:r>
          </w:p>
        </w:tc>
        <w:tc>
          <w:tcPr>
            <w:tcW w:w="2126" w:type="dxa"/>
          </w:tcPr>
          <w:p w:rsidR="00017906" w:rsidRPr="00587FBE" w:rsidRDefault="00017906" w:rsidP="00587FBE">
            <w:pPr>
              <w:pStyle w:val="table1"/>
              <w:rPr>
                <w:color w:val="000000"/>
                <w:u w:color="000000"/>
              </w:rPr>
            </w:pPr>
            <w:r w:rsidRPr="00587FBE">
              <w:rPr>
                <w:color w:val="000000"/>
                <w:u w:color="000000"/>
              </w:rPr>
              <w:t>20, 40 and 130</w:t>
            </w:r>
          </w:p>
        </w:tc>
        <w:tc>
          <w:tcPr>
            <w:tcW w:w="1417" w:type="dxa"/>
          </w:tcPr>
          <w:p w:rsidR="00017906" w:rsidRPr="00587FBE" w:rsidRDefault="00017906" w:rsidP="00587FBE">
            <w:pPr>
              <w:pStyle w:val="table1"/>
              <w:rPr>
                <w:color w:val="000000"/>
                <w:u w:color="000000"/>
              </w:rPr>
            </w:pPr>
            <w:r w:rsidRPr="00587FBE">
              <w:rPr>
                <w:color w:val="000000"/>
                <w:u w:color="000000"/>
              </w:rPr>
              <w:t>40</w:t>
            </w:r>
          </w:p>
        </w:tc>
        <w:tc>
          <w:tcPr>
            <w:tcW w:w="3261" w:type="dxa"/>
          </w:tcPr>
          <w:p w:rsidR="00017906" w:rsidRPr="00587FBE" w:rsidRDefault="00017906" w:rsidP="00587FBE">
            <w:pPr>
              <w:pStyle w:val="table1"/>
              <w:rPr>
                <w:color w:val="000000"/>
                <w:u w:color="000000"/>
              </w:rPr>
            </w:pPr>
            <w:r w:rsidRPr="00587FBE">
              <w:rPr>
                <w:color w:val="000000"/>
                <w:u w:color="000000"/>
              </w:rPr>
              <w:t>5% of maximum observed change</w:t>
            </w:r>
          </w:p>
        </w:tc>
      </w:tr>
      <w:tr w:rsidR="00017906" w:rsidRPr="00587FBE" w:rsidTr="00017906">
        <w:tc>
          <w:tcPr>
            <w:tcW w:w="1668" w:type="dxa"/>
            <w:tcBorders>
              <w:bottom w:val="single" w:sz="4" w:space="0" w:color="auto"/>
            </w:tcBorders>
          </w:tcPr>
          <w:p w:rsidR="00017906" w:rsidRPr="00587FBE" w:rsidRDefault="00017906" w:rsidP="00587FBE">
            <w:pPr>
              <w:pStyle w:val="table1"/>
              <w:rPr>
                <w:color w:val="000000"/>
                <w:u w:color="000000"/>
              </w:rPr>
            </w:pPr>
            <w:r w:rsidRPr="00587FBE">
              <w:rPr>
                <w:color w:val="000000"/>
                <w:u w:color="000000"/>
              </w:rPr>
              <w:t>ANOSIM</w:t>
            </w:r>
          </w:p>
        </w:tc>
        <w:tc>
          <w:tcPr>
            <w:tcW w:w="2126" w:type="dxa"/>
            <w:tcBorders>
              <w:bottom w:val="single" w:sz="4" w:space="0" w:color="auto"/>
            </w:tcBorders>
          </w:tcPr>
          <w:p w:rsidR="00017906" w:rsidRPr="00587FBE" w:rsidRDefault="00017906" w:rsidP="00587FBE">
            <w:pPr>
              <w:pStyle w:val="table1"/>
              <w:rPr>
                <w:color w:val="000000"/>
                <w:u w:color="000000"/>
              </w:rPr>
            </w:pPr>
            <w:r w:rsidRPr="00587FBE">
              <w:rPr>
                <w:color w:val="000000"/>
                <w:u w:color="000000"/>
              </w:rPr>
              <w:t>10, 80 and 240</w:t>
            </w:r>
          </w:p>
        </w:tc>
        <w:tc>
          <w:tcPr>
            <w:tcW w:w="1417" w:type="dxa"/>
            <w:tcBorders>
              <w:bottom w:val="single" w:sz="4" w:space="0" w:color="auto"/>
            </w:tcBorders>
          </w:tcPr>
          <w:p w:rsidR="00017906" w:rsidRPr="00587FBE" w:rsidRDefault="00017906" w:rsidP="00587FBE">
            <w:pPr>
              <w:pStyle w:val="table1"/>
              <w:rPr>
                <w:color w:val="000000"/>
                <w:u w:color="000000"/>
              </w:rPr>
            </w:pPr>
            <w:r w:rsidRPr="00587FBE">
              <w:rPr>
                <w:color w:val="000000"/>
                <w:u w:color="000000"/>
              </w:rPr>
              <w:t>80</w:t>
            </w:r>
          </w:p>
        </w:tc>
        <w:tc>
          <w:tcPr>
            <w:tcW w:w="3261" w:type="dxa"/>
            <w:tcBorders>
              <w:bottom w:val="single" w:sz="4" w:space="0" w:color="auto"/>
            </w:tcBorders>
          </w:tcPr>
          <w:p w:rsidR="00017906" w:rsidRPr="00587FBE" w:rsidRDefault="00017906" w:rsidP="00587FBE">
            <w:pPr>
              <w:pStyle w:val="table1"/>
              <w:rPr>
                <w:color w:val="000000"/>
                <w:u w:color="000000"/>
              </w:rPr>
            </w:pPr>
            <w:r w:rsidRPr="00587FBE">
              <w:rPr>
                <w:color w:val="000000"/>
                <w:u w:color="000000"/>
              </w:rPr>
              <w:t>10% of maximum observed change</w:t>
            </w:r>
          </w:p>
        </w:tc>
      </w:tr>
    </w:tbl>
    <w:p w:rsidR="00017906" w:rsidRDefault="00017906" w:rsidP="00017906">
      <w:pPr>
        <w:pStyle w:val="tablenote"/>
        <w:tabs>
          <w:tab w:val="clear" w:pos="240"/>
          <w:tab w:val="left" w:pos="0"/>
        </w:tabs>
        <w:ind w:left="142" w:hanging="142"/>
      </w:pPr>
      <w:r w:rsidRPr="00081ABA">
        <w:t>*</w:t>
      </w:r>
      <w:r>
        <w:t xml:space="preserve"> Gradient Forests calculations do not produce confidence intervals and the numbers are the three peaks observed in the analysis. NC = Not calculable.  PERMANOVA analyses do not provide uncertainty around the values provided.</w:t>
      </w:r>
    </w:p>
    <w:p w:rsidR="00017906" w:rsidRDefault="00017906" w:rsidP="00017906">
      <w:pPr>
        <w:pStyle w:val="tablenote"/>
        <w:tabs>
          <w:tab w:val="clear" w:pos="240"/>
          <w:tab w:val="left" w:pos="0"/>
        </w:tabs>
        <w:ind w:left="142" w:hanging="142"/>
      </w:pPr>
    </w:p>
    <w:p w:rsidR="00017906" w:rsidRDefault="00017906" w:rsidP="004726C2">
      <w:pPr>
        <w:pStyle w:val="Heading2"/>
      </w:pPr>
      <w:r>
        <w:t>Conclusions</w:t>
      </w:r>
    </w:p>
    <w:p w:rsidR="00625CC3" w:rsidRDefault="00017906" w:rsidP="00625CC3">
      <w:r>
        <w:t>The analyses showed that benthic macroinvertebrate taxa typically colonising fine silt-clay sediments of backflow billabongs are only likely to be directly impacted by high U contamination. However, all the multivariate analyses indicated a compositional change of microinvertebrate eukaryotes across the U concentration range, as well as effects at lower concentrations. Numerous statistical analyses found statically significant results and thresholds of change between 40 – 420 mg kg</w:t>
      </w:r>
      <w:r w:rsidRPr="00006F97">
        <w:rPr>
          <w:snapToGrid w:val="0"/>
          <w:color w:val="000000"/>
          <w:position w:val="5"/>
          <w:sz w:val="15"/>
          <w:szCs w:val="0"/>
          <w:u w:color="000000"/>
        </w:rPr>
        <w:t>-1</w:t>
      </w:r>
      <w:r>
        <w:rPr>
          <w:snapToGrid w:val="0"/>
          <w:color w:val="000000"/>
          <w:position w:val="5"/>
          <w:sz w:val="15"/>
          <w:szCs w:val="0"/>
          <w:u w:color="000000"/>
        </w:rPr>
        <w:t xml:space="preserve"> </w:t>
      </w:r>
      <w:r>
        <w:rPr>
          <w:snapToGrid w:val="0"/>
          <w:color w:val="000000"/>
          <w:szCs w:val="0"/>
          <w:u w:color="000000"/>
        </w:rPr>
        <w:t>U.  Future work will include further analysis of the datasets and publication of the results in peer-reviewed journals. The results will be used in discussions with stakeholders in order to derive a s</w:t>
      </w:r>
      <w:r>
        <w:t>ediment quality Guideline Value (GV) for U for current ope</w:t>
      </w:r>
      <w:r w:rsidR="00625CC3">
        <w:t>rations and closure of the mine</w:t>
      </w:r>
    </w:p>
    <w:p w:rsidR="00017906" w:rsidRPr="00BC72C1" w:rsidRDefault="00017906" w:rsidP="00625CC3">
      <w:pPr>
        <w:pStyle w:val="Heading2"/>
      </w:pPr>
      <w:r w:rsidRPr="00BC72C1">
        <w:t xml:space="preserve">References </w:t>
      </w:r>
    </w:p>
    <w:p w:rsidR="00017906" w:rsidRPr="00587FBE" w:rsidRDefault="00017906" w:rsidP="00587FBE">
      <w:pPr>
        <w:pStyle w:val="referencelist1"/>
      </w:pPr>
      <w:proofErr w:type="gramStart"/>
      <w:r w:rsidRPr="00587FBE">
        <w:t>Baker ME &amp; King RS 2010.</w:t>
      </w:r>
      <w:proofErr w:type="gramEnd"/>
      <w:r w:rsidRPr="00587FBE">
        <w:t xml:space="preserve"> </w:t>
      </w:r>
      <w:proofErr w:type="gramStart"/>
      <w:r w:rsidRPr="00587FBE">
        <w:t>A new method for detecting and interpreting biodiversity and ecological community thresholds.</w:t>
      </w:r>
      <w:proofErr w:type="gramEnd"/>
      <w:r w:rsidRPr="00587FBE">
        <w:t xml:space="preserve"> </w:t>
      </w:r>
      <w:r w:rsidRPr="00587FBE">
        <w:rPr>
          <w:i/>
        </w:rPr>
        <w:t>Methods in Ecology and Evolution</w:t>
      </w:r>
      <w:r w:rsidR="00587FBE">
        <w:t xml:space="preserve"> 1(1), 25–</w:t>
      </w:r>
      <w:r w:rsidRPr="00587FBE">
        <w:t>37.</w:t>
      </w:r>
    </w:p>
    <w:p w:rsidR="00017906" w:rsidRPr="00587FBE" w:rsidRDefault="00017906" w:rsidP="00587FBE">
      <w:pPr>
        <w:pStyle w:val="referencelist1"/>
      </w:pPr>
      <w:bookmarkStart w:id="109" w:name="_ENREF_2"/>
      <w:r w:rsidRPr="00587FBE">
        <w:t xml:space="preserve">Chessman BC 2003. New sensitivity grades for Australian river macroinvertebrates. </w:t>
      </w:r>
      <w:r w:rsidRPr="00587FBE">
        <w:rPr>
          <w:i/>
        </w:rPr>
        <w:t xml:space="preserve">Marine and Freshwater Research </w:t>
      </w:r>
      <w:r w:rsidR="00254B06">
        <w:t>54</w:t>
      </w:r>
      <w:r w:rsidR="00587FBE">
        <w:t>(2), 95–</w:t>
      </w:r>
      <w:r w:rsidRPr="00587FBE">
        <w:t>103.</w:t>
      </w:r>
      <w:bookmarkEnd w:id="109"/>
    </w:p>
    <w:p w:rsidR="00017906" w:rsidRDefault="00017906" w:rsidP="00017906">
      <w:pPr>
        <w:spacing w:line="240" w:lineRule="atLeast"/>
        <w:ind w:left="720" w:hanging="720"/>
        <w:rPr>
          <w:noProof/>
        </w:rPr>
      </w:pPr>
      <w:bookmarkStart w:id="110" w:name="_ENREF_3"/>
      <w:r>
        <w:rPr>
          <w:noProof/>
        </w:rPr>
        <w:t xml:space="preserve">Ellis N, Smith SJ &amp; Pitcher CR 2011. Gradient forests: calculating importance gradients on physical predictors. </w:t>
      </w:r>
      <w:r w:rsidRPr="00301874">
        <w:rPr>
          <w:i/>
          <w:noProof/>
        </w:rPr>
        <w:t>Ecology</w:t>
      </w:r>
      <w:r w:rsidR="00587FBE">
        <w:rPr>
          <w:noProof/>
        </w:rPr>
        <w:t xml:space="preserve"> 93(1), 156–</w:t>
      </w:r>
      <w:r>
        <w:rPr>
          <w:noProof/>
        </w:rPr>
        <w:t>168.</w:t>
      </w:r>
      <w:bookmarkEnd w:id="110"/>
    </w:p>
    <w:p w:rsidR="00017906" w:rsidRPr="0036537D" w:rsidRDefault="00017906" w:rsidP="00587FBE">
      <w:pPr>
        <w:pStyle w:val="referencelist1"/>
      </w:pPr>
      <w:proofErr w:type="gramStart"/>
      <w:r w:rsidRPr="008A4A23">
        <w:t xml:space="preserve">Harford, AJ, van Dam, RA, Humphrey, CL, Jones, DR, Simpson, SL, Stauber, </w:t>
      </w:r>
      <w:r w:rsidR="00587FBE">
        <w:t>JL, Gibb, KS &amp; Streten-Joyce C 2011.</w:t>
      </w:r>
      <w:proofErr w:type="gramEnd"/>
      <w:r w:rsidRPr="008A4A23">
        <w:t xml:space="preserve"> </w:t>
      </w:r>
      <w:proofErr w:type="gramStart"/>
      <w:r w:rsidRPr="008A4A23">
        <w:t>The toxicity of uranium to sediment biota of Magela Creek backflow billabong environments.</w:t>
      </w:r>
      <w:proofErr w:type="gramEnd"/>
      <w:r w:rsidRPr="008A4A23">
        <w:t xml:space="preserve"> </w:t>
      </w:r>
      <w:proofErr w:type="gramStart"/>
      <w:r w:rsidRPr="008A4A23">
        <w:t xml:space="preserve">In </w:t>
      </w:r>
      <w:r w:rsidRPr="004E6332">
        <w:rPr>
          <w:rFonts w:ascii="Times New Roman" w:hAnsi="Times New Roman"/>
          <w:b/>
          <w:i/>
          <w:iCs/>
          <w:sz w:val="26"/>
        </w:rPr>
        <w:t>eriss</w:t>
      </w:r>
      <w:r w:rsidRPr="004E6332">
        <w:t xml:space="preserve"> </w:t>
      </w:r>
      <w:r w:rsidRPr="008A4A23">
        <w:rPr>
          <w:i/>
        </w:rPr>
        <w:t>research summary 2009–2010</w:t>
      </w:r>
      <w:r w:rsidRPr="008A4A23">
        <w:t>.</w:t>
      </w:r>
      <w:proofErr w:type="gramEnd"/>
      <w:r w:rsidRPr="008A4A23">
        <w:t xml:space="preserve"> Jones DR &amp; Webb A (</w:t>
      </w:r>
      <w:proofErr w:type="gramStart"/>
      <w:r w:rsidRPr="008A4A23">
        <w:t>eds</w:t>
      </w:r>
      <w:proofErr w:type="gramEnd"/>
      <w:r w:rsidRPr="008A4A23">
        <w:t>) Supervising Scientist Report 202, Supervising Scientist, Darwin NT.</w:t>
      </w:r>
    </w:p>
    <w:p w:rsidR="00017906" w:rsidRDefault="00017906" w:rsidP="00AD64BF">
      <w:pPr>
        <w:pStyle w:val="referencelist1"/>
      </w:pPr>
      <w:proofErr w:type="gramStart"/>
      <w:r w:rsidRPr="008A4A23">
        <w:t>Harford, AJ, van Dam, RA, Humphrey, CL, Jones, DR, Simpson, SL, Cha</w:t>
      </w:r>
      <w:r w:rsidR="00587FBE">
        <w:t>riton, AA, Gibb, &amp; Stauber, JL 2012.</w:t>
      </w:r>
      <w:proofErr w:type="gramEnd"/>
      <w:r w:rsidRPr="008A4A23">
        <w:t xml:space="preserve"> </w:t>
      </w:r>
      <w:proofErr w:type="gramStart"/>
      <w:r w:rsidRPr="008A4A23">
        <w:t>The toxicity of uranium to sediment biota of Magela Creek backflow billabong environments.</w:t>
      </w:r>
      <w:proofErr w:type="gramEnd"/>
      <w:r w:rsidRPr="008A4A23">
        <w:t xml:space="preserve"> In </w:t>
      </w:r>
      <w:r w:rsidR="00AD64BF">
        <w:t>Jones DR &amp; Webb A (</w:t>
      </w:r>
      <w:proofErr w:type="gramStart"/>
      <w:r w:rsidR="00AD64BF">
        <w:t>eds</w:t>
      </w:r>
      <w:proofErr w:type="gramEnd"/>
      <w:r w:rsidR="00AD64BF">
        <w:t xml:space="preserve">) 2012. </w:t>
      </w:r>
      <w:proofErr w:type="gramStart"/>
      <w:r w:rsidRPr="004E6332">
        <w:rPr>
          <w:rFonts w:ascii="Times New Roman" w:hAnsi="Times New Roman"/>
          <w:b/>
          <w:i/>
          <w:iCs/>
          <w:sz w:val="26"/>
        </w:rPr>
        <w:t>eriss</w:t>
      </w:r>
      <w:proofErr w:type="gramEnd"/>
      <w:r w:rsidRPr="003F181C">
        <w:t xml:space="preserve"> </w:t>
      </w:r>
      <w:r w:rsidRPr="008A4A23">
        <w:rPr>
          <w:i/>
        </w:rPr>
        <w:t>research summary 2010–2011</w:t>
      </w:r>
      <w:r w:rsidRPr="008A4A23">
        <w:t xml:space="preserve"> Supervising Scientist Report 203, Supervising Scientist, Darwin NT.</w:t>
      </w:r>
    </w:p>
    <w:p w:rsidR="00017906" w:rsidRDefault="00017906" w:rsidP="00587FBE">
      <w:pPr>
        <w:pStyle w:val="referencelist1"/>
      </w:pPr>
      <w:proofErr w:type="gramStart"/>
      <w:r w:rsidRPr="001E1F94">
        <w:t>Harford</w:t>
      </w:r>
      <w:r>
        <w:t>,</w:t>
      </w:r>
      <w:r w:rsidRPr="001E1F94">
        <w:t xml:space="preserve"> AJ, Simpson, SL</w:t>
      </w:r>
      <w:r>
        <w:t>,</w:t>
      </w:r>
      <w:r w:rsidRPr="001E1F94">
        <w:t xml:space="preserve"> Chariton, AA</w:t>
      </w:r>
      <w:r>
        <w:t>,</w:t>
      </w:r>
      <w:r w:rsidRPr="001E1F94">
        <w:t xml:space="preserve"> van Dam</w:t>
      </w:r>
      <w:r>
        <w:t>,</w:t>
      </w:r>
      <w:r w:rsidRPr="001E1F94">
        <w:t xml:space="preserve"> RA &amp; Humphrey CL</w:t>
      </w:r>
      <w:r w:rsidR="00587FBE">
        <w:t xml:space="preserve"> 2013</w:t>
      </w:r>
      <w:r w:rsidRPr="00FB6C94">
        <w:t>.</w:t>
      </w:r>
      <w:proofErr w:type="gramEnd"/>
      <w:r w:rsidRPr="00FB6C94">
        <w:t xml:space="preserve"> </w:t>
      </w:r>
      <w:proofErr w:type="gramStart"/>
      <w:r w:rsidRPr="001E1F94">
        <w:t>The toxicity of uranium (U) to sediment biota of</w:t>
      </w:r>
      <w:r>
        <w:t xml:space="preserve"> </w:t>
      </w:r>
      <w:r w:rsidRPr="001E1F94">
        <w:t>Magela Creek backflow billabong environments</w:t>
      </w:r>
      <w:r>
        <w:t>.</w:t>
      </w:r>
      <w:proofErr w:type="gramEnd"/>
      <w:r>
        <w:t xml:space="preserve"> </w:t>
      </w:r>
      <w:proofErr w:type="gramStart"/>
      <w:r w:rsidRPr="00FB6C94">
        <w:t xml:space="preserve">In </w:t>
      </w:r>
      <w:r w:rsidR="00AD64BF" w:rsidRPr="004E6332">
        <w:rPr>
          <w:rFonts w:ascii="Times New Roman" w:hAnsi="Times New Roman"/>
          <w:b/>
          <w:i/>
          <w:iCs/>
          <w:sz w:val="26"/>
        </w:rPr>
        <w:t>eriss</w:t>
      </w:r>
      <w:r w:rsidR="00AD64BF" w:rsidRPr="003F181C">
        <w:t xml:space="preserve"> </w:t>
      </w:r>
      <w:r w:rsidR="00AD64BF" w:rsidRPr="008A4A23">
        <w:rPr>
          <w:i/>
        </w:rPr>
        <w:t>research summary</w:t>
      </w:r>
      <w:r w:rsidR="00AD64BF" w:rsidRPr="001E1F94">
        <w:rPr>
          <w:i/>
        </w:rPr>
        <w:t xml:space="preserve"> </w:t>
      </w:r>
      <w:r w:rsidRPr="001E1F94">
        <w:rPr>
          <w:i/>
        </w:rPr>
        <w:t>2012–2013</w:t>
      </w:r>
      <w:r w:rsidRPr="00FB6C94">
        <w:t>.</w:t>
      </w:r>
      <w:proofErr w:type="gramEnd"/>
      <w:r w:rsidRPr="00FB6C94">
        <w:t xml:space="preserve"> Supervising Scientist Report 20</w:t>
      </w:r>
      <w:r>
        <w:t>5</w:t>
      </w:r>
      <w:r w:rsidRPr="00FB6C94">
        <w:t>, Supervising Scientist, Darwin</w:t>
      </w:r>
      <w:r>
        <w:t xml:space="preserve"> </w:t>
      </w:r>
      <w:r w:rsidR="001111E6">
        <w:t>NT, 2–7.</w:t>
      </w:r>
    </w:p>
    <w:p w:rsidR="00017906" w:rsidRPr="0036537D" w:rsidRDefault="00017906" w:rsidP="00AD64BF">
      <w:pPr>
        <w:pStyle w:val="referencelist1"/>
        <w:rPr>
          <w:noProof/>
        </w:rPr>
      </w:pPr>
      <w:r w:rsidRPr="0036537D">
        <w:rPr>
          <w:noProof/>
        </w:rPr>
        <w:t xml:space="preserve">Simpson SL &amp; Batley GE 2007. Predicting metal toxicity in sediments: A critique of current approaches. </w:t>
      </w:r>
      <w:r w:rsidRPr="0036537D">
        <w:rPr>
          <w:i/>
          <w:noProof/>
        </w:rPr>
        <w:t>Integrated Environmental Assessment and Management</w:t>
      </w:r>
      <w:r w:rsidR="00587FBE">
        <w:rPr>
          <w:noProof/>
        </w:rPr>
        <w:t xml:space="preserve"> 3(1), 18–</w:t>
      </w:r>
      <w:r w:rsidRPr="0036537D">
        <w:rPr>
          <w:noProof/>
        </w:rPr>
        <w:t>31.</w:t>
      </w:r>
    </w:p>
    <w:p w:rsidR="00017906" w:rsidRPr="0036537D" w:rsidRDefault="00017906" w:rsidP="00AD64BF">
      <w:pPr>
        <w:pStyle w:val="referencelist1"/>
      </w:pPr>
      <w:proofErr w:type="gramStart"/>
      <w:r w:rsidRPr="0036537D">
        <w:t>van</w:t>
      </w:r>
      <w:proofErr w:type="gramEnd"/>
      <w:r w:rsidRPr="0036537D">
        <w:t xml:space="preserve"> Dam, RA, Humphrey, CL, Harford, AJ, Simps</w:t>
      </w:r>
      <w:r w:rsidR="00B25745">
        <w:t>on, SL, Gibb KS, &amp; Stauber, JL 2010.</w:t>
      </w:r>
      <w:r w:rsidRPr="0036537D">
        <w:t xml:space="preserve"> </w:t>
      </w:r>
      <w:proofErr w:type="gramStart"/>
      <w:r w:rsidRPr="0036537D">
        <w:t>The toxicity of uranium to sediment biota of Magela Creek backflow billabong environments.</w:t>
      </w:r>
      <w:proofErr w:type="gramEnd"/>
      <w:r w:rsidRPr="0036537D">
        <w:t xml:space="preserve"> In </w:t>
      </w:r>
      <w:r w:rsidR="00AD64BF" w:rsidRPr="0036537D">
        <w:t>Jones DR &amp; Webb A (</w:t>
      </w:r>
      <w:proofErr w:type="gramStart"/>
      <w:r w:rsidR="00AD64BF">
        <w:t>eds</w:t>
      </w:r>
      <w:proofErr w:type="gramEnd"/>
      <w:r w:rsidR="00AD64BF">
        <w:t>) 2010.</w:t>
      </w:r>
      <w:r w:rsidR="00AD64BF" w:rsidRPr="0036537D">
        <w:t xml:space="preserve"> </w:t>
      </w:r>
      <w:proofErr w:type="gramStart"/>
      <w:r w:rsidR="00AD64BF" w:rsidRPr="004E6332">
        <w:rPr>
          <w:rFonts w:ascii="Times New Roman" w:hAnsi="Times New Roman"/>
          <w:b/>
          <w:i/>
          <w:iCs/>
          <w:sz w:val="26"/>
        </w:rPr>
        <w:t>eriss</w:t>
      </w:r>
      <w:proofErr w:type="gramEnd"/>
      <w:r w:rsidR="00AD64BF" w:rsidRPr="0036537D">
        <w:rPr>
          <w:i/>
        </w:rPr>
        <w:t xml:space="preserve"> </w:t>
      </w:r>
      <w:r w:rsidRPr="0036537D">
        <w:rPr>
          <w:i/>
        </w:rPr>
        <w:t>research summary 2008–2009</w:t>
      </w:r>
      <w:r w:rsidR="00AD64BF">
        <w:rPr>
          <w:i/>
        </w:rPr>
        <w:t xml:space="preserve"> </w:t>
      </w:r>
      <w:r w:rsidRPr="0036537D">
        <w:t>Supervising Scientist Report 201</w:t>
      </w:r>
      <w:r w:rsidR="00AD64BF">
        <w:t xml:space="preserve">, Supervising Scientist, Darwin </w:t>
      </w:r>
      <w:r w:rsidRPr="0036537D">
        <w:t>NT.</w:t>
      </w:r>
    </w:p>
    <w:p w:rsidR="00AD64BF" w:rsidRPr="00EA41E0" w:rsidRDefault="00AD64BF" w:rsidP="001111E6">
      <w:pPr>
        <w:pStyle w:val="referencelist1"/>
        <w:ind w:left="0" w:firstLine="0"/>
        <w:rPr>
          <w:szCs w:val="24"/>
        </w:rPr>
      </w:pPr>
    </w:p>
    <w:p w:rsidR="00017906" w:rsidRPr="004E6332" w:rsidRDefault="00017906" w:rsidP="004E6332">
      <w:pPr>
        <w:pStyle w:val="referencelist1"/>
        <w:rPr>
          <w:rFonts w:ascii="Times New Roman" w:hAnsi="Times New Roman"/>
          <w:b/>
          <w:i/>
          <w:iCs/>
          <w:noProof/>
          <w:sz w:val="26"/>
        </w:rPr>
      </w:pPr>
      <w:r>
        <w:rPr>
          <w:noProof/>
        </w:rPr>
        <w:br w:type="page"/>
      </w:r>
    </w:p>
    <w:p w:rsidR="00017906" w:rsidRDefault="00ED786E" w:rsidP="009A3243">
      <w:pPr>
        <w:pStyle w:val="Heading1"/>
      </w:pPr>
      <w:bookmarkStart w:id="111" w:name="_Toc401910167"/>
      <w:bookmarkStart w:id="112" w:name="_Toc409772787"/>
      <w:bookmarkStart w:id="113" w:name="_Toc418172698"/>
      <w:r>
        <w:t>The effect of uranium on the s</w:t>
      </w:r>
      <w:r w:rsidR="00017906">
        <w:t xml:space="preserve">tructure and </w:t>
      </w:r>
      <w:r>
        <w:t>function of bacterial sediment c</w:t>
      </w:r>
      <w:r w:rsidR="00017906">
        <w:t>ommunities</w:t>
      </w:r>
      <w:bookmarkEnd w:id="111"/>
      <w:bookmarkEnd w:id="112"/>
      <w:bookmarkEnd w:id="113"/>
    </w:p>
    <w:p w:rsidR="009A3243" w:rsidRPr="009A3243" w:rsidRDefault="00D55D15" w:rsidP="00D55D15">
      <w:pPr>
        <w:pStyle w:val="Heading3"/>
        <w:spacing w:after="480"/>
        <w:jc w:val="center"/>
      </w:pPr>
      <w:r>
        <w:t>B Sutcliffe</w:t>
      </w:r>
      <w:r w:rsidR="005666DC">
        <w:rPr>
          <w:rStyle w:val="FootnoteReference"/>
        </w:rPr>
        <w:footnoteReference w:id="3"/>
      </w:r>
      <w:r>
        <w:t xml:space="preserve">, </w:t>
      </w:r>
      <w:proofErr w:type="gramStart"/>
      <w:r>
        <w:t>A</w:t>
      </w:r>
      <w:proofErr w:type="gramEnd"/>
      <w:r>
        <w:t xml:space="preserve"> Harford, A Chariton</w:t>
      </w:r>
      <w:r w:rsidR="005666DC">
        <w:rPr>
          <w:rStyle w:val="FootnoteReference"/>
        </w:rPr>
        <w:footnoteReference w:id="4"/>
      </w:r>
      <w:r>
        <w:t>, G Hose</w:t>
      </w:r>
      <w:r w:rsidR="005666DC">
        <w:rPr>
          <w:rStyle w:val="FootnoteReference"/>
        </w:rPr>
        <w:footnoteReference w:id="5"/>
      </w:r>
      <w:r>
        <w:t>, D Midgley</w:t>
      </w:r>
      <w:r w:rsidR="005666DC">
        <w:rPr>
          <w:rStyle w:val="FootnoteReference"/>
        </w:rPr>
        <w:footnoteReference w:id="6"/>
      </w:r>
      <w:r>
        <w:t xml:space="preserve"> &amp; </w:t>
      </w:r>
      <w:r>
        <w:br/>
        <w:t>I Paulsen</w:t>
      </w:r>
      <w:r w:rsidRPr="000C52AF">
        <w:rPr>
          <w:snapToGrid w:val="0"/>
          <w:color w:val="000000"/>
          <w:position w:val="6"/>
          <w:sz w:val="17"/>
          <w:szCs w:val="0"/>
          <w:u w:color="000000"/>
        </w:rPr>
        <w:t>1</w:t>
      </w:r>
    </w:p>
    <w:p w:rsidR="00017906" w:rsidRDefault="00017906" w:rsidP="004726C2">
      <w:pPr>
        <w:pStyle w:val="Heading2"/>
      </w:pPr>
      <w:r w:rsidRPr="004A6440">
        <w:t>Background</w:t>
      </w:r>
    </w:p>
    <w:p w:rsidR="00017906" w:rsidRDefault="00017906" w:rsidP="00017906">
      <w:r>
        <w:t xml:space="preserve">Microbial communities are a vital component of an ecological system, carrying out important biological processes like nutrient cycling as well as providing a food source for higher organisms. A decrease in the biodiversity and/or alteration in microbial composition may indicate a shift in the ecological health of a site </w:t>
      </w:r>
      <w:r>
        <w:rPr>
          <w:noProof/>
        </w:rPr>
        <w:t>(Sims et al</w:t>
      </w:r>
      <w:r w:rsidR="002661CF">
        <w:rPr>
          <w:noProof/>
        </w:rPr>
        <w:t>.</w:t>
      </w:r>
      <w:r>
        <w:rPr>
          <w:noProof/>
        </w:rPr>
        <w:t xml:space="preserve"> 2013)</w:t>
      </w:r>
      <w:r>
        <w:t>. Therefore, many studies target microbial identification for ecological assessments. S</w:t>
      </w:r>
      <w:r w:rsidRPr="003272A3">
        <w:t xml:space="preserve">ediment bacteria </w:t>
      </w:r>
      <w:r>
        <w:t xml:space="preserve">are </w:t>
      </w:r>
      <w:r w:rsidRPr="003272A3">
        <w:t>important biological factors capable of modifying</w:t>
      </w:r>
      <w:r>
        <w:t xml:space="preserve"> the</w:t>
      </w:r>
      <w:r w:rsidRPr="003272A3">
        <w:t xml:space="preserve"> chemistry </w:t>
      </w:r>
      <w:r>
        <w:t xml:space="preserve">of sediment </w:t>
      </w:r>
      <w:r w:rsidRPr="003272A3">
        <w:t>and</w:t>
      </w:r>
      <w:r>
        <w:t xml:space="preserve">, hence, the </w:t>
      </w:r>
      <w:r w:rsidRPr="003272A3">
        <w:t xml:space="preserve">speciation </w:t>
      </w:r>
      <w:r>
        <w:t xml:space="preserve">and toxicity of </w:t>
      </w:r>
      <w:r w:rsidR="00D55D15">
        <w:t>uranium (</w:t>
      </w:r>
      <w:r>
        <w:t>U</w:t>
      </w:r>
      <w:r w:rsidR="00D55D15">
        <w:t>)</w:t>
      </w:r>
      <w:r>
        <w:t xml:space="preserve"> in sediments</w:t>
      </w:r>
      <w:r w:rsidRPr="003272A3">
        <w:t>.</w:t>
      </w:r>
      <w:r w:rsidRPr="001D3B89">
        <w:t xml:space="preserve"> </w:t>
      </w:r>
      <w:r>
        <w:t>While some preliminary work has been performed on understanding</w:t>
      </w:r>
      <w:r w:rsidR="00D55D15">
        <w:t xml:space="preserve"> the interplay between </w:t>
      </w:r>
      <w:r>
        <w:t xml:space="preserve">U contamination and bacterial community structure </w:t>
      </w:r>
      <w:r>
        <w:rPr>
          <w:noProof/>
        </w:rPr>
        <w:t>(Mondani et al</w:t>
      </w:r>
      <w:r w:rsidR="002661CF">
        <w:rPr>
          <w:noProof/>
        </w:rPr>
        <w:t>.</w:t>
      </w:r>
      <w:r>
        <w:rPr>
          <w:noProof/>
        </w:rPr>
        <w:t xml:space="preserve"> 2011) in sediments</w:t>
      </w:r>
      <w:r>
        <w:t>, large gaps in our knowledge still exist.</w:t>
      </w:r>
    </w:p>
    <w:p w:rsidR="00017906" w:rsidRDefault="00017906" w:rsidP="00017906">
      <w:r>
        <w:t xml:space="preserve">Metagenomics is a relatively new molecular tool being adopted by a number of scientific disciplines. It is capable of sequencing whole genomes of individuals within a sample, allowing researchers to identify organisms by regions, such as the DNA sequence that codes for small subunit ribosomal RNA, but also to elucidate the functional potential of each organism by sequencing all the genes in a sample </w:t>
      </w:r>
      <w:r>
        <w:rPr>
          <w:noProof/>
        </w:rPr>
        <w:t>(Tringe &amp; Rubin 2005)</w:t>
      </w:r>
      <w:r>
        <w:t>. Metagenomics has the potential to provide pertinent ecotoxicological information with respect to sediment communities, as the functional diversity of the system can be assessed in addition to the biodiversity. In doing so, it enables the development of conceptual models, and generation of associated hypotheses, on the interactions and relationships within the system. In addition, through manipulative studies, biologically significant thresholds can be determined, i.e. points at which environmental contaminants (e</w:t>
      </w:r>
      <w:r w:rsidR="002661CF">
        <w:t>.</w:t>
      </w:r>
      <w:r>
        <w:t xml:space="preserve">g. U) affect the function of an ecosystem </w:t>
      </w:r>
      <w:r w:rsidR="00D55D15">
        <w:t>component</w:t>
      </w:r>
      <w:r>
        <w:t xml:space="preserve">. This project is applying molecular tools such as Next Generation Sequencing, metagenomics and advanced bioinformatics to assess the biological and functional diversity of microbial sediment communities exposed to varying concentrations of U. </w:t>
      </w:r>
    </w:p>
    <w:p w:rsidR="00017906" w:rsidRDefault="00017906" w:rsidP="00017906">
      <w:r>
        <w:t>During the project, “</w:t>
      </w:r>
      <w:r w:rsidRPr="00EE5509">
        <w:rPr>
          <w:i/>
        </w:rPr>
        <w:t>The toxicity of uranium to sediment biota of Magela Creek backflow billabong environments</w:t>
      </w:r>
      <w:r>
        <w:t>”, t</w:t>
      </w:r>
      <w:r w:rsidRPr="001D3B89">
        <w:t xml:space="preserve">he analysis of bacterial community assemblages </w:t>
      </w:r>
      <w:r>
        <w:t xml:space="preserve">did not occur during the main experiment </w:t>
      </w:r>
      <w:r w:rsidRPr="001D3B89">
        <w:t xml:space="preserve">because of </w:t>
      </w:r>
      <w:r>
        <w:t xml:space="preserve">increasing </w:t>
      </w:r>
      <w:r w:rsidRPr="001D3B89">
        <w:t xml:space="preserve">questions surrounding the ecological significance of a change in bacterial community structure. </w:t>
      </w:r>
      <w:r>
        <w:t>Specifically, these questions related to the facts that an</w:t>
      </w:r>
      <w:r w:rsidRPr="001D3B89">
        <w:t xml:space="preserve"> unknown functional redundancy </w:t>
      </w:r>
      <w:r>
        <w:t>was</w:t>
      </w:r>
      <w:r w:rsidRPr="001D3B89">
        <w:t xml:space="preserve"> likely to exist in bacterial communities</w:t>
      </w:r>
      <w:r>
        <w:t>,</w:t>
      </w:r>
      <w:r w:rsidRPr="001D3B89">
        <w:t xml:space="preserve"> and </w:t>
      </w:r>
      <w:r>
        <w:t>also that it</w:t>
      </w:r>
      <w:r w:rsidRPr="001D3B89">
        <w:t xml:space="preserve"> </w:t>
      </w:r>
      <w:r>
        <w:t xml:space="preserve">was not </w:t>
      </w:r>
      <w:r w:rsidRPr="001D3B89">
        <w:t>possible to determine how a community change may aff</w:t>
      </w:r>
      <w:r>
        <w:t>ect the sediment biogeochemical function (Harford et al</w:t>
      </w:r>
      <w:r w:rsidR="002661CF">
        <w:t>.</w:t>
      </w:r>
      <w:r>
        <w:t xml:space="preserve"> 2012)</w:t>
      </w:r>
      <w:r w:rsidRPr="001D3B89">
        <w:t>.</w:t>
      </w:r>
      <w:r>
        <w:t xml:space="preserve"> Nevertheless</w:t>
      </w:r>
      <w:r w:rsidRPr="001D3B89">
        <w:t xml:space="preserve">, sub-samples of the spiked sediments </w:t>
      </w:r>
      <w:r>
        <w:t>were</w:t>
      </w:r>
      <w:r w:rsidRPr="001D3B89">
        <w:t xml:space="preserve"> archived</w:t>
      </w:r>
      <w:r>
        <w:t xml:space="preserve"> during the main experiment,</w:t>
      </w:r>
      <w:r w:rsidRPr="001D3B89">
        <w:t xml:space="preserve"> and </w:t>
      </w:r>
      <w:r>
        <w:t>have been made available for use</w:t>
      </w:r>
      <w:r w:rsidRPr="001D3B89">
        <w:t xml:space="preserve"> in</w:t>
      </w:r>
      <w:r>
        <w:t xml:space="preserve"> this </w:t>
      </w:r>
      <w:r w:rsidRPr="001D3B89">
        <w:t>metagenom</w:t>
      </w:r>
      <w:r>
        <w:t>ic analysis</w:t>
      </w:r>
      <w:r w:rsidRPr="001D3B89">
        <w:t xml:space="preserve">. </w:t>
      </w:r>
    </w:p>
    <w:p w:rsidR="00017906" w:rsidRPr="00E064DD" w:rsidRDefault="00017906" w:rsidP="00017906">
      <w:r>
        <w:t xml:space="preserve">The primary hypothesis of the current study is that increasing U concentration will affect the function of bacteria in sediments and, ultimately, the biogeochemistry of the sediment. Moreover, it is hypothesised that this change in function can be detected in the metagenome of DNA extracted from U exposed sediments. </w:t>
      </w:r>
      <w:r w:rsidRPr="001D3B89">
        <w:t>Th</w:t>
      </w:r>
      <w:r>
        <w:t>e</w:t>
      </w:r>
      <w:r w:rsidRPr="001D3B89">
        <w:t xml:space="preserve"> study will be undertaken by a Macquarie University </w:t>
      </w:r>
      <w:r>
        <w:t xml:space="preserve">PhD student (Brodie Sutcliffe), who commenced </w:t>
      </w:r>
      <w:r w:rsidRPr="001D3B89">
        <w:t xml:space="preserve">in </w:t>
      </w:r>
      <w:r>
        <w:t xml:space="preserve">January </w:t>
      </w:r>
      <w:r w:rsidRPr="001D3B89">
        <w:t>2014</w:t>
      </w:r>
      <w:r>
        <w:t>,</w:t>
      </w:r>
      <w:r w:rsidRPr="001D3B89">
        <w:t xml:space="preserve"> and will </w:t>
      </w:r>
      <w:r>
        <w:t xml:space="preserve">also involve </w:t>
      </w:r>
      <w:r w:rsidRPr="001D3B89">
        <w:t>collaborat</w:t>
      </w:r>
      <w:r>
        <w:t>ors from</w:t>
      </w:r>
      <w:r w:rsidRPr="001D3B89">
        <w:t xml:space="preserve"> CSIRO.</w:t>
      </w:r>
      <w:r>
        <w:t xml:space="preserve"> This investigation will contribute to our understanding of acceptable U limits, and associated Guideline Values (GVs), in billabong sediments, for Ranger operations and rehabilitation, based on meaningful data directly related to ecological processes.</w:t>
      </w:r>
    </w:p>
    <w:p w:rsidR="00017906" w:rsidRDefault="00017906" w:rsidP="004726C2">
      <w:pPr>
        <w:pStyle w:val="Heading2"/>
      </w:pPr>
      <w:r>
        <w:t>Methods</w:t>
      </w:r>
    </w:p>
    <w:p w:rsidR="00017906" w:rsidRDefault="00017906" w:rsidP="00017906">
      <w:r>
        <w:t>Sub-samples of DNA were extracted from U-spiked sediments and archived during the eukaryote analysis for the project “</w:t>
      </w:r>
      <w:r w:rsidRPr="00EE5509">
        <w:rPr>
          <w:i/>
        </w:rPr>
        <w:t>The toxicity of uranium to sediment biota of Magela Creek backflow billabong environments</w:t>
      </w:r>
      <w:r>
        <w:t xml:space="preserve">”.  </w:t>
      </w:r>
    </w:p>
    <w:p w:rsidR="00017906" w:rsidRDefault="00017906" w:rsidP="00017906">
      <w:r>
        <w:t>The structure of the bacterial communities was first characterised.  This involved amplifying the small subunit ribosomal RNA gene (16S rRNA) of the DNA using Polymerase Chain Reaction (PCR). The 16S rRNA amplicons were sequenced by an Illumia MiSeq sequencer (Ramacoitti, University of NSW) using both forward and reverse primers.  The sequences were aligned and cleaned using the Usearch bioinformatics pipeline (Edgar 2014) and the Operational Taxonomic Units (OTUs, which are a proxy used for species identification) were compared against the Ribosomal Database Project (RDP) database to describe the taxonomy of the bacteria.</w:t>
      </w:r>
    </w:p>
    <w:p w:rsidR="00962A85" w:rsidRDefault="00017906" w:rsidP="00017906">
      <w:r>
        <w:t>The metagenomes of the samples were determined by fragmenting the unamplified DNA to ~550 bp segments.  These DNA fragments were sequenced using an Illumina platform, which produced 100 bp sequences using both forward and reverse reads. These short sequences were aligned and assembled into contigs (i</w:t>
      </w:r>
      <w:r w:rsidR="00144C75">
        <w:t>.</w:t>
      </w:r>
      <w:r>
        <w:t xml:space="preserve">e. overlapping regions of DNA) using the Velvet algorithms (Namiki et al. 2012). The genes present in the sample contigs were identified with the Prokka pipeline </w:t>
      </w:r>
      <w:r>
        <w:rPr>
          <w:noProof/>
        </w:rPr>
        <w:t>(Seemann 2014)</w:t>
      </w:r>
      <w:r>
        <w:t xml:space="preserve">. </w:t>
      </w:r>
    </w:p>
    <w:p w:rsidR="00017906" w:rsidRDefault="00017906" w:rsidP="004726C2">
      <w:pPr>
        <w:pStyle w:val="Heading2"/>
      </w:pPr>
      <w:r w:rsidRPr="009C2789">
        <w:t>Result</w:t>
      </w:r>
      <w:r>
        <w:t>s</w:t>
      </w:r>
    </w:p>
    <w:p w:rsidR="00017906" w:rsidRDefault="00017906" w:rsidP="00017906">
      <w:r w:rsidRPr="001A2476">
        <w:t xml:space="preserve">A total of 15,098 OTUs were present in the generated dataset. </w:t>
      </w:r>
      <w:r>
        <w:t xml:space="preserve">A </w:t>
      </w:r>
      <w:r w:rsidRPr="001A2476">
        <w:t>M</w:t>
      </w:r>
      <w:r>
        <w:t>ulti-</w:t>
      </w:r>
      <w:r w:rsidRPr="001A2476">
        <w:t>D</w:t>
      </w:r>
      <w:r>
        <w:t xml:space="preserve">imensional </w:t>
      </w:r>
      <w:r w:rsidRPr="001A2476">
        <w:t>S</w:t>
      </w:r>
      <w:r>
        <w:t>caling (MDS)</w:t>
      </w:r>
      <w:r w:rsidRPr="001A2476">
        <w:t xml:space="preserve"> plot of each community profile (48 samples from 12 treatments </w:t>
      </w:r>
      <w:r>
        <w:t>×</w:t>
      </w:r>
      <w:r w:rsidRPr="001A2476">
        <w:t xml:space="preserve"> 4 biological replicates)</w:t>
      </w:r>
      <w:r>
        <w:t xml:space="preserve"> </w:t>
      </w:r>
      <w:r w:rsidRPr="001A2476">
        <w:t xml:space="preserve">suggests a relationship between community profiles and </w:t>
      </w:r>
      <w:r>
        <w:t>U</w:t>
      </w:r>
      <w:r w:rsidRPr="001A2476">
        <w:t xml:space="preserve"> concentration</w:t>
      </w:r>
      <w:r>
        <w:t xml:space="preserve">s, with a notable separation of samples </w:t>
      </w:r>
      <w:r>
        <w:sym w:font="Symbol" w:char="F0A3"/>
      </w:r>
      <w:r w:rsidRPr="001A2476">
        <w:t>1,000 mg kg</w:t>
      </w:r>
      <w:r w:rsidRPr="00DF4212">
        <w:rPr>
          <w:snapToGrid w:val="0"/>
          <w:color w:val="000000"/>
          <w:position w:val="5"/>
          <w:sz w:val="15"/>
          <w:szCs w:val="0"/>
          <w:u w:color="000000"/>
        </w:rPr>
        <w:t>-1</w:t>
      </w:r>
      <w:r w:rsidRPr="001A2476">
        <w:t xml:space="preserve"> </w:t>
      </w:r>
      <w:r>
        <w:t xml:space="preserve">and </w:t>
      </w:r>
      <w:proofErr w:type="gramStart"/>
      <w:r>
        <w:t>those</w:t>
      </w:r>
      <w:proofErr w:type="gramEnd"/>
      <w:r>
        <w:t xml:space="preserve"> ≥1,500 mg kg</w:t>
      </w:r>
      <w:r w:rsidRPr="00DF4212">
        <w:rPr>
          <w:snapToGrid w:val="0"/>
          <w:color w:val="000000"/>
          <w:position w:val="5"/>
          <w:sz w:val="15"/>
          <w:szCs w:val="0"/>
          <w:u w:color="000000"/>
        </w:rPr>
        <w:t>-1</w:t>
      </w:r>
      <w:r>
        <w:t xml:space="preserve"> (Figure 1)</w:t>
      </w:r>
      <w:r w:rsidRPr="001A2476">
        <w:t>.</w:t>
      </w:r>
      <w:r>
        <w:t xml:space="preserve"> PERMANOVA analysis indicated that community profiles of sediments with U concentrations ≥1,500 mg kg</w:t>
      </w:r>
      <w:r w:rsidRPr="00DF4212">
        <w:rPr>
          <w:snapToGrid w:val="0"/>
          <w:color w:val="000000"/>
          <w:position w:val="5"/>
          <w:sz w:val="15"/>
          <w:szCs w:val="0"/>
          <w:u w:color="000000"/>
        </w:rPr>
        <w:t>-1</w:t>
      </w:r>
      <w:r>
        <w:rPr>
          <w:snapToGrid w:val="0"/>
          <w:color w:val="000000"/>
          <w:szCs w:val="0"/>
          <w:u w:color="000000"/>
        </w:rPr>
        <w:t xml:space="preserve"> were significantly different from the control (</w:t>
      </w:r>
      <w:r w:rsidRPr="00103FF6">
        <w:rPr>
          <w:i/>
          <w:snapToGrid w:val="0"/>
          <w:color w:val="000000"/>
          <w:szCs w:val="0"/>
          <w:u w:color="000000"/>
        </w:rPr>
        <w:t>P</w:t>
      </w:r>
      <w:r>
        <w:rPr>
          <w:snapToGrid w:val="0"/>
          <w:color w:val="000000"/>
          <w:szCs w:val="0"/>
          <w:u w:color="000000"/>
        </w:rPr>
        <w:t xml:space="preserve"> &lt; 0.05), as was the 600 mg kg</w:t>
      </w:r>
      <w:r w:rsidRPr="00103FF6">
        <w:rPr>
          <w:snapToGrid w:val="0"/>
          <w:color w:val="000000"/>
          <w:position w:val="5"/>
          <w:sz w:val="15"/>
          <w:szCs w:val="0"/>
          <w:u w:color="000000"/>
        </w:rPr>
        <w:t>-1</w:t>
      </w:r>
      <w:r>
        <w:rPr>
          <w:snapToGrid w:val="0"/>
          <w:color w:val="000000"/>
          <w:szCs w:val="0"/>
          <w:u w:color="000000"/>
        </w:rPr>
        <w:t xml:space="preserve"> treatment (Figure 2).  </w:t>
      </w:r>
    </w:p>
    <w:p w:rsidR="00D55D15" w:rsidRDefault="00D55D15" w:rsidP="00D55D15">
      <w:pPr>
        <w:jc w:val="center"/>
      </w:pPr>
      <w:r>
        <w:rPr>
          <w:noProof/>
          <w:lang w:eastAsia="en-AU"/>
        </w:rPr>
        <w:drawing>
          <wp:inline distT="0" distB="0" distL="0" distR="0">
            <wp:extent cx="4928112" cy="2934586"/>
            <wp:effectExtent l="0" t="0" r="0" b="0"/>
            <wp:docPr id="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5" cstate="screen"/>
                    <a:srcRect/>
                    <a:stretch>
                      <a:fillRect/>
                    </a:stretch>
                  </pic:blipFill>
                  <pic:spPr bwMode="auto">
                    <a:xfrm>
                      <a:off x="0" y="0"/>
                      <a:ext cx="4928635" cy="2934897"/>
                    </a:xfrm>
                    <a:prstGeom prst="rect">
                      <a:avLst/>
                    </a:prstGeom>
                    <a:noFill/>
                    <a:ln w="9525">
                      <a:noFill/>
                      <a:miter lim="800000"/>
                      <a:headEnd/>
                      <a:tailEnd/>
                    </a:ln>
                  </pic:spPr>
                </pic:pic>
              </a:graphicData>
            </a:graphic>
          </wp:inline>
        </w:drawing>
      </w:r>
    </w:p>
    <w:p w:rsidR="00D55D15" w:rsidRDefault="00D55D15" w:rsidP="00D55D15">
      <w:pPr>
        <w:pStyle w:val="figurecaption"/>
      </w:pPr>
      <w:r w:rsidRPr="00DF4212">
        <w:rPr>
          <w:b/>
        </w:rPr>
        <w:t>Figure 1</w:t>
      </w:r>
      <w:r>
        <w:t xml:space="preserve"> Multi-Dimensional Scaling of the bacteria community similarities. </w:t>
      </w:r>
    </w:p>
    <w:p w:rsidR="00D55D15" w:rsidRDefault="00D55D15" w:rsidP="00D55D15">
      <w:pPr>
        <w:jc w:val="center"/>
      </w:pPr>
      <w:r>
        <w:object w:dxaOrig="8670" w:dyaOrig="6750">
          <v:shape id="_x0000_i1032" type="#_x0000_t75" style="width:415.15pt;height:322.6pt" o:ole="">
            <v:imagedata r:id="rId86" o:title=""/>
          </v:shape>
          <o:OLEObject Type="Embed" ProgID="SigmaPlotGraphicObject.12" ShapeID="_x0000_i1032" DrawAspect="Content" ObjectID="_1496667995" r:id="rId87"/>
        </w:object>
      </w:r>
    </w:p>
    <w:p w:rsidR="00D55D15" w:rsidRDefault="00D55D15" w:rsidP="00D55D15">
      <w:pPr>
        <w:pStyle w:val="figurecaption"/>
      </w:pPr>
      <w:r w:rsidRPr="00103FF6">
        <w:rPr>
          <w:b/>
        </w:rPr>
        <w:t>Figure 2</w:t>
      </w:r>
      <w:r>
        <w:t xml:space="preserve"> PERMANOVA pair-wise comparison P values against the control treatment.</w:t>
      </w:r>
    </w:p>
    <w:p w:rsidR="00017906" w:rsidRPr="00D55D15" w:rsidRDefault="00017906" w:rsidP="00017906">
      <w:r>
        <w:t>Similar to the eukaryotes, an unfiltered TITAN analysis indicated a low change point for species disappearing (sumz-) of 250 mg kg</w:t>
      </w:r>
      <w:r w:rsidRPr="00307669">
        <w:rPr>
          <w:snapToGrid w:val="0"/>
          <w:color w:val="000000"/>
          <w:position w:val="6"/>
          <w:sz w:val="16"/>
          <w:szCs w:val="0"/>
          <w:u w:color="000000"/>
        </w:rPr>
        <w:t>-1</w:t>
      </w:r>
      <w:r w:rsidRPr="00D55D15">
        <w:t xml:space="preserve"> U.  However, when the analysis was filtered to use only pure and reliable OTUs (i</w:t>
      </w:r>
      <w:r w:rsidR="002661CF" w:rsidRPr="00D55D15">
        <w:t>.</w:t>
      </w:r>
      <w:r w:rsidRPr="00D55D15">
        <w:t>e. Indicator Values that return a high (95%) correct directionality (purity) and a statistically significant result (reliability) during analysis) sumz- change point was 920 mg kg</w:t>
      </w:r>
      <w:r w:rsidRPr="00307669">
        <w:rPr>
          <w:snapToGrid w:val="0"/>
          <w:color w:val="000000"/>
          <w:position w:val="6"/>
          <w:sz w:val="16"/>
          <w:szCs w:val="0"/>
          <w:u w:color="000000"/>
        </w:rPr>
        <w:t>-1</w:t>
      </w:r>
      <w:r w:rsidRPr="00D55D15">
        <w:t xml:space="preserve"> U with 95% confidence limits of </w:t>
      </w:r>
      <w:r w:rsidR="00D55D15">
        <w:br/>
      </w:r>
      <w:r w:rsidRPr="00D55D15">
        <w:t>380 – 1210 mg kg</w:t>
      </w:r>
      <w:r w:rsidRPr="00307669">
        <w:rPr>
          <w:snapToGrid w:val="0"/>
          <w:color w:val="000000"/>
          <w:position w:val="6"/>
          <w:sz w:val="16"/>
          <w:szCs w:val="0"/>
          <w:u w:color="000000"/>
        </w:rPr>
        <w:t>-1</w:t>
      </w:r>
      <w:r w:rsidRPr="00D55D15">
        <w:t xml:space="preserve">.  </w:t>
      </w:r>
    </w:p>
    <w:p w:rsidR="00017906" w:rsidRDefault="00017906" w:rsidP="00017906">
      <w:pPr>
        <w:pStyle w:val="tablecaption"/>
      </w:pPr>
      <w:r w:rsidRPr="0072327B">
        <w:rPr>
          <w:b/>
          <w:snapToGrid w:val="0"/>
          <w:u w:color="000000"/>
        </w:rPr>
        <w:t>Table 1</w:t>
      </w:r>
      <w:r>
        <w:rPr>
          <w:snapToGrid w:val="0"/>
          <w:u w:color="000000"/>
        </w:rPr>
        <w:t xml:space="preserve"> Change points for bacteria communities calculated by TITAN </w:t>
      </w:r>
    </w:p>
    <w:tbl>
      <w:tblPr>
        <w:tblW w:w="8378" w:type="dxa"/>
        <w:tblInd w:w="94" w:type="dxa"/>
        <w:tblLayout w:type="fixed"/>
        <w:tblLook w:val="04A0"/>
      </w:tblPr>
      <w:tblGrid>
        <w:gridCol w:w="1574"/>
        <w:gridCol w:w="1559"/>
        <w:gridCol w:w="1049"/>
        <w:gridCol w:w="1049"/>
        <w:gridCol w:w="1049"/>
        <w:gridCol w:w="1049"/>
        <w:gridCol w:w="1049"/>
      </w:tblGrid>
      <w:tr w:rsidR="00017906" w:rsidRPr="007F11EA" w:rsidTr="00017906">
        <w:trPr>
          <w:trHeight w:val="300"/>
        </w:trPr>
        <w:tc>
          <w:tcPr>
            <w:tcW w:w="1574" w:type="dxa"/>
            <w:tcBorders>
              <w:top w:val="single" w:sz="4" w:space="0" w:color="auto"/>
              <w:left w:val="nil"/>
              <w:right w:val="nil"/>
            </w:tcBorders>
            <w:shd w:val="clear" w:color="auto" w:fill="auto"/>
            <w:noWrap/>
            <w:vAlign w:val="bottom"/>
            <w:hideMark/>
          </w:tcPr>
          <w:p w:rsidR="00017906" w:rsidRPr="007F11EA" w:rsidRDefault="00017906" w:rsidP="00017906">
            <w:pPr>
              <w:pStyle w:val="table1"/>
              <w:rPr>
                <w:b/>
                <w:lang w:eastAsia="en-AU"/>
              </w:rPr>
            </w:pPr>
          </w:p>
        </w:tc>
        <w:tc>
          <w:tcPr>
            <w:tcW w:w="1559" w:type="dxa"/>
            <w:tcBorders>
              <w:top w:val="single" w:sz="4" w:space="0" w:color="auto"/>
              <w:left w:val="nil"/>
              <w:right w:val="nil"/>
            </w:tcBorders>
            <w:shd w:val="clear" w:color="auto" w:fill="auto"/>
            <w:noWrap/>
            <w:vAlign w:val="bottom"/>
            <w:hideMark/>
          </w:tcPr>
          <w:p w:rsidR="00017906" w:rsidRPr="007F11EA" w:rsidRDefault="00017906" w:rsidP="00017906">
            <w:pPr>
              <w:pStyle w:val="table1"/>
              <w:jc w:val="center"/>
              <w:rPr>
                <w:b/>
                <w:lang w:eastAsia="en-AU"/>
              </w:rPr>
            </w:pPr>
          </w:p>
        </w:tc>
        <w:tc>
          <w:tcPr>
            <w:tcW w:w="5245" w:type="dxa"/>
            <w:gridSpan w:val="5"/>
            <w:tcBorders>
              <w:top w:val="single" w:sz="4" w:space="0" w:color="auto"/>
              <w:left w:val="nil"/>
              <w:right w:val="nil"/>
            </w:tcBorders>
            <w:shd w:val="clear" w:color="auto" w:fill="auto"/>
            <w:noWrap/>
            <w:vAlign w:val="bottom"/>
            <w:hideMark/>
          </w:tcPr>
          <w:p w:rsidR="00017906" w:rsidRPr="007F11EA" w:rsidRDefault="00017906" w:rsidP="00017906">
            <w:pPr>
              <w:pStyle w:val="table1"/>
              <w:jc w:val="center"/>
              <w:rPr>
                <w:b/>
                <w:lang w:eastAsia="en-AU"/>
              </w:rPr>
            </w:pPr>
            <w:r w:rsidRPr="007F11EA">
              <w:rPr>
                <w:b/>
                <w:lang w:eastAsia="en-AU"/>
              </w:rPr>
              <w:t>Confidence Intervals</w:t>
            </w:r>
          </w:p>
        </w:tc>
      </w:tr>
      <w:tr w:rsidR="00017906" w:rsidRPr="007F11EA" w:rsidTr="00017906">
        <w:trPr>
          <w:trHeight w:val="300"/>
        </w:trPr>
        <w:tc>
          <w:tcPr>
            <w:tcW w:w="1574" w:type="dxa"/>
            <w:tcBorders>
              <w:top w:val="nil"/>
              <w:left w:val="nil"/>
              <w:bottom w:val="single" w:sz="4" w:space="0" w:color="auto"/>
              <w:right w:val="nil"/>
            </w:tcBorders>
            <w:shd w:val="clear" w:color="auto" w:fill="auto"/>
            <w:noWrap/>
            <w:vAlign w:val="bottom"/>
            <w:hideMark/>
          </w:tcPr>
          <w:p w:rsidR="00017906" w:rsidRPr="007F11EA" w:rsidRDefault="00017906" w:rsidP="00017906">
            <w:pPr>
              <w:pStyle w:val="table1"/>
              <w:rPr>
                <w:b/>
                <w:lang w:eastAsia="en-AU"/>
              </w:rPr>
            </w:pPr>
          </w:p>
        </w:tc>
        <w:tc>
          <w:tcPr>
            <w:tcW w:w="1559" w:type="dxa"/>
            <w:tcBorders>
              <w:top w:val="nil"/>
              <w:left w:val="nil"/>
              <w:bottom w:val="single" w:sz="4" w:space="0" w:color="auto"/>
              <w:right w:val="nil"/>
            </w:tcBorders>
            <w:shd w:val="clear" w:color="auto" w:fill="auto"/>
            <w:noWrap/>
            <w:vAlign w:val="bottom"/>
            <w:hideMark/>
          </w:tcPr>
          <w:p w:rsidR="00307669" w:rsidRDefault="00017906" w:rsidP="00017906">
            <w:pPr>
              <w:pStyle w:val="table1"/>
              <w:jc w:val="center"/>
              <w:rPr>
                <w:b/>
                <w:lang w:eastAsia="en-AU"/>
              </w:rPr>
            </w:pPr>
            <w:r w:rsidRPr="007F11EA">
              <w:rPr>
                <w:b/>
                <w:lang w:eastAsia="en-AU"/>
              </w:rPr>
              <w:t>Change Point</w:t>
            </w:r>
            <w:r w:rsidR="00307669">
              <w:rPr>
                <w:b/>
                <w:lang w:eastAsia="en-AU"/>
              </w:rPr>
              <w:t xml:space="preserve"> </w:t>
            </w:r>
          </w:p>
          <w:p w:rsidR="00017906" w:rsidRPr="007F11EA" w:rsidRDefault="00307669" w:rsidP="00017906">
            <w:pPr>
              <w:pStyle w:val="table1"/>
              <w:jc w:val="center"/>
              <w:rPr>
                <w:b/>
                <w:lang w:eastAsia="en-AU"/>
              </w:rPr>
            </w:pPr>
            <w:r>
              <w:rPr>
                <w:b/>
                <w:lang w:eastAsia="en-AU"/>
              </w:rPr>
              <w:t>(mg kg-1 U)</w:t>
            </w:r>
          </w:p>
        </w:tc>
        <w:tc>
          <w:tcPr>
            <w:tcW w:w="1049" w:type="dxa"/>
            <w:tcBorders>
              <w:top w:val="nil"/>
              <w:left w:val="nil"/>
              <w:bottom w:val="single" w:sz="4" w:space="0" w:color="auto"/>
              <w:right w:val="nil"/>
            </w:tcBorders>
            <w:shd w:val="clear" w:color="auto" w:fill="auto"/>
            <w:noWrap/>
            <w:vAlign w:val="bottom"/>
            <w:hideMark/>
          </w:tcPr>
          <w:p w:rsidR="00017906" w:rsidRPr="007F11EA" w:rsidRDefault="00017906" w:rsidP="00017906">
            <w:pPr>
              <w:pStyle w:val="table1"/>
              <w:jc w:val="center"/>
              <w:rPr>
                <w:b/>
                <w:lang w:eastAsia="en-AU"/>
              </w:rPr>
            </w:pPr>
            <w:r w:rsidRPr="007F11EA">
              <w:rPr>
                <w:b/>
                <w:lang w:eastAsia="en-AU"/>
              </w:rPr>
              <w:t>0.05</w:t>
            </w:r>
          </w:p>
        </w:tc>
        <w:tc>
          <w:tcPr>
            <w:tcW w:w="1049" w:type="dxa"/>
            <w:tcBorders>
              <w:top w:val="nil"/>
              <w:left w:val="nil"/>
              <w:bottom w:val="single" w:sz="4" w:space="0" w:color="auto"/>
              <w:right w:val="nil"/>
            </w:tcBorders>
            <w:shd w:val="clear" w:color="auto" w:fill="auto"/>
            <w:noWrap/>
            <w:vAlign w:val="bottom"/>
            <w:hideMark/>
          </w:tcPr>
          <w:p w:rsidR="00017906" w:rsidRPr="007F11EA" w:rsidRDefault="00017906" w:rsidP="00017906">
            <w:pPr>
              <w:pStyle w:val="table1"/>
              <w:jc w:val="center"/>
              <w:rPr>
                <w:b/>
                <w:lang w:eastAsia="en-AU"/>
              </w:rPr>
            </w:pPr>
            <w:r w:rsidRPr="007F11EA">
              <w:rPr>
                <w:b/>
                <w:lang w:eastAsia="en-AU"/>
              </w:rPr>
              <w:t>0.1</w:t>
            </w:r>
          </w:p>
        </w:tc>
        <w:tc>
          <w:tcPr>
            <w:tcW w:w="1049" w:type="dxa"/>
            <w:tcBorders>
              <w:top w:val="nil"/>
              <w:left w:val="nil"/>
              <w:bottom w:val="single" w:sz="4" w:space="0" w:color="auto"/>
              <w:right w:val="nil"/>
            </w:tcBorders>
            <w:shd w:val="clear" w:color="auto" w:fill="auto"/>
            <w:noWrap/>
            <w:vAlign w:val="bottom"/>
            <w:hideMark/>
          </w:tcPr>
          <w:p w:rsidR="00017906" w:rsidRPr="007F11EA" w:rsidRDefault="00017906" w:rsidP="00017906">
            <w:pPr>
              <w:pStyle w:val="table1"/>
              <w:jc w:val="center"/>
              <w:rPr>
                <w:b/>
                <w:lang w:eastAsia="en-AU"/>
              </w:rPr>
            </w:pPr>
            <w:r w:rsidRPr="007F11EA">
              <w:rPr>
                <w:b/>
                <w:lang w:eastAsia="en-AU"/>
              </w:rPr>
              <w:t>0.5</w:t>
            </w:r>
          </w:p>
        </w:tc>
        <w:tc>
          <w:tcPr>
            <w:tcW w:w="1049" w:type="dxa"/>
            <w:tcBorders>
              <w:top w:val="nil"/>
              <w:left w:val="nil"/>
              <w:bottom w:val="single" w:sz="4" w:space="0" w:color="auto"/>
              <w:right w:val="nil"/>
            </w:tcBorders>
            <w:shd w:val="clear" w:color="auto" w:fill="auto"/>
            <w:noWrap/>
            <w:vAlign w:val="bottom"/>
            <w:hideMark/>
          </w:tcPr>
          <w:p w:rsidR="00017906" w:rsidRPr="007F11EA" w:rsidRDefault="00017906" w:rsidP="00017906">
            <w:pPr>
              <w:pStyle w:val="table1"/>
              <w:jc w:val="center"/>
              <w:rPr>
                <w:b/>
                <w:lang w:eastAsia="en-AU"/>
              </w:rPr>
            </w:pPr>
            <w:r w:rsidRPr="007F11EA">
              <w:rPr>
                <w:b/>
                <w:lang w:eastAsia="en-AU"/>
              </w:rPr>
              <w:t>0.9</w:t>
            </w:r>
          </w:p>
        </w:tc>
        <w:tc>
          <w:tcPr>
            <w:tcW w:w="1049" w:type="dxa"/>
            <w:tcBorders>
              <w:top w:val="nil"/>
              <w:left w:val="nil"/>
              <w:bottom w:val="single" w:sz="4" w:space="0" w:color="auto"/>
              <w:right w:val="nil"/>
            </w:tcBorders>
            <w:shd w:val="clear" w:color="auto" w:fill="auto"/>
            <w:noWrap/>
            <w:vAlign w:val="bottom"/>
            <w:hideMark/>
          </w:tcPr>
          <w:p w:rsidR="00017906" w:rsidRPr="007F11EA" w:rsidRDefault="00017906" w:rsidP="00017906">
            <w:pPr>
              <w:pStyle w:val="table1"/>
              <w:jc w:val="center"/>
              <w:rPr>
                <w:b/>
                <w:lang w:eastAsia="en-AU"/>
              </w:rPr>
            </w:pPr>
            <w:r w:rsidRPr="007F11EA">
              <w:rPr>
                <w:b/>
                <w:lang w:eastAsia="en-AU"/>
              </w:rPr>
              <w:t>0.95</w:t>
            </w:r>
          </w:p>
        </w:tc>
      </w:tr>
      <w:tr w:rsidR="00017906" w:rsidRPr="00631D1A" w:rsidTr="00017906">
        <w:trPr>
          <w:trHeight w:val="300"/>
        </w:trPr>
        <w:tc>
          <w:tcPr>
            <w:tcW w:w="1574" w:type="dxa"/>
            <w:tcBorders>
              <w:top w:val="single" w:sz="4" w:space="0" w:color="auto"/>
              <w:left w:val="nil"/>
              <w:bottom w:val="nil"/>
              <w:right w:val="nil"/>
            </w:tcBorders>
            <w:shd w:val="clear" w:color="auto" w:fill="auto"/>
            <w:noWrap/>
            <w:vAlign w:val="bottom"/>
            <w:hideMark/>
          </w:tcPr>
          <w:p w:rsidR="00017906" w:rsidRPr="00631D1A" w:rsidRDefault="00017906" w:rsidP="00017906">
            <w:pPr>
              <w:pStyle w:val="table1"/>
              <w:rPr>
                <w:lang w:eastAsia="en-AU"/>
              </w:rPr>
            </w:pPr>
            <w:r w:rsidRPr="00631D1A">
              <w:rPr>
                <w:lang w:eastAsia="en-AU"/>
              </w:rPr>
              <w:t>sumz-</w:t>
            </w:r>
          </w:p>
        </w:tc>
        <w:tc>
          <w:tcPr>
            <w:tcW w:w="1559" w:type="dxa"/>
            <w:tcBorders>
              <w:top w:val="single" w:sz="4" w:space="0" w:color="auto"/>
              <w:left w:val="nil"/>
              <w:bottom w:val="nil"/>
              <w:right w:val="nil"/>
            </w:tcBorders>
            <w:shd w:val="clear" w:color="auto" w:fill="auto"/>
            <w:noWrap/>
            <w:vAlign w:val="bottom"/>
            <w:hideMark/>
          </w:tcPr>
          <w:p w:rsidR="00017906" w:rsidRPr="00631D1A" w:rsidRDefault="00017906" w:rsidP="00754C47">
            <w:pPr>
              <w:pStyle w:val="Styletable1Centered"/>
              <w:rPr>
                <w:lang w:eastAsia="en-AU"/>
              </w:rPr>
            </w:pPr>
            <w:r w:rsidRPr="00631D1A">
              <w:rPr>
                <w:lang w:eastAsia="en-AU"/>
              </w:rPr>
              <w:t>2</w:t>
            </w:r>
            <w:r>
              <w:rPr>
                <w:lang w:eastAsia="en-AU"/>
              </w:rPr>
              <w:t>50</w:t>
            </w:r>
          </w:p>
        </w:tc>
        <w:tc>
          <w:tcPr>
            <w:tcW w:w="1049" w:type="dxa"/>
            <w:tcBorders>
              <w:top w:val="single" w:sz="4" w:space="0" w:color="auto"/>
              <w:left w:val="nil"/>
              <w:bottom w:val="nil"/>
              <w:right w:val="nil"/>
            </w:tcBorders>
            <w:shd w:val="clear" w:color="auto" w:fill="auto"/>
            <w:noWrap/>
            <w:vAlign w:val="bottom"/>
            <w:hideMark/>
          </w:tcPr>
          <w:p w:rsidR="00017906" w:rsidRPr="00631D1A" w:rsidRDefault="00017906" w:rsidP="00754C47">
            <w:pPr>
              <w:pStyle w:val="Styletable1Centered"/>
              <w:rPr>
                <w:lang w:eastAsia="en-AU"/>
              </w:rPr>
            </w:pPr>
            <w:r>
              <w:rPr>
                <w:lang w:eastAsia="en-AU"/>
              </w:rPr>
              <w:t>10</w:t>
            </w:r>
          </w:p>
        </w:tc>
        <w:tc>
          <w:tcPr>
            <w:tcW w:w="1049" w:type="dxa"/>
            <w:tcBorders>
              <w:top w:val="single" w:sz="4" w:space="0" w:color="auto"/>
              <w:left w:val="nil"/>
              <w:bottom w:val="nil"/>
              <w:right w:val="nil"/>
            </w:tcBorders>
            <w:shd w:val="clear" w:color="auto" w:fill="auto"/>
            <w:noWrap/>
            <w:vAlign w:val="bottom"/>
            <w:hideMark/>
          </w:tcPr>
          <w:p w:rsidR="00017906" w:rsidRPr="00631D1A" w:rsidRDefault="00017906" w:rsidP="00754C47">
            <w:pPr>
              <w:pStyle w:val="Styletable1Centered"/>
              <w:rPr>
                <w:lang w:eastAsia="en-AU"/>
              </w:rPr>
            </w:pPr>
            <w:r w:rsidRPr="00631D1A">
              <w:rPr>
                <w:lang w:eastAsia="en-AU"/>
              </w:rPr>
              <w:t>2</w:t>
            </w:r>
            <w:r>
              <w:rPr>
                <w:lang w:eastAsia="en-AU"/>
              </w:rPr>
              <w:t>0</w:t>
            </w:r>
          </w:p>
        </w:tc>
        <w:tc>
          <w:tcPr>
            <w:tcW w:w="1049" w:type="dxa"/>
            <w:tcBorders>
              <w:top w:val="single" w:sz="4" w:space="0" w:color="auto"/>
              <w:left w:val="nil"/>
              <w:bottom w:val="nil"/>
              <w:right w:val="nil"/>
            </w:tcBorders>
            <w:shd w:val="clear" w:color="auto" w:fill="auto"/>
            <w:noWrap/>
            <w:vAlign w:val="bottom"/>
            <w:hideMark/>
          </w:tcPr>
          <w:p w:rsidR="00017906" w:rsidRPr="00631D1A" w:rsidRDefault="00017906" w:rsidP="00754C47">
            <w:pPr>
              <w:pStyle w:val="Styletable1Centered"/>
              <w:rPr>
                <w:lang w:eastAsia="en-AU"/>
              </w:rPr>
            </w:pPr>
            <w:r w:rsidRPr="00631D1A">
              <w:rPr>
                <w:lang w:eastAsia="en-AU"/>
              </w:rPr>
              <w:t>9</w:t>
            </w:r>
            <w:r>
              <w:rPr>
                <w:lang w:eastAsia="en-AU"/>
              </w:rPr>
              <w:t>0</w:t>
            </w:r>
          </w:p>
        </w:tc>
        <w:tc>
          <w:tcPr>
            <w:tcW w:w="1049" w:type="dxa"/>
            <w:tcBorders>
              <w:top w:val="single" w:sz="4" w:space="0" w:color="auto"/>
              <w:left w:val="nil"/>
              <w:bottom w:val="nil"/>
              <w:right w:val="nil"/>
            </w:tcBorders>
            <w:shd w:val="clear" w:color="auto" w:fill="auto"/>
            <w:noWrap/>
            <w:vAlign w:val="bottom"/>
            <w:hideMark/>
          </w:tcPr>
          <w:p w:rsidR="00017906" w:rsidRPr="00631D1A" w:rsidRDefault="00017906" w:rsidP="00754C47">
            <w:pPr>
              <w:pStyle w:val="Styletable1Centered"/>
              <w:rPr>
                <w:lang w:eastAsia="en-AU"/>
              </w:rPr>
            </w:pPr>
            <w:r w:rsidRPr="00631D1A">
              <w:rPr>
                <w:lang w:eastAsia="en-AU"/>
              </w:rPr>
              <w:t>2</w:t>
            </w:r>
            <w:r>
              <w:rPr>
                <w:lang w:eastAsia="en-AU"/>
              </w:rPr>
              <w:t>50</w:t>
            </w:r>
          </w:p>
        </w:tc>
        <w:tc>
          <w:tcPr>
            <w:tcW w:w="1049" w:type="dxa"/>
            <w:tcBorders>
              <w:top w:val="single" w:sz="4" w:space="0" w:color="auto"/>
              <w:left w:val="nil"/>
              <w:bottom w:val="nil"/>
              <w:right w:val="nil"/>
            </w:tcBorders>
            <w:shd w:val="clear" w:color="auto" w:fill="auto"/>
            <w:noWrap/>
            <w:vAlign w:val="bottom"/>
            <w:hideMark/>
          </w:tcPr>
          <w:p w:rsidR="00017906" w:rsidRPr="00631D1A" w:rsidRDefault="00017906" w:rsidP="00754C47">
            <w:pPr>
              <w:pStyle w:val="Styletable1Centered"/>
              <w:rPr>
                <w:lang w:eastAsia="en-AU"/>
              </w:rPr>
            </w:pPr>
            <w:r w:rsidRPr="00631D1A">
              <w:rPr>
                <w:lang w:eastAsia="en-AU"/>
              </w:rPr>
              <w:t>73</w:t>
            </w:r>
            <w:r>
              <w:rPr>
                <w:lang w:eastAsia="en-AU"/>
              </w:rPr>
              <w:t>0</w:t>
            </w:r>
          </w:p>
        </w:tc>
      </w:tr>
      <w:tr w:rsidR="00017906" w:rsidRPr="00631D1A" w:rsidTr="00017906">
        <w:trPr>
          <w:trHeight w:val="300"/>
        </w:trPr>
        <w:tc>
          <w:tcPr>
            <w:tcW w:w="1574" w:type="dxa"/>
            <w:tcBorders>
              <w:top w:val="nil"/>
              <w:left w:val="nil"/>
              <w:bottom w:val="nil"/>
              <w:right w:val="nil"/>
            </w:tcBorders>
            <w:shd w:val="clear" w:color="auto" w:fill="auto"/>
            <w:noWrap/>
            <w:vAlign w:val="bottom"/>
            <w:hideMark/>
          </w:tcPr>
          <w:p w:rsidR="00017906" w:rsidRPr="00631D1A" w:rsidRDefault="00017906" w:rsidP="00017906">
            <w:pPr>
              <w:pStyle w:val="table1"/>
              <w:rPr>
                <w:lang w:eastAsia="en-AU"/>
              </w:rPr>
            </w:pPr>
            <w:r w:rsidRPr="00631D1A">
              <w:rPr>
                <w:lang w:eastAsia="en-AU"/>
              </w:rPr>
              <w:t>sumz+</w:t>
            </w:r>
          </w:p>
        </w:tc>
        <w:tc>
          <w:tcPr>
            <w:tcW w:w="1559" w:type="dxa"/>
            <w:tcBorders>
              <w:top w:val="nil"/>
              <w:left w:val="nil"/>
              <w:bottom w:val="nil"/>
              <w:right w:val="nil"/>
            </w:tcBorders>
            <w:shd w:val="clear" w:color="auto" w:fill="auto"/>
            <w:noWrap/>
            <w:vAlign w:val="bottom"/>
            <w:hideMark/>
          </w:tcPr>
          <w:p w:rsidR="00017906" w:rsidRPr="00631D1A" w:rsidRDefault="00017906" w:rsidP="00754C47">
            <w:pPr>
              <w:pStyle w:val="Styletable1Centered"/>
              <w:rPr>
                <w:lang w:eastAsia="en-AU"/>
              </w:rPr>
            </w:pPr>
            <w:r w:rsidRPr="00631D1A">
              <w:rPr>
                <w:lang w:eastAsia="en-AU"/>
              </w:rPr>
              <w:t>1110</w:t>
            </w:r>
          </w:p>
        </w:tc>
        <w:tc>
          <w:tcPr>
            <w:tcW w:w="1049" w:type="dxa"/>
            <w:tcBorders>
              <w:top w:val="nil"/>
              <w:left w:val="nil"/>
              <w:bottom w:val="nil"/>
              <w:right w:val="nil"/>
            </w:tcBorders>
            <w:shd w:val="clear" w:color="auto" w:fill="auto"/>
            <w:noWrap/>
            <w:vAlign w:val="bottom"/>
            <w:hideMark/>
          </w:tcPr>
          <w:p w:rsidR="00017906" w:rsidRPr="00631D1A" w:rsidRDefault="00017906" w:rsidP="00754C47">
            <w:pPr>
              <w:pStyle w:val="Styletable1Centered"/>
              <w:rPr>
                <w:lang w:eastAsia="en-AU"/>
              </w:rPr>
            </w:pPr>
            <w:r w:rsidRPr="00631D1A">
              <w:rPr>
                <w:lang w:eastAsia="en-AU"/>
              </w:rPr>
              <w:t>8</w:t>
            </w:r>
            <w:r>
              <w:rPr>
                <w:lang w:eastAsia="en-AU"/>
              </w:rPr>
              <w:t>30</w:t>
            </w:r>
          </w:p>
        </w:tc>
        <w:tc>
          <w:tcPr>
            <w:tcW w:w="1049" w:type="dxa"/>
            <w:tcBorders>
              <w:top w:val="nil"/>
              <w:left w:val="nil"/>
              <w:bottom w:val="nil"/>
              <w:right w:val="nil"/>
            </w:tcBorders>
            <w:shd w:val="clear" w:color="auto" w:fill="auto"/>
            <w:noWrap/>
            <w:vAlign w:val="bottom"/>
            <w:hideMark/>
          </w:tcPr>
          <w:p w:rsidR="00017906" w:rsidRPr="00631D1A" w:rsidRDefault="00017906" w:rsidP="00754C47">
            <w:pPr>
              <w:pStyle w:val="Styletable1Centered"/>
              <w:rPr>
                <w:lang w:eastAsia="en-AU"/>
              </w:rPr>
            </w:pPr>
            <w:r w:rsidRPr="00631D1A">
              <w:rPr>
                <w:lang w:eastAsia="en-AU"/>
              </w:rPr>
              <w:t>10</w:t>
            </w:r>
            <w:r>
              <w:rPr>
                <w:lang w:eastAsia="en-AU"/>
              </w:rPr>
              <w:t>70</w:t>
            </w:r>
          </w:p>
        </w:tc>
        <w:tc>
          <w:tcPr>
            <w:tcW w:w="1049" w:type="dxa"/>
            <w:tcBorders>
              <w:top w:val="nil"/>
              <w:left w:val="nil"/>
              <w:bottom w:val="nil"/>
              <w:right w:val="nil"/>
            </w:tcBorders>
            <w:shd w:val="clear" w:color="auto" w:fill="auto"/>
            <w:noWrap/>
            <w:vAlign w:val="bottom"/>
            <w:hideMark/>
          </w:tcPr>
          <w:p w:rsidR="00017906" w:rsidRPr="00631D1A" w:rsidRDefault="00017906" w:rsidP="00754C47">
            <w:pPr>
              <w:pStyle w:val="Styletable1Centered"/>
              <w:rPr>
                <w:lang w:eastAsia="en-AU"/>
              </w:rPr>
            </w:pPr>
            <w:r w:rsidRPr="00631D1A">
              <w:rPr>
                <w:lang w:eastAsia="en-AU"/>
              </w:rPr>
              <w:t>14</w:t>
            </w:r>
            <w:r>
              <w:rPr>
                <w:lang w:eastAsia="en-AU"/>
              </w:rPr>
              <w:t>70</w:t>
            </w:r>
          </w:p>
        </w:tc>
        <w:tc>
          <w:tcPr>
            <w:tcW w:w="1049" w:type="dxa"/>
            <w:tcBorders>
              <w:top w:val="nil"/>
              <w:left w:val="nil"/>
              <w:bottom w:val="nil"/>
              <w:right w:val="nil"/>
            </w:tcBorders>
            <w:shd w:val="clear" w:color="auto" w:fill="auto"/>
            <w:noWrap/>
            <w:vAlign w:val="bottom"/>
            <w:hideMark/>
          </w:tcPr>
          <w:p w:rsidR="00017906" w:rsidRPr="00631D1A" w:rsidRDefault="00017906" w:rsidP="00754C47">
            <w:pPr>
              <w:pStyle w:val="Styletable1Centered"/>
              <w:rPr>
                <w:lang w:eastAsia="en-AU"/>
              </w:rPr>
            </w:pPr>
            <w:r w:rsidRPr="00631D1A">
              <w:rPr>
                <w:lang w:eastAsia="en-AU"/>
              </w:rPr>
              <w:t>20</w:t>
            </w:r>
            <w:r>
              <w:rPr>
                <w:lang w:eastAsia="en-AU"/>
              </w:rPr>
              <w:t>30</w:t>
            </w:r>
          </w:p>
        </w:tc>
        <w:tc>
          <w:tcPr>
            <w:tcW w:w="1049" w:type="dxa"/>
            <w:tcBorders>
              <w:top w:val="nil"/>
              <w:left w:val="nil"/>
              <w:bottom w:val="nil"/>
              <w:right w:val="nil"/>
            </w:tcBorders>
            <w:shd w:val="clear" w:color="auto" w:fill="auto"/>
            <w:noWrap/>
            <w:vAlign w:val="bottom"/>
            <w:hideMark/>
          </w:tcPr>
          <w:p w:rsidR="00017906" w:rsidRPr="00631D1A" w:rsidRDefault="00017906" w:rsidP="00754C47">
            <w:pPr>
              <w:pStyle w:val="Styletable1Centered"/>
              <w:rPr>
                <w:lang w:eastAsia="en-AU"/>
              </w:rPr>
            </w:pPr>
            <w:r w:rsidRPr="00631D1A">
              <w:rPr>
                <w:lang w:eastAsia="en-AU"/>
              </w:rPr>
              <w:t>2150</w:t>
            </w:r>
          </w:p>
        </w:tc>
      </w:tr>
      <w:tr w:rsidR="00017906" w:rsidRPr="00631D1A" w:rsidTr="00017906">
        <w:trPr>
          <w:trHeight w:val="300"/>
        </w:trPr>
        <w:tc>
          <w:tcPr>
            <w:tcW w:w="1574" w:type="dxa"/>
            <w:tcBorders>
              <w:top w:val="nil"/>
              <w:left w:val="nil"/>
              <w:right w:val="nil"/>
            </w:tcBorders>
            <w:shd w:val="clear" w:color="auto" w:fill="auto"/>
            <w:noWrap/>
            <w:vAlign w:val="bottom"/>
            <w:hideMark/>
          </w:tcPr>
          <w:p w:rsidR="00017906" w:rsidRPr="00631D1A" w:rsidRDefault="00017906" w:rsidP="00017906">
            <w:pPr>
              <w:pStyle w:val="table1"/>
              <w:rPr>
                <w:lang w:eastAsia="en-AU"/>
              </w:rPr>
            </w:pPr>
            <w:r w:rsidRPr="00631D1A">
              <w:rPr>
                <w:lang w:eastAsia="en-AU"/>
              </w:rPr>
              <w:t>F</w:t>
            </w:r>
            <w:r>
              <w:rPr>
                <w:lang w:eastAsia="en-AU"/>
              </w:rPr>
              <w:t xml:space="preserve">iltered </w:t>
            </w:r>
            <w:r w:rsidRPr="00631D1A">
              <w:rPr>
                <w:lang w:eastAsia="en-AU"/>
              </w:rPr>
              <w:t>sumz-</w:t>
            </w:r>
          </w:p>
        </w:tc>
        <w:tc>
          <w:tcPr>
            <w:tcW w:w="1559" w:type="dxa"/>
            <w:tcBorders>
              <w:top w:val="nil"/>
              <w:left w:val="nil"/>
              <w:right w:val="nil"/>
            </w:tcBorders>
            <w:shd w:val="clear" w:color="auto" w:fill="auto"/>
            <w:noWrap/>
            <w:vAlign w:val="bottom"/>
            <w:hideMark/>
          </w:tcPr>
          <w:p w:rsidR="00017906" w:rsidRPr="00631D1A" w:rsidRDefault="00017906" w:rsidP="00754C47">
            <w:pPr>
              <w:pStyle w:val="Styletable1Centered"/>
              <w:rPr>
                <w:lang w:eastAsia="en-AU"/>
              </w:rPr>
            </w:pPr>
            <w:r w:rsidRPr="00631D1A">
              <w:rPr>
                <w:lang w:eastAsia="en-AU"/>
              </w:rPr>
              <w:t>9</w:t>
            </w:r>
            <w:r>
              <w:rPr>
                <w:lang w:eastAsia="en-AU"/>
              </w:rPr>
              <w:t>20</w:t>
            </w:r>
          </w:p>
        </w:tc>
        <w:tc>
          <w:tcPr>
            <w:tcW w:w="1049" w:type="dxa"/>
            <w:tcBorders>
              <w:top w:val="nil"/>
              <w:left w:val="nil"/>
              <w:right w:val="nil"/>
            </w:tcBorders>
            <w:shd w:val="clear" w:color="auto" w:fill="auto"/>
            <w:noWrap/>
            <w:vAlign w:val="bottom"/>
            <w:hideMark/>
          </w:tcPr>
          <w:p w:rsidR="00017906" w:rsidRPr="00631D1A" w:rsidRDefault="00017906" w:rsidP="00754C47">
            <w:pPr>
              <w:pStyle w:val="Styletable1Centered"/>
              <w:rPr>
                <w:lang w:eastAsia="en-AU"/>
              </w:rPr>
            </w:pPr>
            <w:r w:rsidRPr="00631D1A">
              <w:rPr>
                <w:lang w:eastAsia="en-AU"/>
              </w:rPr>
              <w:t>38</w:t>
            </w:r>
            <w:r>
              <w:rPr>
                <w:lang w:eastAsia="en-AU"/>
              </w:rPr>
              <w:t>0</w:t>
            </w:r>
          </w:p>
        </w:tc>
        <w:tc>
          <w:tcPr>
            <w:tcW w:w="1049" w:type="dxa"/>
            <w:tcBorders>
              <w:top w:val="nil"/>
              <w:left w:val="nil"/>
              <w:right w:val="nil"/>
            </w:tcBorders>
            <w:shd w:val="clear" w:color="auto" w:fill="auto"/>
            <w:noWrap/>
            <w:vAlign w:val="bottom"/>
            <w:hideMark/>
          </w:tcPr>
          <w:p w:rsidR="00017906" w:rsidRPr="00631D1A" w:rsidRDefault="00017906" w:rsidP="00754C47">
            <w:pPr>
              <w:pStyle w:val="Styletable1Centered"/>
              <w:rPr>
                <w:lang w:eastAsia="en-AU"/>
              </w:rPr>
            </w:pPr>
            <w:r w:rsidRPr="00631D1A">
              <w:rPr>
                <w:lang w:eastAsia="en-AU"/>
              </w:rPr>
              <w:t>58</w:t>
            </w:r>
            <w:r>
              <w:rPr>
                <w:lang w:eastAsia="en-AU"/>
              </w:rPr>
              <w:t>0</w:t>
            </w:r>
          </w:p>
        </w:tc>
        <w:tc>
          <w:tcPr>
            <w:tcW w:w="1049" w:type="dxa"/>
            <w:tcBorders>
              <w:top w:val="nil"/>
              <w:left w:val="nil"/>
              <w:right w:val="nil"/>
            </w:tcBorders>
            <w:shd w:val="clear" w:color="auto" w:fill="auto"/>
            <w:noWrap/>
            <w:vAlign w:val="bottom"/>
            <w:hideMark/>
          </w:tcPr>
          <w:p w:rsidR="00017906" w:rsidRPr="00631D1A" w:rsidRDefault="00017906" w:rsidP="00754C47">
            <w:pPr>
              <w:pStyle w:val="Styletable1Centered"/>
              <w:rPr>
                <w:lang w:eastAsia="en-AU"/>
              </w:rPr>
            </w:pPr>
            <w:r w:rsidRPr="00631D1A">
              <w:rPr>
                <w:lang w:eastAsia="en-AU"/>
              </w:rPr>
              <w:t>9</w:t>
            </w:r>
            <w:r>
              <w:rPr>
                <w:lang w:eastAsia="en-AU"/>
              </w:rPr>
              <w:t>20</w:t>
            </w:r>
          </w:p>
        </w:tc>
        <w:tc>
          <w:tcPr>
            <w:tcW w:w="1049" w:type="dxa"/>
            <w:tcBorders>
              <w:top w:val="nil"/>
              <w:left w:val="nil"/>
              <w:right w:val="nil"/>
            </w:tcBorders>
            <w:shd w:val="clear" w:color="auto" w:fill="auto"/>
            <w:noWrap/>
            <w:vAlign w:val="bottom"/>
            <w:hideMark/>
          </w:tcPr>
          <w:p w:rsidR="00017906" w:rsidRPr="00631D1A" w:rsidRDefault="00017906" w:rsidP="00754C47">
            <w:pPr>
              <w:pStyle w:val="Styletable1Centered"/>
              <w:rPr>
                <w:lang w:eastAsia="en-AU"/>
              </w:rPr>
            </w:pPr>
            <w:r w:rsidRPr="00631D1A">
              <w:rPr>
                <w:lang w:eastAsia="en-AU"/>
              </w:rPr>
              <w:t>10</w:t>
            </w:r>
            <w:r>
              <w:rPr>
                <w:lang w:eastAsia="en-AU"/>
              </w:rPr>
              <w:t>40</w:t>
            </w:r>
          </w:p>
        </w:tc>
        <w:tc>
          <w:tcPr>
            <w:tcW w:w="1049" w:type="dxa"/>
            <w:tcBorders>
              <w:top w:val="nil"/>
              <w:left w:val="nil"/>
              <w:right w:val="nil"/>
            </w:tcBorders>
            <w:shd w:val="clear" w:color="auto" w:fill="auto"/>
            <w:noWrap/>
            <w:vAlign w:val="bottom"/>
            <w:hideMark/>
          </w:tcPr>
          <w:p w:rsidR="00017906" w:rsidRPr="00631D1A" w:rsidRDefault="00017906" w:rsidP="00754C47">
            <w:pPr>
              <w:pStyle w:val="Styletable1Centered"/>
              <w:rPr>
                <w:lang w:eastAsia="en-AU"/>
              </w:rPr>
            </w:pPr>
            <w:r w:rsidRPr="00631D1A">
              <w:rPr>
                <w:lang w:eastAsia="en-AU"/>
              </w:rPr>
              <w:t>1210</w:t>
            </w:r>
          </w:p>
        </w:tc>
      </w:tr>
      <w:tr w:rsidR="00017906" w:rsidRPr="00631D1A" w:rsidTr="00017906">
        <w:trPr>
          <w:trHeight w:val="300"/>
        </w:trPr>
        <w:tc>
          <w:tcPr>
            <w:tcW w:w="1574" w:type="dxa"/>
            <w:tcBorders>
              <w:top w:val="nil"/>
              <w:left w:val="nil"/>
              <w:bottom w:val="single" w:sz="4" w:space="0" w:color="auto"/>
              <w:right w:val="nil"/>
            </w:tcBorders>
            <w:shd w:val="clear" w:color="auto" w:fill="auto"/>
            <w:noWrap/>
            <w:vAlign w:val="bottom"/>
            <w:hideMark/>
          </w:tcPr>
          <w:p w:rsidR="00017906" w:rsidRPr="00631D1A" w:rsidRDefault="00017906" w:rsidP="00017906">
            <w:pPr>
              <w:pStyle w:val="table1"/>
              <w:rPr>
                <w:lang w:eastAsia="en-AU"/>
              </w:rPr>
            </w:pPr>
            <w:r w:rsidRPr="00631D1A">
              <w:rPr>
                <w:lang w:eastAsia="en-AU"/>
              </w:rPr>
              <w:t>F</w:t>
            </w:r>
            <w:r>
              <w:rPr>
                <w:lang w:eastAsia="en-AU"/>
              </w:rPr>
              <w:t xml:space="preserve">iltered </w:t>
            </w:r>
            <w:r w:rsidRPr="00631D1A">
              <w:rPr>
                <w:lang w:eastAsia="en-AU"/>
              </w:rPr>
              <w:t>sumz+</w:t>
            </w:r>
          </w:p>
        </w:tc>
        <w:tc>
          <w:tcPr>
            <w:tcW w:w="1559" w:type="dxa"/>
            <w:tcBorders>
              <w:top w:val="nil"/>
              <w:left w:val="nil"/>
              <w:bottom w:val="single" w:sz="4" w:space="0" w:color="auto"/>
              <w:right w:val="nil"/>
            </w:tcBorders>
            <w:shd w:val="clear" w:color="auto" w:fill="auto"/>
            <w:noWrap/>
            <w:vAlign w:val="bottom"/>
            <w:hideMark/>
          </w:tcPr>
          <w:p w:rsidR="00017906" w:rsidRPr="00631D1A" w:rsidRDefault="00017906" w:rsidP="00754C47">
            <w:pPr>
              <w:pStyle w:val="Styletable1Centered"/>
              <w:rPr>
                <w:lang w:eastAsia="en-AU"/>
              </w:rPr>
            </w:pPr>
            <w:r w:rsidRPr="00631D1A">
              <w:rPr>
                <w:lang w:eastAsia="en-AU"/>
              </w:rPr>
              <w:t>1110</w:t>
            </w:r>
          </w:p>
        </w:tc>
        <w:tc>
          <w:tcPr>
            <w:tcW w:w="1049" w:type="dxa"/>
            <w:tcBorders>
              <w:top w:val="nil"/>
              <w:left w:val="nil"/>
              <w:bottom w:val="single" w:sz="4" w:space="0" w:color="auto"/>
              <w:right w:val="nil"/>
            </w:tcBorders>
            <w:shd w:val="clear" w:color="auto" w:fill="auto"/>
            <w:noWrap/>
            <w:vAlign w:val="bottom"/>
            <w:hideMark/>
          </w:tcPr>
          <w:p w:rsidR="00017906" w:rsidRPr="00631D1A" w:rsidRDefault="00017906" w:rsidP="00754C47">
            <w:pPr>
              <w:pStyle w:val="Styletable1Centered"/>
              <w:rPr>
                <w:lang w:eastAsia="en-AU"/>
              </w:rPr>
            </w:pPr>
            <w:r w:rsidRPr="00631D1A">
              <w:rPr>
                <w:lang w:eastAsia="en-AU"/>
              </w:rPr>
              <w:t>94</w:t>
            </w:r>
            <w:r>
              <w:rPr>
                <w:lang w:eastAsia="en-AU"/>
              </w:rPr>
              <w:t>0</w:t>
            </w:r>
          </w:p>
        </w:tc>
        <w:tc>
          <w:tcPr>
            <w:tcW w:w="1049" w:type="dxa"/>
            <w:tcBorders>
              <w:top w:val="nil"/>
              <w:left w:val="nil"/>
              <w:bottom w:val="single" w:sz="4" w:space="0" w:color="auto"/>
              <w:right w:val="nil"/>
            </w:tcBorders>
            <w:shd w:val="clear" w:color="auto" w:fill="auto"/>
            <w:noWrap/>
            <w:vAlign w:val="bottom"/>
            <w:hideMark/>
          </w:tcPr>
          <w:p w:rsidR="00017906" w:rsidRPr="00631D1A" w:rsidRDefault="00017906" w:rsidP="00754C47">
            <w:pPr>
              <w:pStyle w:val="Styletable1Centered"/>
              <w:rPr>
                <w:lang w:eastAsia="en-AU"/>
              </w:rPr>
            </w:pPr>
            <w:r w:rsidRPr="00631D1A">
              <w:rPr>
                <w:lang w:eastAsia="en-AU"/>
              </w:rPr>
              <w:t>9</w:t>
            </w:r>
            <w:r>
              <w:rPr>
                <w:lang w:eastAsia="en-AU"/>
              </w:rPr>
              <w:t>90</w:t>
            </w:r>
          </w:p>
        </w:tc>
        <w:tc>
          <w:tcPr>
            <w:tcW w:w="1049" w:type="dxa"/>
            <w:tcBorders>
              <w:top w:val="nil"/>
              <w:left w:val="nil"/>
              <w:bottom w:val="single" w:sz="4" w:space="0" w:color="auto"/>
              <w:right w:val="nil"/>
            </w:tcBorders>
            <w:shd w:val="clear" w:color="auto" w:fill="auto"/>
            <w:noWrap/>
            <w:vAlign w:val="bottom"/>
            <w:hideMark/>
          </w:tcPr>
          <w:p w:rsidR="00017906" w:rsidRPr="00631D1A" w:rsidRDefault="00017906" w:rsidP="00754C47">
            <w:pPr>
              <w:pStyle w:val="Styletable1Centered"/>
              <w:rPr>
                <w:lang w:eastAsia="en-AU"/>
              </w:rPr>
            </w:pPr>
            <w:r w:rsidRPr="00631D1A">
              <w:rPr>
                <w:lang w:eastAsia="en-AU"/>
              </w:rPr>
              <w:t>1110</w:t>
            </w:r>
          </w:p>
        </w:tc>
        <w:tc>
          <w:tcPr>
            <w:tcW w:w="1049" w:type="dxa"/>
            <w:tcBorders>
              <w:top w:val="nil"/>
              <w:left w:val="nil"/>
              <w:bottom w:val="single" w:sz="4" w:space="0" w:color="auto"/>
              <w:right w:val="nil"/>
            </w:tcBorders>
            <w:shd w:val="clear" w:color="auto" w:fill="auto"/>
            <w:noWrap/>
            <w:vAlign w:val="bottom"/>
            <w:hideMark/>
          </w:tcPr>
          <w:p w:rsidR="00017906" w:rsidRPr="00631D1A" w:rsidRDefault="00017906" w:rsidP="00754C47">
            <w:pPr>
              <w:pStyle w:val="Styletable1Centered"/>
              <w:rPr>
                <w:lang w:eastAsia="en-AU"/>
              </w:rPr>
            </w:pPr>
            <w:r w:rsidRPr="00631D1A">
              <w:rPr>
                <w:lang w:eastAsia="en-AU"/>
              </w:rPr>
              <w:t>1390</w:t>
            </w:r>
          </w:p>
        </w:tc>
        <w:tc>
          <w:tcPr>
            <w:tcW w:w="1049" w:type="dxa"/>
            <w:tcBorders>
              <w:top w:val="nil"/>
              <w:left w:val="nil"/>
              <w:bottom w:val="single" w:sz="4" w:space="0" w:color="auto"/>
              <w:right w:val="nil"/>
            </w:tcBorders>
            <w:shd w:val="clear" w:color="auto" w:fill="auto"/>
            <w:noWrap/>
            <w:vAlign w:val="bottom"/>
            <w:hideMark/>
          </w:tcPr>
          <w:p w:rsidR="00017906" w:rsidRPr="00631D1A" w:rsidRDefault="00017906" w:rsidP="00754C47">
            <w:pPr>
              <w:pStyle w:val="Styletable1Centered"/>
              <w:rPr>
                <w:lang w:eastAsia="en-AU"/>
              </w:rPr>
            </w:pPr>
            <w:r w:rsidRPr="00631D1A">
              <w:rPr>
                <w:lang w:eastAsia="en-AU"/>
              </w:rPr>
              <w:t>14</w:t>
            </w:r>
            <w:r>
              <w:rPr>
                <w:lang w:eastAsia="en-AU"/>
              </w:rPr>
              <w:t>40</w:t>
            </w:r>
          </w:p>
        </w:tc>
      </w:tr>
    </w:tbl>
    <w:p w:rsidR="00017906" w:rsidRDefault="00017906" w:rsidP="00017906"/>
    <w:p w:rsidR="00017906" w:rsidRPr="00AE1F1B" w:rsidRDefault="00017906" w:rsidP="00017906">
      <w:r>
        <w:t>Unlike eukaryote ecogenomics, it is widely accepted</w:t>
      </w:r>
      <w:r w:rsidRPr="002316EC">
        <w:t xml:space="preserve"> </w:t>
      </w:r>
      <w:r>
        <w:t xml:space="preserve">that prokaryote sequence read counts can be used as a proxy for OTU abundance.  Analysis of OTU abundance in controls compared to the treatments shows a clear shift in the community composition with increasing U concentrations (Figure 3).  It shows that as U concentration increases bacteria that are rare become more abundant and abundant OTUs become rare.  Noteworthy increasing bacteria were </w:t>
      </w:r>
      <w:r w:rsidRPr="00AE1F1B">
        <w:rPr>
          <w:i/>
        </w:rPr>
        <w:t>Holophaga</w:t>
      </w:r>
      <w:r>
        <w:t>,</w:t>
      </w:r>
      <w:r w:rsidRPr="00FE78C3">
        <w:t xml:space="preserve"> </w:t>
      </w:r>
      <w:r w:rsidRPr="00AE1F1B">
        <w:rPr>
          <w:i/>
        </w:rPr>
        <w:t>Geobacter</w:t>
      </w:r>
      <w:r>
        <w:t xml:space="preserve"> and </w:t>
      </w:r>
      <w:r w:rsidRPr="00AE1F1B">
        <w:rPr>
          <w:i/>
        </w:rPr>
        <w:t>Geothrix</w:t>
      </w:r>
      <w:r>
        <w:t xml:space="preserve">, which are known to reduce metals for </w:t>
      </w:r>
      <w:r w:rsidR="002749B8">
        <w:t xml:space="preserve">their respiration. Also increasing across the U gradient were methanogenic bacteria, </w:t>
      </w:r>
      <w:r w:rsidR="002749B8" w:rsidRPr="00AE1F1B">
        <w:rPr>
          <w:i/>
        </w:rPr>
        <w:t>Methanobacteria</w:t>
      </w:r>
      <w:r w:rsidR="002749B8" w:rsidRPr="00FE78C3">
        <w:t xml:space="preserve"> and </w:t>
      </w:r>
      <w:r w:rsidR="002749B8" w:rsidRPr="00AE1F1B">
        <w:rPr>
          <w:i/>
        </w:rPr>
        <w:t>Methanomicrobia</w:t>
      </w:r>
      <w:r w:rsidR="002749B8">
        <w:t>, and sulfate reducing bacteria</w:t>
      </w:r>
      <w:proofErr w:type="gramStart"/>
      <w:r w:rsidR="002749B8">
        <w:t xml:space="preserve">,  </w:t>
      </w:r>
      <w:r w:rsidR="002749B8" w:rsidRPr="00AE1F1B">
        <w:rPr>
          <w:i/>
        </w:rPr>
        <w:t>Desulfuromondales</w:t>
      </w:r>
      <w:proofErr w:type="gramEnd"/>
      <w:r w:rsidR="002749B8">
        <w:t xml:space="preserve">, </w:t>
      </w:r>
      <w:r w:rsidR="002749B8" w:rsidRPr="00AE1F1B">
        <w:rPr>
          <w:i/>
        </w:rPr>
        <w:t>Desulfovibrionales</w:t>
      </w:r>
      <w:r w:rsidR="002749B8" w:rsidRPr="00AE1F1B">
        <w:t xml:space="preserve"> and </w:t>
      </w:r>
      <w:r w:rsidR="002749B8" w:rsidRPr="00AE1F1B">
        <w:rPr>
          <w:i/>
        </w:rPr>
        <w:t>Desulfobacterales</w:t>
      </w:r>
      <w:r w:rsidR="002749B8">
        <w:t xml:space="preserve">.  Noteworthy decreasing bacteria were nitrogen fixing plant associated bacteria </w:t>
      </w:r>
      <w:r w:rsidR="002749B8" w:rsidRPr="00AE1F1B">
        <w:rPr>
          <w:i/>
        </w:rPr>
        <w:t>Rhizobiales</w:t>
      </w:r>
      <w:r w:rsidR="002749B8">
        <w:t xml:space="preserve">, and </w:t>
      </w:r>
      <w:r w:rsidR="002749B8" w:rsidRPr="00AE1F1B">
        <w:rPr>
          <w:i/>
        </w:rPr>
        <w:t>Burkholderiac</w:t>
      </w:r>
      <w:r w:rsidR="002749B8">
        <w:rPr>
          <w:i/>
        </w:rPr>
        <w:t>l</w:t>
      </w:r>
      <w:r w:rsidR="002749B8" w:rsidRPr="00AE1F1B">
        <w:rPr>
          <w:i/>
        </w:rPr>
        <w:t>e</w:t>
      </w:r>
      <w:r w:rsidR="002749B8">
        <w:rPr>
          <w:i/>
        </w:rPr>
        <w:t>s</w:t>
      </w:r>
      <w:r w:rsidR="002749B8">
        <w:t xml:space="preserve">, and </w:t>
      </w:r>
      <w:r>
        <w:t>c</w:t>
      </w:r>
      <w:r w:rsidRPr="00AE1F1B">
        <w:t>hitinolytic bacteria</w:t>
      </w:r>
      <w:r>
        <w:t>,</w:t>
      </w:r>
      <w:r w:rsidRPr="00AE1F1B">
        <w:t xml:space="preserve"> </w:t>
      </w:r>
      <w:r w:rsidRPr="00AE1F1B">
        <w:rPr>
          <w:i/>
        </w:rPr>
        <w:t>Chitinophagaceae</w:t>
      </w:r>
      <w:r>
        <w:t xml:space="preserve"> and </w:t>
      </w:r>
      <w:r w:rsidRPr="00AE1F1B">
        <w:rPr>
          <w:i/>
        </w:rPr>
        <w:t>Sphingobacteriales</w:t>
      </w:r>
      <w:r>
        <w:t>.</w:t>
      </w:r>
    </w:p>
    <w:p w:rsidR="00017906" w:rsidRDefault="00017906" w:rsidP="00017906"/>
    <w:p w:rsidR="00017906" w:rsidRDefault="00017906" w:rsidP="00017906">
      <w:r>
        <w:rPr>
          <w:noProof/>
          <w:lang w:eastAsia="en-AU"/>
        </w:rPr>
        <w:drawing>
          <wp:inline distT="0" distB="0" distL="0" distR="0">
            <wp:extent cx="5328361" cy="3022781"/>
            <wp:effectExtent l="19050" t="0" r="5639" b="0"/>
            <wp:docPr id="36" name="6A70017D-A882-4420-A1BF-8D2EDD8CE32D" descr="cid:8E17659F-BCB9-45A5-846C-5CBB63E2A66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A70017D-A882-4420-A1BF-8D2EDD8CE32D" descr="cid:8E17659F-BCB9-45A5-846C-5CBB63E2A66E"/>
                    <pic:cNvPicPr>
                      <a:picLocks noChangeAspect="1" noChangeArrowheads="1"/>
                    </pic:cNvPicPr>
                  </pic:nvPicPr>
                  <pic:blipFill>
                    <a:blip r:embed="rId88" r:link="rId89" cstate="screen"/>
                    <a:srcRect/>
                    <a:stretch>
                      <a:fillRect/>
                    </a:stretch>
                  </pic:blipFill>
                  <pic:spPr bwMode="auto">
                    <a:xfrm>
                      <a:off x="0" y="0"/>
                      <a:ext cx="5334904" cy="3026493"/>
                    </a:xfrm>
                    <a:prstGeom prst="rect">
                      <a:avLst/>
                    </a:prstGeom>
                    <a:noFill/>
                    <a:ln w="9525">
                      <a:noFill/>
                      <a:miter lim="800000"/>
                      <a:headEnd/>
                      <a:tailEnd/>
                    </a:ln>
                  </pic:spPr>
                </pic:pic>
              </a:graphicData>
            </a:graphic>
          </wp:inline>
        </w:drawing>
      </w:r>
    </w:p>
    <w:p w:rsidR="00017906" w:rsidRDefault="00017906" w:rsidP="00017906">
      <w:pPr>
        <w:pStyle w:val="figurecaption"/>
      </w:pPr>
      <w:r w:rsidRPr="002316EC">
        <w:rPr>
          <w:b/>
        </w:rPr>
        <w:t>Figure 3</w:t>
      </w:r>
      <w:r>
        <w:t xml:space="preserve"> Correlation of OTU abundance in treatments with control OTU abundances</w:t>
      </w:r>
      <w:r w:rsidR="00FC14A4">
        <w:t>.</w:t>
      </w:r>
    </w:p>
    <w:p w:rsidR="00962A85" w:rsidRDefault="00017906" w:rsidP="00017906">
      <w:r>
        <w:t>The assembly of the metagenomes for each sample was complete</w:t>
      </w:r>
      <w:r w:rsidR="00FC14A4">
        <w:t xml:space="preserve">d using </w:t>
      </w:r>
      <w:r w:rsidR="002749B8">
        <w:t xml:space="preserve">the velvet algorithms. Analyses </w:t>
      </w:r>
      <w:r>
        <w:t>of the metagenomes indicated that the quantity and quality of contigs varied markedly between samples. Namely, samples from the high U treatments produced better prokaryote contigs of higher quality and quantity compared to those from the control.  This was due to the high U treatment samples being less biodiverse than the controls. This may also mean that comparison between the treatments and the controls might be unreliable due to unresolved prokaryote gene sequences that migh</w:t>
      </w:r>
      <w:r w:rsidR="00FC14A4">
        <w:t xml:space="preserve">t be present in the controls. </w:t>
      </w:r>
      <w:r>
        <w:t>Consequently, an alternative approach of reads analysis is being perused using th</w:t>
      </w:r>
      <w:r w:rsidR="00FC14A4">
        <w:t xml:space="preserve">e EBI pipeline for metagenomes. </w:t>
      </w:r>
      <w:r>
        <w:t>This analysis uses direct matches with the 100 bp reads to the database, bypassing contig assembly.</w:t>
      </w:r>
    </w:p>
    <w:p w:rsidR="00017906" w:rsidRDefault="00017906" w:rsidP="00091C65">
      <w:pPr>
        <w:pStyle w:val="Heading3"/>
      </w:pPr>
      <w:r>
        <w:t>Future work</w:t>
      </w:r>
    </w:p>
    <w:p w:rsidR="00017906" w:rsidRDefault="00017906" w:rsidP="00017906">
      <w:r>
        <w:t>In the immediate future, alternative statistical analysis will be investigated in order to appropriately interpret and integrate these complex datasets.  Planning for the next phase of experiments is also currently underway.  Future experiments may involve samples collected from Ranger along gradients of contamination in order to compare these with the laboratory spiked experiment.  Future experiments are also likely to involve the use of Stable Isotope Probing (SIP), which involves feeding the sediment bacteria specific isotopically labelled substrates, e</w:t>
      </w:r>
      <w:r w:rsidR="004E70D7">
        <w:t>.</w:t>
      </w:r>
      <w:r>
        <w:t>g. C</w:t>
      </w:r>
      <w:r w:rsidRPr="000F0C04">
        <w:rPr>
          <w:snapToGrid w:val="0"/>
          <w:color w:val="000000"/>
          <w:position w:val="5"/>
          <w:sz w:val="15"/>
          <w:szCs w:val="0"/>
          <w:u w:color="000000"/>
        </w:rPr>
        <w:t>13</w:t>
      </w:r>
      <w:r>
        <w:t xml:space="preserve"> labelled cellulose.  This will enhance the resolution of bacteria actively participating in key metabolic processes, e</w:t>
      </w:r>
      <w:r w:rsidR="00144C75">
        <w:t>.</w:t>
      </w:r>
      <w:r>
        <w:t xml:space="preserve">g. denitrification and methanogenesis.  Linking these metagenomic data with standard chemical analyses is also being considered.  </w:t>
      </w:r>
    </w:p>
    <w:p w:rsidR="00017906" w:rsidRPr="006978C0" w:rsidRDefault="00017906" w:rsidP="00017906"/>
    <w:p w:rsidR="00017906" w:rsidRPr="00BC72C1" w:rsidRDefault="00017906" w:rsidP="00091C65">
      <w:pPr>
        <w:pStyle w:val="Heading2"/>
      </w:pPr>
      <w:r w:rsidRPr="00BC72C1">
        <w:t xml:space="preserve">References </w:t>
      </w:r>
    </w:p>
    <w:p w:rsidR="00017906" w:rsidRPr="00F6435A" w:rsidRDefault="00017906" w:rsidP="00FC14A4">
      <w:pPr>
        <w:pStyle w:val="referencelist1"/>
      </w:pPr>
      <w:proofErr w:type="gramStart"/>
      <w:r w:rsidRPr="00F6435A">
        <w:t>Harford, AJ, van Dam, RA, Humphrey, CL, Jones, DR, Simpson, SL, Chariton, AA, Gi</w:t>
      </w:r>
      <w:r w:rsidR="00FC14A4">
        <w:t>bb, &amp; Stauber, JL 2012.</w:t>
      </w:r>
      <w:proofErr w:type="gramEnd"/>
      <w:r w:rsidRPr="00F6435A">
        <w:t xml:space="preserve"> </w:t>
      </w:r>
      <w:proofErr w:type="gramStart"/>
      <w:r w:rsidRPr="00F6435A">
        <w:t>The toxicity of uranium to sediment biota of Magela Creek backflow billabong environments.</w:t>
      </w:r>
      <w:proofErr w:type="gramEnd"/>
      <w:r w:rsidRPr="00F6435A">
        <w:t xml:space="preserve"> In </w:t>
      </w:r>
      <w:r w:rsidR="00FC14A4">
        <w:t>Jones DR &amp; Webb A (</w:t>
      </w:r>
      <w:proofErr w:type="gramStart"/>
      <w:r w:rsidR="00FC14A4">
        <w:t>eds</w:t>
      </w:r>
      <w:proofErr w:type="gramEnd"/>
      <w:r w:rsidR="00FC14A4">
        <w:t>) 2012.</w:t>
      </w:r>
      <w:r w:rsidRPr="00F6435A">
        <w:t xml:space="preserve"> </w:t>
      </w:r>
      <w:proofErr w:type="gramStart"/>
      <w:r w:rsidR="00FC14A4" w:rsidRPr="004E6332">
        <w:rPr>
          <w:rFonts w:ascii="Times New Roman" w:hAnsi="Times New Roman"/>
          <w:b/>
          <w:i/>
          <w:iCs/>
          <w:sz w:val="26"/>
        </w:rPr>
        <w:t>eriss</w:t>
      </w:r>
      <w:proofErr w:type="gramEnd"/>
      <w:r w:rsidR="00FC14A4" w:rsidRPr="003F181C">
        <w:t xml:space="preserve"> </w:t>
      </w:r>
      <w:r w:rsidR="00FC14A4" w:rsidRPr="00F6435A">
        <w:rPr>
          <w:i/>
        </w:rPr>
        <w:t>research summary 2010–2011</w:t>
      </w:r>
      <w:r w:rsidR="00FC14A4">
        <w:rPr>
          <w:i/>
        </w:rPr>
        <w:t xml:space="preserve">. </w:t>
      </w:r>
      <w:r w:rsidRPr="00F6435A">
        <w:t>Supervising Scientist Report 203, Supervising Scientist, Darwin NT.</w:t>
      </w:r>
    </w:p>
    <w:p w:rsidR="00017906" w:rsidRDefault="00017906" w:rsidP="00FC14A4">
      <w:pPr>
        <w:pStyle w:val="referencelist1"/>
        <w:rPr>
          <w:noProof/>
        </w:rPr>
      </w:pPr>
      <w:r>
        <w:rPr>
          <w:noProof/>
        </w:rPr>
        <w:t xml:space="preserve">Edgar R C 2013. </w:t>
      </w:r>
      <w:r w:rsidRPr="007018DC">
        <w:rPr>
          <w:noProof/>
        </w:rPr>
        <w:t>UPARSE: highly accurate OTU sequences from microbial amplicon reads</w:t>
      </w:r>
      <w:r w:rsidR="00FC14A4">
        <w:rPr>
          <w:noProof/>
        </w:rPr>
        <w:t xml:space="preserve">. </w:t>
      </w:r>
      <w:r w:rsidR="00FC14A4" w:rsidRPr="00FC14A4">
        <w:rPr>
          <w:i/>
          <w:noProof/>
        </w:rPr>
        <w:t>Nature methods</w:t>
      </w:r>
      <w:r w:rsidR="00FC14A4">
        <w:rPr>
          <w:noProof/>
        </w:rPr>
        <w:t xml:space="preserve"> 10, 996–</w:t>
      </w:r>
      <w:r>
        <w:rPr>
          <w:noProof/>
        </w:rPr>
        <w:t>998</w:t>
      </w:r>
      <w:r w:rsidR="00254B06">
        <w:rPr>
          <w:noProof/>
        </w:rPr>
        <w:t>.</w:t>
      </w:r>
    </w:p>
    <w:p w:rsidR="00017906" w:rsidRDefault="00017906" w:rsidP="00FC14A4">
      <w:pPr>
        <w:pStyle w:val="referencelist1"/>
        <w:rPr>
          <w:noProof/>
        </w:rPr>
      </w:pPr>
      <w:r>
        <w:rPr>
          <w:noProof/>
        </w:rPr>
        <w:t xml:space="preserve">Mondani L, Benzerara K, Carrière M, Christen R, Mamindy-Pajany Y, Février L, Marmier N, Achouak W, Nardoux P &amp; Berthomieu C 2011. Influence of uranium on bacterial communities: a comparison of natural uranium-rich soils with controls. </w:t>
      </w:r>
      <w:r w:rsidRPr="00622D9E">
        <w:rPr>
          <w:i/>
          <w:noProof/>
        </w:rPr>
        <w:t>PLoS ONE</w:t>
      </w:r>
      <w:r w:rsidR="00144C75">
        <w:rPr>
          <w:noProof/>
        </w:rPr>
        <w:t xml:space="preserve"> 6</w:t>
      </w:r>
      <w:r>
        <w:rPr>
          <w:noProof/>
        </w:rPr>
        <w:t>(10), e25771.</w:t>
      </w:r>
    </w:p>
    <w:p w:rsidR="00017906" w:rsidRDefault="00017906" w:rsidP="00FC14A4">
      <w:pPr>
        <w:pStyle w:val="referencelist1"/>
        <w:rPr>
          <w:noProof/>
        </w:rPr>
      </w:pPr>
      <w:r>
        <w:rPr>
          <w:noProof/>
        </w:rPr>
        <w:t xml:space="preserve">Namiki T, Hachiya T, Tanaka H &amp; Sakakibara Y 2012. MetaValvet: an extension of Velvet assembler to </w:t>
      </w:r>
      <w:r w:rsidRPr="005F5C7C">
        <w:rPr>
          <w:i/>
          <w:noProof/>
        </w:rPr>
        <w:t>de novo</w:t>
      </w:r>
      <w:r>
        <w:rPr>
          <w:noProof/>
        </w:rPr>
        <w:t xml:space="preserve"> metagenome assembly from short sequence reads. </w:t>
      </w:r>
      <w:r w:rsidRPr="005F5C7C">
        <w:rPr>
          <w:i/>
          <w:noProof/>
        </w:rPr>
        <w:t>Nucleic Acids Research</w:t>
      </w:r>
      <w:r w:rsidR="00FC14A4">
        <w:rPr>
          <w:noProof/>
        </w:rPr>
        <w:t xml:space="preserve"> 40</w:t>
      </w:r>
      <w:r w:rsidR="00144C75">
        <w:rPr>
          <w:noProof/>
        </w:rPr>
        <w:t xml:space="preserve">(20), </w:t>
      </w:r>
      <w:r>
        <w:rPr>
          <w:noProof/>
        </w:rPr>
        <w:t>e155</w:t>
      </w:r>
      <w:r w:rsidR="00FC14A4">
        <w:rPr>
          <w:noProof/>
        </w:rPr>
        <w:t>.</w:t>
      </w:r>
    </w:p>
    <w:p w:rsidR="00017906" w:rsidRDefault="00017906" w:rsidP="00FC14A4">
      <w:pPr>
        <w:pStyle w:val="referencelist1"/>
        <w:rPr>
          <w:noProof/>
        </w:rPr>
      </w:pPr>
      <w:r>
        <w:rPr>
          <w:noProof/>
        </w:rPr>
        <w:t xml:space="preserve">Seemann T 2014. Prokka: rapid prokaryotic genome annotation. </w:t>
      </w:r>
      <w:r w:rsidRPr="004E41C7">
        <w:rPr>
          <w:i/>
          <w:noProof/>
        </w:rPr>
        <w:t>Bioinformatics</w:t>
      </w:r>
      <w:r>
        <w:rPr>
          <w:noProof/>
        </w:rPr>
        <w:t>, March 18, 2014</w:t>
      </w:r>
      <w:r w:rsidR="00FC14A4">
        <w:rPr>
          <w:noProof/>
        </w:rPr>
        <w:t>.</w:t>
      </w:r>
    </w:p>
    <w:p w:rsidR="00017906" w:rsidRDefault="00017906" w:rsidP="00FC14A4">
      <w:pPr>
        <w:pStyle w:val="referencelist1"/>
        <w:rPr>
          <w:noProof/>
        </w:rPr>
      </w:pPr>
      <w:r>
        <w:rPr>
          <w:noProof/>
        </w:rPr>
        <w:t xml:space="preserve">Sims A, Zhang Y, Gajaraj S, Brown PB &amp; Hu Z 2013. Toward the development of microbial indicators for wetland assessment. </w:t>
      </w:r>
      <w:r w:rsidRPr="00622D9E">
        <w:rPr>
          <w:i/>
          <w:noProof/>
        </w:rPr>
        <w:t>Water Research</w:t>
      </w:r>
      <w:r w:rsidR="00FC14A4">
        <w:rPr>
          <w:noProof/>
        </w:rPr>
        <w:t xml:space="preserve"> 47(5), 1711–</w:t>
      </w:r>
      <w:r>
        <w:rPr>
          <w:noProof/>
        </w:rPr>
        <w:t>1725.</w:t>
      </w:r>
    </w:p>
    <w:p w:rsidR="00F27644" w:rsidRDefault="00017906" w:rsidP="00FC14A4">
      <w:pPr>
        <w:pStyle w:val="referencelist1"/>
        <w:rPr>
          <w:noProof/>
        </w:rPr>
        <w:sectPr w:rsidR="00F27644" w:rsidSect="00487A27">
          <w:headerReference w:type="default" r:id="rId90"/>
          <w:footnotePr>
            <w:numRestart w:val="eachPage"/>
          </w:footnotePr>
          <w:pgSz w:w="11906" w:h="16838" w:code="9"/>
          <w:pgMar w:top="1440" w:right="1800" w:bottom="1440" w:left="1800" w:header="1080" w:footer="835" w:gutter="0"/>
          <w:cols w:space="360"/>
          <w:noEndnote/>
        </w:sectPr>
      </w:pPr>
      <w:r>
        <w:rPr>
          <w:noProof/>
        </w:rPr>
        <w:t xml:space="preserve">Tringe SG &amp; Rubin EM 2005. Metagenomics: DNA sequencing of environmental samples. </w:t>
      </w:r>
      <w:r w:rsidRPr="00622D9E">
        <w:rPr>
          <w:i/>
          <w:noProof/>
        </w:rPr>
        <w:t>Nature reviews genetics</w:t>
      </w:r>
      <w:r w:rsidR="00FC14A4">
        <w:rPr>
          <w:noProof/>
        </w:rPr>
        <w:t xml:space="preserve"> 6(11), 805–</w:t>
      </w:r>
      <w:r>
        <w:rPr>
          <w:noProof/>
        </w:rPr>
        <w:t>814.</w:t>
      </w:r>
    </w:p>
    <w:p w:rsidR="00F27644" w:rsidRDefault="00F27644" w:rsidP="00F27644">
      <w:pPr>
        <w:pStyle w:val="Heading1"/>
      </w:pPr>
      <w:bookmarkStart w:id="114" w:name="_Toc282084546"/>
      <w:bookmarkStart w:id="115" w:name="_Toc282085512"/>
      <w:bookmarkStart w:id="116" w:name="_Toc401910164"/>
      <w:bookmarkStart w:id="117" w:name="_Toc409772781"/>
      <w:bookmarkStart w:id="118" w:name="_Toc418172699"/>
      <w:r w:rsidRPr="0089647E">
        <w:t xml:space="preserve">Reference toxicity </w:t>
      </w:r>
      <w:r w:rsidRPr="0089647E">
        <w:rPr>
          <w:szCs w:val="24"/>
        </w:rPr>
        <w:t>testing</w:t>
      </w:r>
      <w:r w:rsidRPr="0089647E">
        <w:t xml:space="preserve"> for routine toxicity test species</w:t>
      </w:r>
      <w:bookmarkEnd w:id="114"/>
      <w:bookmarkEnd w:id="115"/>
      <w:bookmarkEnd w:id="116"/>
      <w:bookmarkEnd w:id="117"/>
      <w:bookmarkEnd w:id="118"/>
    </w:p>
    <w:p w:rsidR="00F27644" w:rsidRPr="009A3243" w:rsidRDefault="00F27644" w:rsidP="00F27644">
      <w:pPr>
        <w:pStyle w:val="Heading3"/>
        <w:spacing w:after="480"/>
        <w:jc w:val="center"/>
      </w:pPr>
      <w:bookmarkStart w:id="119" w:name="_Toc409772782"/>
      <w:r>
        <w:t xml:space="preserve">C Pease, T Mooney, </w:t>
      </w:r>
      <w:proofErr w:type="gramStart"/>
      <w:r>
        <w:t>A</w:t>
      </w:r>
      <w:proofErr w:type="gramEnd"/>
      <w:r w:rsidR="00307669">
        <w:t xml:space="preserve"> Hogan, C Costello, M</w:t>
      </w:r>
      <w:r>
        <w:t xml:space="preserve"> Trenfield &amp; A Harford</w:t>
      </w:r>
      <w:bookmarkEnd w:id="119"/>
    </w:p>
    <w:p w:rsidR="00F27644" w:rsidRPr="003E2E6F" w:rsidRDefault="00F27644" w:rsidP="00F27644">
      <w:pPr>
        <w:pStyle w:val="Heading2"/>
      </w:pPr>
      <w:r w:rsidRPr="003E2E6F">
        <w:t>Background</w:t>
      </w:r>
    </w:p>
    <w:p w:rsidR="00F27644" w:rsidRPr="00E71CE5" w:rsidRDefault="00F27644" w:rsidP="00F27644">
      <w:pPr>
        <w:rPr>
          <w:i/>
          <w:szCs w:val="24"/>
        </w:rPr>
      </w:pPr>
      <w:r w:rsidRPr="0089647E">
        <w:t xml:space="preserve">Reference toxicity testing using uranium (U) has been a routine part of the </w:t>
      </w:r>
      <w:r w:rsidR="00EC0E6F" w:rsidRPr="004A3C4C">
        <w:rPr>
          <w:b/>
          <w:i/>
          <w:sz w:val="26"/>
          <w:szCs w:val="26"/>
        </w:rPr>
        <w:t>eriss</w:t>
      </w:r>
      <w:r w:rsidR="00E16AC4">
        <w:t xml:space="preserve"> Ecotoxicology p</w:t>
      </w:r>
      <w:r w:rsidRPr="0089647E">
        <w:t>rogram</w:t>
      </w:r>
      <w:r w:rsidR="00E16AC4">
        <w:t>me</w:t>
      </w:r>
      <w:r w:rsidRPr="0089647E">
        <w:t xml:space="preserve">’s </w:t>
      </w:r>
      <w:r w:rsidR="00E16AC4">
        <w:t>q</w:t>
      </w:r>
      <w:r w:rsidRPr="0089647E">
        <w:t xml:space="preserve">uality </w:t>
      </w:r>
      <w:r w:rsidR="00E16AC4">
        <w:t>a</w:t>
      </w:r>
      <w:r w:rsidRPr="0089647E">
        <w:t xml:space="preserve">ssurance system since 2004–05. The methods were developed in accordance with formal guidance on reference toxicant testing (Environment Canada 1990). The aim for 2013–14 was to continue with the established reference toxicity testing </w:t>
      </w:r>
      <w:r w:rsidR="00E16AC4">
        <w:t>programme</w:t>
      </w:r>
      <w:r w:rsidRPr="0089647E">
        <w:t xml:space="preserve">, using five locally sourced tropical species; </w:t>
      </w:r>
      <w:r w:rsidRPr="0089647E">
        <w:rPr>
          <w:i/>
        </w:rPr>
        <w:t>Moinodaphnia macleayi</w:t>
      </w:r>
      <w:r w:rsidRPr="0089647E">
        <w:t>,</w:t>
      </w:r>
      <w:r w:rsidRPr="0089647E">
        <w:rPr>
          <w:i/>
        </w:rPr>
        <w:t xml:space="preserve"> Chlorella</w:t>
      </w:r>
      <w:r w:rsidRPr="0089647E">
        <w:t xml:space="preserve"> sp., </w:t>
      </w:r>
      <w:r w:rsidRPr="0089647E">
        <w:rPr>
          <w:i/>
        </w:rPr>
        <w:t>Hydra viridissima</w:t>
      </w:r>
      <w:r w:rsidRPr="0089647E">
        <w:t xml:space="preserve">, </w:t>
      </w:r>
      <w:r w:rsidRPr="0089647E">
        <w:rPr>
          <w:i/>
        </w:rPr>
        <w:t>Lemna aequinoctialis</w:t>
      </w:r>
      <w:r w:rsidRPr="0089647E">
        <w:t xml:space="preserve"> and </w:t>
      </w:r>
      <w:r w:rsidRPr="0089647E">
        <w:rPr>
          <w:i/>
        </w:rPr>
        <w:t>Mogurnda mogurnda</w:t>
      </w:r>
      <w:r w:rsidRPr="0089647E">
        <w:t xml:space="preserve">. The </w:t>
      </w:r>
      <w:r w:rsidRPr="00376A13">
        <w:rPr>
          <w:i/>
        </w:rPr>
        <w:t>Lemna aequinoctialis</w:t>
      </w:r>
      <w:r w:rsidRPr="0089647E">
        <w:t xml:space="preserve"> protocol required further development due to issues with the control performance and excessive changes in water quality during the toxicity tests. </w:t>
      </w:r>
    </w:p>
    <w:p w:rsidR="00F27644" w:rsidRPr="003E2E6F" w:rsidRDefault="00F27644" w:rsidP="00F27644">
      <w:pPr>
        <w:pStyle w:val="Heading2"/>
      </w:pPr>
      <w:bookmarkStart w:id="120" w:name="_Toc282084549"/>
      <w:r w:rsidRPr="003E2E6F">
        <w:t>Methods</w:t>
      </w:r>
      <w:bookmarkEnd w:id="120"/>
    </w:p>
    <w:p w:rsidR="00F27644" w:rsidRPr="00237DF8" w:rsidRDefault="00F27644" w:rsidP="00F27644">
      <w:r w:rsidRPr="00237DF8">
        <w:t xml:space="preserve">Descriptions of the </w:t>
      </w:r>
      <w:r>
        <w:t xml:space="preserve">toxicity </w:t>
      </w:r>
      <w:r w:rsidRPr="00237DF8">
        <w:t>testing procedures are provided in Riethmuller et al</w:t>
      </w:r>
      <w:r>
        <w:t>.</w:t>
      </w:r>
      <w:r w:rsidRPr="00237DF8">
        <w:t xml:space="preserve"> (2003). </w:t>
      </w:r>
      <w:r>
        <w:t xml:space="preserve">The </w:t>
      </w:r>
      <w:r w:rsidRPr="00237DF8">
        <w:rPr>
          <w:i/>
          <w:spacing w:val="-2"/>
        </w:rPr>
        <w:t>L.</w:t>
      </w:r>
      <w:r>
        <w:rPr>
          <w:i/>
          <w:spacing w:val="-2"/>
        </w:rPr>
        <w:t> </w:t>
      </w:r>
      <w:r w:rsidRPr="00237DF8">
        <w:rPr>
          <w:i/>
          <w:spacing w:val="-2"/>
        </w:rPr>
        <w:t xml:space="preserve">aequinoctialis </w:t>
      </w:r>
      <w:r w:rsidRPr="00237DF8">
        <w:rPr>
          <w:spacing w:val="-2"/>
        </w:rPr>
        <w:t xml:space="preserve">protocol in </w:t>
      </w:r>
      <w:r w:rsidRPr="00237DF8">
        <w:t>Riethmuller et al</w:t>
      </w:r>
      <w:r>
        <w:t>.</w:t>
      </w:r>
      <w:r w:rsidRPr="00237DF8">
        <w:t xml:space="preserve"> (2003)</w:t>
      </w:r>
      <w:r>
        <w:t xml:space="preserve"> has since been modified. </w:t>
      </w:r>
      <w:r w:rsidRPr="00237DF8">
        <w:t xml:space="preserve">Specifically, the diluent </w:t>
      </w:r>
      <w:r>
        <w:t>was</w:t>
      </w:r>
      <w:r w:rsidRPr="00237DF8">
        <w:t xml:space="preserve"> </w:t>
      </w:r>
      <w:r>
        <w:t>altered to use 1</w:t>
      </w:r>
      <w:r w:rsidRPr="00237DF8">
        <w:t>% modifie</w:t>
      </w:r>
      <w:r>
        <w:t>d Hoaglands E (Cleland &amp; Briggs</w:t>
      </w:r>
      <w:r w:rsidRPr="00237DF8">
        <w:t xml:space="preserve"> 1969</w:t>
      </w:r>
      <w:r>
        <w:t>) and K medium (Maeng &amp; Khudari</w:t>
      </w:r>
      <w:r w:rsidRPr="00237DF8">
        <w:t xml:space="preserve"> 1973) and growth rate calculated from total </w:t>
      </w:r>
      <w:r w:rsidRPr="0089647E">
        <w:t xml:space="preserve">surface area change was included as an endpoint. However, it was found that this </w:t>
      </w:r>
      <w:r>
        <w:t>diluent</w:t>
      </w:r>
      <w:r w:rsidRPr="0089647E">
        <w:t xml:space="preserve"> required high concentrations of U to be effective, which caused concomitant reductions in pH that potentially confound the toxicity estimates. Additionally, large and variable fluctuations in pH were observed in the controls and some </w:t>
      </w:r>
      <w:r>
        <w:t>treatments. I</w:t>
      </w:r>
      <w:r w:rsidRPr="00237DF8">
        <w:t xml:space="preserve">n order to reduce the amount of </w:t>
      </w:r>
      <w:r>
        <w:t>U</w:t>
      </w:r>
      <w:r w:rsidRPr="00237DF8">
        <w:t xml:space="preserve"> required for reference toxicity testing </w:t>
      </w:r>
      <w:r>
        <w:t xml:space="preserve">and minimise changes in water quality during the toxicity tests, modifications of </w:t>
      </w:r>
      <w:r w:rsidRPr="00237DF8">
        <w:t xml:space="preserve">the </w:t>
      </w:r>
      <w:r>
        <w:rPr>
          <w:i/>
        </w:rPr>
        <w:t>L. </w:t>
      </w:r>
      <w:r w:rsidRPr="00237DF8">
        <w:rPr>
          <w:i/>
        </w:rPr>
        <w:t>aequinoctialis</w:t>
      </w:r>
      <w:r w:rsidRPr="00237DF8">
        <w:t xml:space="preserve"> test medium</w:t>
      </w:r>
      <w:r>
        <w:t xml:space="preserve"> were investigated. </w:t>
      </w:r>
    </w:p>
    <w:p w:rsidR="00F27644" w:rsidRPr="00237DF8" w:rsidRDefault="00F27644" w:rsidP="00F27644">
      <w:pPr>
        <w:pStyle w:val="Heading2"/>
      </w:pPr>
      <w:bookmarkStart w:id="121" w:name="_Toc282084550"/>
      <w:r w:rsidRPr="00237DF8">
        <w:t>Progress</w:t>
      </w:r>
      <w:bookmarkEnd w:id="121"/>
    </w:p>
    <w:p w:rsidR="00F27644" w:rsidRPr="00237DF8" w:rsidRDefault="00F27644" w:rsidP="00F27644">
      <w:r w:rsidRPr="00237DF8">
        <w:t>In total, 23 reference toxicants tests (</w:t>
      </w:r>
      <w:r w:rsidRPr="00237DF8">
        <w:rPr>
          <w:i/>
        </w:rPr>
        <w:t xml:space="preserve">Chlorella </w:t>
      </w:r>
      <w:r w:rsidRPr="00237DF8">
        <w:t xml:space="preserve">sp. – 8; </w:t>
      </w:r>
      <w:r w:rsidRPr="00237DF8">
        <w:rPr>
          <w:i/>
        </w:rPr>
        <w:t>H. viridissima</w:t>
      </w:r>
      <w:r w:rsidRPr="00237DF8">
        <w:t xml:space="preserve"> – 4; </w:t>
      </w:r>
      <w:r w:rsidRPr="00237DF8">
        <w:rPr>
          <w:i/>
        </w:rPr>
        <w:t>M. macleayi</w:t>
      </w:r>
      <w:r w:rsidRPr="00237DF8">
        <w:t xml:space="preserve"> – 5; </w:t>
      </w:r>
      <w:r w:rsidRPr="00237DF8">
        <w:rPr>
          <w:i/>
        </w:rPr>
        <w:t>M</w:t>
      </w:r>
      <w:r>
        <w:rPr>
          <w:i/>
        </w:rPr>
        <w:t>. </w:t>
      </w:r>
      <w:r w:rsidRPr="00237DF8">
        <w:rPr>
          <w:i/>
        </w:rPr>
        <w:t>mogurnda</w:t>
      </w:r>
      <w:r>
        <w:t> </w:t>
      </w:r>
      <w:r w:rsidRPr="00237DF8">
        <w:t xml:space="preserve">– 4; and </w:t>
      </w:r>
      <w:r w:rsidRPr="00237DF8">
        <w:rPr>
          <w:i/>
        </w:rPr>
        <w:t>L. aequinoctialis</w:t>
      </w:r>
      <w:r w:rsidRPr="00237DF8">
        <w:t xml:space="preserve"> – 2) were completed during 2013–14. Of these tests, 21 provided valid results, as summarised in Table 1. In order to generate a reference control chart, a sufficient number of properly conducted tests must be included in order to capture a representative range of variability. Environment Canada (1990) recommend the inclusion of effect concen</w:t>
      </w:r>
      <w:r>
        <w:t>trations (ECs) from at least 15–</w:t>
      </w:r>
      <w:r w:rsidRPr="00237DF8">
        <w:t xml:space="preserve">20 reference toxicity tests in order to calculate reliable warning limits (± 2 </w:t>
      </w:r>
      <w:r>
        <w:t xml:space="preserve">Standard Deviations, SD) and 99 </w:t>
      </w:r>
      <w:r w:rsidRPr="00237DF8">
        <w:t>% confidence limits (± 3 SDs). The associated control charts are presented in Figure</w:t>
      </w:r>
      <w:r>
        <w:t>s 1–</w:t>
      </w:r>
      <w:r w:rsidRPr="00237DF8">
        <w:t xml:space="preserve">6. The Ecotoxicology laboratory aims to complete four tests per species per annum. However, this was not achieved for </w:t>
      </w:r>
      <w:r w:rsidRPr="00237DF8">
        <w:rPr>
          <w:i/>
        </w:rPr>
        <w:t>L. aequinoctialis</w:t>
      </w:r>
      <w:r w:rsidRPr="00237DF8">
        <w:t xml:space="preserve"> </w:t>
      </w:r>
      <w:r>
        <w:t>because</w:t>
      </w:r>
      <w:r w:rsidRPr="00237DF8">
        <w:t xml:space="preserve"> </w:t>
      </w:r>
      <w:r>
        <w:t>of the need to</w:t>
      </w:r>
      <w:r w:rsidRPr="002F4E5E">
        <w:t xml:space="preserve"> </w:t>
      </w:r>
      <w:r>
        <w:t>prioritise</w:t>
      </w:r>
      <w:r w:rsidRPr="002F4E5E">
        <w:t xml:space="preserve"> method development </w:t>
      </w:r>
      <w:r>
        <w:t>in response</w:t>
      </w:r>
      <w:r w:rsidRPr="00237DF8">
        <w:t xml:space="preserve"> to</w:t>
      </w:r>
      <w:r>
        <w:t xml:space="preserve"> the aforementioned</w:t>
      </w:r>
      <w:r w:rsidRPr="00237DF8">
        <w:t xml:space="preserve"> issues</w:t>
      </w:r>
      <w:r>
        <w:t>.</w:t>
      </w:r>
    </w:p>
    <w:p w:rsidR="00F27644" w:rsidRPr="00237DF8" w:rsidRDefault="00F27644" w:rsidP="00F27644">
      <w:r w:rsidRPr="00237DF8">
        <w:t xml:space="preserve">A summary of the issues identified and method development undertaken in 2013–14 for each component of the reference toxicity test </w:t>
      </w:r>
      <w:r w:rsidR="00E16AC4">
        <w:t>programme</w:t>
      </w:r>
      <w:r w:rsidRPr="00237DF8">
        <w:t xml:space="preserve"> is provided below.</w:t>
      </w:r>
    </w:p>
    <w:p w:rsidR="00F27644" w:rsidRPr="00237DF8" w:rsidRDefault="00F27644" w:rsidP="00307669">
      <w:pPr>
        <w:pStyle w:val="Heading2"/>
      </w:pPr>
      <w:r w:rsidRPr="00307669">
        <w:t>Chlorella</w:t>
      </w:r>
      <w:r w:rsidRPr="00142FF0">
        <w:t xml:space="preserve"> </w:t>
      </w:r>
      <w:r w:rsidRPr="00237DF8">
        <w:t>sp.</w:t>
      </w:r>
      <w:r w:rsidRPr="00307669">
        <w:t xml:space="preserve"> (</w:t>
      </w:r>
      <w:r w:rsidRPr="00A6529D">
        <w:t>green alga</w:t>
      </w:r>
      <w:r w:rsidRPr="00307669">
        <w:t>)</w:t>
      </w:r>
    </w:p>
    <w:p w:rsidR="00F27644" w:rsidRPr="00307669" w:rsidRDefault="00F27644" w:rsidP="00F27644">
      <w:r w:rsidRPr="00515450">
        <w:t xml:space="preserve">Of the eight </w:t>
      </w:r>
      <w:r w:rsidRPr="00515450">
        <w:rPr>
          <w:i/>
        </w:rPr>
        <w:t xml:space="preserve">Chlorella </w:t>
      </w:r>
      <w:r w:rsidRPr="00515450">
        <w:t>sp. tests performed, all were valid for this reporting period. The tests were divided between two methods; the normal method (3 x 10</w:t>
      </w:r>
      <w:r w:rsidRPr="00376A13">
        <w:rPr>
          <w:snapToGrid w:val="0"/>
          <w:color w:val="000000"/>
          <w:position w:val="6"/>
          <w:sz w:val="16"/>
          <w:szCs w:val="0"/>
          <w:u w:color="000000"/>
        </w:rPr>
        <w:t>4</w:t>
      </w:r>
      <w:r w:rsidRPr="00515450">
        <w:t xml:space="preserve"> cells mL</w:t>
      </w:r>
      <w:r w:rsidRPr="00376A13">
        <w:rPr>
          <w:snapToGrid w:val="0"/>
          <w:color w:val="000000"/>
          <w:position w:val="6"/>
          <w:sz w:val="16"/>
          <w:szCs w:val="0"/>
          <w:u w:color="000000"/>
        </w:rPr>
        <w:t>-1</w:t>
      </w:r>
      <w:r w:rsidRPr="00515450">
        <w:t>, normal nutrients) and a new modified method (3 x 10</w:t>
      </w:r>
      <w:r w:rsidRPr="00376A13">
        <w:rPr>
          <w:snapToGrid w:val="0"/>
          <w:color w:val="000000"/>
          <w:position w:val="6"/>
          <w:sz w:val="16"/>
          <w:szCs w:val="0"/>
          <w:u w:color="000000"/>
        </w:rPr>
        <w:t>3</w:t>
      </w:r>
      <w:r w:rsidRPr="00515450">
        <w:t xml:space="preserve"> cells mL</w:t>
      </w:r>
      <w:r w:rsidRPr="00376A13">
        <w:rPr>
          <w:snapToGrid w:val="0"/>
          <w:color w:val="000000"/>
          <w:position w:val="6"/>
          <w:sz w:val="16"/>
          <w:szCs w:val="0"/>
          <w:u w:color="000000"/>
        </w:rPr>
        <w:t>-1</w:t>
      </w:r>
      <w:r w:rsidRPr="00515450">
        <w:t xml:space="preserve"> and reduced nutrients). For the normal method, control growth rates were within the acceptability criterion of 1.4 </w:t>
      </w:r>
      <w:r w:rsidRPr="00515450">
        <w:sym w:font="Symbol" w:char="F0B1"/>
      </w:r>
      <w:r w:rsidRPr="00515450">
        <w:t xml:space="preserve"> 0.3 doublings day</w:t>
      </w:r>
      <w:r w:rsidRPr="00376A13">
        <w:rPr>
          <w:snapToGrid w:val="0"/>
          <w:color w:val="000000"/>
          <w:position w:val="6"/>
          <w:sz w:val="16"/>
          <w:szCs w:val="0"/>
          <w:u w:color="000000"/>
        </w:rPr>
        <w:t>-1</w:t>
      </w:r>
      <w:r w:rsidRPr="00515450">
        <w:t>. The running mean EC50 for the normal method is 42 µg L</w:t>
      </w:r>
      <w:r w:rsidRPr="00376A13">
        <w:rPr>
          <w:snapToGrid w:val="0"/>
          <w:color w:val="000000"/>
          <w:position w:val="6"/>
          <w:sz w:val="16"/>
          <w:szCs w:val="0"/>
          <w:u w:color="000000"/>
        </w:rPr>
        <w:t>-1</w:t>
      </w:r>
      <w:r w:rsidRPr="00515450">
        <w:t xml:space="preserve"> U with all results within the lower and upper warning limits (</w:t>
      </w:r>
      <w:r w:rsidRPr="00515450">
        <w:sym w:font="Symbol" w:char="F0B1"/>
      </w:r>
      <w:r w:rsidRPr="00515450">
        <w:t xml:space="preserve"> 2 standard deviations) of 7 and 76 µg L</w:t>
      </w:r>
      <w:r w:rsidRPr="00376A13">
        <w:rPr>
          <w:snapToGrid w:val="0"/>
          <w:color w:val="000000"/>
          <w:position w:val="6"/>
          <w:sz w:val="16"/>
          <w:szCs w:val="0"/>
          <w:u w:color="000000"/>
        </w:rPr>
        <w:t>-1</w:t>
      </w:r>
      <w:r w:rsidRPr="00515450">
        <w:t xml:space="preserve"> U, respectively (Figure 1). This year we completed the method development work to reduce the Chlorella sp. starting cell density to a more ecologically relevant level. </w:t>
      </w:r>
      <w:r w:rsidRPr="00F60C26">
        <w:rPr>
          <w:i/>
        </w:rPr>
        <w:t>Chlorella</w:t>
      </w:r>
      <w:r w:rsidRPr="00F60C26">
        <w:t xml:space="preserve"> sp. density was successfully reduced to 3 x 10</w:t>
      </w:r>
      <w:r w:rsidRPr="00376A13">
        <w:rPr>
          <w:snapToGrid w:val="0"/>
          <w:color w:val="000000"/>
          <w:position w:val="6"/>
          <w:sz w:val="16"/>
          <w:szCs w:val="0"/>
          <w:u w:color="000000"/>
        </w:rPr>
        <w:t>3</w:t>
      </w:r>
      <w:r w:rsidRPr="00F60C26">
        <w:t xml:space="preserve"> cells mL</w:t>
      </w:r>
      <w:r w:rsidRPr="00376A13">
        <w:rPr>
          <w:snapToGrid w:val="0"/>
          <w:color w:val="000000"/>
          <w:position w:val="6"/>
          <w:sz w:val="16"/>
          <w:szCs w:val="0"/>
          <w:u w:color="000000"/>
        </w:rPr>
        <w:t>-1</w:t>
      </w:r>
      <w:r w:rsidRPr="00F60C26">
        <w:t xml:space="preserve"> and the nitrate and </w:t>
      </w:r>
      <w:r w:rsidRPr="00515450">
        <w:t>phosphate was reduced to a 1/6th of the original nutrient content. For the modified method, control growth rates were also within the acceptability criterion of 1.4 ± 0.3 doublings day</w:t>
      </w:r>
      <w:r w:rsidRPr="00376A13">
        <w:rPr>
          <w:snapToGrid w:val="0"/>
          <w:color w:val="000000"/>
          <w:position w:val="6"/>
          <w:sz w:val="16"/>
          <w:szCs w:val="0"/>
          <w:u w:color="000000"/>
        </w:rPr>
        <w:t>-1</w:t>
      </w:r>
      <w:r w:rsidRPr="00515450">
        <w:t>.  However, these acceptability criteria may change because growth rates may vary due to lower starting density and modified nutrient concentrations. For this new method, the running mean EC50 is 42 µg L</w:t>
      </w:r>
      <w:r w:rsidRPr="00376A13">
        <w:rPr>
          <w:snapToGrid w:val="0"/>
          <w:color w:val="000000"/>
          <w:position w:val="6"/>
          <w:sz w:val="16"/>
          <w:szCs w:val="0"/>
          <w:u w:color="000000"/>
        </w:rPr>
        <w:t>-1</w:t>
      </w:r>
      <w:r w:rsidRPr="00515450">
        <w:t xml:space="preserve"> U with all results within the lower and upper warning limits (</w:t>
      </w:r>
      <w:r w:rsidRPr="00515450">
        <w:sym w:font="Symbol" w:char="F0B1"/>
      </w:r>
      <w:r w:rsidRPr="00515450">
        <w:t> 2 standard deviations) of 33 and 52 µg L</w:t>
      </w:r>
      <w:r w:rsidRPr="00376A13">
        <w:rPr>
          <w:snapToGrid w:val="0"/>
          <w:color w:val="000000"/>
          <w:position w:val="6"/>
          <w:sz w:val="16"/>
          <w:szCs w:val="0"/>
          <w:u w:color="000000"/>
        </w:rPr>
        <w:t>-1</w:t>
      </w:r>
      <w:r w:rsidRPr="00515450">
        <w:t xml:space="preserve"> U, respectively (Figure 2). An internal report will be published for the new protocol.</w:t>
      </w:r>
    </w:p>
    <w:p w:rsidR="00F27644" w:rsidRPr="00A6529D" w:rsidRDefault="00F27644" w:rsidP="00307669">
      <w:pPr>
        <w:pStyle w:val="Heading2"/>
      </w:pPr>
      <w:bookmarkStart w:id="122" w:name="_Toc282084552"/>
      <w:r w:rsidRPr="00307669">
        <w:t>Hydra viridissima</w:t>
      </w:r>
      <w:r w:rsidRPr="00A6529D">
        <w:t xml:space="preserve"> (green hydra)</w:t>
      </w:r>
      <w:bookmarkEnd w:id="122"/>
    </w:p>
    <w:p w:rsidR="00F27644" w:rsidRPr="00237DF8" w:rsidRDefault="00F27644" w:rsidP="00F27644">
      <w:pPr>
        <w:rPr>
          <w:snapToGrid w:val="0"/>
          <w:color w:val="000000"/>
          <w:u w:color="000000"/>
        </w:rPr>
      </w:pPr>
      <w:r w:rsidRPr="00237DF8">
        <w:t xml:space="preserve">All four reference toxicity tests for </w:t>
      </w:r>
      <w:r w:rsidRPr="00237DF8">
        <w:rPr>
          <w:i/>
        </w:rPr>
        <w:t>H. viridissima</w:t>
      </w:r>
      <w:r w:rsidRPr="00237DF8">
        <w:t xml:space="preserve"> were valid. There were no issues associated with this protocol. The running mean EC</w:t>
      </w:r>
      <w:r>
        <w:t>50</w:t>
      </w:r>
      <w:r w:rsidRPr="00237DF8">
        <w:t xml:space="preserve"> </w:t>
      </w:r>
      <w:r>
        <w:t>was</w:t>
      </w:r>
      <w:r w:rsidRPr="00237DF8">
        <w:t xml:space="preserve"> 85 </w:t>
      </w:r>
      <w:r w:rsidRPr="00237DF8">
        <w:rPr>
          <w:snapToGrid w:val="0"/>
          <w:color w:val="000000"/>
          <w:u w:color="000000"/>
        </w:rPr>
        <w:t xml:space="preserve">µg </w:t>
      </w:r>
      <w:r>
        <w:rPr>
          <w:snapToGrid w:val="0"/>
          <w:color w:val="000000"/>
          <w:u w:color="000000"/>
        </w:rPr>
        <w:t>L</w:t>
      </w:r>
      <w:r w:rsidRPr="00B0169A">
        <w:rPr>
          <w:snapToGrid w:val="0"/>
          <w:color w:val="000000"/>
          <w:position w:val="6"/>
          <w:sz w:val="16"/>
          <w:szCs w:val="0"/>
          <w:u w:color="000000"/>
        </w:rPr>
        <w:t>-1</w:t>
      </w:r>
      <w:r w:rsidRPr="00237DF8">
        <w:rPr>
          <w:snapToGrid w:val="0"/>
          <w:color w:val="000000"/>
          <w:u w:color="000000"/>
        </w:rPr>
        <w:t xml:space="preserve"> U with all results within the lower and upper warning limits (</w:t>
      </w:r>
      <w:r w:rsidRPr="00237DF8">
        <w:rPr>
          <w:snapToGrid w:val="0"/>
          <w:color w:val="000000"/>
          <w:u w:color="000000"/>
        </w:rPr>
        <w:sym w:font="Symbol" w:char="F0B1"/>
      </w:r>
      <w:r w:rsidRPr="00237DF8">
        <w:rPr>
          <w:snapToGrid w:val="0"/>
          <w:color w:val="000000"/>
          <w:u w:color="000000"/>
        </w:rPr>
        <w:t xml:space="preserve"> 2 standard deviations) of 47 and 123 µg </w:t>
      </w:r>
      <w:r>
        <w:rPr>
          <w:snapToGrid w:val="0"/>
          <w:color w:val="000000"/>
          <w:u w:color="000000"/>
        </w:rPr>
        <w:t>L</w:t>
      </w:r>
      <w:r w:rsidRPr="00B0169A">
        <w:rPr>
          <w:snapToGrid w:val="0"/>
          <w:color w:val="000000"/>
          <w:position w:val="6"/>
          <w:sz w:val="16"/>
          <w:szCs w:val="0"/>
          <w:u w:color="000000"/>
        </w:rPr>
        <w:t>-1</w:t>
      </w:r>
      <w:r w:rsidRPr="00237DF8">
        <w:rPr>
          <w:snapToGrid w:val="0"/>
          <w:color w:val="000000"/>
          <w:u w:color="000000"/>
        </w:rPr>
        <w:t xml:space="preserve"> U, respectively (Figure 3).</w:t>
      </w:r>
    </w:p>
    <w:p w:rsidR="00F27644" w:rsidRPr="00237DF8" w:rsidRDefault="00F27644" w:rsidP="00307669">
      <w:pPr>
        <w:pStyle w:val="Heading2"/>
      </w:pPr>
      <w:bookmarkStart w:id="123" w:name="_Toc282084553"/>
      <w:r w:rsidRPr="00307669">
        <w:t>Moinodaphnia macleayi</w:t>
      </w:r>
      <w:r w:rsidRPr="00237DF8">
        <w:t xml:space="preserve"> </w:t>
      </w:r>
      <w:r w:rsidRPr="00A6529D">
        <w:t>(cladoceran)</w:t>
      </w:r>
      <w:bookmarkEnd w:id="123"/>
    </w:p>
    <w:p w:rsidR="00F27644" w:rsidRPr="00237DF8" w:rsidRDefault="00F27644" w:rsidP="00F27644">
      <w:pPr>
        <w:rPr>
          <w:snapToGrid w:val="0"/>
          <w:color w:val="000000"/>
          <w:spacing w:val="-2"/>
          <w:szCs w:val="24"/>
          <w:u w:color="000000"/>
        </w:rPr>
      </w:pPr>
      <w:r w:rsidRPr="00237DF8">
        <w:rPr>
          <w:szCs w:val="24"/>
        </w:rPr>
        <w:t xml:space="preserve">The five reference toxicity tests performed for </w:t>
      </w:r>
      <w:r w:rsidRPr="00237DF8">
        <w:rPr>
          <w:i/>
          <w:szCs w:val="24"/>
        </w:rPr>
        <w:t>M. macleayi</w:t>
      </w:r>
      <w:r w:rsidRPr="00237DF8">
        <w:rPr>
          <w:szCs w:val="24"/>
        </w:rPr>
        <w:t xml:space="preserve"> were valid. The running mean EC</w:t>
      </w:r>
      <w:r>
        <w:rPr>
          <w:szCs w:val="24"/>
        </w:rPr>
        <w:t>50</w:t>
      </w:r>
      <w:r w:rsidRPr="00237DF8">
        <w:rPr>
          <w:szCs w:val="24"/>
        </w:rPr>
        <w:t xml:space="preserve"> </w:t>
      </w:r>
      <w:r>
        <w:rPr>
          <w:szCs w:val="24"/>
        </w:rPr>
        <w:t>was</w:t>
      </w:r>
      <w:r w:rsidRPr="00237DF8">
        <w:rPr>
          <w:szCs w:val="24"/>
        </w:rPr>
        <w:t xml:space="preserve"> 96 µg </w:t>
      </w:r>
      <w:r>
        <w:rPr>
          <w:szCs w:val="24"/>
        </w:rPr>
        <w:t>L</w:t>
      </w:r>
      <w:r w:rsidRPr="00B0169A">
        <w:rPr>
          <w:snapToGrid w:val="0"/>
          <w:color w:val="000000"/>
          <w:position w:val="6"/>
          <w:sz w:val="16"/>
          <w:szCs w:val="0"/>
          <w:u w:color="000000"/>
        </w:rPr>
        <w:t>-1</w:t>
      </w:r>
      <w:r w:rsidRPr="00237DF8">
        <w:rPr>
          <w:snapToGrid w:val="0"/>
          <w:color w:val="000000"/>
          <w:spacing w:val="-2"/>
          <w:szCs w:val="24"/>
          <w:u w:color="000000"/>
          <w:vertAlign w:val="superscript"/>
        </w:rPr>
        <w:t xml:space="preserve"> </w:t>
      </w:r>
      <w:r w:rsidRPr="00237DF8">
        <w:rPr>
          <w:szCs w:val="24"/>
        </w:rPr>
        <w:t xml:space="preserve">with all but one of the tests within the lower and upper warning limits (± 2 standard deviations) of </w:t>
      </w:r>
      <w:r>
        <w:rPr>
          <w:szCs w:val="24"/>
        </w:rPr>
        <w:t xml:space="preserve">0 </w:t>
      </w:r>
      <w:r w:rsidRPr="00237DF8">
        <w:rPr>
          <w:szCs w:val="24"/>
        </w:rPr>
        <w:t>and 265 µg L</w:t>
      </w:r>
      <w:r w:rsidRPr="00FD7397">
        <w:rPr>
          <w:snapToGrid w:val="0"/>
          <w:color w:val="000000"/>
          <w:position w:val="6"/>
          <w:sz w:val="16"/>
          <w:szCs w:val="0"/>
          <w:u w:color="000000"/>
        </w:rPr>
        <w:t>-1</w:t>
      </w:r>
      <w:r w:rsidRPr="00237DF8">
        <w:rPr>
          <w:snapToGrid w:val="0"/>
          <w:color w:val="000000"/>
          <w:position w:val="5"/>
          <w:szCs w:val="24"/>
          <w:u w:color="000000"/>
        </w:rPr>
        <w:t xml:space="preserve"> </w:t>
      </w:r>
      <w:r w:rsidRPr="00237DF8">
        <w:rPr>
          <w:snapToGrid w:val="0"/>
          <w:color w:val="000000"/>
          <w:szCs w:val="24"/>
          <w:u w:color="000000"/>
        </w:rPr>
        <w:t xml:space="preserve">(Figure 4). Test </w:t>
      </w:r>
      <w:r w:rsidRPr="00237DF8">
        <w:rPr>
          <w:snapToGrid w:val="0"/>
          <w:color w:val="000000"/>
          <w:spacing w:val="-2"/>
          <w:szCs w:val="24"/>
          <w:u w:color="000000"/>
        </w:rPr>
        <w:t>1369I resulted in an E</w:t>
      </w:r>
      <w:r>
        <w:rPr>
          <w:snapToGrid w:val="0"/>
          <w:color w:val="000000"/>
          <w:spacing w:val="-2"/>
          <w:szCs w:val="24"/>
          <w:u w:color="000000"/>
        </w:rPr>
        <w:t>C50</w:t>
      </w:r>
      <w:r w:rsidRPr="00237DF8">
        <w:rPr>
          <w:snapToGrid w:val="0"/>
          <w:color w:val="000000"/>
          <w:spacing w:val="-10"/>
          <w:position w:val="-5"/>
          <w:szCs w:val="24"/>
          <w:u w:color="000000"/>
        </w:rPr>
        <w:t xml:space="preserve"> </w:t>
      </w:r>
      <w:r w:rsidRPr="00237DF8">
        <w:rPr>
          <w:snapToGrid w:val="0"/>
          <w:color w:val="000000"/>
          <w:spacing w:val="-2"/>
          <w:szCs w:val="24"/>
          <w:u w:color="000000"/>
        </w:rPr>
        <w:t xml:space="preserve">of &gt;270 µg </w:t>
      </w:r>
      <w:r>
        <w:rPr>
          <w:snapToGrid w:val="0"/>
          <w:color w:val="000000"/>
          <w:spacing w:val="-2"/>
          <w:szCs w:val="24"/>
          <w:u w:color="000000"/>
        </w:rPr>
        <w:t>L</w:t>
      </w:r>
      <w:r w:rsidRPr="00B0169A">
        <w:rPr>
          <w:snapToGrid w:val="0"/>
          <w:color w:val="000000"/>
          <w:spacing w:val="-10"/>
          <w:position w:val="6"/>
          <w:sz w:val="16"/>
          <w:szCs w:val="0"/>
          <w:u w:color="000000"/>
        </w:rPr>
        <w:t>-1</w:t>
      </w:r>
      <w:r w:rsidRPr="00237DF8">
        <w:rPr>
          <w:snapToGrid w:val="0"/>
          <w:color w:val="000000"/>
          <w:spacing w:val="-2"/>
          <w:szCs w:val="24"/>
          <w:u w:color="000000"/>
        </w:rPr>
        <w:t xml:space="preserve"> U which exceed</w:t>
      </w:r>
      <w:r>
        <w:rPr>
          <w:snapToGrid w:val="0"/>
          <w:color w:val="000000"/>
          <w:spacing w:val="-2"/>
          <w:szCs w:val="24"/>
          <w:u w:color="000000"/>
        </w:rPr>
        <w:t>ed</w:t>
      </w:r>
      <w:r w:rsidRPr="00237DF8">
        <w:rPr>
          <w:snapToGrid w:val="0"/>
          <w:color w:val="000000"/>
          <w:spacing w:val="-2"/>
          <w:szCs w:val="24"/>
          <w:u w:color="000000"/>
        </w:rPr>
        <w:t xml:space="preserve"> the upper warning limit of 265 </w:t>
      </w:r>
      <w:r w:rsidRPr="00237DF8">
        <w:rPr>
          <w:szCs w:val="24"/>
        </w:rPr>
        <w:t xml:space="preserve">µg </w:t>
      </w:r>
      <w:r>
        <w:rPr>
          <w:szCs w:val="24"/>
        </w:rPr>
        <w:t>L</w:t>
      </w:r>
      <w:r w:rsidRPr="00B0169A">
        <w:rPr>
          <w:snapToGrid w:val="0"/>
          <w:color w:val="000000"/>
          <w:position w:val="6"/>
          <w:sz w:val="16"/>
          <w:szCs w:val="0"/>
          <w:u w:color="000000"/>
        </w:rPr>
        <w:t>-1</w:t>
      </w:r>
      <w:r w:rsidRPr="00237DF8">
        <w:rPr>
          <w:snapToGrid w:val="0"/>
          <w:color w:val="000000"/>
          <w:spacing w:val="-2"/>
          <w:szCs w:val="24"/>
          <w:u w:color="000000"/>
        </w:rPr>
        <w:t>.</w:t>
      </w:r>
    </w:p>
    <w:p w:rsidR="00F27644" w:rsidRPr="00237DF8" w:rsidRDefault="00F27644" w:rsidP="00F27644">
      <w:r>
        <w:rPr>
          <w:snapToGrid w:val="0"/>
          <w:color w:val="000000"/>
          <w:spacing w:val="-2"/>
          <w:u w:color="000000"/>
        </w:rPr>
        <w:t xml:space="preserve">Past tests have indicated wide variation in </w:t>
      </w:r>
      <w:r w:rsidRPr="00846AAB">
        <w:rPr>
          <w:i/>
          <w:snapToGrid w:val="0"/>
          <w:color w:val="000000"/>
          <w:spacing w:val="-2"/>
          <w:u w:color="000000"/>
        </w:rPr>
        <w:t>M. macleayi</w:t>
      </w:r>
      <w:r>
        <w:rPr>
          <w:snapToGrid w:val="0"/>
          <w:color w:val="000000"/>
          <w:spacing w:val="-2"/>
          <w:u w:color="000000"/>
        </w:rPr>
        <w:t xml:space="preserve"> U sensitivity. This </w:t>
      </w:r>
      <w:r w:rsidRPr="00237DF8">
        <w:t>continued into the 2013</w:t>
      </w:r>
      <w:r>
        <w:t>-</w:t>
      </w:r>
      <w:r w:rsidRPr="00237DF8">
        <w:t xml:space="preserve">14 period, with two tests </w:t>
      </w:r>
      <w:r>
        <w:t>yielding</w:t>
      </w:r>
      <w:r w:rsidRPr="00237DF8">
        <w:t xml:space="preserve"> quite sensitive results (1371I and 1407I) and two that were insensitive (1369I and 1396I). As previously reported, differences in the sensitivity of </w:t>
      </w:r>
      <w:r w:rsidRPr="00237DF8">
        <w:rPr>
          <w:i/>
        </w:rPr>
        <w:t>M. macleayi</w:t>
      </w:r>
      <w:r w:rsidRPr="00237DF8">
        <w:t xml:space="preserve"> </w:t>
      </w:r>
      <w:r>
        <w:t xml:space="preserve">to U </w:t>
      </w:r>
      <w:r w:rsidRPr="00237DF8">
        <w:t xml:space="preserve">have been attributed to different batches of fermented food with vitamins (FFV) with varying organic components that may result in </w:t>
      </w:r>
      <w:r>
        <w:t>variable</w:t>
      </w:r>
      <w:r w:rsidRPr="00237DF8">
        <w:t xml:space="preserve"> binding of U to these components. </w:t>
      </w:r>
      <w:r w:rsidRPr="002F4E5E">
        <w:t xml:space="preserve">This year we performed a side by side </w:t>
      </w:r>
      <w:r w:rsidRPr="002F4E5E">
        <w:rPr>
          <w:i/>
        </w:rPr>
        <w:t xml:space="preserve">M. macleayi </w:t>
      </w:r>
      <w:r w:rsidRPr="002F4E5E">
        <w:t xml:space="preserve">reference toxicity test using a batch of FFV that previously gave a sensitive result </w:t>
      </w:r>
      <w:r>
        <w:t xml:space="preserve">(test 1371I) </w:t>
      </w:r>
      <w:r w:rsidRPr="002F4E5E">
        <w:t>and the batch of FFV being used in the cultures at the time to test this hypothesis</w:t>
      </w:r>
      <w:r>
        <w:t xml:space="preserve"> (1369I)</w:t>
      </w:r>
      <w:r w:rsidRPr="002F4E5E">
        <w:t xml:space="preserve">. </w:t>
      </w:r>
      <w:r>
        <w:t>There was</w:t>
      </w:r>
      <w:r w:rsidRPr="002F4E5E">
        <w:t xml:space="preserve"> </w:t>
      </w:r>
      <w:r>
        <w:t xml:space="preserve">a </w:t>
      </w:r>
      <w:r w:rsidRPr="002F4E5E">
        <w:t xml:space="preserve">dramatic difference in </w:t>
      </w:r>
      <w:r w:rsidRPr="002F4E5E">
        <w:rPr>
          <w:i/>
        </w:rPr>
        <w:t>M. macleayi</w:t>
      </w:r>
      <w:r w:rsidRPr="002F4E5E">
        <w:t xml:space="preserve"> sensitivity between </w:t>
      </w:r>
      <w:r>
        <w:t>the two batches of FFV (1369I </w:t>
      </w:r>
      <w:r w:rsidRPr="00237DF8">
        <w:t>EC</w:t>
      </w:r>
      <w:r>
        <w:t>50 = </w:t>
      </w:r>
      <w:r w:rsidRPr="002F4E5E">
        <w:t>&gt;270</w:t>
      </w:r>
      <w:r>
        <w:t xml:space="preserve"> </w:t>
      </w:r>
      <w:r w:rsidRPr="002F4E5E">
        <w:t xml:space="preserve">µg </w:t>
      </w:r>
      <w:r>
        <w:t>L</w:t>
      </w:r>
      <w:r w:rsidRPr="00B0169A">
        <w:rPr>
          <w:snapToGrid w:val="0"/>
          <w:color w:val="000000"/>
          <w:position w:val="6"/>
          <w:sz w:val="16"/>
          <w:szCs w:val="0"/>
          <w:u w:color="000000"/>
        </w:rPr>
        <w:t>-</w:t>
      </w:r>
      <w:proofErr w:type="gramStart"/>
      <w:r w:rsidRPr="00B0169A">
        <w:rPr>
          <w:snapToGrid w:val="0"/>
          <w:color w:val="000000"/>
          <w:position w:val="6"/>
          <w:sz w:val="16"/>
          <w:szCs w:val="0"/>
          <w:u w:color="000000"/>
        </w:rPr>
        <w:t>1</w:t>
      </w:r>
      <w:r w:rsidRPr="002F4E5E">
        <w:t xml:space="preserve">  and</w:t>
      </w:r>
      <w:proofErr w:type="gramEnd"/>
      <w:r w:rsidRPr="002F4E5E">
        <w:t xml:space="preserve"> 1371I </w:t>
      </w:r>
      <w:r w:rsidRPr="00237DF8">
        <w:t>EC</w:t>
      </w:r>
      <w:r>
        <w:t xml:space="preserve">50 </w:t>
      </w:r>
      <w:r w:rsidRPr="002F4E5E">
        <w:t xml:space="preserve">= 22 µg </w:t>
      </w:r>
      <w:r>
        <w:t>L</w:t>
      </w:r>
      <w:r w:rsidRPr="00B0169A">
        <w:rPr>
          <w:snapToGrid w:val="0"/>
          <w:color w:val="000000"/>
          <w:position w:val="6"/>
          <w:sz w:val="16"/>
          <w:szCs w:val="0"/>
          <w:u w:color="000000"/>
        </w:rPr>
        <w:t>-1</w:t>
      </w:r>
      <w:r w:rsidRPr="002F4E5E">
        <w:t xml:space="preserve"> U)</w:t>
      </w:r>
      <w:r>
        <w:t>,</w:t>
      </w:r>
      <w:r w:rsidRPr="002F4E5E">
        <w:t xml:space="preserve"> thus</w:t>
      </w:r>
      <w:r>
        <w:t>,</w:t>
      </w:r>
      <w:r w:rsidRPr="002F4E5E">
        <w:t xml:space="preserve"> confirming our hypothesis about FFV affecting sensitivity</w:t>
      </w:r>
      <w:r>
        <w:t xml:space="preserve"> to U</w:t>
      </w:r>
      <w:r w:rsidRPr="002F4E5E">
        <w:t>.</w:t>
      </w:r>
      <w:r w:rsidRPr="00237DF8">
        <w:t xml:space="preserve"> There is currently a project underway dedicated to resolving the inconsistencies associated with </w:t>
      </w:r>
      <w:r w:rsidRPr="00237DF8">
        <w:rPr>
          <w:i/>
        </w:rPr>
        <w:t>M. macleayi</w:t>
      </w:r>
      <w:r w:rsidRPr="00237DF8">
        <w:t xml:space="preserve"> diet</w:t>
      </w:r>
      <w:r>
        <w:t>,</w:t>
      </w:r>
      <w:r w:rsidRPr="00237DF8">
        <w:t xml:space="preserve"> which </w:t>
      </w:r>
      <w:r>
        <w:t>might</w:t>
      </w:r>
      <w:r w:rsidRPr="00237DF8">
        <w:t xml:space="preserve"> help to resolve this issue</w:t>
      </w:r>
      <w:r>
        <w:t xml:space="preserve"> (see related paper in this report)</w:t>
      </w:r>
      <w:r w:rsidRPr="00237DF8">
        <w:t xml:space="preserve">. </w:t>
      </w:r>
    </w:p>
    <w:p w:rsidR="00F27644" w:rsidRPr="00A6529D" w:rsidRDefault="00F27644" w:rsidP="00307669">
      <w:pPr>
        <w:pStyle w:val="Heading2"/>
      </w:pPr>
      <w:bookmarkStart w:id="124" w:name="_Toc282084554"/>
      <w:r w:rsidRPr="00307669">
        <w:t>Mogurnda mogurnda</w:t>
      </w:r>
      <w:bookmarkEnd w:id="124"/>
      <w:r w:rsidRPr="00A6529D">
        <w:t xml:space="preserve"> (fish)</w:t>
      </w:r>
    </w:p>
    <w:p w:rsidR="00F27644" w:rsidRPr="00254B06" w:rsidRDefault="00F27644" w:rsidP="00F27644">
      <w:r w:rsidRPr="00237DF8">
        <w:t xml:space="preserve">The four toxicity tests for </w:t>
      </w:r>
      <w:r w:rsidRPr="00237DF8">
        <w:rPr>
          <w:i/>
        </w:rPr>
        <w:t>M. mogurnda</w:t>
      </w:r>
      <w:r w:rsidRPr="00237DF8">
        <w:t xml:space="preserve"> were valid</w:t>
      </w:r>
      <w:r>
        <w:t>,</w:t>
      </w:r>
      <w:r w:rsidRPr="00237DF8">
        <w:t xml:space="preserve"> with the </w:t>
      </w:r>
      <w:r>
        <w:rPr>
          <w:snapToGrid w:val="0"/>
          <w:color w:val="000000"/>
          <w:u w:color="000000"/>
        </w:rPr>
        <w:t xml:space="preserve">EC50 </w:t>
      </w:r>
      <w:r w:rsidRPr="00237DF8">
        <w:rPr>
          <w:snapToGrid w:val="0"/>
          <w:color w:val="000000"/>
          <w:u w:color="000000"/>
        </w:rPr>
        <w:t xml:space="preserve">values within the </w:t>
      </w:r>
      <w:r w:rsidRPr="00237DF8">
        <w:t>lower and upper warning limits of 930 and 2023 </w:t>
      </w:r>
      <w:r w:rsidRPr="00237DF8">
        <w:rPr>
          <w:snapToGrid w:val="0"/>
          <w:color w:val="000000"/>
          <w:u w:color="000000"/>
        </w:rPr>
        <w:t>µg </w:t>
      </w:r>
      <w:r>
        <w:rPr>
          <w:snapToGrid w:val="0"/>
          <w:color w:val="000000"/>
          <w:u w:color="000000"/>
        </w:rPr>
        <w:t>L</w:t>
      </w:r>
      <w:r w:rsidRPr="00B0169A">
        <w:rPr>
          <w:snapToGrid w:val="0"/>
          <w:color w:val="000000"/>
          <w:position w:val="6"/>
          <w:sz w:val="16"/>
          <w:szCs w:val="0"/>
          <w:u w:color="000000"/>
        </w:rPr>
        <w:t>-1</w:t>
      </w:r>
      <w:r w:rsidRPr="00237DF8">
        <w:rPr>
          <w:snapToGrid w:val="0"/>
          <w:color w:val="000000"/>
          <w:u w:color="000000"/>
        </w:rPr>
        <w:t xml:space="preserve"> U, respectively</w:t>
      </w:r>
      <w:r w:rsidRPr="00237DF8">
        <w:t xml:space="preserve">. There were no problems associated with this protocol. The current </w:t>
      </w:r>
      <w:proofErr w:type="gramStart"/>
      <w:r w:rsidRPr="00237DF8">
        <w:t>running mean</w:t>
      </w:r>
      <w:proofErr w:type="gramEnd"/>
      <w:r w:rsidRPr="00237DF8">
        <w:t xml:space="preserve"> EC</w:t>
      </w:r>
      <w:r>
        <w:t>50</w:t>
      </w:r>
      <w:r w:rsidRPr="00237DF8">
        <w:t xml:space="preserve"> is 1477</w:t>
      </w:r>
      <w:r w:rsidRPr="00237DF8">
        <w:rPr>
          <w:snapToGrid w:val="0"/>
          <w:color w:val="000000"/>
          <w:u w:color="000000"/>
        </w:rPr>
        <w:t xml:space="preserve"> µg </w:t>
      </w:r>
      <w:r>
        <w:rPr>
          <w:snapToGrid w:val="0"/>
          <w:color w:val="000000"/>
          <w:u w:color="000000"/>
        </w:rPr>
        <w:t>L</w:t>
      </w:r>
      <w:r w:rsidRPr="00B0169A">
        <w:rPr>
          <w:snapToGrid w:val="0"/>
          <w:color w:val="000000"/>
          <w:position w:val="6"/>
          <w:sz w:val="16"/>
          <w:szCs w:val="0"/>
          <w:u w:color="000000"/>
        </w:rPr>
        <w:t>-1</w:t>
      </w:r>
      <w:r w:rsidRPr="00237DF8">
        <w:rPr>
          <w:snapToGrid w:val="0"/>
          <w:color w:val="000000"/>
          <w:u w:color="000000"/>
        </w:rPr>
        <w:t xml:space="preserve"> U (Figure 5)</w:t>
      </w:r>
      <w:r w:rsidRPr="00237DF8">
        <w:t>.</w:t>
      </w:r>
    </w:p>
    <w:p w:rsidR="00F27644" w:rsidRPr="00587E07" w:rsidRDefault="00F27644" w:rsidP="00307669">
      <w:pPr>
        <w:pStyle w:val="Heading2"/>
      </w:pPr>
      <w:bookmarkStart w:id="125" w:name="_Toc282084555"/>
      <w:r w:rsidRPr="00307669">
        <w:rPr>
          <w:i/>
        </w:rPr>
        <w:t>Lemna aequinoctialis</w:t>
      </w:r>
      <w:bookmarkEnd w:id="125"/>
      <w:r w:rsidRPr="00307669">
        <w:t xml:space="preserve"> (duckweed)</w:t>
      </w:r>
    </w:p>
    <w:p w:rsidR="00F27644" w:rsidRDefault="00F27644" w:rsidP="00307669">
      <w:pPr>
        <w:spacing w:after="0" w:line="240" w:lineRule="auto"/>
        <w:rPr>
          <w:szCs w:val="24"/>
        </w:rPr>
      </w:pPr>
      <w:r>
        <w:rPr>
          <w:szCs w:val="24"/>
        </w:rPr>
        <w:t>T</w:t>
      </w:r>
      <w:r w:rsidR="004D161C">
        <w:rPr>
          <w:szCs w:val="24"/>
        </w:rPr>
        <w:t>he current test medium of 1</w:t>
      </w:r>
      <w:r>
        <w:rPr>
          <w:szCs w:val="24"/>
        </w:rPr>
        <w:t xml:space="preserve">% </w:t>
      </w:r>
      <w:r w:rsidRPr="00237DF8">
        <w:rPr>
          <w:szCs w:val="24"/>
        </w:rPr>
        <w:t>modifie</w:t>
      </w:r>
      <w:r>
        <w:rPr>
          <w:szCs w:val="24"/>
        </w:rPr>
        <w:t>d Hoaglands E (Cleland &amp; Briggs</w:t>
      </w:r>
      <w:r w:rsidRPr="00237DF8">
        <w:rPr>
          <w:szCs w:val="24"/>
        </w:rPr>
        <w:t xml:space="preserve"> 1969</w:t>
      </w:r>
      <w:r>
        <w:rPr>
          <w:szCs w:val="24"/>
        </w:rPr>
        <w:t>) and K medium (Maeng &amp; Khudari</w:t>
      </w:r>
      <w:r w:rsidRPr="00237DF8">
        <w:rPr>
          <w:szCs w:val="24"/>
        </w:rPr>
        <w:t xml:space="preserve"> 1973)</w:t>
      </w:r>
      <w:r>
        <w:rPr>
          <w:szCs w:val="24"/>
        </w:rPr>
        <w:t xml:space="preserve"> </w:t>
      </w:r>
      <w:r w:rsidRPr="00237DF8">
        <w:rPr>
          <w:szCs w:val="24"/>
        </w:rPr>
        <w:t>ameliorate</w:t>
      </w:r>
      <w:r>
        <w:rPr>
          <w:szCs w:val="24"/>
        </w:rPr>
        <w:t>s</w:t>
      </w:r>
      <w:r w:rsidRPr="00237DF8">
        <w:rPr>
          <w:szCs w:val="24"/>
        </w:rPr>
        <w:t xml:space="preserve"> U toxicity </w:t>
      </w:r>
      <w:r>
        <w:rPr>
          <w:szCs w:val="24"/>
        </w:rPr>
        <w:t xml:space="preserve">and, thus, increases the effective concentration of U. Hence, the </w:t>
      </w:r>
      <w:r w:rsidRPr="001823FE">
        <w:rPr>
          <w:i/>
          <w:szCs w:val="24"/>
        </w:rPr>
        <w:t>L. aequinoctiali</w:t>
      </w:r>
      <w:r>
        <w:rPr>
          <w:i/>
          <w:szCs w:val="24"/>
        </w:rPr>
        <w:t>s</w:t>
      </w:r>
      <w:r w:rsidRPr="00980152">
        <w:rPr>
          <w:szCs w:val="24"/>
        </w:rPr>
        <w:t xml:space="preserve"> method</w:t>
      </w:r>
      <w:r>
        <w:rPr>
          <w:szCs w:val="24"/>
        </w:rPr>
        <w:t xml:space="preserve"> was problematic in that very high concentrations of U are required to obtain an EC50, large variations in pH were frequently observed (&gt;1 pH unit) and there were reductions in pH associated with U concentration in the treatments. </w:t>
      </w:r>
      <w:r w:rsidRPr="00237DF8">
        <w:rPr>
          <w:i/>
          <w:szCs w:val="24"/>
        </w:rPr>
        <w:t>Lemna</w:t>
      </w:r>
      <w:r w:rsidRPr="00237DF8">
        <w:rPr>
          <w:szCs w:val="24"/>
        </w:rPr>
        <w:t xml:space="preserve"> </w:t>
      </w:r>
      <w:r w:rsidRPr="00237DF8">
        <w:rPr>
          <w:i/>
          <w:szCs w:val="24"/>
        </w:rPr>
        <w:t>aequinoctialis</w:t>
      </w:r>
      <w:r w:rsidRPr="00237DF8">
        <w:rPr>
          <w:szCs w:val="24"/>
        </w:rPr>
        <w:t xml:space="preserve"> observations made during the brine concentrator </w:t>
      </w:r>
      <w:r>
        <w:rPr>
          <w:szCs w:val="24"/>
        </w:rPr>
        <w:t>distillate toxicity project (RES-2013–</w:t>
      </w:r>
      <w:r w:rsidRPr="00237DF8">
        <w:rPr>
          <w:szCs w:val="24"/>
        </w:rPr>
        <w:t xml:space="preserve">013) showed </w:t>
      </w:r>
      <w:r>
        <w:rPr>
          <w:szCs w:val="24"/>
        </w:rPr>
        <w:t>suitable</w:t>
      </w:r>
      <w:r w:rsidRPr="00237DF8">
        <w:rPr>
          <w:szCs w:val="24"/>
        </w:rPr>
        <w:t xml:space="preserve"> growth rates in the ultra</w:t>
      </w:r>
      <w:r>
        <w:rPr>
          <w:szCs w:val="24"/>
        </w:rPr>
        <w:t>-</w:t>
      </w:r>
      <w:r w:rsidRPr="00237DF8">
        <w:rPr>
          <w:szCs w:val="24"/>
        </w:rPr>
        <w:t>clean distillate</w:t>
      </w:r>
      <w:r>
        <w:rPr>
          <w:szCs w:val="24"/>
        </w:rPr>
        <w:t xml:space="preserve"> amended with minimal major ions</w:t>
      </w:r>
      <w:r w:rsidRPr="00237DF8">
        <w:rPr>
          <w:szCs w:val="24"/>
        </w:rPr>
        <w:t>.</w:t>
      </w:r>
      <w:r>
        <w:rPr>
          <w:szCs w:val="24"/>
        </w:rPr>
        <w:t xml:space="preserve"> Due to these problems and observations, </w:t>
      </w:r>
      <w:r w:rsidRPr="00237DF8">
        <w:rPr>
          <w:szCs w:val="24"/>
        </w:rPr>
        <w:t xml:space="preserve">the finalisation of the </w:t>
      </w:r>
      <w:r>
        <w:rPr>
          <w:szCs w:val="24"/>
        </w:rPr>
        <w:t xml:space="preserve">toxicity </w:t>
      </w:r>
      <w:r w:rsidRPr="00237DF8">
        <w:rPr>
          <w:szCs w:val="24"/>
        </w:rPr>
        <w:t xml:space="preserve">test </w:t>
      </w:r>
      <w:r>
        <w:rPr>
          <w:szCs w:val="24"/>
        </w:rPr>
        <w:t>protocol</w:t>
      </w:r>
      <w:r w:rsidRPr="00237DF8">
        <w:rPr>
          <w:szCs w:val="24"/>
        </w:rPr>
        <w:t xml:space="preserve"> </w:t>
      </w:r>
      <w:r>
        <w:rPr>
          <w:szCs w:val="24"/>
        </w:rPr>
        <w:t>was delayed</w:t>
      </w:r>
      <w:r w:rsidRPr="00237DF8">
        <w:rPr>
          <w:szCs w:val="24"/>
        </w:rPr>
        <w:t xml:space="preserve"> in order to explore some alternative testing med</w:t>
      </w:r>
      <w:r>
        <w:rPr>
          <w:szCs w:val="24"/>
        </w:rPr>
        <w:t xml:space="preserve">ia. Simple media </w:t>
      </w:r>
      <w:r w:rsidRPr="00237DF8">
        <w:rPr>
          <w:szCs w:val="24"/>
        </w:rPr>
        <w:t>compos</w:t>
      </w:r>
      <w:r>
        <w:rPr>
          <w:szCs w:val="24"/>
        </w:rPr>
        <w:t>itions were explored to see whether acceptable growth rates for both surface area and frond count could be obtained. These consisted</w:t>
      </w:r>
      <w:r w:rsidRPr="00237DF8">
        <w:rPr>
          <w:szCs w:val="24"/>
        </w:rPr>
        <w:t xml:space="preserve"> of ultrapure</w:t>
      </w:r>
      <w:r>
        <w:rPr>
          <w:szCs w:val="24"/>
        </w:rPr>
        <w:t xml:space="preserve"> </w:t>
      </w:r>
      <w:r w:rsidRPr="00237DF8">
        <w:rPr>
          <w:szCs w:val="24"/>
        </w:rPr>
        <w:t xml:space="preserve">water and </w:t>
      </w:r>
      <w:r>
        <w:rPr>
          <w:szCs w:val="24"/>
        </w:rPr>
        <w:t xml:space="preserve">minimal </w:t>
      </w:r>
      <w:r w:rsidRPr="00237DF8">
        <w:rPr>
          <w:szCs w:val="24"/>
        </w:rPr>
        <w:t>salts</w:t>
      </w:r>
      <w:r>
        <w:rPr>
          <w:szCs w:val="24"/>
        </w:rPr>
        <w:t xml:space="preserve"> </w:t>
      </w:r>
      <w:r w:rsidRPr="00237DF8">
        <w:rPr>
          <w:szCs w:val="24"/>
        </w:rPr>
        <w:t>select</w:t>
      </w:r>
      <w:r>
        <w:rPr>
          <w:szCs w:val="24"/>
        </w:rPr>
        <w:t xml:space="preserve">ed from the composition of the Synthetic Soft Water (SSW), which is used for all other reference toxicity tests </w:t>
      </w:r>
      <w:r w:rsidRPr="00237DF8">
        <w:rPr>
          <w:szCs w:val="24"/>
        </w:rPr>
        <w:t>(Figure 6)</w:t>
      </w:r>
      <w:r>
        <w:rPr>
          <w:szCs w:val="24"/>
        </w:rPr>
        <w:t>. All trialled media met the acceptability criteria for frond count but transparent patches were observed on the fronds in these treatments, suggesting that the plants were not at optimal health. The next steps are to investigate if nutrient concentrations and ratios can improve the overall health of the plants while minimising the amount of nutrients added. The addition of carbon dioxide to the test atmosphere will also be evaluated.</w:t>
      </w:r>
    </w:p>
    <w:p w:rsidR="001A7E73" w:rsidRDefault="001A7E73" w:rsidP="00307669">
      <w:pPr>
        <w:spacing w:after="0" w:line="240" w:lineRule="auto"/>
        <w:rPr>
          <w:szCs w:val="24"/>
        </w:rPr>
      </w:pPr>
    </w:p>
    <w:p w:rsidR="001A7E73" w:rsidRDefault="001A7E73" w:rsidP="001A7E73">
      <w:pPr>
        <w:rPr>
          <w:snapToGrid w:val="0"/>
          <w:color w:val="000000"/>
          <w:szCs w:val="0"/>
          <w:u w:color="000000"/>
        </w:rPr>
      </w:pPr>
      <w:r w:rsidRPr="00237DF8">
        <w:t>U</w:t>
      </w:r>
      <w:r>
        <w:t>ranium t</w:t>
      </w:r>
      <w:r w:rsidRPr="00237DF8">
        <w:t xml:space="preserve">oxicity </w:t>
      </w:r>
      <w:r>
        <w:t xml:space="preserve">estimates are now being calculated </w:t>
      </w:r>
      <w:r w:rsidRPr="00237DF8">
        <w:t xml:space="preserve">using two different </w:t>
      </w:r>
      <w:r>
        <w:t xml:space="preserve">endpoints, i.e. </w:t>
      </w:r>
      <w:r>
        <w:rPr>
          <w:i/>
        </w:rPr>
        <w:t>L. </w:t>
      </w:r>
      <w:r w:rsidRPr="00CD5290">
        <w:rPr>
          <w:i/>
        </w:rPr>
        <w:t>aequinoctialis</w:t>
      </w:r>
      <w:r>
        <w:t xml:space="preserve"> </w:t>
      </w:r>
      <w:r w:rsidRPr="00237DF8">
        <w:t xml:space="preserve">growth rates are measured based on frond number (Figure 7) as well as </w:t>
      </w:r>
      <w:r>
        <w:t xml:space="preserve">frond </w:t>
      </w:r>
      <w:r w:rsidRPr="00237DF8">
        <w:t xml:space="preserve">surface area (Figure 8). </w:t>
      </w:r>
      <w:r w:rsidRPr="00237DF8">
        <w:rPr>
          <w:snapToGrid w:val="0"/>
          <w:color w:val="000000"/>
          <w:u w:color="000000"/>
        </w:rPr>
        <w:t>The sensitivities of these two different methods are similar</w:t>
      </w:r>
      <w:r>
        <w:rPr>
          <w:snapToGrid w:val="0"/>
          <w:color w:val="000000"/>
          <w:u w:color="000000"/>
        </w:rPr>
        <w:t>,</w:t>
      </w:r>
      <w:r w:rsidRPr="00237DF8">
        <w:rPr>
          <w:snapToGrid w:val="0"/>
          <w:color w:val="000000"/>
          <w:u w:color="000000"/>
        </w:rPr>
        <w:t xml:space="preserve"> with </w:t>
      </w:r>
      <w:r w:rsidRPr="00237DF8">
        <w:t xml:space="preserve">the frond number method having a </w:t>
      </w:r>
      <w:r w:rsidRPr="00237DF8">
        <w:rPr>
          <w:snapToGrid w:val="0"/>
          <w:color w:val="000000"/>
          <w:u w:color="000000"/>
        </w:rPr>
        <w:t>running mean EC</w:t>
      </w:r>
      <w:r>
        <w:rPr>
          <w:snapToGrid w:val="0"/>
          <w:color w:val="000000"/>
          <w:u w:color="000000"/>
        </w:rPr>
        <w:t>50</w:t>
      </w:r>
      <w:r w:rsidRPr="00237DF8">
        <w:rPr>
          <w:snapToGrid w:val="0"/>
          <w:color w:val="000000"/>
          <w:u w:color="000000"/>
        </w:rPr>
        <w:t xml:space="preserve"> of </w:t>
      </w:r>
      <w:r w:rsidRPr="00237DF8">
        <w:t>11,807</w:t>
      </w:r>
      <w:r w:rsidRPr="00237DF8">
        <w:rPr>
          <w:snapToGrid w:val="0"/>
          <w:color w:val="000000"/>
          <w:u w:color="000000"/>
        </w:rPr>
        <w:t xml:space="preserve"> µg </w:t>
      </w:r>
      <w:r>
        <w:rPr>
          <w:snapToGrid w:val="0"/>
          <w:color w:val="000000"/>
          <w:u w:color="000000"/>
        </w:rPr>
        <w:t>L</w:t>
      </w:r>
      <w:r w:rsidRPr="00B0169A">
        <w:rPr>
          <w:snapToGrid w:val="0"/>
          <w:color w:val="000000"/>
          <w:position w:val="6"/>
          <w:sz w:val="16"/>
          <w:szCs w:val="0"/>
          <w:u w:color="000000"/>
        </w:rPr>
        <w:t>-1</w:t>
      </w:r>
      <w:r w:rsidRPr="00237DF8">
        <w:rPr>
          <w:snapToGrid w:val="0"/>
          <w:color w:val="000000"/>
          <w:u w:color="000000"/>
        </w:rPr>
        <w:t xml:space="preserve"> U</w:t>
      </w:r>
      <w:r w:rsidRPr="00237DF8">
        <w:t>. All results are within the lower and upper warning limits of 3186 and 20,428 </w:t>
      </w:r>
      <w:r w:rsidRPr="00237DF8">
        <w:rPr>
          <w:snapToGrid w:val="0"/>
          <w:color w:val="000000"/>
          <w:u w:color="000000"/>
        </w:rPr>
        <w:t>µg </w:t>
      </w:r>
      <w:r>
        <w:rPr>
          <w:snapToGrid w:val="0"/>
          <w:color w:val="000000"/>
          <w:u w:color="000000"/>
        </w:rPr>
        <w:t>L</w:t>
      </w:r>
      <w:r w:rsidRPr="00B0169A">
        <w:rPr>
          <w:snapToGrid w:val="0"/>
          <w:color w:val="000000"/>
          <w:position w:val="6"/>
          <w:sz w:val="16"/>
          <w:szCs w:val="0"/>
          <w:u w:color="000000"/>
        </w:rPr>
        <w:t>-1</w:t>
      </w:r>
      <w:r w:rsidRPr="00237DF8">
        <w:rPr>
          <w:snapToGrid w:val="0"/>
          <w:color w:val="000000"/>
          <w:u w:color="000000"/>
        </w:rPr>
        <w:t xml:space="preserve"> U, respectively (Figure 7). The surface area method current running mean EC</w:t>
      </w:r>
      <w:r>
        <w:rPr>
          <w:snapToGrid w:val="0"/>
          <w:color w:val="000000"/>
          <w:u w:color="000000"/>
        </w:rPr>
        <w:t>50</w:t>
      </w:r>
      <w:r w:rsidRPr="00237DF8">
        <w:rPr>
          <w:snapToGrid w:val="0"/>
          <w:color w:val="000000"/>
          <w:u w:color="000000"/>
        </w:rPr>
        <w:t xml:space="preserve"> is 8962 µg</w:t>
      </w:r>
      <w:r>
        <w:rPr>
          <w:snapToGrid w:val="0"/>
          <w:color w:val="000000"/>
          <w:u w:color="000000"/>
        </w:rPr>
        <w:t>L</w:t>
      </w:r>
      <w:r w:rsidRPr="00B0169A">
        <w:rPr>
          <w:snapToGrid w:val="0"/>
          <w:color w:val="000000"/>
          <w:position w:val="6"/>
          <w:sz w:val="16"/>
          <w:szCs w:val="0"/>
          <w:u w:color="000000"/>
        </w:rPr>
        <w:t>-1</w:t>
      </w:r>
      <w:r w:rsidRPr="00237DF8">
        <w:rPr>
          <w:snapToGrid w:val="0"/>
          <w:color w:val="000000"/>
          <w:u w:color="000000"/>
        </w:rPr>
        <w:t>, with all results within the lower and upper warning limits of 5115 and 12,810 µg L</w:t>
      </w:r>
      <w:r w:rsidRPr="00FD7397">
        <w:rPr>
          <w:snapToGrid w:val="0"/>
          <w:color w:val="000000"/>
          <w:position w:val="6"/>
          <w:sz w:val="16"/>
          <w:szCs w:val="0"/>
          <w:u w:color="000000"/>
        </w:rPr>
        <w:t>-1</w:t>
      </w:r>
      <w:r w:rsidRPr="00237DF8">
        <w:rPr>
          <w:snapToGrid w:val="0"/>
          <w:color w:val="000000"/>
          <w:u w:color="000000"/>
        </w:rPr>
        <w:t xml:space="preserve"> (Figure 6). One test this reporting period (1372L) failed due to a pH increase of &gt;1 pH unit</w:t>
      </w:r>
      <w:r>
        <w:rPr>
          <w:snapToGrid w:val="0"/>
          <w:color w:val="000000"/>
          <w:szCs w:val="0"/>
          <w:u w:color="000000"/>
        </w:rPr>
        <w:t>.</w:t>
      </w:r>
    </w:p>
    <w:p w:rsidR="001A7E73" w:rsidRDefault="001A7E73" w:rsidP="00307669">
      <w:pPr>
        <w:spacing w:after="0" w:line="240" w:lineRule="auto"/>
        <w:rPr>
          <w:szCs w:val="24"/>
        </w:rPr>
      </w:pPr>
    </w:p>
    <w:p w:rsidR="001A7E73" w:rsidRDefault="001A7E73" w:rsidP="00307669">
      <w:pPr>
        <w:spacing w:after="0" w:line="240" w:lineRule="auto"/>
        <w:rPr>
          <w:szCs w:val="24"/>
        </w:rPr>
      </w:pPr>
    </w:p>
    <w:p w:rsidR="001A7E73" w:rsidRDefault="001A7E73" w:rsidP="00307669">
      <w:pPr>
        <w:spacing w:after="0" w:line="240" w:lineRule="auto"/>
        <w:rPr>
          <w:szCs w:val="24"/>
        </w:rPr>
        <w:sectPr w:rsidR="001A7E73" w:rsidSect="00487A27">
          <w:footnotePr>
            <w:numRestart w:val="eachPage"/>
          </w:footnotePr>
          <w:pgSz w:w="11906" w:h="16838" w:code="9"/>
          <w:pgMar w:top="1440" w:right="1800" w:bottom="1440" w:left="1800" w:header="1080" w:footer="835" w:gutter="0"/>
          <w:cols w:space="360"/>
          <w:noEndnote/>
        </w:sectPr>
      </w:pPr>
    </w:p>
    <w:p w:rsidR="00F27644" w:rsidRPr="001823FE" w:rsidRDefault="00F27644" w:rsidP="00F27644">
      <w:pPr>
        <w:rPr>
          <w:szCs w:val="24"/>
        </w:rPr>
      </w:pPr>
    </w:p>
    <w:p w:rsidR="00F27644" w:rsidRPr="00237DF8" w:rsidRDefault="00F27644" w:rsidP="00F27644">
      <w:pPr>
        <w:spacing w:after="200" w:line="276" w:lineRule="auto"/>
        <w:rPr>
          <w:rFonts w:ascii="Arial" w:hAnsi="Arial" w:cs="Arial"/>
          <w:sz w:val="18"/>
          <w:szCs w:val="18"/>
        </w:rPr>
      </w:pPr>
      <w:r w:rsidRPr="00237DF8">
        <w:rPr>
          <w:rFonts w:ascii="Arial" w:hAnsi="Arial" w:cs="Arial"/>
          <w:b/>
          <w:sz w:val="18"/>
          <w:szCs w:val="18"/>
        </w:rPr>
        <w:t>Table 1</w:t>
      </w:r>
      <w:r w:rsidRPr="00237DF8">
        <w:rPr>
          <w:rFonts w:ascii="Arial" w:hAnsi="Arial" w:cs="Arial"/>
          <w:sz w:val="18"/>
          <w:szCs w:val="18"/>
        </w:rPr>
        <w:t xml:space="preserve"> Summary of the results from reference toxicity tests</w:t>
      </w:r>
      <w:r>
        <w:rPr>
          <w:rFonts w:ascii="Arial" w:hAnsi="Arial" w:cs="Arial"/>
          <w:sz w:val="18"/>
          <w:szCs w:val="18"/>
        </w:rPr>
        <w:t>.</w:t>
      </w:r>
    </w:p>
    <w:tbl>
      <w:tblPr>
        <w:tblW w:w="8278" w:type="dxa"/>
        <w:jc w:val="center"/>
        <w:tblLayout w:type="fixed"/>
        <w:tblCellMar>
          <w:left w:w="0" w:type="dxa"/>
          <w:right w:w="0" w:type="dxa"/>
        </w:tblCellMar>
        <w:tblLook w:val="0000"/>
      </w:tblPr>
      <w:tblGrid>
        <w:gridCol w:w="2178"/>
        <w:gridCol w:w="850"/>
        <w:gridCol w:w="1701"/>
        <w:gridCol w:w="567"/>
        <w:gridCol w:w="2982"/>
      </w:tblGrid>
      <w:tr w:rsidR="00F27644" w:rsidRPr="00B81249" w:rsidTr="00687AE9">
        <w:trPr>
          <w:cantSplit/>
          <w:trHeight w:val="310"/>
          <w:jc w:val="center"/>
        </w:trPr>
        <w:tc>
          <w:tcPr>
            <w:tcW w:w="2178" w:type="dxa"/>
            <w:tcBorders>
              <w:top w:val="single" w:sz="4" w:space="0" w:color="auto"/>
              <w:bottom w:val="single" w:sz="4" w:space="0" w:color="auto"/>
            </w:tcBorders>
          </w:tcPr>
          <w:p w:rsidR="00F27644" w:rsidRPr="00E33E1F" w:rsidRDefault="00F27644" w:rsidP="00687AE9">
            <w:pPr>
              <w:pStyle w:val="table1"/>
              <w:spacing w:line="276" w:lineRule="auto"/>
              <w:rPr>
                <w:rFonts w:eastAsia="Arial Unicode MS" w:cs="Arial"/>
                <w:b/>
                <w:bCs/>
                <w:szCs w:val="16"/>
              </w:rPr>
            </w:pPr>
            <w:r w:rsidRPr="00E33E1F">
              <w:rPr>
                <w:rFonts w:eastAsia="Arial Unicode MS" w:cs="Arial"/>
                <w:b/>
                <w:bCs/>
                <w:szCs w:val="16"/>
              </w:rPr>
              <w:t>Species &amp; endpoint</w:t>
            </w:r>
          </w:p>
        </w:tc>
        <w:tc>
          <w:tcPr>
            <w:tcW w:w="850" w:type="dxa"/>
            <w:tcBorders>
              <w:top w:val="single" w:sz="4" w:space="0" w:color="auto"/>
              <w:bottom w:val="single" w:sz="4" w:space="0" w:color="auto"/>
            </w:tcBorders>
          </w:tcPr>
          <w:p w:rsidR="00F27644" w:rsidRPr="00E33E1F" w:rsidRDefault="00F27644" w:rsidP="00687AE9">
            <w:pPr>
              <w:pStyle w:val="table1"/>
              <w:spacing w:line="276" w:lineRule="auto"/>
              <w:jc w:val="center"/>
              <w:rPr>
                <w:rFonts w:eastAsia="Arial Unicode MS" w:cs="Arial"/>
                <w:b/>
                <w:bCs/>
                <w:szCs w:val="16"/>
              </w:rPr>
            </w:pPr>
            <w:r>
              <w:rPr>
                <w:rFonts w:eastAsia="Arial Unicode MS" w:cs="Arial"/>
                <w:b/>
                <w:bCs/>
                <w:szCs w:val="16"/>
              </w:rPr>
              <w:t xml:space="preserve">Test Code </w:t>
            </w:r>
          </w:p>
        </w:tc>
        <w:tc>
          <w:tcPr>
            <w:tcW w:w="1701" w:type="dxa"/>
            <w:tcBorders>
              <w:top w:val="single" w:sz="4" w:space="0" w:color="auto"/>
              <w:bottom w:val="single" w:sz="4" w:space="0" w:color="auto"/>
            </w:tcBorders>
          </w:tcPr>
          <w:p w:rsidR="00F27644" w:rsidRPr="00E33E1F" w:rsidRDefault="00F27644" w:rsidP="00687AE9">
            <w:pPr>
              <w:pStyle w:val="table1"/>
              <w:spacing w:line="276" w:lineRule="auto"/>
              <w:jc w:val="center"/>
              <w:rPr>
                <w:rFonts w:eastAsia="Arial Unicode MS" w:cs="Arial"/>
                <w:b/>
                <w:bCs/>
                <w:szCs w:val="16"/>
              </w:rPr>
            </w:pPr>
            <w:r>
              <w:rPr>
                <w:rFonts w:eastAsia="Arial Unicode MS" w:cs="Arial"/>
                <w:b/>
                <w:bCs/>
                <w:szCs w:val="16"/>
              </w:rPr>
              <w:t>EC50 (</w:t>
            </w:r>
            <w:r>
              <w:rPr>
                <w:rFonts w:eastAsia="Arial Unicode MS" w:cs="Arial"/>
                <w:b/>
                <w:bCs/>
                <w:szCs w:val="16"/>
              </w:rPr>
              <w:sym w:font="Symbol" w:char="F06D"/>
            </w:r>
            <w:r>
              <w:rPr>
                <w:rFonts w:eastAsia="Arial Unicode MS" w:cs="Arial"/>
                <w:b/>
                <w:bCs/>
                <w:szCs w:val="16"/>
              </w:rPr>
              <w:t>g L</w:t>
            </w:r>
            <w:r>
              <w:rPr>
                <w:rFonts w:eastAsia="Arial Unicode MS" w:cs="Arial"/>
                <w:b/>
                <w:bCs/>
                <w:szCs w:val="16"/>
                <w:vertAlign w:val="superscript"/>
              </w:rPr>
              <w:t>-1</w:t>
            </w:r>
            <w:r>
              <w:rPr>
                <w:rFonts w:eastAsia="Arial Unicode MS" w:cs="Arial"/>
                <w:b/>
                <w:bCs/>
                <w:szCs w:val="16"/>
              </w:rPr>
              <w:t>)</w:t>
            </w:r>
          </w:p>
        </w:tc>
        <w:tc>
          <w:tcPr>
            <w:tcW w:w="567" w:type="dxa"/>
            <w:tcBorders>
              <w:top w:val="single" w:sz="4" w:space="0" w:color="auto"/>
              <w:bottom w:val="single" w:sz="4" w:space="0" w:color="auto"/>
            </w:tcBorders>
          </w:tcPr>
          <w:p w:rsidR="00F27644" w:rsidRPr="00E33E1F" w:rsidRDefault="00F27644" w:rsidP="00687AE9">
            <w:pPr>
              <w:pStyle w:val="table1"/>
              <w:spacing w:line="276" w:lineRule="auto"/>
              <w:jc w:val="center"/>
              <w:rPr>
                <w:rFonts w:eastAsia="Arial Unicode MS" w:cs="Arial"/>
                <w:b/>
                <w:bCs/>
                <w:szCs w:val="16"/>
              </w:rPr>
            </w:pPr>
            <w:r>
              <w:rPr>
                <w:rFonts w:eastAsia="Arial Unicode MS" w:cs="Arial"/>
                <w:b/>
                <w:bCs/>
                <w:szCs w:val="16"/>
              </w:rPr>
              <w:t>Valid?</w:t>
            </w:r>
          </w:p>
        </w:tc>
        <w:tc>
          <w:tcPr>
            <w:tcW w:w="2982" w:type="dxa"/>
            <w:tcBorders>
              <w:top w:val="single" w:sz="4" w:space="0" w:color="auto"/>
              <w:bottom w:val="single" w:sz="4" w:space="0" w:color="auto"/>
            </w:tcBorders>
          </w:tcPr>
          <w:p w:rsidR="00F27644" w:rsidRPr="00E33E1F" w:rsidRDefault="00F27644" w:rsidP="00687AE9">
            <w:pPr>
              <w:pStyle w:val="table1"/>
              <w:spacing w:line="276" w:lineRule="auto"/>
              <w:rPr>
                <w:rFonts w:eastAsia="Arial Unicode MS" w:cs="Arial"/>
                <w:b/>
                <w:bCs/>
                <w:szCs w:val="16"/>
              </w:rPr>
            </w:pPr>
            <w:r>
              <w:rPr>
                <w:rFonts w:eastAsia="Arial Unicode MS" w:cs="Arial"/>
                <w:b/>
                <w:bCs/>
                <w:szCs w:val="16"/>
              </w:rPr>
              <w:t>Comments</w:t>
            </w:r>
          </w:p>
        </w:tc>
      </w:tr>
      <w:tr w:rsidR="00F27644" w:rsidRPr="00B81249" w:rsidTr="00687AE9">
        <w:trPr>
          <w:cantSplit/>
          <w:trHeight w:val="242"/>
          <w:jc w:val="center"/>
        </w:trPr>
        <w:tc>
          <w:tcPr>
            <w:tcW w:w="2178" w:type="dxa"/>
            <w:vMerge w:val="restart"/>
            <w:tcBorders>
              <w:top w:val="single" w:sz="4" w:space="0" w:color="auto"/>
            </w:tcBorders>
          </w:tcPr>
          <w:p w:rsidR="00F27644" w:rsidRPr="00E33E1F" w:rsidRDefault="00F27644" w:rsidP="00687AE9">
            <w:pPr>
              <w:pStyle w:val="table1"/>
              <w:spacing w:line="276" w:lineRule="auto"/>
              <w:rPr>
                <w:rFonts w:eastAsia="Arial Unicode MS" w:cs="Arial"/>
                <w:szCs w:val="16"/>
              </w:rPr>
            </w:pPr>
            <w:r w:rsidRPr="00E33E1F">
              <w:rPr>
                <w:rFonts w:eastAsia="Arial Unicode MS" w:cs="Arial"/>
                <w:i/>
                <w:iCs/>
                <w:szCs w:val="16"/>
              </w:rPr>
              <w:t>Chlorella</w:t>
            </w:r>
            <w:r w:rsidRPr="00E33E1F">
              <w:rPr>
                <w:rFonts w:eastAsia="Arial Unicode MS" w:cs="Arial"/>
                <w:szCs w:val="16"/>
              </w:rPr>
              <w:t xml:space="preserve"> sp</w:t>
            </w:r>
            <w:r w:rsidRPr="00E33E1F">
              <w:rPr>
                <w:rFonts w:eastAsia="Arial Unicode MS" w:cs="Arial"/>
                <w:szCs w:val="16"/>
              </w:rPr>
              <w:br/>
              <w:t>(72-h cell division growth rate)</w:t>
            </w:r>
          </w:p>
        </w:tc>
        <w:tc>
          <w:tcPr>
            <w:tcW w:w="850" w:type="dxa"/>
            <w:tcBorders>
              <w:top w:val="single" w:sz="4" w:space="0" w:color="auto"/>
            </w:tcBorders>
          </w:tcPr>
          <w:p w:rsidR="00F27644" w:rsidRPr="00E33E1F" w:rsidRDefault="00F27644" w:rsidP="00687AE9">
            <w:pPr>
              <w:pStyle w:val="table1"/>
              <w:spacing w:line="276" w:lineRule="auto"/>
              <w:jc w:val="center"/>
              <w:rPr>
                <w:rFonts w:eastAsia="Arial Unicode MS" w:cs="Arial"/>
                <w:szCs w:val="16"/>
              </w:rPr>
            </w:pPr>
            <w:r>
              <w:rPr>
                <w:rFonts w:eastAsia="Arial Unicode MS" w:cs="Arial"/>
                <w:szCs w:val="16"/>
              </w:rPr>
              <w:t>1363G</w:t>
            </w:r>
          </w:p>
        </w:tc>
        <w:tc>
          <w:tcPr>
            <w:tcW w:w="1701" w:type="dxa"/>
            <w:tcBorders>
              <w:top w:val="single" w:sz="4" w:space="0" w:color="auto"/>
            </w:tcBorders>
          </w:tcPr>
          <w:p w:rsidR="00F27644" w:rsidRPr="00E33E1F" w:rsidRDefault="00F27644" w:rsidP="00687AE9">
            <w:pPr>
              <w:pStyle w:val="Styletable1Centered"/>
              <w:rPr>
                <w:rFonts w:eastAsia="Arial Unicode MS" w:cs="Arial"/>
                <w:szCs w:val="16"/>
              </w:rPr>
            </w:pPr>
            <w:r w:rsidRPr="00376A13">
              <w:rPr>
                <w:rFonts w:eastAsia="Arial Unicode MS" w:cs="Arial"/>
                <w:szCs w:val="16"/>
              </w:rPr>
              <w:t>NC</w:t>
            </w:r>
            <w:r w:rsidRPr="00376A13">
              <w:rPr>
                <w:rFonts w:eastAsia="Arial Unicode MS" w:cs="Arial"/>
                <w:snapToGrid w:val="0"/>
                <w:color w:val="000000"/>
                <w:position w:val="-4"/>
                <w:szCs w:val="16"/>
                <w:u w:color="000000"/>
              </w:rPr>
              <w:t>a</w:t>
            </w:r>
          </w:p>
        </w:tc>
        <w:tc>
          <w:tcPr>
            <w:tcW w:w="567" w:type="dxa"/>
            <w:tcBorders>
              <w:top w:val="single" w:sz="4" w:space="0" w:color="auto"/>
            </w:tcBorders>
          </w:tcPr>
          <w:p w:rsidR="00F27644" w:rsidRPr="00E33E1F" w:rsidRDefault="00F27644" w:rsidP="00687AE9">
            <w:pPr>
              <w:pStyle w:val="Styletable1Centered"/>
              <w:rPr>
                <w:rFonts w:eastAsia="Arial Unicode MS" w:cs="Arial"/>
                <w:szCs w:val="16"/>
              </w:rPr>
            </w:pPr>
            <w:r w:rsidRPr="00376A13">
              <w:rPr>
                <w:rFonts w:eastAsia="Arial Unicode MS" w:cs="Arial"/>
                <w:szCs w:val="16"/>
              </w:rPr>
              <w:t>No</w:t>
            </w:r>
          </w:p>
        </w:tc>
        <w:tc>
          <w:tcPr>
            <w:tcW w:w="2982" w:type="dxa"/>
            <w:tcBorders>
              <w:top w:val="single" w:sz="4" w:space="0" w:color="auto"/>
            </w:tcBorders>
          </w:tcPr>
          <w:p w:rsidR="00F27644" w:rsidRPr="00E33E1F" w:rsidRDefault="00F27644" w:rsidP="00687AE9">
            <w:pPr>
              <w:pStyle w:val="table1"/>
              <w:spacing w:line="276" w:lineRule="auto"/>
              <w:rPr>
                <w:rFonts w:eastAsia="Arial Unicode MS" w:cs="Arial"/>
                <w:szCs w:val="16"/>
              </w:rPr>
            </w:pPr>
            <w:r>
              <w:rPr>
                <w:rFonts w:eastAsia="Arial Unicode MS" w:cs="Arial"/>
                <w:szCs w:val="16"/>
              </w:rPr>
              <w:t>No nutrients – test terminated at 48 h</w:t>
            </w:r>
          </w:p>
        </w:tc>
      </w:tr>
      <w:tr w:rsidR="00F27644" w:rsidRPr="00B81249" w:rsidTr="00687AE9">
        <w:trPr>
          <w:cantSplit/>
          <w:trHeight w:val="209"/>
          <w:jc w:val="center"/>
        </w:trPr>
        <w:tc>
          <w:tcPr>
            <w:tcW w:w="2178" w:type="dxa"/>
            <w:vMerge/>
          </w:tcPr>
          <w:p w:rsidR="00F27644" w:rsidRPr="00E33E1F" w:rsidRDefault="00F27644" w:rsidP="00687AE9">
            <w:pPr>
              <w:pStyle w:val="table1"/>
              <w:spacing w:line="276" w:lineRule="auto"/>
              <w:jc w:val="both"/>
              <w:rPr>
                <w:rFonts w:eastAsia="Arial Unicode MS" w:cs="Arial"/>
                <w:i/>
                <w:iCs/>
                <w:szCs w:val="16"/>
              </w:rPr>
            </w:pPr>
          </w:p>
        </w:tc>
        <w:tc>
          <w:tcPr>
            <w:tcW w:w="850" w:type="dxa"/>
          </w:tcPr>
          <w:p w:rsidR="00F27644" w:rsidRPr="00E33E1F" w:rsidRDefault="00F27644" w:rsidP="00687AE9">
            <w:pPr>
              <w:pStyle w:val="table1"/>
              <w:spacing w:line="276" w:lineRule="auto"/>
              <w:jc w:val="center"/>
              <w:rPr>
                <w:rFonts w:eastAsia="Arial Unicode MS" w:cs="Arial"/>
                <w:szCs w:val="16"/>
              </w:rPr>
            </w:pPr>
            <w:r>
              <w:rPr>
                <w:rFonts w:eastAsia="Arial Unicode MS" w:cs="Arial"/>
                <w:szCs w:val="16"/>
              </w:rPr>
              <w:t>1365G</w:t>
            </w:r>
          </w:p>
        </w:tc>
        <w:tc>
          <w:tcPr>
            <w:tcW w:w="1701" w:type="dxa"/>
          </w:tcPr>
          <w:p w:rsidR="00F27644" w:rsidRPr="00E33E1F" w:rsidRDefault="00F27644" w:rsidP="00687AE9">
            <w:pPr>
              <w:pStyle w:val="Styletable1Centered"/>
              <w:rPr>
                <w:rFonts w:eastAsia="Arial Unicode MS" w:cs="Arial"/>
                <w:szCs w:val="16"/>
              </w:rPr>
            </w:pPr>
            <w:r w:rsidRPr="00376A13">
              <w:rPr>
                <w:rFonts w:eastAsia="Arial Unicode MS" w:cs="Arial"/>
                <w:szCs w:val="16"/>
              </w:rPr>
              <w:t>58 (56, 59)</w:t>
            </w:r>
          </w:p>
        </w:tc>
        <w:tc>
          <w:tcPr>
            <w:tcW w:w="567" w:type="dxa"/>
          </w:tcPr>
          <w:p w:rsidR="00F27644" w:rsidRPr="00E33E1F" w:rsidRDefault="00F27644" w:rsidP="00687AE9">
            <w:pPr>
              <w:pStyle w:val="Styletable1Centered"/>
              <w:rPr>
                <w:rFonts w:eastAsia="Arial Unicode MS" w:cs="Arial"/>
                <w:szCs w:val="16"/>
              </w:rPr>
            </w:pPr>
            <w:r w:rsidRPr="00376A13">
              <w:rPr>
                <w:rFonts w:eastAsia="Arial Unicode MS" w:cs="Arial"/>
                <w:szCs w:val="16"/>
              </w:rPr>
              <w:t>Yes</w:t>
            </w:r>
          </w:p>
        </w:tc>
        <w:tc>
          <w:tcPr>
            <w:tcW w:w="2982" w:type="dxa"/>
          </w:tcPr>
          <w:p w:rsidR="00F27644" w:rsidRPr="00E33E1F" w:rsidRDefault="00F27644" w:rsidP="00687AE9">
            <w:pPr>
              <w:pStyle w:val="table1"/>
              <w:jc w:val="both"/>
              <w:rPr>
                <w:rFonts w:eastAsia="Arial Unicode MS" w:cs="Arial"/>
                <w:szCs w:val="16"/>
              </w:rPr>
            </w:pPr>
          </w:p>
        </w:tc>
      </w:tr>
      <w:tr w:rsidR="00F27644" w:rsidRPr="00B81249" w:rsidTr="00687AE9">
        <w:trPr>
          <w:cantSplit/>
          <w:trHeight w:val="339"/>
          <w:jc w:val="center"/>
        </w:trPr>
        <w:tc>
          <w:tcPr>
            <w:tcW w:w="2178" w:type="dxa"/>
            <w:vMerge/>
            <w:tcBorders>
              <w:bottom w:val="single" w:sz="4" w:space="0" w:color="808080" w:themeColor="background1" w:themeShade="80"/>
            </w:tcBorders>
          </w:tcPr>
          <w:p w:rsidR="00F27644" w:rsidRPr="00E33E1F" w:rsidRDefault="00F27644" w:rsidP="00687AE9">
            <w:pPr>
              <w:pStyle w:val="table1"/>
              <w:spacing w:line="276" w:lineRule="auto"/>
              <w:jc w:val="both"/>
              <w:rPr>
                <w:rFonts w:eastAsia="Arial Unicode MS" w:cs="Arial"/>
                <w:i/>
                <w:iCs/>
                <w:szCs w:val="16"/>
              </w:rPr>
            </w:pPr>
          </w:p>
        </w:tc>
        <w:tc>
          <w:tcPr>
            <w:tcW w:w="850" w:type="dxa"/>
          </w:tcPr>
          <w:p w:rsidR="00F27644" w:rsidRPr="00E33E1F" w:rsidRDefault="00F27644" w:rsidP="00687AE9">
            <w:pPr>
              <w:pStyle w:val="Styletable1Centered"/>
              <w:rPr>
                <w:rFonts w:eastAsia="Arial Unicode MS" w:cs="Arial"/>
                <w:szCs w:val="16"/>
              </w:rPr>
            </w:pPr>
            <w:r w:rsidRPr="00376A13">
              <w:rPr>
                <w:rFonts w:eastAsia="Arial Unicode MS" w:cs="Arial"/>
                <w:szCs w:val="16"/>
              </w:rPr>
              <w:t>1384G</w:t>
            </w:r>
          </w:p>
        </w:tc>
        <w:tc>
          <w:tcPr>
            <w:tcW w:w="1701" w:type="dxa"/>
          </w:tcPr>
          <w:p w:rsidR="00F27644" w:rsidRPr="00E33E1F" w:rsidRDefault="00F27644" w:rsidP="00687AE9">
            <w:pPr>
              <w:pStyle w:val="Styletable1Centered"/>
              <w:rPr>
                <w:rFonts w:eastAsia="Arial Unicode MS" w:cs="Arial"/>
                <w:szCs w:val="16"/>
              </w:rPr>
            </w:pPr>
            <w:r w:rsidRPr="00376A13">
              <w:rPr>
                <w:rFonts w:eastAsia="Arial Unicode MS" w:cs="Arial"/>
                <w:szCs w:val="16"/>
              </w:rPr>
              <w:t>75 (60, 90)</w:t>
            </w:r>
          </w:p>
        </w:tc>
        <w:tc>
          <w:tcPr>
            <w:tcW w:w="567" w:type="dxa"/>
          </w:tcPr>
          <w:p w:rsidR="00F27644" w:rsidRPr="00E33E1F" w:rsidRDefault="00F27644" w:rsidP="00687AE9">
            <w:pPr>
              <w:pStyle w:val="Styletable1Centered"/>
              <w:rPr>
                <w:rFonts w:eastAsia="Arial Unicode MS" w:cs="Arial"/>
                <w:szCs w:val="16"/>
              </w:rPr>
            </w:pPr>
            <w:r w:rsidRPr="00376A13">
              <w:rPr>
                <w:rFonts w:eastAsia="Arial Unicode MS" w:cs="Arial"/>
                <w:szCs w:val="16"/>
              </w:rPr>
              <w:t>Yes</w:t>
            </w:r>
          </w:p>
        </w:tc>
        <w:tc>
          <w:tcPr>
            <w:tcW w:w="2982" w:type="dxa"/>
          </w:tcPr>
          <w:p w:rsidR="00F27644" w:rsidRPr="00E33E1F" w:rsidRDefault="00F27644" w:rsidP="00687AE9">
            <w:pPr>
              <w:pStyle w:val="table1"/>
              <w:jc w:val="both"/>
              <w:rPr>
                <w:rFonts w:eastAsia="Arial Unicode MS" w:cs="Arial"/>
                <w:szCs w:val="16"/>
              </w:rPr>
            </w:pPr>
            <w:r>
              <w:rPr>
                <w:rFonts w:eastAsia="Arial Unicode MS" w:cs="Arial"/>
                <w:szCs w:val="16"/>
              </w:rPr>
              <w:t>Repeated due to proximity to warning limit</w:t>
            </w:r>
          </w:p>
        </w:tc>
      </w:tr>
      <w:tr w:rsidR="00F27644" w:rsidRPr="00B81249" w:rsidTr="00687AE9">
        <w:trPr>
          <w:cantSplit/>
          <w:trHeight w:val="339"/>
          <w:jc w:val="center"/>
        </w:trPr>
        <w:tc>
          <w:tcPr>
            <w:tcW w:w="2178" w:type="dxa"/>
            <w:vMerge/>
            <w:tcBorders>
              <w:bottom w:val="single" w:sz="4" w:space="0" w:color="808080" w:themeColor="background1" w:themeShade="80"/>
            </w:tcBorders>
          </w:tcPr>
          <w:p w:rsidR="00F27644" w:rsidRPr="00E33E1F" w:rsidRDefault="00F27644" w:rsidP="00687AE9">
            <w:pPr>
              <w:pStyle w:val="table1"/>
              <w:spacing w:line="276" w:lineRule="auto"/>
              <w:jc w:val="both"/>
              <w:rPr>
                <w:rFonts w:eastAsia="Arial Unicode MS" w:cs="Arial"/>
                <w:i/>
                <w:iCs/>
                <w:szCs w:val="16"/>
              </w:rPr>
            </w:pPr>
          </w:p>
        </w:tc>
        <w:tc>
          <w:tcPr>
            <w:tcW w:w="850" w:type="dxa"/>
            <w:tcBorders>
              <w:bottom w:val="single" w:sz="4" w:space="0" w:color="808080" w:themeColor="background1" w:themeShade="80"/>
            </w:tcBorders>
          </w:tcPr>
          <w:p w:rsidR="00F27644" w:rsidRPr="00E33E1F" w:rsidRDefault="00F27644" w:rsidP="00687AE9">
            <w:pPr>
              <w:pStyle w:val="Styletable1Centered"/>
              <w:rPr>
                <w:rFonts w:eastAsia="Arial Unicode MS" w:cs="Arial"/>
                <w:szCs w:val="16"/>
              </w:rPr>
            </w:pPr>
            <w:r w:rsidRPr="00376A13">
              <w:rPr>
                <w:rFonts w:eastAsia="Arial Unicode MS" w:cs="Arial"/>
                <w:szCs w:val="16"/>
              </w:rPr>
              <w:t>1388G</w:t>
            </w:r>
          </w:p>
        </w:tc>
        <w:tc>
          <w:tcPr>
            <w:tcW w:w="1701" w:type="dxa"/>
            <w:tcBorders>
              <w:bottom w:val="single" w:sz="4" w:space="0" w:color="808080" w:themeColor="background1" w:themeShade="80"/>
            </w:tcBorders>
          </w:tcPr>
          <w:p w:rsidR="00F27644" w:rsidRPr="00E33E1F" w:rsidRDefault="00F27644" w:rsidP="00687AE9">
            <w:pPr>
              <w:pStyle w:val="Styletable1Centered"/>
              <w:rPr>
                <w:rFonts w:eastAsia="Arial Unicode MS" w:cs="Arial"/>
                <w:szCs w:val="16"/>
              </w:rPr>
            </w:pPr>
            <w:r w:rsidRPr="00376A13">
              <w:rPr>
                <w:rFonts w:eastAsia="Arial Unicode MS" w:cs="Arial"/>
                <w:szCs w:val="16"/>
              </w:rPr>
              <w:t>46 (42, 50)</w:t>
            </w:r>
          </w:p>
        </w:tc>
        <w:tc>
          <w:tcPr>
            <w:tcW w:w="567" w:type="dxa"/>
            <w:tcBorders>
              <w:bottom w:val="single" w:sz="4" w:space="0" w:color="808080" w:themeColor="background1" w:themeShade="80"/>
            </w:tcBorders>
          </w:tcPr>
          <w:p w:rsidR="00F27644" w:rsidRPr="00E33E1F" w:rsidRDefault="00F27644" w:rsidP="00687AE9">
            <w:pPr>
              <w:pStyle w:val="Styletable1Centered"/>
              <w:rPr>
                <w:rFonts w:eastAsia="Arial Unicode MS" w:cs="Arial"/>
                <w:szCs w:val="16"/>
              </w:rPr>
            </w:pPr>
            <w:r w:rsidRPr="00376A13">
              <w:rPr>
                <w:rFonts w:eastAsia="Arial Unicode MS" w:cs="Arial"/>
                <w:szCs w:val="16"/>
              </w:rPr>
              <w:t>Yes</w:t>
            </w:r>
          </w:p>
        </w:tc>
        <w:tc>
          <w:tcPr>
            <w:tcW w:w="2982" w:type="dxa"/>
            <w:tcBorders>
              <w:bottom w:val="single" w:sz="4" w:space="0" w:color="808080" w:themeColor="background1" w:themeShade="80"/>
            </w:tcBorders>
          </w:tcPr>
          <w:p w:rsidR="00F27644" w:rsidRPr="00E33E1F" w:rsidRDefault="00F27644" w:rsidP="00687AE9">
            <w:pPr>
              <w:pStyle w:val="table1"/>
              <w:jc w:val="both"/>
              <w:rPr>
                <w:rFonts w:eastAsia="Arial Unicode MS" w:cs="Arial"/>
                <w:szCs w:val="16"/>
              </w:rPr>
            </w:pPr>
          </w:p>
        </w:tc>
      </w:tr>
      <w:tr w:rsidR="00F27644" w:rsidRPr="00B81249" w:rsidTr="00687AE9">
        <w:trPr>
          <w:cantSplit/>
          <w:trHeight w:val="339"/>
          <w:jc w:val="center"/>
        </w:trPr>
        <w:tc>
          <w:tcPr>
            <w:tcW w:w="2178" w:type="dxa"/>
            <w:tcBorders>
              <w:top w:val="single" w:sz="4" w:space="0" w:color="808080" w:themeColor="background1" w:themeShade="80"/>
            </w:tcBorders>
          </w:tcPr>
          <w:p w:rsidR="00F27644" w:rsidRPr="00E33E1F" w:rsidRDefault="00F27644" w:rsidP="00687AE9">
            <w:pPr>
              <w:pStyle w:val="table1"/>
              <w:spacing w:line="276" w:lineRule="auto"/>
              <w:jc w:val="both"/>
              <w:rPr>
                <w:rFonts w:eastAsia="Arial Unicode MS" w:cs="Arial"/>
                <w:i/>
                <w:iCs/>
                <w:szCs w:val="16"/>
              </w:rPr>
            </w:pPr>
            <w:r w:rsidRPr="00E33E1F">
              <w:rPr>
                <w:rFonts w:eastAsia="Arial Unicode MS" w:cs="Arial"/>
                <w:i/>
                <w:iCs/>
                <w:szCs w:val="16"/>
              </w:rPr>
              <w:t xml:space="preserve">Chlorella </w:t>
            </w:r>
            <w:r w:rsidRPr="00E33E1F">
              <w:rPr>
                <w:rFonts w:eastAsia="Arial Unicode MS" w:cs="Arial"/>
                <w:iCs/>
                <w:szCs w:val="16"/>
              </w:rPr>
              <w:t>sp</w:t>
            </w:r>
            <w:r>
              <w:rPr>
                <w:rFonts w:eastAsia="Arial Unicode MS" w:cs="Arial"/>
                <w:iCs/>
                <w:szCs w:val="16"/>
              </w:rPr>
              <w:t>.</w:t>
            </w:r>
          </w:p>
        </w:tc>
        <w:tc>
          <w:tcPr>
            <w:tcW w:w="850" w:type="dxa"/>
            <w:tcBorders>
              <w:top w:val="single" w:sz="4" w:space="0" w:color="808080" w:themeColor="background1" w:themeShade="80"/>
            </w:tcBorders>
          </w:tcPr>
          <w:p w:rsidR="00F27644" w:rsidRPr="00E33E1F" w:rsidRDefault="00F27644" w:rsidP="00687AE9">
            <w:pPr>
              <w:pStyle w:val="Styletable1Centered"/>
              <w:rPr>
                <w:rFonts w:eastAsia="Arial Unicode MS" w:cs="Arial"/>
                <w:szCs w:val="16"/>
              </w:rPr>
            </w:pPr>
            <w:r w:rsidRPr="00376A13">
              <w:rPr>
                <w:rFonts w:eastAsia="Arial Unicode MS" w:cs="Arial"/>
                <w:szCs w:val="16"/>
              </w:rPr>
              <w:t>1383G</w:t>
            </w:r>
          </w:p>
        </w:tc>
        <w:tc>
          <w:tcPr>
            <w:tcW w:w="1701" w:type="dxa"/>
            <w:tcBorders>
              <w:top w:val="single" w:sz="4" w:space="0" w:color="808080" w:themeColor="background1" w:themeShade="80"/>
            </w:tcBorders>
          </w:tcPr>
          <w:p w:rsidR="00F27644" w:rsidRPr="00E33E1F" w:rsidRDefault="00F27644" w:rsidP="00687AE9">
            <w:pPr>
              <w:pStyle w:val="Styletable1Centered"/>
              <w:rPr>
                <w:rFonts w:eastAsia="Arial Unicode MS" w:cs="Arial"/>
                <w:szCs w:val="16"/>
              </w:rPr>
            </w:pPr>
            <w:r w:rsidRPr="00376A13">
              <w:rPr>
                <w:rFonts w:eastAsia="Arial Unicode MS" w:cs="Arial"/>
                <w:szCs w:val="16"/>
              </w:rPr>
              <w:t>40 (35, 45)</w:t>
            </w:r>
          </w:p>
        </w:tc>
        <w:tc>
          <w:tcPr>
            <w:tcW w:w="567" w:type="dxa"/>
            <w:tcBorders>
              <w:top w:val="single" w:sz="4" w:space="0" w:color="808080" w:themeColor="background1" w:themeShade="80"/>
            </w:tcBorders>
          </w:tcPr>
          <w:p w:rsidR="00F27644" w:rsidRPr="00E33E1F" w:rsidRDefault="00F27644" w:rsidP="00687AE9">
            <w:pPr>
              <w:pStyle w:val="Styletable1Centered"/>
              <w:rPr>
                <w:rFonts w:eastAsia="Arial Unicode MS" w:cs="Arial"/>
                <w:szCs w:val="16"/>
              </w:rPr>
            </w:pPr>
            <w:r w:rsidRPr="00376A13">
              <w:rPr>
                <w:rFonts w:eastAsia="Arial Unicode MS" w:cs="Arial"/>
                <w:szCs w:val="16"/>
              </w:rPr>
              <w:t>Yes</w:t>
            </w:r>
          </w:p>
        </w:tc>
        <w:tc>
          <w:tcPr>
            <w:tcW w:w="2982" w:type="dxa"/>
            <w:tcBorders>
              <w:top w:val="single" w:sz="4" w:space="0" w:color="808080" w:themeColor="background1" w:themeShade="80"/>
            </w:tcBorders>
          </w:tcPr>
          <w:p w:rsidR="00F27644" w:rsidRPr="00E33E1F" w:rsidRDefault="00F27644" w:rsidP="00687AE9">
            <w:pPr>
              <w:pStyle w:val="table1"/>
              <w:jc w:val="both"/>
              <w:rPr>
                <w:rFonts w:eastAsia="Arial Unicode MS" w:cs="Arial"/>
                <w:szCs w:val="16"/>
              </w:rPr>
            </w:pPr>
          </w:p>
        </w:tc>
      </w:tr>
      <w:tr w:rsidR="00F27644" w:rsidRPr="00B81249" w:rsidTr="00687AE9">
        <w:trPr>
          <w:cantSplit/>
          <w:trHeight w:val="339"/>
          <w:jc w:val="center"/>
        </w:trPr>
        <w:tc>
          <w:tcPr>
            <w:tcW w:w="2178" w:type="dxa"/>
          </w:tcPr>
          <w:p w:rsidR="00F27644" w:rsidRPr="00E33E1F" w:rsidRDefault="00F27644" w:rsidP="00687AE9">
            <w:pPr>
              <w:pStyle w:val="table1"/>
              <w:spacing w:line="276" w:lineRule="auto"/>
              <w:rPr>
                <w:rFonts w:eastAsia="Arial Unicode MS" w:cs="Arial"/>
                <w:iCs/>
                <w:szCs w:val="16"/>
              </w:rPr>
            </w:pPr>
            <w:r w:rsidRPr="00E33E1F">
              <w:rPr>
                <w:rFonts w:eastAsia="Arial Unicode MS" w:cs="Arial"/>
                <w:iCs/>
                <w:szCs w:val="16"/>
              </w:rPr>
              <w:t>(as above with reduced density and nutrients)</w:t>
            </w:r>
          </w:p>
        </w:tc>
        <w:tc>
          <w:tcPr>
            <w:tcW w:w="850" w:type="dxa"/>
          </w:tcPr>
          <w:p w:rsidR="00F27644" w:rsidRPr="00E33E1F" w:rsidRDefault="00F27644" w:rsidP="00687AE9">
            <w:pPr>
              <w:pStyle w:val="Styletable1Centered"/>
              <w:rPr>
                <w:rFonts w:eastAsia="Arial Unicode MS" w:cs="Arial"/>
                <w:szCs w:val="16"/>
              </w:rPr>
            </w:pPr>
            <w:r w:rsidRPr="00376A13">
              <w:rPr>
                <w:rFonts w:eastAsia="Arial Unicode MS" w:cs="Arial"/>
                <w:szCs w:val="16"/>
              </w:rPr>
              <w:t>1389G</w:t>
            </w:r>
          </w:p>
        </w:tc>
        <w:tc>
          <w:tcPr>
            <w:tcW w:w="1701" w:type="dxa"/>
          </w:tcPr>
          <w:p w:rsidR="00F27644" w:rsidRPr="00E33E1F" w:rsidRDefault="00F27644" w:rsidP="00687AE9">
            <w:pPr>
              <w:pStyle w:val="Styletable1Centered"/>
              <w:rPr>
                <w:rFonts w:eastAsia="Arial Unicode MS" w:cs="Arial"/>
                <w:szCs w:val="16"/>
              </w:rPr>
            </w:pPr>
            <w:r w:rsidRPr="00376A13">
              <w:rPr>
                <w:rFonts w:eastAsia="Arial Unicode MS" w:cs="Arial"/>
                <w:szCs w:val="16"/>
              </w:rPr>
              <w:t>41 (37, 45)</w:t>
            </w:r>
          </w:p>
        </w:tc>
        <w:tc>
          <w:tcPr>
            <w:tcW w:w="567" w:type="dxa"/>
          </w:tcPr>
          <w:p w:rsidR="00F27644" w:rsidRPr="00E33E1F" w:rsidRDefault="00F27644" w:rsidP="00687AE9">
            <w:pPr>
              <w:pStyle w:val="Styletable1Centered"/>
              <w:rPr>
                <w:rFonts w:eastAsia="Arial Unicode MS" w:cs="Arial"/>
                <w:szCs w:val="16"/>
              </w:rPr>
            </w:pPr>
            <w:r w:rsidRPr="00376A13">
              <w:rPr>
                <w:rFonts w:eastAsia="Arial Unicode MS" w:cs="Arial"/>
                <w:szCs w:val="16"/>
              </w:rPr>
              <w:t>Yes</w:t>
            </w:r>
          </w:p>
        </w:tc>
        <w:tc>
          <w:tcPr>
            <w:tcW w:w="2982" w:type="dxa"/>
          </w:tcPr>
          <w:p w:rsidR="00F27644" w:rsidRPr="00E33E1F" w:rsidRDefault="00F27644" w:rsidP="00687AE9">
            <w:pPr>
              <w:pStyle w:val="table1"/>
              <w:jc w:val="both"/>
              <w:rPr>
                <w:rFonts w:eastAsia="Arial Unicode MS" w:cs="Arial"/>
                <w:szCs w:val="16"/>
              </w:rPr>
            </w:pPr>
          </w:p>
        </w:tc>
      </w:tr>
      <w:tr w:rsidR="00F27644" w:rsidRPr="00B81249" w:rsidTr="00687AE9">
        <w:trPr>
          <w:cantSplit/>
          <w:trHeight w:val="339"/>
          <w:jc w:val="center"/>
        </w:trPr>
        <w:tc>
          <w:tcPr>
            <w:tcW w:w="2178" w:type="dxa"/>
          </w:tcPr>
          <w:p w:rsidR="00F27644" w:rsidRPr="00E33E1F" w:rsidRDefault="00F27644" w:rsidP="00687AE9">
            <w:pPr>
              <w:pStyle w:val="table1"/>
              <w:spacing w:line="276" w:lineRule="auto"/>
              <w:rPr>
                <w:rFonts w:eastAsia="Arial Unicode MS" w:cs="Arial"/>
                <w:iCs/>
                <w:szCs w:val="16"/>
              </w:rPr>
            </w:pPr>
          </w:p>
        </w:tc>
        <w:tc>
          <w:tcPr>
            <w:tcW w:w="850" w:type="dxa"/>
          </w:tcPr>
          <w:p w:rsidR="00F27644" w:rsidRPr="00E33E1F" w:rsidRDefault="00F27644" w:rsidP="00687AE9">
            <w:pPr>
              <w:pStyle w:val="Styletable1Centered"/>
              <w:rPr>
                <w:rFonts w:eastAsia="Arial Unicode MS" w:cs="Arial"/>
                <w:szCs w:val="16"/>
              </w:rPr>
            </w:pPr>
            <w:r w:rsidRPr="00376A13">
              <w:rPr>
                <w:rFonts w:eastAsia="Arial Unicode MS" w:cs="Arial"/>
                <w:szCs w:val="16"/>
              </w:rPr>
              <w:t>1404G</w:t>
            </w:r>
          </w:p>
        </w:tc>
        <w:tc>
          <w:tcPr>
            <w:tcW w:w="1701" w:type="dxa"/>
          </w:tcPr>
          <w:p w:rsidR="00F27644" w:rsidRPr="00E33E1F" w:rsidRDefault="00F27644" w:rsidP="00687AE9">
            <w:pPr>
              <w:pStyle w:val="Styletable1Centered"/>
              <w:rPr>
                <w:rFonts w:eastAsia="Arial Unicode MS" w:cs="Arial"/>
                <w:szCs w:val="16"/>
              </w:rPr>
            </w:pPr>
            <w:r w:rsidRPr="00376A13">
              <w:rPr>
                <w:rFonts w:eastAsia="Arial Unicode MS" w:cs="Arial"/>
                <w:szCs w:val="16"/>
              </w:rPr>
              <w:t>39 (37, 40)</w:t>
            </w:r>
          </w:p>
        </w:tc>
        <w:tc>
          <w:tcPr>
            <w:tcW w:w="567" w:type="dxa"/>
          </w:tcPr>
          <w:p w:rsidR="00F27644" w:rsidRPr="00E33E1F" w:rsidRDefault="00F27644" w:rsidP="00687AE9">
            <w:pPr>
              <w:pStyle w:val="Styletable1Centered"/>
              <w:rPr>
                <w:rFonts w:eastAsia="Arial Unicode MS" w:cs="Arial"/>
                <w:szCs w:val="16"/>
              </w:rPr>
            </w:pPr>
            <w:r w:rsidRPr="00376A13">
              <w:rPr>
                <w:rFonts w:eastAsia="Arial Unicode MS" w:cs="Arial"/>
                <w:szCs w:val="16"/>
              </w:rPr>
              <w:t>Yes</w:t>
            </w:r>
          </w:p>
        </w:tc>
        <w:tc>
          <w:tcPr>
            <w:tcW w:w="2982" w:type="dxa"/>
          </w:tcPr>
          <w:p w:rsidR="00F27644" w:rsidRPr="00E33E1F" w:rsidRDefault="00F27644" w:rsidP="00687AE9">
            <w:pPr>
              <w:pStyle w:val="table1"/>
              <w:jc w:val="both"/>
              <w:rPr>
                <w:rFonts w:eastAsia="Arial Unicode MS" w:cs="Arial"/>
                <w:szCs w:val="16"/>
              </w:rPr>
            </w:pPr>
          </w:p>
        </w:tc>
      </w:tr>
      <w:tr w:rsidR="00F27644" w:rsidRPr="00B81249" w:rsidTr="00687AE9">
        <w:trPr>
          <w:cantSplit/>
          <w:trHeight w:val="339"/>
          <w:jc w:val="center"/>
        </w:trPr>
        <w:tc>
          <w:tcPr>
            <w:tcW w:w="2178" w:type="dxa"/>
            <w:tcBorders>
              <w:bottom w:val="single" w:sz="4" w:space="0" w:color="808080" w:themeColor="background1" w:themeShade="80"/>
            </w:tcBorders>
          </w:tcPr>
          <w:p w:rsidR="00F27644" w:rsidRPr="00E33E1F" w:rsidRDefault="00F27644" w:rsidP="00687AE9">
            <w:pPr>
              <w:pStyle w:val="table1"/>
              <w:spacing w:line="276" w:lineRule="auto"/>
              <w:rPr>
                <w:rFonts w:eastAsia="Arial Unicode MS" w:cs="Arial"/>
                <w:i/>
                <w:iCs/>
                <w:szCs w:val="16"/>
              </w:rPr>
            </w:pPr>
          </w:p>
        </w:tc>
        <w:tc>
          <w:tcPr>
            <w:tcW w:w="850" w:type="dxa"/>
            <w:tcBorders>
              <w:bottom w:val="single" w:sz="4" w:space="0" w:color="808080" w:themeColor="background1" w:themeShade="80"/>
            </w:tcBorders>
          </w:tcPr>
          <w:p w:rsidR="00F27644" w:rsidRPr="00E33E1F" w:rsidRDefault="00F27644" w:rsidP="00687AE9">
            <w:pPr>
              <w:pStyle w:val="Styletable1Centered"/>
              <w:rPr>
                <w:rFonts w:eastAsia="Arial Unicode MS" w:cs="Arial"/>
                <w:szCs w:val="16"/>
              </w:rPr>
            </w:pPr>
            <w:r w:rsidRPr="00376A13">
              <w:rPr>
                <w:rFonts w:eastAsia="Arial Unicode MS" w:cs="Arial"/>
                <w:szCs w:val="16"/>
              </w:rPr>
              <w:t>1415G</w:t>
            </w:r>
          </w:p>
        </w:tc>
        <w:tc>
          <w:tcPr>
            <w:tcW w:w="1701" w:type="dxa"/>
            <w:tcBorders>
              <w:bottom w:val="single" w:sz="4" w:space="0" w:color="808080" w:themeColor="background1" w:themeShade="80"/>
            </w:tcBorders>
          </w:tcPr>
          <w:p w:rsidR="00F27644" w:rsidRPr="00E33E1F" w:rsidRDefault="00F27644" w:rsidP="00687AE9">
            <w:pPr>
              <w:pStyle w:val="Styletable1Centered"/>
              <w:rPr>
                <w:rFonts w:eastAsia="Arial Unicode MS" w:cs="Arial"/>
                <w:szCs w:val="16"/>
              </w:rPr>
            </w:pPr>
            <w:r w:rsidRPr="00376A13">
              <w:rPr>
                <w:rFonts w:eastAsia="Arial Unicode MS" w:cs="Arial"/>
                <w:szCs w:val="16"/>
              </w:rPr>
              <w:t>49 (46, 55)</w:t>
            </w:r>
          </w:p>
        </w:tc>
        <w:tc>
          <w:tcPr>
            <w:tcW w:w="567" w:type="dxa"/>
            <w:tcBorders>
              <w:bottom w:val="single" w:sz="4" w:space="0" w:color="808080" w:themeColor="background1" w:themeShade="80"/>
            </w:tcBorders>
          </w:tcPr>
          <w:p w:rsidR="00F27644" w:rsidRPr="00E33E1F" w:rsidRDefault="00F27644" w:rsidP="00687AE9">
            <w:pPr>
              <w:pStyle w:val="Styletable1Centered"/>
              <w:rPr>
                <w:rFonts w:eastAsia="Arial Unicode MS" w:cs="Arial"/>
                <w:szCs w:val="16"/>
              </w:rPr>
            </w:pPr>
            <w:r w:rsidRPr="00376A13">
              <w:rPr>
                <w:rFonts w:eastAsia="Arial Unicode MS" w:cs="Arial"/>
                <w:szCs w:val="16"/>
              </w:rPr>
              <w:t>Yes</w:t>
            </w:r>
          </w:p>
        </w:tc>
        <w:tc>
          <w:tcPr>
            <w:tcW w:w="2982" w:type="dxa"/>
            <w:tcBorders>
              <w:bottom w:val="single" w:sz="4" w:space="0" w:color="808080" w:themeColor="background1" w:themeShade="80"/>
            </w:tcBorders>
          </w:tcPr>
          <w:p w:rsidR="00F27644" w:rsidRPr="00E33E1F" w:rsidRDefault="00F27644" w:rsidP="00687AE9">
            <w:pPr>
              <w:pStyle w:val="table1"/>
              <w:jc w:val="both"/>
              <w:rPr>
                <w:rFonts w:eastAsia="Arial Unicode MS" w:cs="Arial"/>
                <w:szCs w:val="16"/>
              </w:rPr>
            </w:pPr>
          </w:p>
        </w:tc>
      </w:tr>
      <w:tr w:rsidR="00F27644" w:rsidRPr="00B81249" w:rsidTr="00687AE9">
        <w:trPr>
          <w:cantSplit/>
          <w:trHeight w:val="263"/>
          <w:jc w:val="center"/>
        </w:trPr>
        <w:tc>
          <w:tcPr>
            <w:tcW w:w="2178" w:type="dxa"/>
            <w:vMerge w:val="restart"/>
            <w:tcBorders>
              <w:top w:val="single" w:sz="4" w:space="0" w:color="808080" w:themeColor="background1" w:themeShade="80"/>
            </w:tcBorders>
          </w:tcPr>
          <w:p w:rsidR="00F27644" w:rsidRPr="00E33E1F" w:rsidRDefault="00F27644" w:rsidP="00687AE9">
            <w:pPr>
              <w:pStyle w:val="table1"/>
              <w:spacing w:line="276" w:lineRule="auto"/>
              <w:rPr>
                <w:rFonts w:eastAsia="Arial Unicode MS" w:cs="Arial"/>
                <w:szCs w:val="16"/>
                <w:lang w:val="pt-BR"/>
              </w:rPr>
            </w:pPr>
            <w:r w:rsidRPr="00E33E1F">
              <w:rPr>
                <w:rFonts w:eastAsia="Arial Unicode MS" w:cs="Arial"/>
                <w:i/>
                <w:iCs/>
                <w:szCs w:val="16"/>
                <w:lang w:val="pt-BR"/>
              </w:rPr>
              <w:t>Hydra viridissima</w:t>
            </w:r>
            <w:r w:rsidRPr="00E33E1F">
              <w:rPr>
                <w:rFonts w:eastAsia="Arial Unicode MS" w:cs="Arial"/>
                <w:szCs w:val="16"/>
                <w:lang w:val="pt-BR"/>
              </w:rPr>
              <w:br/>
              <w:t>(96-h population growth)</w:t>
            </w:r>
          </w:p>
        </w:tc>
        <w:tc>
          <w:tcPr>
            <w:tcW w:w="850" w:type="dxa"/>
            <w:tcBorders>
              <w:top w:val="single" w:sz="4" w:space="0" w:color="808080" w:themeColor="background1" w:themeShade="80"/>
            </w:tcBorders>
          </w:tcPr>
          <w:p w:rsidR="00F27644" w:rsidRPr="00E33E1F" w:rsidRDefault="00F27644" w:rsidP="00687AE9">
            <w:pPr>
              <w:pStyle w:val="table1"/>
              <w:spacing w:line="276" w:lineRule="auto"/>
              <w:jc w:val="center"/>
              <w:rPr>
                <w:rFonts w:eastAsia="Arial Unicode MS" w:cs="Arial"/>
                <w:szCs w:val="16"/>
              </w:rPr>
            </w:pPr>
            <w:r>
              <w:rPr>
                <w:rFonts w:eastAsia="Arial Unicode MS" w:cs="Arial"/>
                <w:szCs w:val="16"/>
              </w:rPr>
              <w:t>1370B</w:t>
            </w:r>
          </w:p>
        </w:tc>
        <w:tc>
          <w:tcPr>
            <w:tcW w:w="1701" w:type="dxa"/>
            <w:tcBorders>
              <w:top w:val="single" w:sz="4" w:space="0" w:color="808080" w:themeColor="background1" w:themeShade="80"/>
            </w:tcBorders>
          </w:tcPr>
          <w:p w:rsidR="00F27644" w:rsidRPr="00E33E1F" w:rsidRDefault="00F27644" w:rsidP="00687AE9">
            <w:pPr>
              <w:pStyle w:val="table1"/>
              <w:spacing w:line="276" w:lineRule="auto"/>
              <w:jc w:val="center"/>
              <w:rPr>
                <w:rFonts w:eastAsia="Arial Unicode MS" w:cs="Arial"/>
                <w:szCs w:val="16"/>
              </w:rPr>
            </w:pPr>
            <w:r>
              <w:rPr>
                <w:rFonts w:eastAsia="Arial Unicode MS" w:cs="Arial"/>
                <w:szCs w:val="16"/>
              </w:rPr>
              <w:t>77 (71, 86)</w:t>
            </w:r>
          </w:p>
        </w:tc>
        <w:tc>
          <w:tcPr>
            <w:tcW w:w="567" w:type="dxa"/>
            <w:tcBorders>
              <w:top w:val="single" w:sz="4" w:space="0" w:color="808080" w:themeColor="background1" w:themeShade="80"/>
            </w:tcBorders>
          </w:tcPr>
          <w:p w:rsidR="00F27644" w:rsidRPr="00E33E1F" w:rsidRDefault="00F27644" w:rsidP="00687AE9">
            <w:pPr>
              <w:pStyle w:val="table1"/>
              <w:spacing w:line="276" w:lineRule="auto"/>
              <w:jc w:val="center"/>
              <w:rPr>
                <w:rFonts w:eastAsia="Arial Unicode MS" w:cs="Arial"/>
                <w:szCs w:val="16"/>
              </w:rPr>
            </w:pPr>
            <w:r>
              <w:rPr>
                <w:rFonts w:eastAsia="Arial Unicode MS" w:cs="Arial"/>
                <w:szCs w:val="16"/>
              </w:rPr>
              <w:t>Yes</w:t>
            </w:r>
          </w:p>
        </w:tc>
        <w:tc>
          <w:tcPr>
            <w:tcW w:w="2982" w:type="dxa"/>
            <w:tcBorders>
              <w:top w:val="single" w:sz="4" w:space="0" w:color="808080" w:themeColor="background1" w:themeShade="80"/>
            </w:tcBorders>
          </w:tcPr>
          <w:p w:rsidR="00F27644" w:rsidRPr="00E33E1F" w:rsidRDefault="00F27644" w:rsidP="00687AE9">
            <w:pPr>
              <w:pStyle w:val="table1"/>
              <w:spacing w:line="276" w:lineRule="auto"/>
              <w:jc w:val="both"/>
              <w:rPr>
                <w:rFonts w:eastAsia="Arial Unicode MS" w:cs="Arial"/>
                <w:szCs w:val="16"/>
              </w:rPr>
            </w:pPr>
          </w:p>
        </w:tc>
      </w:tr>
      <w:tr w:rsidR="00F27644" w:rsidRPr="00B81249" w:rsidTr="00687AE9">
        <w:trPr>
          <w:cantSplit/>
          <w:trHeight w:val="312"/>
          <w:jc w:val="center"/>
        </w:trPr>
        <w:tc>
          <w:tcPr>
            <w:tcW w:w="2178" w:type="dxa"/>
            <w:vMerge/>
          </w:tcPr>
          <w:p w:rsidR="00F27644" w:rsidRPr="00E33E1F" w:rsidRDefault="00F27644" w:rsidP="00687AE9">
            <w:pPr>
              <w:pStyle w:val="table1"/>
              <w:spacing w:line="276" w:lineRule="auto"/>
              <w:jc w:val="both"/>
              <w:rPr>
                <w:rFonts w:eastAsia="Arial Unicode MS" w:cs="Arial"/>
                <w:i/>
                <w:iCs/>
                <w:szCs w:val="16"/>
                <w:lang w:val="pt-BR"/>
              </w:rPr>
            </w:pPr>
          </w:p>
        </w:tc>
        <w:tc>
          <w:tcPr>
            <w:tcW w:w="850" w:type="dxa"/>
          </w:tcPr>
          <w:p w:rsidR="00F27644" w:rsidRPr="00E33E1F" w:rsidRDefault="00F27644" w:rsidP="00687AE9">
            <w:pPr>
              <w:pStyle w:val="table1"/>
              <w:spacing w:line="276" w:lineRule="auto"/>
              <w:jc w:val="center"/>
              <w:rPr>
                <w:rFonts w:eastAsia="Arial Unicode MS" w:cs="Arial"/>
                <w:szCs w:val="16"/>
              </w:rPr>
            </w:pPr>
            <w:r>
              <w:rPr>
                <w:rFonts w:eastAsia="Arial Unicode MS" w:cs="Arial"/>
                <w:szCs w:val="16"/>
              </w:rPr>
              <w:t>1390B</w:t>
            </w:r>
          </w:p>
        </w:tc>
        <w:tc>
          <w:tcPr>
            <w:tcW w:w="1701" w:type="dxa"/>
          </w:tcPr>
          <w:p w:rsidR="00F27644" w:rsidRPr="00E33E1F" w:rsidRDefault="00F27644" w:rsidP="00687AE9">
            <w:pPr>
              <w:pStyle w:val="table1"/>
              <w:spacing w:line="276" w:lineRule="auto"/>
              <w:jc w:val="center"/>
              <w:rPr>
                <w:rFonts w:eastAsia="Arial Unicode MS" w:cs="Arial"/>
                <w:szCs w:val="16"/>
              </w:rPr>
            </w:pPr>
            <w:r>
              <w:rPr>
                <w:rFonts w:eastAsia="Arial Unicode MS" w:cs="Arial"/>
                <w:szCs w:val="16"/>
              </w:rPr>
              <w:t>98 (88, 111)</w:t>
            </w:r>
          </w:p>
        </w:tc>
        <w:tc>
          <w:tcPr>
            <w:tcW w:w="567" w:type="dxa"/>
          </w:tcPr>
          <w:p w:rsidR="00F27644" w:rsidRPr="00E33E1F" w:rsidRDefault="00F27644" w:rsidP="00687AE9">
            <w:pPr>
              <w:pStyle w:val="table1"/>
              <w:spacing w:line="276" w:lineRule="auto"/>
              <w:jc w:val="center"/>
              <w:rPr>
                <w:rFonts w:eastAsia="Arial Unicode MS" w:cs="Arial"/>
                <w:szCs w:val="16"/>
              </w:rPr>
            </w:pPr>
            <w:r>
              <w:rPr>
                <w:rFonts w:eastAsia="Arial Unicode MS" w:cs="Arial"/>
                <w:szCs w:val="16"/>
              </w:rPr>
              <w:t>Yes</w:t>
            </w:r>
          </w:p>
        </w:tc>
        <w:tc>
          <w:tcPr>
            <w:tcW w:w="2982" w:type="dxa"/>
          </w:tcPr>
          <w:p w:rsidR="00F27644" w:rsidRPr="00E33E1F" w:rsidRDefault="00F27644" w:rsidP="00687AE9">
            <w:pPr>
              <w:pStyle w:val="table1"/>
              <w:jc w:val="both"/>
              <w:rPr>
                <w:rFonts w:eastAsia="Arial Unicode MS" w:cs="Arial"/>
                <w:szCs w:val="16"/>
              </w:rPr>
            </w:pPr>
          </w:p>
        </w:tc>
      </w:tr>
      <w:tr w:rsidR="00F27644" w:rsidRPr="00B81249" w:rsidTr="00687AE9">
        <w:trPr>
          <w:cantSplit/>
          <w:trHeight w:val="272"/>
          <w:jc w:val="center"/>
        </w:trPr>
        <w:tc>
          <w:tcPr>
            <w:tcW w:w="2178" w:type="dxa"/>
            <w:vMerge/>
          </w:tcPr>
          <w:p w:rsidR="00F27644" w:rsidRPr="00E33E1F" w:rsidRDefault="00F27644" w:rsidP="00687AE9">
            <w:pPr>
              <w:pStyle w:val="table1"/>
              <w:spacing w:line="276" w:lineRule="auto"/>
              <w:jc w:val="both"/>
              <w:rPr>
                <w:rFonts w:eastAsia="Arial Unicode MS" w:cs="Arial"/>
                <w:i/>
                <w:iCs/>
                <w:szCs w:val="16"/>
                <w:lang w:val="pt-BR"/>
              </w:rPr>
            </w:pPr>
          </w:p>
        </w:tc>
        <w:tc>
          <w:tcPr>
            <w:tcW w:w="850" w:type="dxa"/>
          </w:tcPr>
          <w:p w:rsidR="00F27644" w:rsidRPr="00E33E1F" w:rsidRDefault="00F27644" w:rsidP="00687AE9">
            <w:pPr>
              <w:pStyle w:val="Styletable1Centered"/>
              <w:rPr>
                <w:rFonts w:eastAsia="Arial Unicode MS" w:cs="Arial"/>
                <w:szCs w:val="16"/>
              </w:rPr>
            </w:pPr>
            <w:r w:rsidRPr="00376A13">
              <w:rPr>
                <w:rFonts w:eastAsia="Arial Unicode MS" w:cs="Arial"/>
                <w:szCs w:val="16"/>
              </w:rPr>
              <w:t>1408B</w:t>
            </w:r>
          </w:p>
        </w:tc>
        <w:tc>
          <w:tcPr>
            <w:tcW w:w="1701" w:type="dxa"/>
          </w:tcPr>
          <w:p w:rsidR="00F27644" w:rsidRPr="00E33E1F" w:rsidRDefault="00F27644" w:rsidP="00687AE9">
            <w:pPr>
              <w:pStyle w:val="table1"/>
              <w:spacing w:line="276" w:lineRule="auto"/>
              <w:jc w:val="center"/>
              <w:rPr>
                <w:rFonts w:eastAsia="Arial Unicode MS" w:cs="Arial"/>
                <w:szCs w:val="16"/>
              </w:rPr>
            </w:pPr>
            <w:r>
              <w:rPr>
                <w:rFonts w:eastAsia="Arial Unicode MS" w:cs="Arial"/>
                <w:szCs w:val="16"/>
              </w:rPr>
              <w:t>86 (71, 94)</w:t>
            </w:r>
          </w:p>
        </w:tc>
        <w:tc>
          <w:tcPr>
            <w:tcW w:w="567" w:type="dxa"/>
          </w:tcPr>
          <w:p w:rsidR="00F27644" w:rsidRPr="00E33E1F" w:rsidRDefault="00F27644" w:rsidP="00687AE9">
            <w:pPr>
              <w:pStyle w:val="table1"/>
              <w:spacing w:line="276" w:lineRule="auto"/>
              <w:jc w:val="center"/>
              <w:rPr>
                <w:rFonts w:eastAsia="Arial Unicode MS" w:cs="Arial"/>
                <w:szCs w:val="16"/>
              </w:rPr>
            </w:pPr>
            <w:r>
              <w:rPr>
                <w:rFonts w:eastAsia="Arial Unicode MS" w:cs="Arial"/>
                <w:szCs w:val="16"/>
              </w:rPr>
              <w:t>Yes</w:t>
            </w:r>
          </w:p>
        </w:tc>
        <w:tc>
          <w:tcPr>
            <w:tcW w:w="2982" w:type="dxa"/>
          </w:tcPr>
          <w:p w:rsidR="00F27644" w:rsidRPr="00E33E1F" w:rsidRDefault="00F27644" w:rsidP="00687AE9">
            <w:pPr>
              <w:pStyle w:val="table1"/>
              <w:jc w:val="both"/>
              <w:rPr>
                <w:rFonts w:eastAsia="Arial Unicode MS" w:cs="Arial"/>
                <w:szCs w:val="16"/>
              </w:rPr>
            </w:pPr>
          </w:p>
        </w:tc>
      </w:tr>
      <w:tr w:rsidR="00F27644" w:rsidRPr="00B81249" w:rsidTr="00687AE9">
        <w:trPr>
          <w:cantSplit/>
          <w:trHeight w:val="272"/>
          <w:jc w:val="center"/>
        </w:trPr>
        <w:tc>
          <w:tcPr>
            <w:tcW w:w="2178" w:type="dxa"/>
            <w:tcBorders>
              <w:bottom w:val="single" w:sz="4" w:space="0" w:color="999999"/>
            </w:tcBorders>
          </w:tcPr>
          <w:p w:rsidR="00F27644" w:rsidRPr="00E33E1F" w:rsidRDefault="00F27644" w:rsidP="00687AE9">
            <w:pPr>
              <w:pStyle w:val="table1"/>
              <w:spacing w:line="276" w:lineRule="auto"/>
              <w:rPr>
                <w:rFonts w:eastAsia="Arial Unicode MS" w:cs="Arial"/>
                <w:i/>
                <w:iCs/>
                <w:szCs w:val="16"/>
                <w:lang w:val="pt-BR"/>
              </w:rPr>
            </w:pPr>
          </w:p>
        </w:tc>
        <w:tc>
          <w:tcPr>
            <w:tcW w:w="850" w:type="dxa"/>
            <w:tcBorders>
              <w:bottom w:val="single" w:sz="4" w:space="0" w:color="999999"/>
            </w:tcBorders>
          </w:tcPr>
          <w:p w:rsidR="00F27644" w:rsidRPr="00E33E1F" w:rsidRDefault="00F27644" w:rsidP="00687AE9">
            <w:pPr>
              <w:pStyle w:val="Styletable1Centered"/>
              <w:rPr>
                <w:rFonts w:eastAsia="Arial Unicode MS" w:cs="Arial"/>
                <w:szCs w:val="16"/>
              </w:rPr>
            </w:pPr>
            <w:r w:rsidRPr="00376A13">
              <w:rPr>
                <w:rFonts w:eastAsia="Arial Unicode MS" w:cs="Arial"/>
                <w:szCs w:val="16"/>
              </w:rPr>
              <w:t>1417B</w:t>
            </w:r>
          </w:p>
        </w:tc>
        <w:tc>
          <w:tcPr>
            <w:tcW w:w="1701" w:type="dxa"/>
            <w:tcBorders>
              <w:bottom w:val="single" w:sz="4" w:space="0" w:color="999999"/>
            </w:tcBorders>
          </w:tcPr>
          <w:p w:rsidR="00F27644" w:rsidRPr="00E33E1F" w:rsidRDefault="00F27644" w:rsidP="00687AE9">
            <w:pPr>
              <w:pStyle w:val="table1"/>
              <w:spacing w:line="276" w:lineRule="auto"/>
              <w:jc w:val="center"/>
              <w:rPr>
                <w:rFonts w:eastAsia="Arial Unicode MS" w:cs="Arial"/>
                <w:szCs w:val="16"/>
              </w:rPr>
            </w:pPr>
            <w:r>
              <w:rPr>
                <w:rFonts w:eastAsia="Arial Unicode MS" w:cs="Arial"/>
                <w:szCs w:val="16"/>
              </w:rPr>
              <w:t>99 (75, 162)</w:t>
            </w:r>
          </w:p>
        </w:tc>
        <w:tc>
          <w:tcPr>
            <w:tcW w:w="567" w:type="dxa"/>
            <w:tcBorders>
              <w:bottom w:val="single" w:sz="4" w:space="0" w:color="999999"/>
            </w:tcBorders>
          </w:tcPr>
          <w:p w:rsidR="00F27644" w:rsidRPr="00E33E1F" w:rsidRDefault="00F27644" w:rsidP="00687AE9">
            <w:pPr>
              <w:pStyle w:val="table1"/>
              <w:spacing w:line="276" w:lineRule="auto"/>
              <w:jc w:val="center"/>
              <w:rPr>
                <w:rFonts w:eastAsia="Arial Unicode MS" w:cs="Arial"/>
                <w:szCs w:val="16"/>
              </w:rPr>
            </w:pPr>
            <w:r>
              <w:rPr>
                <w:rFonts w:eastAsia="Arial Unicode MS" w:cs="Arial"/>
                <w:szCs w:val="16"/>
              </w:rPr>
              <w:t>Yes</w:t>
            </w:r>
          </w:p>
        </w:tc>
        <w:tc>
          <w:tcPr>
            <w:tcW w:w="2982" w:type="dxa"/>
            <w:tcBorders>
              <w:bottom w:val="single" w:sz="4" w:space="0" w:color="999999"/>
            </w:tcBorders>
          </w:tcPr>
          <w:p w:rsidR="00F27644" w:rsidRPr="00E33E1F" w:rsidRDefault="00F27644" w:rsidP="00687AE9">
            <w:pPr>
              <w:pStyle w:val="table1"/>
              <w:jc w:val="both"/>
              <w:rPr>
                <w:rFonts w:eastAsia="Arial Unicode MS" w:cs="Arial"/>
                <w:szCs w:val="16"/>
              </w:rPr>
            </w:pPr>
          </w:p>
        </w:tc>
      </w:tr>
      <w:tr w:rsidR="00F27644" w:rsidRPr="00B81249" w:rsidTr="00687AE9">
        <w:trPr>
          <w:cantSplit/>
          <w:trHeight w:val="290"/>
          <w:jc w:val="center"/>
        </w:trPr>
        <w:tc>
          <w:tcPr>
            <w:tcW w:w="2178" w:type="dxa"/>
            <w:vMerge w:val="restart"/>
          </w:tcPr>
          <w:p w:rsidR="00F27644" w:rsidRPr="00E33E1F" w:rsidRDefault="00F27644" w:rsidP="00687AE9">
            <w:pPr>
              <w:pStyle w:val="table1"/>
              <w:spacing w:line="276" w:lineRule="auto"/>
              <w:jc w:val="both"/>
              <w:rPr>
                <w:rFonts w:eastAsia="Arial Unicode MS" w:cs="Arial"/>
                <w:szCs w:val="16"/>
              </w:rPr>
            </w:pPr>
            <w:r w:rsidRPr="00E33E1F">
              <w:rPr>
                <w:rFonts w:eastAsia="Arial Unicode MS" w:cs="Arial"/>
                <w:i/>
                <w:szCs w:val="16"/>
              </w:rPr>
              <w:t>Moinodaphnia macleayi</w:t>
            </w:r>
            <w:r>
              <w:rPr>
                <w:rFonts w:eastAsia="Arial Unicode MS" w:cs="Arial"/>
                <w:szCs w:val="16"/>
              </w:rPr>
              <w:br/>
              <w:t>(48-h immobilisation)</w:t>
            </w:r>
          </w:p>
        </w:tc>
        <w:tc>
          <w:tcPr>
            <w:tcW w:w="850" w:type="dxa"/>
            <w:tcBorders>
              <w:top w:val="single" w:sz="4" w:space="0" w:color="999999"/>
            </w:tcBorders>
          </w:tcPr>
          <w:p w:rsidR="00F27644" w:rsidRPr="00E33E1F" w:rsidRDefault="00F27644" w:rsidP="00687AE9">
            <w:pPr>
              <w:pStyle w:val="table1"/>
              <w:spacing w:line="276" w:lineRule="auto"/>
              <w:jc w:val="center"/>
              <w:rPr>
                <w:rFonts w:eastAsia="Arial Unicode MS" w:cs="Arial"/>
                <w:szCs w:val="16"/>
              </w:rPr>
            </w:pPr>
            <w:r>
              <w:rPr>
                <w:rFonts w:eastAsia="Arial Unicode MS" w:cs="Arial"/>
                <w:szCs w:val="16"/>
              </w:rPr>
              <w:t>1369I</w:t>
            </w:r>
          </w:p>
        </w:tc>
        <w:tc>
          <w:tcPr>
            <w:tcW w:w="1701" w:type="dxa"/>
            <w:tcBorders>
              <w:top w:val="single" w:sz="4" w:space="0" w:color="999999"/>
            </w:tcBorders>
          </w:tcPr>
          <w:p w:rsidR="00F27644" w:rsidRPr="00E33E1F" w:rsidRDefault="00F27644" w:rsidP="00687AE9">
            <w:pPr>
              <w:pStyle w:val="table1"/>
              <w:spacing w:line="276" w:lineRule="auto"/>
              <w:jc w:val="center"/>
              <w:rPr>
                <w:rFonts w:eastAsia="Arial Unicode MS" w:cs="Arial"/>
                <w:szCs w:val="16"/>
              </w:rPr>
            </w:pPr>
            <w:r>
              <w:rPr>
                <w:rFonts w:eastAsia="Arial Unicode MS" w:cs="Arial"/>
                <w:szCs w:val="16"/>
              </w:rPr>
              <w:t>&gt;270 (NC</w:t>
            </w:r>
            <w:r>
              <w:rPr>
                <w:rFonts w:eastAsia="Arial Unicode MS" w:cs="Arial"/>
                <w:snapToGrid w:val="0"/>
                <w:color w:val="000000"/>
                <w:position w:val="-4"/>
                <w:szCs w:val="16"/>
                <w:u w:color="000000"/>
              </w:rPr>
              <w:t>a</w:t>
            </w:r>
            <w:r>
              <w:rPr>
                <w:rFonts w:eastAsia="Arial Unicode MS" w:cs="Arial"/>
                <w:szCs w:val="16"/>
              </w:rPr>
              <w:t>, NC</w:t>
            </w:r>
            <w:r>
              <w:rPr>
                <w:rFonts w:eastAsia="Arial Unicode MS" w:cs="Arial"/>
                <w:snapToGrid w:val="0"/>
                <w:color w:val="000000"/>
                <w:position w:val="-4"/>
                <w:szCs w:val="16"/>
                <w:u w:color="000000"/>
              </w:rPr>
              <w:t>a</w:t>
            </w:r>
            <w:r>
              <w:rPr>
                <w:rFonts w:eastAsia="Arial Unicode MS" w:cs="Arial"/>
                <w:szCs w:val="16"/>
              </w:rPr>
              <w:t>)</w:t>
            </w:r>
          </w:p>
        </w:tc>
        <w:tc>
          <w:tcPr>
            <w:tcW w:w="567" w:type="dxa"/>
            <w:tcBorders>
              <w:top w:val="single" w:sz="4" w:space="0" w:color="999999"/>
            </w:tcBorders>
          </w:tcPr>
          <w:p w:rsidR="00F27644" w:rsidRPr="00E33E1F" w:rsidRDefault="00F27644" w:rsidP="00687AE9">
            <w:pPr>
              <w:pStyle w:val="table1"/>
              <w:spacing w:line="276" w:lineRule="auto"/>
              <w:jc w:val="center"/>
              <w:rPr>
                <w:rFonts w:eastAsia="Arial Unicode MS" w:cs="Arial"/>
                <w:szCs w:val="16"/>
              </w:rPr>
            </w:pPr>
            <w:r>
              <w:rPr>
                <w:rFonts w:eastAsia="Arial Unicode MS" w:cs="Arial"/>
                <w:szCs w:val="16"/>
              </w:rPr>
              <w:t>Yes</w:t>
            </w:r>
          </w:p>
        </w:tc>
        <w:tc>
          <w:tcPr>
            <w:tcW w:w="2982" w:type="dxa"/>
            <w:tcBorders>
              <w:top w:val="single" w:sz="4" w:space="0" w:color="999999"/>
            </w:tcBorders>
          </w:tcPr>
          <w:p w:rsidR="00F27644" w:rsidRPr="00E33E1F" w:rsidRDefault="00F27644" w:rsidP="00687AE9">
            <w:pPr>
              <w:pStyle w:val="table1"/>
              <w:spacing w:line="276" w:lineRule="auto"/>
              <w:jc w:val="both"/>
              <w:rPr>
                <w:rFonts w:eastAsia="Arial Unicode MS" w:cs="Arial"/>
                <w:snapToGrid w:val="0"/>
                <w:color w:val="000000"/>
                <w:position w:val="4"/>
                <w:szCs w:val="16"/>
                <w:u w:color="000000"/>
              </w:rPr>
            </w:pPr>
          </w:p>
        </w:tc>
      </w:tr>
      <w:tr w:rsidR="00F27644" w:rsidRPr="00B81249" w:rsidTr="00687AE9">
        <w:trPr>
          <w:cantSplit/>
          <w:trHeight w:val="298"/>
          <w:jc w:val="center"/>
        </w:trPr>
        <w:tc>
          <w:tcPr>
            <w:tcW w:w="2178" w:type="dxa"/>
            <w:vMerge/>
          </w:tcPr>
          <w:p w:rsidR="00F27644" w:rsidRPr="00E33E1F" w:rsidRDefault="00F27644" w:rsidP="00687AE9">
            <w:pPr>
              <w:pStyle w:val="table1"/>
              <w:spacing w:line="276" w:lineRule="auto"/>
              <w:jc w:val="both"/>
              <w:rPr>
                <w:rFonts w:eastAsia="Arial Unicode MS" w:cs="Arial"/>
                <w:i/>
                <w:szCs w:val="16"/>
              </w:rPr>
            </w:pPr>
          </w:p>
        </w:tc>
        <w:tc>
          <w:tcPr>
            <w:tcW w:w="850" w:type="dxa"/>
          </w:tcPr>
          <w:p w:rsidR="00F27644" w:rsidRPr="00E33E1F" w:rsidRDefault="00F27644" w:rsidP="00687AE9">
            <w:pPr>
              <w:pStyle w:val="table1"/>
              <w:spacing w:line="276" w:lineRule="auto"/>
              <w:jc w:val="center"/>
              <w:rPr>
                <w:rFonts w:eastAsia="Arial Unicode MS" w:cs="Arial"/>
                <w:szCs w:val="16"/>
              </w:rPr>
            </w:pPr>
            <w:r>
              <w:rPr>
                <w:rFonts w:eastAsia="Arial Unicode MS" w:cs="Arial"/>
                <w:szCs w:val="16"/>
              </w:rPr>
              <w:t>1371I</w:t>
            </w:r>
          </w:p>
        </w:tc>
        <w:tc>
          <w:tcPr>
            <w:tcW w:w="1701" w:type="dxa"/>
          </w:tcPr>
          <w:p w:rsidR="00F27644" w:rsidRPr="00E33E1F" w:rsidRDefault="00F27644" w:rsidP="00687AE9">
            <w:pPr>
              <w:pStyle w:val="table1"/>
              <w:spacing w:line="276" w:lineRule="auto"/>
              <w:jc w:val="center"/>
              <w:rPr>
                <w:rFonts w:eastAsia="Arial Unicode MS" w:cs="Arial"/>
                <w:szCs w:val="16"/>
              </w:rPr>
            </w:pPr>
            <w:r>
              <w:rPr>
                <w:rFonts w:eastAsia="Arial Unicode MS" w:cs="Arial"/>
                <w:szCs w:val="16"/>
              </w:rPr>
              <w:t>22 (19, 41)</w:t>
            </w:r>
          </w:p>
        </w:tc>
        <w:tc>
          <w:tcPr>
            <w:tcW w:w="567" w:type="dxa"/>
          </w:tcPr>
          <w:p w:rsidR="00F27644" w:rsidRPr="00E33E1F" w:rsidRDefault="00F27644" w:rsidP="00687AE9">
            <w:pPr>
              <w:pStyle w:val="table1"/>
              <w:spacing w:line="276" w:lineRule="auto"/>
              <w:jc w:val="center"/>
              <w:rPr>
                <w:rFonts w:eastAsia="Arial Unicode MS" w:cs="Arial"/>
                <w:szCs w:val="16"/>
              </w:rPr>
            </w:pPr>
            <w:r>
              <w:rPr>
                <w:rFonts w:eastAsia="Arial Unicode MS" w:cs="Arial"/>
                <w:szCs w:val="16"/>
              </w:rPr>
              <w:t>Yes</w:t>
            </w:r>
          </w:p>
        </w:tc>
        <w:tc>
          <w:tcPr>
            <w:tcW w:w="2982" w:type="dxa"/>
          </w:tcPr>
          <w:p w:rsidR="00F27644" w:rsidRPr="00E33E1F" w:rsidRDefault="00F27644" w:rsidP="00687AE9">
            <w:pPr>
              <w:pStyle w:val="table1"/>
              <w:spacing w:line="276" w:lineRule="auto"/>
              <w:jc w:val="both"/>
              <w:rPr>
                <w:rFonts w:eastAsia="Arial Unicode MS" w:cs="Arial"/>
                <w:snapToGrid w:val="0"/>
                <w:color w:val="000000"/>
                <w:position w:val="4"/>
                <w:szCs w:val="16"/>
                <w:u w:color="000000"/>
              </w:rPr>
            </w:pPr>
            <w:r>
              <w:rPr>
                <w:rFonts w:eastAsia="Arial Unicode MS" w:cs="Arial"/>
                <w:snapToGrid w:val="0"/>
                <w:color w:val="000000"/>
                <w:position w:val="4"/>
                <w:szCs w:val="16"/>
                <w:u w:color="000000"/>
              </w:rPr>
              <w:t>Run side by side with 1369I using a different batch of FFV</w:t>
            </w:r>
          </w:p>
        </w:tc>
      </w:tr>
      <w:tr w:rsidR="00F27644" w:rsidRPr="00B81249" w:rsidTr="00687AE9">
        <w:trPr>
          <w:cantSplit/>
          <w:trHeight w:val="285"/>
          <w:jc w:val="center"/>
        </w:trPr>
        <w:tc>
          <w:tcPr>
            <w:tcW w:w="2178" w:type="dxa"/>
            <w:vMerge/>
          </w:tcPr>
          <w:p w:rsidR="00F27644" w:rsidRPr="00E33E1F" w:rsidRDefault="00F27644" w:rsidP="00687AE9">
            <w:pPr>
              <w:pStyle w:val="table1"/>
              <w:spacing w:line="276" w:lineRule="auto"/>
              <w:jc w:val="both"/>
              <w:rPr>
                <w:rFonts w:eastAsia="Arial Unicode MS" w:cs="Arial"/>
                <w:i/>
                <w:szCs w:val="16"/>
              </w:rPr>
            </w:pPr>
          </w:p>
        </w:tc>
        <w:tc>
          <w:tcPr>
            <w:tcW w:w="850" w:type="dxa"/>
          </w:tcPr>
          <w:p w:rsidR="00F27644" w:rsidRPr="00E33E1F" w:rsidRDefault="00F27644" w:rsidP="00687AE9">
            <w:pPr>
              <w:pStyle w:val="table1"/>
              <w:spacing w:line="276" w:lineRule="auto"/>
              <w:jc w:val="center"/>
              <w:rPr>
                <w:rFonts w:eastAsia="Arial Unicode MS" w:cs="Arial"/>
                <w:szCs w:val="16"/>
              </w:rPr>
            </w:pPr>
            <w:r>
              <w:rPr>
                <w:rFonts w:eastAsia="Arial Unicode MS" w:cs="Arial"/>
                <w:szCs w:val="16"/>
              </w:rPr>
              <w:t>1396I</w:t>
            </w:r>
          </w:p>
        </w:tc>
        <w:tc>
          <w:tcPr>
            <w:tcW w:w="1701" w:type="dxa"/>
          </w:tcPr>
          <w:p w:rsidR="00F27644" w:rsidRPr="00E33E1F" w:rsidRDefault="00F27644" w:rsidP="00687AE9">
            <w:pPr>
              <w:pStyle w:val="table1"/>
              <w:spacing w:line="276" w:lineRule="auto"/>
              <w:jc w:val="center"/>
              <w:rPr>
                <w:rFonts w:eastAsia="Arial Unicode MS" w:cs="Arial"/>
                <w:szCs w:val="16"/>
              </w:rPr>
            </w:pPr>
            <w:r>
              <w:rPr>
                <w:rFonts w:eastAsia="Arial Unicode MS" w:cs="Arial"/>
                <w:szCs w:val="16"/>
              </w:rPr>
              <w:t>187 (167, 209)</w:t>
            </w:r>
          </w:p>
        </w:tc>
        <w:tc>
          <w:tcPr>
            <w:tcW w:w="567" w:type="dxa"/>
          </w:tcPr>
          <w:p w:rsidR="00F27644" w:rsidRPr="00E33E1F" w:rsidRDefault="00F27644" w:rsidP="00687AE9">
            <w:pPr>
              <w:pStyle w:val="table1"/>
              <w:spacing w:line="276" w:lineRule="auto"/>
              <w:jc w:val="center"/>
              <w:rPr>
                <w:rFonts w:eastAsia="Arial Unicode MS" w:cs="Arial"/>
                <w:szCs w:val="16"/>
              </w:rPr>
            </w:pPr>
            <w:r>
              <w:rPr>
                <w:rFonts w:eastAsia="Arial Unicode MS" w:cs="Arial"/>
                <w:szCs w:val="16"/>
              </w:rPr>
              <w:t>Yes</w:t>
            </w:r>
          </w:p>
        </w:tc>
        <w:tc>
          <w:tcPr>
            <w:tcW w:w="2982" w:type="dxa"/>
          </w:tcPr>
          <w:p w:rsidR="00F27644" w:rsidRPr="00E33E1F" w:rsidRDefault="00F27644" w:rsidP="00687AE9">
            <w:pPr>
              <w:pStyle w:val="table1"/>
              <w:spacing w:line="276" w:lineRule="auto"/>
              <w:jc w:val="both"/>
              <w:rPr>
                <w:rFonts w:eastAsia="Arial Unicode MS" w:cs="Arial"/>
                <w:snapToGrid w:val="0"/>
                <w:color w:val="000000"/>
                <w:position w:val="4"/>
                <w:szCs w:val="16"/>
                <w:u w:color="000000"/>
              </w:rPr>
            </w:pPr>
          </w:p>
        </w:tc>
      </w:tr>
      <w:tr w:rsidR="00F27644" w:rsidRPr="00B81249" w:rsidTr="00687AE9">
        <w:trPr>
          <w:cantSplit/>
          <w:trHeight w:val="285"/>
          <w:jc w:val="center"/>
        </w:trPr>
        <w:tc>
          <w:tcPr>
            <w:tcW w:w="2178" w:type="dxa"/>
            <w:vMerge/>
          </w:tcPr>
          <w:p w:rsidR="00F27644" w:rsidRPr="00E33E1F" w:rsidRDefault="00F27644" w:rsidP="00687AE9">
            <w:pPr>
              <w:pStyle w:val="table1"/>
              <w:spacing w:line="276" w:lineRule="auto"/>
              <w:jc w:val="both"/>
              <w:rPr>
                <w:rFonts w:eastAsia="Arial Unicode MS" w:cs="Arial"/>
                <w:i/>
                <w:szCs w:val="16"/>
              </w:rPr>
            </w:pPr>
          </w:p>
        </w:tc>
        <w:tc>
          <w:tcPr>
            <w:tcW w:w="850" w:type="dxa"/>
          </w:tcPr>
          <w:p w:rsidR="00F27644" w:rsidRPr="00E33E1F" w:rsidRDefault="00F27644" w:rsidP="00687AE9">
            <w:pPr>
              <w:pStyle w:val="table1"/>
              <w:spacing w:line="276" w:lineRule="auto"/>
              <w:jc w:val="center"/>
              <w:rPr>
                <w:rFonts w:eastAsia="Arial Unicode MS" w:cs="Arial"/>
                <w:szCs w:val="16"/>
              </w:rPr>
            </w:pPr>
            <w:r>
              <w:rPr>
                <w:rFonts w:eastAsia="Arial Unicode MS" w:cs="Arial"/>
                <w:szCs w:val="16"/>
              </w:rPr>
              <w:t>1407I</w:t>
            </w:r>
          </w:p>
        </w:tc>
        <w:tc>
          <w:tcPr>
            <w:tcW w:w="1701" w:type="dxa"/>
          </w:tcPr>
          <w:p w:rsidR="00F27644" w:rsidRPr="00E33E1F" w:rsidRDefault="00F27644" w:rsidP="00687AE9">
            <w:pPr>
              <w:pStyle w:val="table1"/>
              <w:spacing w:line="276" w:lineRule="auto"/>
              <w:jc w:val="center"/>
              <w:rPr>
                <w:rFonts w:eastAsia="Arial Unicode MS" w:cs="Arial"/>
                <w:szCs w:val="16"/>
              </w:rPr>
            </w:pPr>
            <w:r>
              <w:rPr>
                <w:rFonts w:eastAsia="Arial Unicode MS" w:cs="Arial"/>
                <w:szCs w:val="16"/>
              </w:rPr>
              <w:t xml:space="preserve">31 (21, </w:t>
            </w:r>
            <w:r>
              <w:rPr>
                <w:rFonts w:eastAsia="Arial Unicode MS" w:cs="Arial"/>
                <w:snapToGrid w:val="0"/>
                <w:color w:val="000000"/>
                <w:szCs w:val="16"/>
                <w:u w:color="000000"/>
              </w:rPr>
              <w:t>49</w:t>
            </w:r>
            <w:r>
              <w:rPr>
                <w:rFonts w:eastAsia="Arial Unicode MS" w:cs="Arial"/>
                <w:szCs w:val="16"/>
              </w:rPr>
              <w:t>)</w:t>
            </w:r>
          </w:p>
        </w:tc>
        <w:tc>
          <w:tcPr>
            <w:tcW w:w="567" w:type="dxa"/>
          </w:tcPr>
          <w:p w:rsidR="00F27644" w:rsidRPr="00E33E1F" w:rsidRDefault="00F27644" w:rsidP="00687AE9">
            <w:pPr>
              <w:pStyle w:val="table1"/>
              <w:spacing w:line="276" w:lineRule="auto"/>
              <w:jc w:val="center"/>
              <w:rPr>
                <w:rFonts w:eastAsia="Arial Unicode MS" w:cs="Arial"/>
                <w:szCs w:val="16"/>
              </w:rPr>
            </w:pPr>
            <w:r>
              <w:rPr>
                <w:rFonts w:eastAsia="Arial Unicode MS" w:cs="Arial"/>
                <w:szCs w:val="16"/>
              </w:rPr>
              <w:t>Yes</w:t>
            </w:r>
          </w:p>
        </w:tc>
        <w:tc>
          <w:tcPr>
            <w:tcW w:w="2982" w:type="dxa"/>
          </w:tcPr>
          <w:p w:rsidR="00F27644" w:rsidRPr="00E33E1F" w:rsidRDefault="00F27644" w:rsidP="00687AE9">
            <w:pPr>
              <w:pStyle w:val="table1"/>
              <w:spacing w:line="276" w:lineRule="auto"/>
              <w:jc w:val="both"/>
              <w:rPr>
                <w:rFonts w:eastAsia="Arial Unicode MS" w:cs="Arial"/>
                <w:snapToGrid w:val="0"/>
                <w:color w:val="000000"/>
                <w:position w:val="4"/>
                <w:szCs w:val="16"/>
                <w:u w:color="000000"/>
              </w:rPr>
            </w:pPr>
          </w:p>
        </w:tc>
      </w:tr>
      <w:tr w:rsidR="00F27644" w:rsidRPr="00B81249" w:rsidTr="00687AE9">
        <w:trPr>
          <w:cantSplit/>
          <w:trHeight w:val="231"/>
          <w:jc w:val="center"/>
        </w:trPr>
        <w:tc>
          <w:tcPr>
            <w:tcW w:w="2178" w:type="dxa"/>
            <w:vMerge/>
            <w:tcBorders>
              <w:bottom w:val="single" w:sz="4" w:space="0" w:color="999999"/>
            </w:tcBorders>
          </w:tcPr>
          <w:p w:rsidR="00F27644" w:rsidRPr="00E33E1F" w:rsidRDefault="00F27644" w:rsidP="00687AE9">
            <w:pPr>
              <w:pStyle w:val="table1"/>
              <w:spacing w:line="276" w:lineRule="auto"/>
              <w:jc w:val="both"/>
              <w:rPr>
                <w:rFonts w:eastAsia="Arial Unicode MS" w:cs="Arial"/>
                <w:i/>
                <w:szCs w:val="16"/>
              </w:rPr>
            </w:pPr>
          </w:p>
        </w:tc>
        <w:tc>
          <w:tcPr>
            <w:tcW w:w="850" w:type="dxa"/>
            <w:tcBorders>
              <w:bottom w:val="single" w:sz="4" w:space="0" w:color="999999"/>
            </w:tcBorders>
          </w:tcPr>
          <w:p w:rsidR="00F27644" w:rsidRPr="00E33E1F" w:rsidRDefault="00F27644" w:rsidP="00687AE9">
            <w:pPr>
              <w:pStyle w:val="Styletable1Centered"/>
              <w:rPr>
                <w:rFonts w:eastAsia="Arial Unicode MS" w:cs="Arial"/>
                <w:szCs w:val="16"/>
              </w:rPr>
            </w:pPr>
            <w:r w:rsidRPr="00376A13">
              <w:rPr>
                <w:rFonts w:eastAsia="Arial Unicode MS" w:cs="Arial"/>
                <w:szCs w:val="16"/>
              </w:rPr>
              <w:t>1423I</w:t>
            </w:r>
          </w:p>
        </w:tc>
        <w:tc>
          <w:tcPr>
            <w:tcW w:w="1701" w:type="dxa"/>
            <w:tcBorders>
              <w:bottom w:val="single" w:sz="4" w:space="0" w:color="999999"/>
            </w:tcBorders>
          </w:tcPr>
          <w:p w:rsidR="00F27644" w:rsidRPr="00E33E1F" w:rsidRDefault="00F27644" w:rsidP="00687AE9">
            <w:pPr>
              <w:pStyle w:val="table1"/>
              <w:spacing w:line="276" w:lineRule="auto"/>
              <w:jc w:val="center"/>
              <w:rPr>
                <w:rFonts w:eastAsia="Arial Unicode MS" w:cs="Arial"/>
                <w:szCs w:val="16"/>
              </w:rPr>
            </w:pPr>
            <w:r>
              <w:rPr>
                <w:rFonts w:eastAsia="Arial Unicode MS" w:cs="Arial"/>
                <w:szCs w:val="16"/>
              </w:rPr>
              <w:t>26 (22, 32)</w:t>
            </w:r>
          </w:p>
        </w:tc>
        <w:tc>
          <w:tcPr>
            <w:tcW w:w="567" w:type="dxa"/>
            <w:tcBorders>
              <w:bottom w:val="single" w:sz="4" w:space="0" w:color="999999"/>
            </w:tcBorders>
          </w:tcPr>
          <w:p w:rsidR="00F27644" w:rsidRPr="00E33E1F" w:rsidRDefault="00F27644" w:rsidP="00687AE9">
            <w:pPr>
              <w:pStyle w:val="table1"/>
              <w:spacing w:line="276" w:lineRule="auto"/>
              <w:jc w:val="center"/>
              <w:rPr>
                <w:rFonts w:eastAsia="Arial Unicode MS" w:cs="Arial"/>
                <w:szCs w:val="16"/>
              </w:rPr>
            </w:pPr>
            <w:r>
              <w:rPr>
                <w:rFonts w:eastAsia="Arial Unicode MS" w:cs="Arial"/>
                <w:szCs w:val="16"/>
              </w:rPr>
              <w:t>Yes</w:t>
            </w:r>
          </w:p>
        </w:tc>
        <w:tc>
          <w:tcPr>
            <w:tcW w:w="2982" w:type="dxa"/>
            <w:tcBorders>
              <w:bottom w:val="single" w:sz="4" w:space="0" w:color="999999"/>
            </w:tcBorders>
          </w:tcPr>
          <w:p w:rsidR="00F27644" w:rsidRPr="00E33E1F" w:rsidRDefault="00F27644" w:rsidP="00687AE9">
            <w:pPr>
              <w:pStyle w:val="table1"/>
              <w:spacing w:line="276" w:lineRule="auto"/>
              <w:jc w:val="both"/>
              <w:rPr>
                <w:rFonts w:eastAsia="Arial Unicode MS" w:cs="Arial"/>
                <w:snapToGrid w:val="0"/>
                <w:color w:val="000000"/>
                <w:position w:val="4"/>
                <w:szCs w:val="16"/>
                <w:u w:color="000000"/>
              </w:rPr>
            </w:pPr>
          </w:p>
        </w:tc>
      </w:tr>
      <w:tr w:rsidR="00F27644" w:rsidRPr="00B81249" w:rsidTr="00687AE9">
        <w:trPr>
          <w:cantSplit/>
          <w:trHeight w:val="290"/>
          <w:jc w:val="center"/>
        </w:trPr>
        <w:tc>
          <w:tcPr>
            <w:tcW w:w="2178" w:type="dxa"/>
            <w:vMerge w:val="restart"/>
            <w:tcBorders>
              <w:top w:val="single" w:sz="4" w:space="0" w:color="999999"/>
            </w:tcBorders>
          </w:tcPr>
          <w:p w:rsidR="00F27644" w:rsidRPr="00E33E1F" w:rsidRDefault="00F27644" w:rsidP="00687AE9">
            <w:pPr>
              <w:pStyle w:val="table1"/>
              <w:spacing w:line="276" w:lineRule="auto"/>
              <w:jc w:val="both"/>
              <w:rPr>
                <w:rFonts w:eastAsia="Arial Unicode MS" w:cs="Arial"/>
                <w:i/>
                <w:szCs w:val="16"/>
                <w:lang w:val="pt-BR"/>
              </w:rPr>
            </w:pPr>
            <w:r w:rsidRPr="00E33E1F">
              <w:rPr>
                <w:rFonts w:eastAsia="Arial Unicode MS" w:cs="Arial"/>
                <w:i/>
                <w:szCs w:val="16"/>
                <w:lang w:val="pt-BR"/>
              </w:rPr>
              <w:t>Mogurnda mogurnda</w:t>
            </w:r>
            <w:r w:rsidRPr="00E33E1F">
              <w:rPr>
                <w:rFonts w:eastAsia="Arial Unicode MS" w:cs="Arial"/>
                <w:szCs w:val="16"/>
                <w:lang w:val="pt-BR"/>
              </w:rPr>
              <w:br/>
              <w:t>(96-h sac fry survival)</w:t>
            </w:r>
          </w:p>
        </w:tc>
        <w:tc>
          <w:tcPr>
            <w:tcW w:w="850" w:type="dxa"/>
            <w:tcBorders>
              <w:top w:val="single" w:sz="4" w:space="0" w:color="999999"/>
            </w:tcBorders>
          </w:tcPr>
          <w:p w:rsidR="00F27644" w:rsidRPr="00E33E1F" w:rsidRDefault="00F27644" w:rsidP="00687AE9">
            <w:pPr>
              <w:pStyle w:val="table1"/>
              <w:spacing w:line="276" w:lineRule="auto"/>
              <w:jc w:val="center"/>
              <w:rPr>
                <w:rFonts w:eastAsia="Arial Unicode MS" w:cs="Arial"/>
                <w:szCs w:val="16"/>
              </w:rPr>
            </w:pPr>
            <w:r>
              <w:rPr>
                <w:rFonts w:eastAsia="Arial Unicode MS" w:cs="Arial"/>
                <w:szCs w:val="16"/>
              </w:rPr>
              <w:t>1374E</w:t>
            </w:r>
          </w:p>
        </w:tc>
        <w:tc>
          <w:tcPr>
            <w:tcW w:w="1701" w:type="dxa"/>
            <w:tcBorders>
              <w:top w:val="single" w:sz="4" w:space="0" w:color="999999"/>
            </w:tcBorders>
          </w:tcPr>
          <w:p w:rsidR="00F27644" w:rsidRPr="00E33E1F" w:rsidRDefault="00F27644" w:rsidP="00687AE9">
            <w:pPr>
              <w:pStyle w:val="table1"/>
              <w:spacing w:line="276" w:lineRule="auto"/>
              <w:jc w:val="center"/>
              <w:rPr>
                <w:rFonts w:eastAsia="Arial Unicode MS" w:cs="Arial"/>
                <w:szCs w:val="16"/>
              </w:rPr>
            </w:pPr>
            <w:r>
              <w:rPr>
                <w:rFonts w:eastAsia="Arial Unicode MS" w:cs="Arial"/>
                <w:szCs w:val="16"/>
              </w:rPr>
              <w:t>1548 (1237, 1669)</w:t>
            </w:r>
          </w:p>
        </w:tc>
        <w:tc>
          <w:tcPr>
            <w:tcW w:w="567" w:type="dxa"/>
            <w:tcBorders>
              <w:top w:val="single" w:sz="4" w:space="0" w:color="999999"/>
            </w:tcBorders>
          </w:tcPr>
          <w:p w:rsidR="00F27644" w:rsidRPr="00E33E1F" w:rsidRDefault="00F27644" w:rsidP="00687AE9">
            <w:pPr>
              <w:pStyle w:val="table1"/>
              <w:spacing w:line="276" w:lineRule="auto"/>
              <w:jc w:val="center"/>
              <w:rPr>
                <w:rFonts w:eastAsia="Arial Unicode MS" w:cs="Arial"/>
                <w:szCs w:val="16"/>
              </w:rPr>
            </w:pPr>
            <w:r>
              <w:rPr>
                <w:rFonts w:eastAsia="Arial Unicode MS" w:cs="Arial"/>
                <w:szCs w:val="16"/>
              </w:rPr>
              <w:t>Yes</w:t>
            </w:r>
          </w:p>
        </w:tc>
        <w:tc>
          <w:tcPr>
            <w:tcW w:w="2982" w:type="dxa"/>
            <w:tcBorders>
              <w:top w:val="single" w:sz="4" w:space="0" w:color="999999"/>
            </w:tcBorders>
          </w:tcPr>
          <w:p w:rsidR="00F27644" w:rsidRPr="00E33E1F" w:rsidRDefault="00F27644" w:rsidP="00687AE9">
            <w:pPr>
              <w:pStyle w:val="table1"/>
              <w:spacing w:line="276" w:lineRule="auto"/>
              <w:jc w:val="both"/>
              <w:rPr>
                <w:rFonts w:eastAsia="Arial Unicode MS" w:cs="Arial"/>
                <w:szCs w:val="16"/>
                <w:highlight w:val="yellow"/>
              </w:rPr>
            </w:pPr>
          </w:p>
        </w:tc>
      </w:tr>
      <w:tr w:rsidR="00F27644" w:rsidRPr="00B81249" w:rsidTr="00687AE9">
        <w:trPr>
          <w:cantSplit/>
          <w:trHeight w:val="353"/>
          <w:jc w:val="center"/>
        </w:trPr>
        <w:tc>
          <w:tcPr>
            <w:tcW w:w="2178" w:type="dxa"/>
            <w:vMerge/>
          </w:tcPr>
          <w:p w:rsidR="00F27644" w:rsidRPr="00E33E1F" w:rsidRDefault="00F27644" w:rsidP="00687AE9">
            <w:pPr>
              <w:pStyle w:val="table1"/>
              <w:spacing w:line="276" w:lineRule="auto"/>
              <w:jc w:val="both"/>
              <w:rPr>
                <w:rFonts w:eastAsia="Arial Unicode MS" w:cs="Arial"/>
                <w:i/>
                <w:szCs w:val="16"/>
                <w:lang w:val="pt-BR"/>
              </w:rPr>
            </w:pPr>
          </w:p>
        </w:tc>
        <w:tc>
          <w:tcPr>
            <w:tcW w:w="850" w:type="dxa"/>
          </w:tcPr>
          <w:p w:rsidR="00F27644" w:rsidRPr="00E33E1F" w:rsidRDefault="00F27644" w:rsidP="00687AE9">
            <w:pPr>
              <w:pStyle w:val="table1"/>
              <w:spacing w:line="276" w:lineRule="auto"/>
              <w:jc w:val="center"/>
              <w:rPr>
                <w:rFonts w:eastAsia="Arial Unicode MS" w:cs="Arial"/>
                <w:szCs w:val="16"/>
              </w:rPr>
            </w:pPr>
            <w:r>
              <w:rPr>
                <w:rFonts w:eastAsia="Arial Unicode MS" w:cs="Arial"/>
                <w:szCs w:val="16"/>
              </w:rPr>
              <w:t>1386E</w:t>
            </w:r>
          </w:p>
        </w:tc>
        <w:tc>
          <w:tcPr>
            <w:tcW w:w="1701" w:type="dxa"/>
          </w:tcPr>
          <w:p w:rsidR="00F27644" w:rsidRPr="00E33E1F" w:rsidRDefault="00F27644" w:rsidP="00687AE9">
            <w:pPr>
              <w:pStyle w:val="table1"/>
              <w:spacing w:line="276" w:lineRule="auto"/>
              <w:jc w:val="center"/>
              <w:rPr>
                <w:rFonts w:eastAsia="Arial Unicode MS" w:cs="Arial"/>
                <w:szCs w:val="16"/>
              </w:rPr>
            </w:pPr>
            <w:r>
              <w:rPr>
                <w:rFonts w:eastAsia="Arial Unicode MS" w:cs="Arial"/>
                <w:szCs w:val="16"/>
              </w:rPr>
              <w:t>1416 (1324, 1519)</w:t>
            </w:r>
          </w:p>
        </w:tc>
        <w:tc>
          <w:tcPr>
            <w:tcW w:w="567" w:type="dxa"/>
          </w:tcPr>
          <w:p w:rsidR="00F27644" w:rsidRPr="00E33E1F" w:rsidRDefault="00F27644" w:rsidP="00687AE9">
            <w:pPr>
              <w:pStyle w:val="table1"/>
              <w:spacing w:line="276" w:lineRule="auto"/>
              <w:jc w:val="center"/>
              <w:rPr>
                <w:rFonts w:eastAsia="Arial Unicode MS" w:cs="Arial"/>
                <w:szCs w:val="16"/>
              </w:rPr>
            </w:pPr>
            <w:r>
              <w:rPr>
                <w:rFonts w:eastAsia="Arial Unicode MS" w:cs="Arial"/>
                <w:szCs w:val="16"/>
              </w:rPr>
              <w:t>Yes</w:t>
            </w:r>
          </w:p>
        </w:tc>
        <w:tc>
          <w:tcPr>
            <w:tcW w:w="2982" w:type="dxa"/>
          </w:tcPr>
          <w:p w:rsidR="00F27644" w:rsidRPr="00E33E1F" w:rsidRDefault="00F27644" w:rsidP="00687AE9">
            <w:pPr>
              <w:pStyle w:val="table1"/>
              <w:spacing w:line="276" w:lineRule="auto"/>
              <w:jc w:val="both"/>
              <w:rPr>
                <w:rFonts w:eastAsia="Arial Unicode MS" w:cs="Arial"/>
                <w:szCs w:val="16"/>
                <w:highlight w:val="yellow"/>
              </w:rPr>
            </w:pPr>
          </w:p>
        </w:tc>
      </w:tr>
      <w:tr w:rsidR="00F27644" w:rsidRPr="00B81249" w:rsidTr="00687AE9">
        <w:trPr>
          <w:cantSplit/>
          <w:trHeight w:val="204"/>
          <w:jc w:val="center"/>
        </w:trPr>
        <w:tc>
          <w:tcPr>
            <w:tcW w:w="2178" w:type="dxa"/>
            <w:vMerge/>
          </w:tcPr>
          <w:p w:rsidR="00F27644" w:rsidRPr="00E33E1F" w:rsidRDefault="00F27644" w:rsidP="00687AE9">
            <w:pPr>
              <w:pStyle w:val="table1"/>
              <w:spacing w:line="276" w:lineRule="auto"/>
              <w:jc w:val="both"/>
              <w:rPr>
                <w:rFonts w:eastAsia="Arial Unicode MS" w:cs="Arial"/>
                <w:i/>
                <w:szCs w:val="16"/>
                <w:lang w:val="pt-BR"/>
              </w:rPr>
            </w:pPr>
          </w:p>
        </w:tc>
        <w:tc>
          <w:tcPr>
            <w:tcW w:w="850" w:type="dxa"/>
          </w:tcPr>
          <w:p w:rsidR="00F27644" w:rsidRPr="00E33E1F" w:rsidRDefault="00F27644" w:rsidP="00687AE9">
            <w:pPr>
              <w:pStyle w:val="Styletable1Centered"/>
              <w:rPr>
                <w:rFonts w:eastAsia="Arial Unicode MS" w:cs="Arial"/>
                <w:szCs w:val="16"/>
              </w:rPr>
            </w:pPr>
            <w:r w:rsidRPr="00376A13">
              <w:rPr>
                <w:rFonts w:eastAsia="Arial Unicode MS" w:cs="Arial"/>
                <w:szCs w:val="16"/>
              </w:rPr>
              <w:t>1409E</w:t>
            </w:r>
          </w:p>
        </w:tc>
        <w:tc>
          <w:tcPr>
            <w:tcW w:w="1701" w:type="dxa"/>
          </w:tcPr>
          <w:p w:rsidR="00F27644" w:rsidRPr="00E33E1F" w:rsidRDefault="00F27644" w:rsidP="00687AE9">
            <w:pPr>
              <w:pStyle w:val="table1"/>
              <w:spacing w:line="276" w:lineRule="auto"/>
              <w:jc w:val="center"/>
              <w:rPr>
                <w:rFonts w:eastAsia="Arial Unicode MS" w:cs="Arial"/>
                <w:szCs w:val="16"/>
              </w:rPr>
            </w:pPr>
            <w:r>
              <w:rPr>
                <w:rFonts w:eastAsia="Arial Unicode MS" w:cs="Arial"/>
                <w:szCs w:val="16"/>
              </w:rPr>
              <w:t>1061 (985, 1124)</w:t>
            </w:r>
          </w:p>
        </w:tc>
        <w:tc>
          <w:tcPr>
            <w:tcW w:w="567" w:type="dxa"/>
          </w:tcPr>
          <w:p w:rsidR="00F27644" w:rsidRPr="00E33E1F" w:rsidRDefault="00F27644" w:rsidP="00687AE9">
            <w:pPr>
              <w:pStyle w:val="table1"/>
              <w:spacing w:line="276" w:lineRule="auto"/>
              <w:jc w:val="center"/>
              <w:rPr>
                <w:rFonts w:eastAsia="Arial Unicode MS" w:cs="Arial"/>
                <w:szCs w:val="16"/>
              </w:rPr>
            </w:pPr>
            <w:r>
              <w:rPr>
                <w:rFonts w:eastAsia="Arial Unicode MS" w:cs="Arial"/>
                <w:szCs w:val="16"/>
              </w:rPr>
              <w:t>Yes</w:t>
            </w:r>
          </w:p>
        </w:tc>
        <w:tc>
          <w:tcPr>
            <w:tcW w:w="2982" w:type="dxa"/>
          </w:tcPr>
          <w:p w:rsidR="00F27644" w:rsidRPr="00E33E1F" w:rsidRDefault="00F27644" w:rsidP="00687AE9">
            <w:pPr>
              <w:pStyle w:val="table1"/>
              <w:spacing w:line="276" w:lineRule="auto"/>
              <w:jc w:val="both"/>
              <w:rPr>
                <w:rFonts w:eastAsia="Arial Unicode MS" w:cs="Arial"/>
                <w:szCs w:val="16"/>
                <w:highlight w:val="yellow"/>
              </w:rPr>
            </w:pPr>
          </w:p>
        </w:tc>
      </w:tr>
      <w:tr w:rsidR="00F27644" w:rsidRPr="00B81249" w:rsidTr="00687AE9">
        <w:trPr>
          <w:cantSplit/>
          <w:trHeight w:val="204"/>
          <w:jc w:val="center"/>
        </w:trPr>
        <w:tc>
          <w:tcPr>
            <w:tcW w:w="2178" w:type="dxa"/>
            <w:tcBorders>
              <w:bottom w:val="single" w:sz="4" w:space="0" w:color="999999"/>
            </w:tcBorders>
          </w:tcPr>
          <w:p w:rsidR="00F27644" w:rsidRPr="00E33E1F" w:rsidRDefault="00F27644" w:rsidP="00687AE9">
            <w:pPr>
              <w:pStyle w:val="table1"/>
              <w:spacing w:line="276" w:lineRule="auto"/>
              <w:rPr>
                <w:rFonts w:eastAsia="Arial Unicode MS" w:cs="Arial"/>
                <w:i/>
                <w:szCs w:val="16"/>
                <w:lang w:val="pt-BR"/>
              </w:rPr>
            </w:pPr>
          </w:p>
        </w:tc>
        <w:tc>
          <w:tcPr>
            <w:tcW w:w="850" w:type="dxa"/>
            <w:tcBorders>
              <w:bottom w:val="single" w:sz="4" w:space="0" w:color="999999"/>
            </w:tcBorders>
          </w:tcPr>
          <w:p w:rsidR="00F27644" w:rsidRPr="00E33E1F" w:rsidRDefault="00F27644" w:rsidP="00687AE9">
            <w:pPr>
              <w:pStyle w:val="Styletable1Centered"/>
              <w:rPr>
                <w:rFonts w:eastAsia="Arial Unicode MS" w:cs="Arial"/>
                <w:szCs w:val="16"/>
              </w:rPr>
            </w:pPr>
            <w:r w:rsidRPr="00376A13">
              <w:rPr>
                <w:rFonts w:eastAsia="Arial Unicode MS" w:cs="Arial"/>
                <w:szCs w:val="16"/>
              </w:rPr>
              <w:t>1422E</w:t>
            </w:r>
          </w:p>
        </w:tc>
        <w:tc>
          <w:tcPr>
            <w:tcW w:w="1701" w:type="dxa"/>
            <w:tcBorders>
              <w:bottom w:val="single" w:sz="4" w:space="0" w:color="999999"/>
            </w:tcBorders>
          </w:tcPr>
          <w:p w:rsidR="00F27644" w:rsidRPr="00E33E1F" w:rsidRDefault="00F27644" w:rsidP="00687AE9">
            <w:pPr>
              <w:pStyle w:val="table1"/>
              <w:spacing w:line="276" w:lineRule="auto"/>
              <w:jc w:val="center"/>
              <w:rPr>
                <w:rFonts w:eastAsia="Arial Unicode MS" w:cs="Arial"/>
                <w:szCs w:val="16"/>
              </w:rPr>
            </w:pPr>
            <w:r>
              <w:rPr>
                <w:rFonts w:eastAsia="Arial Unicode MS" w:cs="Arial"/>
                <w:szCs w:val="16"/>
              </w:rPr>
              <w:t>1273 (612, 1555)</w:t>
            </w:r>
          </w:p>
        </w:tc>
        <w:tc>
          <w:tcPr>
            <w:tcW w:w="567" w:type="dxa"/>
            <w:tcBorders>
              <w:bottom w:val="single" w:sz="4" w:space="0" w:color="999999"/>
            </w:tcBorders>
          </w:tcPr>
          <w:p w:rsidR="00F27644" w:rsidRPr="00E33E1F" w:rsidRDefault="00F27644" w:rsidP="00687AE9">
            <w:pPr>
              <w:pStyle w:val="table1"/>
              <w:spacing w:line="276" w:lineRule="auto"/>
              <w:jc w:val="center"/>
              <w:rPr>
                <w:rFonts w:eastAsia="Arial Unicode MS" w:cs="Arial"/>
                <w:szCs w:val="16"/>
              </w:rPr>
            </w:pPr>
            <w:r>
              <w:rPr>
                <w:rFonts w:eastAsia="Arial Unicode MS" w:cs="Arial"/>
                <w:szCs w:val="16"/>
              </w:rPr>
              <w:t>Yes</w:t>
            </w:r>
          </w:p>
        </w:tc>
        <w:tc>
          <w:tcPr>
            <w:tcW w:w="2982" w:type="dxa"/>
            <w:tcBorders>
              <w:bottom w:val="single" w:sz="4" w:space="0" w:color="999999"/>
            </w:tcBorders>
          </w:tcPr>
          <w:p w:rsidR="00F27644" w:rsidRPr="00E33E1F" w:rsidRDefault="00F27644" w:rsidP="00687AE9">
            <w:pPr>
              <w:pStyle w:val="table1"/>
              <w:spacing w:line="276" w:lineRule="auto"/>
              <w:jc w:val="both"/>
              <w:rPr>
                <w:rFonts w:eastAsia="Arial Unicode MS" w:cs="Arial"/>
                <w:szCs w:val="16"/>
                <w:highlight w:val="yellow"/>
              </w:rPr>
            </w:pPr>
          </w:p>
        </w:tc>
      </w:tr>
      <w:tr w:rsidR="00F27644" w:rsidRPr="00B81249" w:rsidTr="00687AE9">
        <w:trPr>
          <w:cantSplit/>
          <w:trHeight w:val="233"/>
          <w:jc w:val="center"/>
        </w:trPr>
        <w:tc>
          <w:tcPr>
            <w:tcW w:w="2178" w:type="dxa"/>
            <w:vMerge w:val="restart"/>
            <w:tcBorders>
              <w:top w:val="single" w:sz="4" w:space="0" w:color="999999"/>
            </w:tcBorders>
          </w:tcPr>
          <w:p w:rsidR="00F27644" w:rsidRPr="00E33E1F" w:rsidRDefault="00F27644" w:rsidP="00687AE9">
            <w:pPr>
              <w:pStyle w:val="table1"/>
              <w:spacing w:line="276" w:lineRule="auto"/>
              <w:jc w:val="both"/>
              <w:rPr>
                <w:rFonts w:eastAsia="Arial Unicode MS" w:cs="Arial"/>
                <w:szCs w:val="16"/>
                <w:lang w:val="pt-BR"/>
              </w:rPr>
            </w:pPr>
            <w:r w:rsidRPr="00E33E1F">
              <w:rPr>
                <w:rFonts w:eastAsia="Arial Unicode MS" w:cs="Arial"/>
                <w:i/>
                <w:szCs w:val="16"/>
                <w:lang w:val="pt-BR"/>
              </w:rPr>
              <w:t xml:space="preserve">Lemna aquinoctialis </w:t>
            </w:r>
            <w:r w:rsidRPr="00E33E1F">
              <w:rPr>
                <w:rFonts w:eastAsia="Arial Unicode MS" w:cs="Arial"/>
                <w:i/>
                <w:szCs w:val="16"/>
                <w:lang w:val="pt-BR"/>
              </w:rPr>
              <w:br/>
            </w:r>
            <w:r>
              <w:rPr>
                <w:rFonts w:eastAsia="Arial Unicode MS" w:cs="Arial"/>
                <w:szCs w:val="16"/>
                <w:lang w:val="pt-BR"/>
              </w:rPr>
              <w:t>(96-h growth rate - surface area)</w:t>
            </w:r>
          </w:p>
        </w:tc>
        <w:tc>
          <w:tcPr>
            <w:tcW w:w="850" w:type="dxa"/>
            <w:tcBorders>
              <w:top w:val="single" w:sz="4" w:space="0" w:color="999999"/>
            </w:tcBorders>
          </w:tcPr>
          <w:p w:rsidR="00F27644" w:rsidRPr="00E33E1F" w:rsidRDefault="00F27644" w:rsidP="00687AE9">
            <w:pPr>
              <w:pStyle w:val="table1"/>
              <w:spacing w:line="276" w:lineRule="auto"/>
              <w:jc w:val="center"/>
              <w:rPr>
                <w:rFonts w:eastAsia="Arial Unicode MS" w:cs="Arial"/>
                <w:szCs w:val="16"/>
              </w:rPr>
            </w:pPr>
            <w:r>
              <w:rPr>
                <w:rFonts w:eastAsia="Arial Unicode MS" w:cs="Arial"/>
                <w:szCs w:val="16"/>
              </w:rPr>
              <w:t>1372L</w:t>
            </w:r>
          </w:p>
        </w:tc>
        <w:tc>
          <w:tcPr>
            <w:tcW w:w="1701" w:type="dxa"/>
            <w:tcBorders>
              <w:top w:val="single" w:sz="4" w:space="0" w:color="999999"/>
            </w:tcBorders>
          </w:tcPr>
          <w:p w:rsidR="00F27644" w:rsidRPr="00E33E1F" w:rsidRDefault="00F27644" w:rsidP="00687AE9">
            <w:pPr>
              <w:pStyle w:val="table1"/>
              <w:spacing w:line="276" w:lineRule="auto"/>
              <w:jc w:val="center"/>
              <w:rPr>
                <w:rFonts w:eastAsia="Arial Unicode MS" w:cs="Arial"/>
                <w:szCs w:val="16"/>
              </w:rPr>
            </w:pPr>
            <w:r>
              <w:rPr>
                <w:rFonts w:eastAsia="Arial Unicode MS" w:cs="Arial"/>
                <w:szCs w:val="16"/>
              </w:rPr>
              <w:t>7360 (6959, 7804)</w:t>
            </w:r>
          </w:p>
        </w:tc>
        <w:tc>
          <w:tcPr>
            <w:tcW w:w="567" w:type="dxa"/>
            <w:tcBorders>
              <w:top w:val="single" w:sz="4" w:space="0" w:color="999999"/>
            </w:tcBorders>
          </w:tcPr>
          <w:p w:rsidR="00F27644" w:rsidRPr="00E33E1F" w:rsidRDefault="00F27644" w:rsidP="00687AE9">
            <w:pPr>
              <w:pStyle w:val="table1"/>
              <w:spacing w:line="276" w:lineRule="auto"/>
              <w:jc w:val="center"/>
              <w:rPr>
                <w:rFonts w:eastAsia="Arial Unicode MS" w:cs="Arial"/>
                <w:szCs w:val="16"/>
              </w:rPr>
            </w:pPr>
            <w:r>
              <w:rPr>
                <w:rFonts w:eastAsia="Arial Unicode MS" w:cs="Arial"/>
                <w:szCs w:val="16"/>
              </w:rPr>
              <w:t>No</w:t>
            </w:r>
          </w:p>
        </w:tc>
        <w:tc>
          <w:tcPr>
            <w:tcW w:w="2982" w:type="dxa"/>
            <w:tcBorders>
              <w:top w:val="single" w:sz="4" w:space="0" w:color="999999"/>
            </w:tcBorders>
          </w:tcPr>
          <w:p w:rsidR="00F27644" w:rsidRPr="00E33E1F" w:rsidRDefault="00F27644" w:rsidP="00687AE9">
            <w:pPr>
              <w:pStyle w:val="table1"/>
              <w:spacing w:line="276" w:lineRule="auto"/>
              <w:jc w:val="both"/>
              <w:rPr>
                <w:rFonts w:eastAsia="Arial Unicode MS" w:cs="Arial"/>
                <w:szCs w:val="16"/>
              </w:rPr>
            </w:pPr>
            <w:r>
              <w:rPr>
                <w:rFonts w:eastAsia="Arial Unicode MS" w:cs="Arial"/>
                <w:szCs w:val="16"/>
              </w:rPr>
              <w:t>Greater than 1 pH unit drift</w:t>
            </w:r>
          </w:p>
        </w:tc>
      </w:tr>
      <w:tr w:rsidR="00F27644" w:rsidRPr="00B81249" w:rsidTr="00687AE9">
        <w:trPr>
          <w:cantSplit/>
          <w:trHeight w:val="217"/>
          <w:jc w:val="center"/>
        </w:trPr>
        <w:tc>
          <w:tcPr>
            <w:tcW w:w="2178" w:type="dxa"/>
            <w:vMerge/>
            <w:tcBorders>
              <w:bottom w:val="single" w:sz="4" w:space="0" w:color="auto"/>
            </w:tcBorders>
          </w:tcPr>
          <w:p w:rsidR="00F27644" w:rsidRPr="00E33E1F" w:rsidRDefault="00F27644" w:rsidP="00687AE9">
            <w:pPr>
              <w:pStyle w:val="table1"/>
              <w:spacing w:line="276" w:lineRule="auto"/>
              <w:jc w:val="both"/>
              <w:rPr>
                <w:rFonts w:eastAsia="Arial Unicode MS" w:cs="Arial"/>
                <w:i/>
                <w:szCs w:val="16"/>
                <w:lang w:val="pt-BR"/>
              </w:rPr>
            </w:pPr>
          </w:p>
        </w:tc>
        <w:tc>
          <w:tcPr>
            <w:tcW w:w="850" w:type="dxa"/>
            <w:tcBorders>
              <w:bottom w:val="single" w:sz="4" w:space="0" w:color="auto"/>
            </w:tcBorders>
          </w:tcPr>
          <w:p w:rsidR="00F27644" w:rsidRPr="00E33E1F" w:rsidRDefault="00F27644" w:rsidP="00687AE9">
            <w:pPr>
              <w:pStyle w:val="Styletable1Centered"/>
              <w:rPr>
                <w:rFonts w:eastAsia="Arial Unicode MS" w:cs="Arial"/>
                <w:szCs w:val="16"/>
              </w:rPr>
            </w:pPr>
            <w:r w:rsidRPr="00376A13">
              <w:rPr>
                <w:rFonts w:eastAsia="Arial Unicode MS" w:cs="Arial"/>
                <w:szCs w:val="16"/>
              </w:rPr>
              <w:t>1385L</w:t>
            </w:r>
          </w:p>
        </w:tc>
        <w:tc>
          <w:tcPr>
            <w:tcW w:w="1701" w:type="dxa"/>
            <w:tcBorders>
              <w:bottom w:val="single" w:sz="4" w:space="0" w:color="auto"/>
            </w:tcBorders>
          </w:tcPr>
          <w:p w:rsidR="00F27644" w:rsidRPr="00E33E1F" w:rsidRDefault="00F27644" w:rsidP="00687AE9">
            <w:pPr>
              <w:pStyle w:val="table1"/>
              <w:spacing w:line="276" w:lineRule="auto"/>
              <w:jc w:val="center"/>
              <w:rPr>
                <w:rFonts w:eastAsia="Arial Unicode MS" w:cs="Arial"/>
                <w:szCs w:val="16"/>
              </w:rPr>
            </w:pPr>
            <w:r>
              <w:rPr>
                <w:rFonts w:eastAsia="Arial Unicode MS" w:cs="Arial"/>
                <w:szCs w:val="16"/>
              </w:rPr>
              <w:t>12690 (11950, 13420)</w:t>
            </w:r>
          </w:p>
        </w:tc>
        <w:tc>
          <w:tcPr>
            <w:tcW w:w="567" w:type="dxa"/>
            <w:tcBorders>
              <w:bottom w:val="single" w:sz="4" w:space="0" w:color="auto"/>
            </w:tcBorders>
          </w:tcPr>
          <w:p w:rsidR="00F27644" w:rsidRPr="00E33E1F" w:rsidRDefault="00F27644" w:rsidP="00687AE9">
            <w:pPr>
              <w:pStyle w:val="table1"/>
              <w:spacing w:line="276" w:lineRule="auto"/>
              <w:jc w:val="center"/>
              <w:rPr>
                <w:rFonts w:eastAsia="Arial Unicode MS" w:cs="Arial"/>
                <w:szCs w:val="16"/>
              </w:rPr>
            </w:pPr>
            <w:r>
              <w:rPr>
                <w:rFonts w:eastAsia="Arial Unicode MS" w:cs="Arial"/>
                <w:szCs w:val="16"/>
              </w:rPr>
              <w:t>Yes</w:t>
            </w:r>
          </w:p>
        </w:tc>
        <w:tc>
          <w:tcPr>
            <w:tcW w:w="2982" w:type="dxa"/>
            <w:tcBorders>
              <w:bottom w:val="single" w:sz="4" w:space="0" w:color="auto"/>
            </w:tcBorders>
          </w:tcPr>
          <w:p w:rsidR="00F27644" w:rsidRPr="00E33E1F" w:rsidRDefault="00F27644" w:rsidP="00687AE9">
            <w:pPr>
              <w:pStyle w:val="table1"/>
              <w:spacing w:line="276" w:lineRule="auto"/>
              <w:jc w:val="both"/>
              <w:rPr>
                <w:rFonts w:eastAsia="Arial Unicode MS" w:cs="Arial"/>
                <w:szCs w:val="16"/>
              </w:rPr>
            </w:pPr>
          </w:p>
        </w:tc>
      </w:tr>
    </w:tbl>
    <w:p w:rsidR="00F27644" w:rsidRDefault="00F27644" w:rsidP="00F27644">
      <w:pPr>
        <w:pStyle w:val="tablenote"/>
        <w:spacing w:after="0" w:line="276" w:lineRule="auto"/>
        <w:ind w:firstLine="188"/>
        <w:rPr>
          <w:rFonts w:cs="Arial"/>
          <w:snapToGrid w:val="0"/>
          <w:color w:val="000000"/>
          <w:position w:val="3"/>
          <w:sz w:val="16"/>
          <w:szCs w:val="16"/>
          <w:u w:color="000000"/>
        </w:rPr>
      </w:pPr>
      <w:r w:rsidRPr="00B81249">
        <w:rPr>
          <w:rFonts w:cs="Arial"/>
          <w:sz w:val="16"/>
          <w:szCs w:val="16"/>
        </w:rPr>
        <w:t>Values in parentheses represent 95 % confidence limits</w:t>
      </w:r>
      <w:r w:rsidRPr="00B81249">
        <w:rPr>
          <w:rFonts w:cs="Arial"/>
          <w:snapToGrid w:val="0"/>
          <w:color w:val="000000"/>
          <w:position w:val="3"/>
          <w:sz w:val="16"/>
          <w:szCs w:val="16"/>
          <w:u w:color="000000"/>
        </w:rPr>
        <w:t xml:space="preserve"> </w:t>
      </w:r>
    </w:p>
    <w:p w:rsidR="00F27644" w:rsidRDefault="00F27644" w:rsidP="00F27644">
      <w:pPr>
        <w:pStyle w:val="tablenote"/>
        <w:spacing w:line="276" w:lineRule="auto"/>
        <w:ind w:firstLine="188"/>
        <w:rPr>
          <w:sz w:val="16"/>
          <w:szCs w:val="16"/>
        </w:rPr>
      </w:pPr>
      <w:proofErr w:type="gramStart"/>
      <w:r w:rsidRPr="00B81249">
        <w:rPr>
          <w:snapToGrid w:val="0"/>
          <w:color w:val="000000"/>
          <w:position w:val="3"/>
          <w:sz w:val="16"/>
          <w:szCs w:val="16"/>
          <w:u w:color="000000"/>
        </w:rPr>
        <w:t>a</w:t>
      </w:r>
      <w:r w:rsidRPr="00B81249">
        <w:rPr>
          <w:sz w:val="16"/>
          <w:szCs w:val="16"/>
        </w:rPr>
        <w:t xml:space="preserve">  </w:t>
      </w:r>
      <w:r>
        <w:rPr>
          <w:sz w:val="16"/>
          <w:szCs w:val="16"/>
        </w:rPr>
        <w:t>NC</w:t>
      </w:r>
      <w:proofErr w:type="gramEnd"/>
      <w:r>
        <w:rPr>
          <w:sz w:val="16"/>
          <w:szCs w:val="16"/>
        </w:rPr>
        <w:t xml:space="preserve">: </w:t>
      </w:r>
      <w:r w:rsidRPr="00B81249">
        <w:rPr>
          <w:sz w:val="16"/>
          <w:szCs w:val="16"/>
        </w:rPr>
        <w:t xml:space="preserve">Not calculable </w:t>
      </w:r>
    </w:p>
    <w:p w:rsidR="00F27644" w:rsidRDefault="00F27644" w:rsidP="00F27644">
      <w:pPr>
        <w:rPr>
          <w:snapToGrid w:val="0"/>
          <w:color w:val="000000"/>
          <w:szCs w:val="0"/>
          <w:u w:color="000000"/>
        </w:rPr>
      </w:pPr>
    </w:p>
    <w:p w:rsidR="00F27644" w:rsidRPr="00276225" w:rsidRDefault="00F27644" w:rsidP="00F27644"/>
    <w:p w:rsidR="00F27644" w:rsidRDefault="00F27644" w:rsidP="00F27644">
      <w:pPr>
        <w:jc w:val="center"/>
      </w:pPr>
      <w:r w:rsidRPr="002A2ADE">
        <w:rPr>
          <w:noProof/>
          <w:lang w:eastAsia="en-AU"/>
        </w:rPr>
        <w:drawing>
          <wp:inline distT="0" distB="0" distL="0" distR="0">
            <wp:extent cx="4645152" cy="2728569"/>
            <wp:effectExtent l="0" t="0" r="0" b="0"/>
            <wp:docPr id="235"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91"/>
              </a:graphicData>
            </a:graphic>
          </wp:inline>
        </w:drawing>
      </w:r>
    </w:p>
    <w:p w:rsidR="00F27644" w:rsidRDefault="00F27644" w:rsidP="00F27644">
      <w:pPr>
        <w:spacing w:after="0" w:line="240" w:lineRule="auto"/>
        <w:jc w:val="left"/>
        <w:rPr>
          <w:rFonts w:ascii="Arial" w:hAnsi="Arial"/>
          <w:sz w:val="18"/>
        </w:rPr>
      </w:pPr>
      <w:r w:rsidRPr="00376A13">
        <w:rPr>
          <w:rFonts w:ascii="Arial" w:hAnsi="Arial" w:cs="Arial"/>
          <w:b/>
          <w:bCs/>
          <w:sz w:val="18"/>
          <w:szCs w:val="18"/>
        </w:rPr>
        <w:t xml:space="preserve">Figure 1 </w:t>
      </w:r>
      <w:r w:rsidRPr="00376A13">
        <w:rPr>
          <w:rFonts w:ascii="Arial" w:hAnsi="Arial" w:cs="Arial"/>
          <w:sz w:val="18"/>
          <w:szCs w:val="18"/>
        </w:rPr>
        <w:t xml:space="preserve">Reference toxicant control charts for </w:t>
      </w:r>
      <w:r w:rsidRPr="00376A13">
        <w:rPr>
          <w:rFonts w:ascii="Arial" w:hAnsi="Arial" w:cs="Arial"/>
          <w:i/>
          <w:sz w:val="18"/>
          <w:szCs w:val="18"/>
        </w:rPr>
        <w:t xml:space="preserve">Chlorella </w:t>
      </w:r>
      <w:r w:rsidRPr="00376A13">
        <w:rPr>
          <w:rFonts w:ascii="Arial" w:hAnsi="Arial" w:cs="Arial"/>
          <w:sz w:val="18"/>
          <w:szCs w:val="18"/>
        </w:rPr>
        <w:t>sp., as of October 2014. Data points represent EC50 </w:t>
      </w:r>
      <w:r w:rsidRPr="00376A13">
        <w:rPr>
          <w:rFonts w:ascii="Arial" w:hAnsi="Arial" w:cs="Arial"/>
          <w:snapToGrid w:val="0"/>
          <w:color w:val="000000"/>
          <w:sz w:val="18"/>
          <w:szCs w:val="18"/>
          <w:u w:color="000000"/>
        </w:rPr>
        <w:t>µ</w:t>
      </w:r>
      <w:r w:rsidRPr="00376A13">
        <w:rPr>
          <w:rFonts w:ascii="Arial" w:hAnsi="Arial" w:cs="Arial"/>
          <w:sz w:val="18"/>
          <w:szCs w:val="18"/>
        </w:rPr>
        <w:t>g L</w:t>
      </w:r>
      <w:r w:rsidRPr="00376A13">
        <w:rPr>
          <w:rFonts w:ascii="Arial" w:hAnsi="Arial" w:cs="Arial"/>
          <w:snapToGrid w:val="0"/>
          <w:color w:val="000000"/>
          <w:position w:val="4"/>
          <w:sz w:val="18"/>
          <w:szCs w:val="18"/>
          <w:u w:color="000000"/>
        </w:rPr>
        <w:t>-1</w:t>
      </w:r>
      <w:r w:rsidRPr="00376A13">
        <w:rPr>
          <w:rFonts w:ascii="Arial" w:hAnsi="Arial" w:cs="Arial"/>
          <w:sz w:val="18"/>
          <w:szCs w:val="18"/>
        </w:rPr>
        <w:t xml:space="preserve"> U </w:t>
      </w:r>
      <w:r w:rsidR="004D161C">
        <w:rPr>
          <w:rFonts w:ascii="Arial" w:hAnsi="Arial" w:cs="Arial"/>
          <w:sz w:val="18"/>
          <w:szCs w:val="18"/>
        </w:rPr>
        <w:t>toxicity estimates and their 95</w:t>
      </w:r>
      <w:r w:rsidRPr="00376A13">
        <w:rPr>
          <w:rFonts w:ascii="Arial" w:hAnsi="Arial" w:cs="Arial"/>
          <w:sz w:val="18"/>
          <w:szCs w:val="18"/>
        </w:rPr>
        <w:t>% confidence limits (CLs). Reference lines represent the following: br</w:t>
      </w:r>
      <w:r w:rsidR="004D161C">
        <w:rPr>
          <w:rFonts w:ascii="Arial" w:hAnsi="Arial" w:cs="Arial"/>
          <w:sz w:val="18"/>
          <w:szCs w:val="18"/>
        </w:rPr>
        <w:t>oken lines – lower and upper 99</w:t>
      </w:r>
      <w:r w:rsidRPr="00376A13">
        <w:rPr>
          <w:rFonts w:ascii="Arial" w:hAnsi="Arial" w:cs="Arial"/>
          <w:sz w:val="18"/>
          <w:szCs w:val="18"/>
        </w:rPr>
        <w:t>% confidence limits (</w:t>
      </w:r>
      <w:r w:rsidRPr="00376A13">
        <w:rPr>
          <w:rFonts w:ascii="Arial" w:hAnsi="Arial" w:cs="Arial"/>
          <w:sz w:val="18"/>
          <w:szCs w:val="18"/>
        </w:rPr>
        <w:sym w:font="Symbol" w:char="F0B1"/>
      </w:r>
      <w:r w:rsidRPr="00376A13">
        <w:rPr>
          <w:rFonts w:ascii="Arial" w:hAnsi="Arial" w:cs="Arial"/>
          <w:sz w:val="18"/>
          <w:szCs w:val="18"/>
        </w:rPr>
        <w:t xml:space="preserve"> 3 standard deviations) of the whole data set; dotted lines – lower and upper warning limits (</w:t>
      </w:r>
      <w:r w:rsidRPr="00376A13">
        <w:rPr>
          <w:rFonts w:ascii="Arial" w:hAnsi="Arial" w:cs="Arial"/>
          <w:sz w:val="18"/>
          <w:szCs w:val="18"/>
        </w:rPr>
        <w:sym w:font="Symbol" w:char="F0B1"/>
      </w:r>
      <w:r w:rsidRPr="00376A13">
        <w:rPr>
          <w:rFonts w:ascii="Arial" w:hAnsi="Arial" w:cs="Arial"/>
          <w:sz w:val="18"/>
          <w:szCs w:val="18"/>
        </w:rPr>
        <w:t xml:space="preserve"> 2 standard deviations); unbroken line – running mean. Coloured data points represent tests conducted within this reporting period</w:t>
      </w:r>
      <w:r>
        <w:t>.</w:t>
      </w:r>
    </w:p>
    <w:p w:rsidR="00F27644" w:rsidRDefault="00F27644" w:rsidP="00F27644">
      <w:pPr>
        <w:pStyle w:val="figurecaption"/>
      </w:pPr>
    </w:p>
    <w:p w:rsidR="00F27644" w:rsidRPr="00EC6001" w:rsidRDefault="00F27644" w:rsidP="00F27644">
      <w:pPr>
        <w:jc w:val="center"/>
      </w:pPr>
      <w:r w:rsidRPr="00A83FF4">
        <w:rPr>
          <w:noProof/>
          <w:lang w:eastAsia="en-AU"/>
        </w:rPr>
        <w:drawing>
          <wp:inline distT="0" distB="0" distL="0" distR="0">
            <wp:extent cx="4798771" cy="2911449"/>
            <wp:effectExtent l="0" t="0" r="0" b="0"/>
            <wp:docPr id="236"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92"/>
              </a:graphicData>
            </a:graphic>
          </wp:inline>
        </w:drawing>
      </w:r>
    </w:p>
    <w:p w:rsidR="00F27644" w:rsidRDefault="00F27644" w:rsidP="00F27644">
      <w:pPr>
        <w:pStyle w:val="figurecaption"/>
      </w:pPr>
      <w:r>
        <w:rPr>
          <w:b/>
          <w:bCs/>
        </w:rPr>
        <w:t xml:space="preserve">Figure 2 </w:t>
      </w:r>
      <w:r>
        <w:t xml:space="preserve">Reference toxicant control charts for the modified </w:t>
      </w:r>
      <w:r>
        <w:rPr>
          <w:i/>
        </w:rPr>
        <w:t xml:space="preserve">Chlorella </w:t>
      </w:r>
      <w:r>
        <w:t>sp. method,</w:t>
      </w:r>
      <w:r w:rsidRPr="00D50D27">
        <w:t xml:space="preserve"> </w:t>
      </w:r>
      <w:r>
        <w:t>as of October 2014. Data points represent EC50 </w:t>
      </w:r>
      <w:r>
        <w:rPr>
          <w:snapToGrid w:val="0"/>
          <w:color w:val="000000"/>
          <w:szCs w:val="0"/>
          <w:u w:color="000000"/>
        </w:rPr>
        <w:t>µ</w:t>
      </w:r>
      <w:r>
        <w:t>g L</w:t>
      </w:r>
      <w:r w:rsidRPr="00461476">
        <w:rPr>
          <w:vertAlign w:val="superscript"/>
        </w:rPr>
        <w:t>-1</w:t>
      </w:r>
      <w:r>
        <w:t xml:space="preserve"> U </w:t>
      </w:r>
      <w:r w:rsidR="004D161C">
        <w:t>toxicity estimates and their 95</w:t>
      </w:r>
      <w:r>
        <w:t>% confidence limits (CLs). Reference lines represent the following: br</w:t>
      </w:r>
      <w:r w:rsidR="004D161C">
        <w:t>oken lines – lower and upper 99</w:t>
      </w:r>
      <w:r>
        <w:t>% confidence limits (</w:t>
      </w:r>
      <w:r>
        <w:sym w:font="Symbol" w:char="F0B1"/>
      </w:r>
      <w:r>
        <w:t xml:space="preserve"> 3 standard deviations) of the whole data set; dotted lines – lower and upper warning limits (</w:t>
      </w:r>
      <w:r>
        <w:sym w:font="Symbol" w:char="F0B1"/>
      </w:r>
      <w:r>
        <w:t xml:space="preserve"> 2 standard deviations); unbroken line – running mean. Coloured data points represent tests conducted within this reporting period.</w:t>
      </w:r>
    </w:p>
    <w:p w:rsidR="00F27644" w:rsidRDefault="00F27644" w:rsidP="00F27644">
      <w:pPr>
        <w:tabs>
          <w:tab w:val="left" w:pos="3275"/>
        </w:tabs>
        <w:jc w:val="center"/>
      </w:pPr>
      <w:r w:rsidRPr="00CF327C">
        <w:rPr>
          <w:noProof/>
          <w:lang w:eastAsia="en-AU"/>
        </w:rPr>
        <w:drawing>
          <wp:inline distT="0" distB="0" distL="0" distR="0">
            <wp:extent cx="5581497" cy="3123590"/>
            <wp:effectExtent l="0" t="0" r="0" b="0"/>
            <wp:docPr id="237"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93"/>
              </a:graphicData>
            </a:graphic>
          </wp:inline>
        </w:drawing>
      </w:r>
    </w:p>
    <w:p w:rsidR="00F27644" w:rsidRDefault="00F27644" w:rsidP="00F27644">
      <w:pPr>
        <w:pStyle w:val="figurecaption"/>
      </w:pPr>
      <w:r>
        <w:rPr>
          <w:b/>
          <w:bCs/>
        </w:rPr>
        <w:t xml:space="preserve">Figure 3 </w:t>
      </w:r>
      <w:r>
        <w:t xml:space="preserve">Reference toxicant control charts for </w:t>
      </w:r>
      <w:r>
        <w:rPr>
          <w:i/>
        </w:rPr>
        <w:t>H. viridissima</w:t>
      </w:r>
      <w:r>
        <w:t xml:space="preserve"> as of October 2014. Data points represent EC50 </w:t>
      </w:r>
      <w:r>
        <w:rPr>
          <w:snapToGrid w:val="0"/>
          <w:color w:val="000000"/>
          <w:szCs w:val="0"/>
          <w:u w:color="000000"/>
        </w:rPr>
        <w:t>µ</w:t>
      </w:r>
      <w:r>
        <w:t>g L</w:t>
      </w:r>
      <w:r w:rsidRPr="00461476">
        <w:rPr>
          <w:vertAlign w:val="superscript"/>
        </w:rPr>
        <w:t>-1</w:t>
      </w:r>
      <w:r>
        <w:t xml:space="preserve"> U </w:t>
      </w:r>
      <w:r w:rsidR="004D161C">
        <w:t>toxicity estimates and their 95</w:t>
      </w:r>
      <w:r>
        <w:t>% confidence limits (CLs). Reference lines represent the following: br</w:t>
      </w:r>
      <w:r w:rsidR="004D161C">
        <w:t>oken lines – lower and upper 99</w:t>
      </w:r>
      <w:r>
        <w:t>% confidence limits (</w:t>
      </w:r>
      <w:r>
        <w:sym w:font="Symbol" w:char="F0B1"/>
      </w:r>
      <w:r>
        <w:t xml:space="preserve"> 3 standard deviations) of the whole data set; dotted lines – lower and upper warning limits (</w:t>
      </w:r>
      <w:r>
        <w:sym w:font="Symbol" w:char="F0B1"/>
      </w:r>
      <w:r>
        <w:t xml:space="preserve"> 2 standard deviations); unbroken line – running mean. Coloured data points represent tests conducted within this reporting period.</w:t>
      </w:r>
    </w:p>
    <w:p w:rsidR="00F27644" w:rsidRPr="00251686" w:rsidRDefault="00F27644" w:rsidP="00F27644"/>
    <w:p w:rsidR="00F27644" w:rsidRDefault="00F27644" w:rsidP="00F27644">
      <w:pPr>
        <w:jc w:val="center"/>
      </w:pPr>
      <w:r w:rsidRPr="00587F4B">
        <w:rPr>
          <w:noProof/>
          <w:lang w:eastAsia="en-AU"/>
        </w:rPr>
        <w:drawing>
          <wp:inline distT="0" distB="0" distL="0" distR="0">
            <wp:extent cx="5493716" cy="2750516"/>
            <wp:effectExtent l="0" t="0" r="0" b="0"/>
            <wp:docPr id="241" name="Chart 7"/>
            <wp:cNvGraphicFramePr/>
            <a:graphic xmlns:a="http://schemas.openxmlformats.org/drawingml/2006/main">
              <a:graphicData uri="http://schemas.openxmlformats.org/drawingml/2006/chart">
                <c:chart xmlns:c="http://schemas.openxmlformats.org/drawingml/2006/chart" xmlns:r="http://schemas.openxmlformats.org/officeDocument/2006/relationships" r:id="rId94"/>
              </a:graphicData>
            </a:graphic>
          </wp:inline>
        </w:drawing>
      </w:r>
    </w:p>
    <w:p w:rsidR="00F27644" w:rsidRDefault="00F27644" w:rsidP="00F27644">
      <w:pPr>
        <w:pStyle w:val="figurecaption"/>
      </w:pPr>
      <w:r>
        <w:rPr>
          <w:b/>
          <w:bCs/>
        </w:rPr>
        <w:t xml:space="preserve">Figure 4 </w:t>
      </w:r>
      <w:r>
        <w:t xml:space="preserve">Reference toxicant control charts for </w:t>
      </w:r>
      <w:r>
        <w:rPr>
          <w:i/>
        </w:rPr>
        <w:t>M. macleayi</w:t>
      </w:r>
      <w:r>
        <w:t xml:space="preserve"> as of October 2014. Data points represent EC50 </w:t>
      </w:r>
      <w:r>
        <w:rPr>
          <w:snapToGrid w:val="0"/>
          <w:color w:val="000000"/>
          <w:szCs w:val="0"/>
          <w:u w:color="000000"/>
        </w:rPr>
        <w:t>µ</w:t>
      </w:r>
      <w:r>
        <w:t>g L</w:t>
      </w:r>
      <w:r w:rsidRPr="00461476">
        <w:rPr>
          <w:vertAlign w:val="superscript"/>
        </w:rPr>
        <w:t>-1</w:t>
      </w:r>
      <w:r>
        <w:t xml:space="preserve"> U </w:t>
      </w:r>
      <w:r w:rsidR="004D161C">
        <w:t>toxicity estimates and their 95</w:t>
      </w:r>
      <w:r>
        <w:t>% confidence limits (CLs). Reference lines represent the following: br</w:t>
      </w:r>
      <w:r w:rsidR="004D161C">
        <w:t>oken lines – lower and upper 99</w:t>
      </w:r>
      <w:r>
        <w:t>% confidence limits (</w:t>
      </w:r>
      <w:r>
        <w:sym w:font="Symbol" w:char="F0B1"/>
      </w:r>
      <w:r>
        <w:t xml:space="preserve"> 3 standard deviations) of the whole data set; dotted lines – lower and upper warning limits (</w:t>
      </w:r>
      <w:r>
        <w:sym w:font="Symbol" w:char="F0B1"/>
      </w:r>
      <w:r>
        <w:t xml:space="preserve"> 2 standard deviations); unbroken line – running mean. Coloured data points represent tests conducted within this reporting period.</w:t>
      </w:r>
    </w:p>
    <w:p w:rsidR="00F27644" w:rsidRDefault="00F27644" w:rsidP="00F27644">
      <w:pPr>
        <w:tabs>
          <w:tab w:val="left" w:pos="3275"/>
        </w:tabs>
        <w:jc w:val="center"/>
      </w:pPr>
      <w:r w:rsidRPr="00587F4B">
        <w:rPr>
          <w:noProof/>
          <w:lang w:eastAsia="en-AU"/>
        </w:rPr>
        <w:drawing>
          <wp:inline distT="0" distB="0" distL="0" distR="0">
            <wp:extent cx="5530291" cy="3087014"/>
            <wp:effectExtent l="0" t="0" r="0" b="0"/>
            <wp:docPr id="242" name="Chart 9"/>
            <wp:cNvGraphicFramePr/>
            <a:graphic xmlns:a="http://schemas.openxmlformats.org/drawingml/2006/main">
              <a:graphicData uri="http://schemas.openxmlformats.org/drawingml/2006/chart">
                <c:chart xmlns:c="http://schemas.openxmlformats.org/drawingml/2006/chart" xmlns:r="http://schemas.openxmlformats.org/officeDocument/2006/relationships" r:id="rId95"/>
              </a:graphicData>
            </a:graphic>
          </wp:inline>
        </w:drawing>
      </w:r>
    </w:p>
    <w:p w:rsidR="00F27644" w:rsidRDefault="00F27644" w:rsidP="00F27644">
      <w:pPr>
        <w:pStyle w:val="figurecaption"/>
      </w:pPr>
      <w:r>
        <w:rPr>
          <w:b/>
          <w:bCs/>
        </w:rPr>
        <w:t xml:space="preserve">Figure 5 </w:t>
      </w:r>
      <w:r>
        <w:t xml:space="preserve">Reference toxicant control charts for </w:t>
      </w:r>
      <w:r>
        <w:rPr>
          <w:i/>
        </w:rPr>
        <w:t xml:space="preserve">M. mogurnda </w:t>
      </w:r>
      <w:r>
        <w:t>as of October 2014. Data points represent EC50 </w:t>
      </w:r>
      <w:r>
        <w:rPr>
          <w:snapToGrid w:val="0"/>
          <w:color w:val="000000"/>
          <w:szCs w:val="0"/>
          <w:u w:color="000000"/>
        </w:rPr>
        <w:t>µ</w:t>
      </w:r>
      <w:r>
        <w:t>g L</w:t>
      </w:r>
      <w:r w:rsidRPr="00461476">
        <w:rPr>
          <w:vertAlign w:val="superscript"/>
        </w:rPr>
        <w:t>-1</w:t>
      </w:r>
      <w:r>
        <w:t xml:space="preserve"> U </w:t>
      </w:r>
      <w:r w:rsidR="004D161C">
        <w:t>toxicity estimates and their 95</w:t>
      </w:r>
      <w:r>
        <w:t xml:space="preserve">% confidence limits (CLs). Reference lines represent the following: </w:t>
      </w:r>
      <w:r w:rsidR="004D161C">
        <w:t>broken lines lower and upper 99</w:t>
      </w:r>
      <w:r>
        <w:t>% confidence limits (</w:t>
      </w:r>
      <w:r>
        <w:sym w:font="Symbol" w:char="F0B1"/>
      </w:r>
      <w:r>
        <w:t xml:space="preserve"> 3 standard deviations) of the whole data set; dotted lines – lower and upper warning limits (</w:t>
      </w:r>
      <w:r>
        <w:sym w:font="Symbol" w:char="F0B1"/>
      </w:r>
      <w:r>
        <w:t xml:space="preserve"> 2 standard deviations); unbroken line – running mean. Coloured data points represent tests conducted within this reporting period.</w:t>
      </w:r>
    </w:p>
    <w:p w:rsidR="00F27644" w:rsidRDefault="00F27644" w:rsidP="00F27644">
      <w:pPr>
        <w:jc w:val="center"/>
      </w:pPr>
      <w:r w:rsidRPr="00C56A0E">
        <w:rPr>
          <w:noProof/>
          <w:lang w:eastAsia="en-AU"/>
        </w:rPr>
        <w:drawing>
          <wp:inline distT="0" distB="0" distL="0" distR="0">
            <wp:extent cx="5332781" cy="3482633"/>
            <wp:effectExtent l="0" t="0" r="0" b="0"/>
            <wp:docPr id="243"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96"/>
              </a:graphicData>
            </a:graphic>
          </wp:inline>
        </w:drawing>
      </w:r>
    </w:p>
    <w:p w:rsidR="00F27644" w:rsidRDefault="00F27644" w:rsidP="00F27644">
      <w:pPr>
        <w:pStyle w:val="figurecaption"/>
        <w:spacing w:before="200" w:line="276" w:lineRule="auto"/>
      </w:pPr>
      <w:r>
        <w:rPr>
          <w:b/>
          <w:bCs/>
        </w:rPr>
        <w:t xml:space="preserve">Figure 6 </w:t>
      </w:r>
      <w:r>
        <w:t>Trialled modified test media for</w:t>
      </w:r>
      <w:r w:rsidRPr="00D23161">
        <w:rPr>
          <w:bCs/>
        </w:rPr>
        <w:t xml:space="preserve"> </w:t>
      </w:r>
      <w:r>
        <w:rPr>
          <w:bCs/>
          <w:i/>
        </w:rPr>
        <w:t xml:space="preserve">L. </w:t>
      </w:r>
      <w:r w:rsidRPr="00D23161">
        <w:rPr>
          <w:bCs/>
          <w:i/>
        </w:rPr>
        <w:t>a</w:t>
      </w:r>
      <w:r>
        <w:rPr>
          <w:bCs/>
          <w:i/>
        </w:rPr>
        <w:t>e</w:t>
      </w:r>
      <w:r w:rsidRPr="00D23161">
        <w:rPr>
          <w:bCs/>
          <w:i/>
        </w:rPr>
        <w:t>quinoctialis</w:t>
      </w:r>
      <w:r>
        <w:rPr>
          <w:bCs/>
        </w:rPr>
        <w:t xml:space="preserve"> </w:t>
      </w:r>
      <w:r w:rsidR="004D161C">
        <w:rPr>
          <w:bCs/>
        </w:rPr>
        <w:t>compared to the current media 1</w:t>
      </w:r>
      <w:r>
        <w:rPr>
          <w:bCs/>
        </w:rPr>
        <w:t>% CAAC and a Magela Creek water (MCW) control. ‘MilliQ amended’ is made up of ultra pure MilliQ</w:t>
      </w:r>
      <w:r>
        <w:rPr>
          <w:rFonts w:cs="Arial"/>
          <w:bCs/>
        </w:rPr>
        <w:t>™</w:t>
      </w:r>
      <w:r>
        <w:rPr>
          <w:bCs/>
        </w:rPr>
        <w:t xml:space="preserve"> water with sodium, potassium, calcium, magnesium, aluminium and iron salts added at the same concentrations as in SSW preparation. The red bar indicates growth rates based on surface area and the blue bar represents growth rates based on frond number (</w:t>
      </w:r>
      <w:r>
        <w:rPr>
          <w:rFonts w:cs="Arial"/>
          <w:bCs/>
        </w:rPr>
        <w:t>±</w:t>
      </w:r>
      <w:r>
        <w:rPr>
          <w:bCs/>
        </w:rPr>
        <w:t xml:space="preserve"> S.E.)</w:t>
      </w:r>
      <w:r>
        <w:t>. The broken line indicates the frond count acceptability criteria, an acceptability criteria for surface area has not been decided.</w:t>
      </w:r>
    </w:p>
    <w:p w:rsidR="00F27644" w:rsidRDefault="00F27644" w:rsidP="00F27644">
      <w:pPr>
        <w:tabs>
          <w:tab w:val="left" w:pos="3275"/>
        </w:tabs>
        <w:jc w:val="center"/>
      </w:pPr>
      <w:r w:rsidRPr="00A43482">
        <w:rPr>
          <w:noProof/>
          <w:lang w:eastAsia="en-AU"/>
        </w:rPr>
        <w:drawing>
          <wp:inline distT="0" distB="0" distL="0" distR="0">
            <wp:extent cx="5731510" cy="2500188"/>
            <wp:effectExtent l="0" t="0" r="0" b="0"/>
            <wp:docPr id="244" name="Chart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97"/>
              </a:graphicData>
            </a:graphic>
          </wp:inline>
        </w:drawing>
      </w:r>
    </w:p>
    <w:p w:rsidR="00F27644" w:rsidRDefault="00F27644" w:rsidP="00F27644">
      <w:pPr>
        <w:pStyle w:val="figurecaption"/>
        <w:spacing w:before="200" w:line="276" w:lineRule="auto"/>
      </w:pPr>
      <w:r>
        <w:rPr>
          <w:b/>
          <w:bCs/>
        </w:rPr>
        <w:t xml:space="preserve">Figure 7 </w:t>
      </w:r>
      <w:r>
        <w:t>Reference toxicant control chart for</w:t>
      </w:r>
      <w:r w:rsidRPr="00D23161">
        <w:rPr>
          <w:bCs/>
        </w:rPr>
        <w:t xml:space="preserve"> </w:t>
      </w:r>
      <w:r>
        <w:rPr>
          <w:bCs/>
          <w:i/>
        </w:rPr>
        <w:t xml:space="preserve">L. </w:t>
      </w:r>
      <w:r w:rsidRPr="00D23161">
        <w:rPr>
          <w:bCs/>
          <w:i/>
        </w:rPr>
        <w:t>a</w:t>
      </w:r>
      <w:r>
        <w:rPr>
          <w:bCs/>
          <w:i/>
        </w:rPr>
        <w:t>e</w:t>
      </w:r>
      <w:r w:rsidRPr="00D23161">
        <w:rPr>
          <w:bCs/>
          <w:i/>
        </w:rPr>
        <w:t>quinoctialis</w:t>
      </w:r>
      <w:r>
        <w:rPr>
          <w:bCs/>
        </w:rPr>
        <w:t xml:space="preserve"> based on frond number as of October 2014</w:t>
      </w:r>
      <w:r>
        <w:t>. Data points represent EC50 </w:t>
      </w:r>
      <w:r>
        <w:rPr>
          <w:snapToGrid w:val="0"/>
          <w:color w:val="000000"/>
          <w:szCs w:val="0"/>
          <w:u w:color="000000"/>
        </w:rPr>
        <w:t>µ</w:t>
      </w:r>
      <w:r>
        <w:t>g L</w:t>
      </w:r>
      <w:r w:rsidRPr="00461476">
        <w:rPr>
          <w:vertAlign w:val="superscript"/>
        </w:rPr>
        <w:t>-1</w:t>
      </w:r>
      <w:r>
        <w:t xml:space="preserve"> U </w:t>
      </w:r>
      <w:r w:rsidR="004D161C">
        <w:t>toxicity estimates and their 95</w:t>
      </w:r>
      <w:r>
        <w:t>% confidence limits (CLs). Reference lines represent the following: br</w:t>
      </w:r>
      <w:r w:rsidR="004D161C">
        <w:t>oken lines – lower and upper 99</w:t>
      </w:r>
      <w:r>
        <w:t>% confidence limits (</w:t>
      </w:r>
      <w:r>
        <w:sym w:font="Symbol" w:char="F0B1"/>
      </w:r>
      <w:r>
        <w:t xml:space="preserve"> 3 standard deviations) of the whole data set; dotted lines – lower and upper warning limits (</w:t>
      </w:r>
      <w:r>
        <w:sym w:font="Symbol" w:char="F0B1"/>
      </w:r>
      <w:r>
        <w:t xml:space="preserve"> 2 standard deviations); unbroken line – running mean. Coloured data points represent tests conducted within this reporting period.</w:t>
      </w:r>
    </w:p>
    <w:p w:rsidR="00F27644" w:rsidRDefault="00F27644" w:rsidP="00F27644">
      <w:pPr>
        <w:jc w:val="center"/>
        <w:rPr>
          <w:rFonts w:ascii="Arial" w:hAnsi="Arial" w:cs="Arial"/>
          <w:b/>
          <w:sz w:val="28"/>
          <w:szCs w:val="28"/>
        </w:rPr>
      </w:pPr>
      <w:bookmarkStart w:id="126" w:name="_Toc282084556"/>
      <w:r w:rsidRPr="00344833">
        <w:rPr>
          <w:rFonts w:ascii="Arial" w:hAnsi="Arial" w:cs="Arial"/>
          <w:b/>
          <w:noProof/>
          <w:sz w:val="28"/>
          <w:szCs w:val="28"/>
          <w:lang w:eastAsia="en-AU"/>
        </w:rPr>
        <w:drawing>
          <wp:inline distT="0" distB="0" distL="0" distR="0">
            <wp:extent cx="5731510" cy="2383230"/>
            <wp:effectExtent l="0" t="0" r="0" b="0"/>
            <wp:docPr id="245" name="Chart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98"/>
              </a:graphicData>
            </a:graphic>
          </wp:inline>
        </w:drawing>
      </w:r>
    </w:p>
    <w:p w:rsidR="00F27644" w:rsidRDefault="00F27644" w:rsidP="00F27644">
      <w:pPr>
        <w:pStyle w:val="figurecaption"/>
        <w:spacing w:before="200" w:line="276" w:lineRule="auto"/>
      </w:pPr>
      <w:r>
        <w:rPr>
          <w:b/>
          <w:bCs/>
        </w:rPr>
        <w:t xml:space="preserve">Figure 8 </w:t>
      </w:r>
      <w:r>
        <w:t>Reference toxicant control chart for</w:t>
      </w:r>
      <w:r w:rsidRPr="00D23161">
        <w:rPr>
          <w:bCs/>
        </w:rPr>
        <w:t xml:space="preserve"> </w:t>
      </w:r>
      <w:r>
        <w:rPr>
          <w:bCs/>
          <w:i/>
        </w:rPr>
        <w:t>L.</w:t>
      </w:r>
      <w:r w:rsidRPr="00D23161">
        <w:rPr>
          <w:bCs/>
          <w:i/>
        </w:rPr>
        <w:t xml:space="preserve"> a</w:t>
      </w:r>
      <w:r>
        <w:rPr>
          <w:bCs/>
          <w:i/>
        </w:rPr>
        <w:t>e</w:t>
      </w:r>
      <w:r w:rsidRPr="00D23161">
        <w:rPr>
          <w:bCs/>
          <w:i/>
        </w:rPr>
        <w:t>quinoctialis</w:t>
      </w:r>
      <w:r>
        <w:rPr>
          <w:bCs/>
        </w:rPr>
        <w:t xml:space="preserve"> based on total surface area as of October 2014</w:t>
      </w:r>
      <w:r>
        <w:t>. Data points represent EC50 </w:t>
      </w:r>
      <w:r>
        <w:rPr>
          <w:snapToGrid w:val="0"/>
          <w:color w:val="000000"/>
          <w:szCs w:val="0"/>
          <w:u w:color="000000"/>
        </w:rPr>
        <w:t>µ</w:t>
      </w:r>
      <w:r>
        <w:t>g L</w:t>
      </w:r>
      <w:r w:rsidRPr="00461476">
        <w:rPr>
          <w:vertAlign w:val="superscript"/>
        </w:rPr>
        <w:t>-1</w:t>
      </w:r>
      <w:r>
        <w:t xml:space="preserve"> U </w:t>
      </w:r>
      <w:r w:rsidR="004D161C">
        <w:t>toxicity estimates and their 95</w:t>
      </w:r>
      <w:r>
        <w:t>% confidence limits (CLs). Reference lines represent the following: br</w:t>
      </w:r>
      <w:r w:rsidR="004D161C">
        <w:t>oken lines – lower and upper 99</w:t>
      </w:r>
      <w:r>
        <w:t>% confidence limits (</w:t>
      </w:r>
      <w:r>
        <w:sym w:font="Symbol" w:char="F0B1"/>
      </w:r>
      <w:r>
        <w:t xml:space="preserve"> 3 standard deviations) of the whole data set; dotted lines – lower and upper warning limits (</w:t>
      </w:r>
      <w:r>
        <w:sym w:font="Symbol" w:char="F0B1"/>
      </w:r>
      <w:r>
        <w:t xml:space="preserve"> 2 standard deviations); unbroken line – running mean. Coloured data points represent tests conducted within this reporting period.</w:t>
      </w:r>
    </w:p>
    <w:p w:rsidR="00F27644" w:rsidRPr="00587E07" w:rsidRDefault="00F27644" w:rsidP="00F27644">
      <w:pPr>
        <w:pStyle w:val="Heading3"/>
      </w:pPr>
      <w:r w:rsidRPr="00587E07">
        <w:t>Planned testing in 2014–15</w:t>
      </w:r>
    </w:p>
    <w:p w:rsidR="00F27644" w:rsidRPr="006C021C" w:rsidRDefault="00F27644" w:rsidP="00F27644">
      <w:r w:rsidRPr="00237DF8">
        <w:t xml:space="preserve">The reference toxicity testing </w:t>
      </w:r>
      <w:r w:rsidR="00E16AC4">
        <w:t>programme</w:t>
      </w:r>
      <w:r w:rsidRPr="00237DF8">
        <w:t xml:space="preserve">s for </w:t>
      </w:r>
      <w:r w:rsidRPr="00237DF8">
        <w:rPr>
          <w:iCs/>
        </w:rPr>
        <w:t>all five species</w:t>
      </w:r>
      <w:r>
        <w:t xml:space="preserve"> will continue in 2014–15</w:t>
      </w:r>
      <w:r w:rsidRPr="00237DF8">
        <w:t>, with the aim of completing at least four tests per species</w:t>
      </w:r>
      <w:r>
        <w:t xml:space="preserve"> to further improve the accuracy of our reference control charts</w:t>
      </w:r>
      <w:r w:rsidRPr="00237DF8">
        <w:t xml:space="preserve">. Investigations will continue into the reduced sensitivity of </w:t>
      </w:r>
      <w:r w:rsidRPr="00237DF8">
        <w:rPr>
          <w:i/>
        </w:rPr>
        <w:t>M. macleayi</w:t>
      </w:r>
      <w:r w:rsidRPr="00237DF8">
        <w:t xml:space="preserve"> to U and refining the </w:t>
      </w:r>
      <w:r w:rsidRPr="00237DF8">
        <w:rPr>
          <w:i/>
        </w:rPr>
        <w:t>L. aequinoctialis</w:t>
      </w:r>
      <w:r w:rsidRPr="00237DF8">
        <w:t xml:space="preserve"> testing method.</w:t>
      </w:r>
    </w:p>
    <w:p w:rsidR="00F27644" w:rsidRDefault="00F27644" w:rsidP="00F27644">
      <w:pPr>
        <w:spacing w:after="200" w:line="276" w:lineRule="auto"/>
        <w:rPr>
          <w:rFonts w:cs="Arial"/>
          <w:b/>
          <w:szCs w:val="24"/>
        </w:rPr>
      </w:pPr>
    </w:p>
    <w:p w:rsidR="00F27644" w:rsidRPr="00EA41E0" w:rsidRDefault="00F27644" w:rsidP="00F27644">
      <w:pPr>
        <w:pStyle w:val="Heading2"/>
      </w:pPr>
      <w:r w:rsidRPr="00EA41E0">
        <w:t>References</w:t>
      </w:r>
    </w:p>
    <w:p w:rsidR="00F27644" w:rsidRPr="00EA41E0" w:rsidRDefault="00F27644" w:rsidP="00F27644">
      <w:pPr>
        <w:pStyle w:val="referencelist1"/>
      </w:pPr>
      <w:proofErr w:type="gramStart"/>
      <w:r w:rsidRPr="00EA41E0">
        <w:t>Cleland CF &amp; Briggs WS 1969.</w:t>
      </w:r>
      <w:proofErr w:type="gramEnd"/>
      <w:r w:rsidRPr="00EA41E0">
        <w:t xml:space="preserve"> Giberellin and CCC effects on flowering and growth in the long-day plant </w:t>
      </w:r>
      <w:r w:rsidRPr="00EA41E0">
        <w:rPr>
          <w:i/>
        </w:rPr>
        <w:t>Lemna gibba</w:t>
      </w:r>
      <w:r w:rsidRPr="00EA41E0">
        <w:t xml:space="preserve"> G3. </w:t>
      </w:r>
      <w:r w:rsidRPr="00EA41E0">
        <w:rPr>
          <w:i/>
        </w:rPr>
        <w:t>Plant Physiology</w:t>
      </w:r>
      <w:r>
        <w:t xml:space="preserve"> 44, 503–</w:t>
      </w:r>
      <w:r w:rsidRPr="00EA41E0">
        <w:t>507.</w:t>
      </w:r>
    </w:p>
    <w:p w:rsidR="00F27644" w:rsidRPr="00EA41E0" w:rsidRDefault="00F27644" w:rsidP="00F27644">
      <w:pPr>
        <w:pStyle w:val="referencelist1"/>
      </w:pPr>
      <w:proofErr w:type="gramStart"/>
      <w:r w:rsidRPr="00EA41E0">
        <w:t>Environment Canada 1990.</w:t>
      </w:r>
      <w:proofErr w:type="gramEnd"/>
      <w:r w:rsidRPr="00EA41E0">
        <w:t xml:space="preserve"> </w:t>
      </w:r>
      <w:proofErr w:type="gramStart"/>
      <w:r w:rsidRPr="00EA41E0">
        <w:t>Guidance document on control of toxicity test precision using reference toxicants.</w:t>
      </w:r>
      <w:proofErr w:type="gramEnd"/>
      <w:r w:rsidRPr="00EA41E0">
        <w:t xml:space="preserve"> Environmental Protection Series (EPS) Report 1/RM/12, Method Development and Application Section, Environmental Technology Centre, Environment Canada, Ontario, Canada.</w:t>
      </w:r>
    </w:p>
    <w:p w:rsidR="00F27644" w:rsidRPr="00EA41E0" w:rsidRDefault="00F27644" w:rsidP="00F27644">
      <w:pPr>
        <w:pStyle w:val="referencelist1"/>
      </w:pPr>
      <w:proofErr w:type="gramStart"/>
      <w:r w:rsidRPr="00E72D62">
        <w:t>Maeng &amp; Khudari 1973.</w:t>
      </w:r>
      <w:proofErr w:type="gramEnd"/>
      <w:r w:rsidRPr="00E72D62">
        <w:t xml:space="preserve"> </w:t>
      </w:r>
      <w:proofErr w:type="gramStart"/>
      <w:r w:rsidRPr="00E72D62">
        <w:t>Studies on the flowering mechanism in lemna.</w:t>
      </w:r>
      <w:proofErr w:type="gramEnd"/>
      <w:r w:rsidRPr="00E72D62">
        <w:t xml:space="preserve"> I. Amino acid</w:t>
      </w:r>
      <w:r>
        <w:t xml:space="preserve"> </w:t>
      </w:r>
      <w:r w:rsidRPr="00E72D62">
        <w:t xml:space="preserve">changes during flowering induction. </w:t>
      </w:r>
      <w:proofErr w:type="gramStart"/>
      <w:r w:rsidRPr="00E72D62">
        <w:t>Physio.</w:t>
      </w:r>
      <w:proofErr w:type="gramEnd"/>
      <w:r w:rsidRPr="00E72D62">
        <w:t xml:space="preserve"> Plant 28, 264–270.</w:t>
      </w:r>
    </w:p>
    <w:p w:rsidR="00F27644" w:rsidRDefault="00F27644" w:rsidP="00F27644">
      <w:pPr>
        <w:pStyle w:val="referencelist1"/>
        <w:sectPr w:rsidR="00F27644" w:rsidSect="00487A27">
          <w:footnotePr>
            <w:numRestart w:val="eachPage"/>
          </w:footnotePr>
          <w:pgSz w:w="11906" w:h="16838" w:code="9"/>
          <w:pgMar w:top="1440" w:right="1800" w:bottom="1440" w:left="1800" w:header="1080" w:footer="835" w:gutter="0"/>
          <w:cols w:space="360"/>
          <w:noEndnote/>
        </w:sectPr>
      </w:pPr>
      <w:r w:rsidRPr="00EA41E0">
        <w:rPr>
          <w:lang w:val="sv-SE"/>
        </w:rPr>
        <w:t xml:space="preserve">Riethmuller N, Camilleri C, Franklin N, Hogan AC, King A, Koch A, Markich SJ, Turley C &amp; van Dam R 2003. </w:t>
      </w:r>
      <w:proofErr w:type="gramStart"/>
      <w:r w:rsidRPr="00EA41E0">
        <w:rPr>
          <w:i/>
          <w:iCs/>
        </w:rPr>
        <w:t>Ecotoxicological testing protocols for Australian tropical freshwater ecosystems</w:t>
      </w:r>
      <w:r w:rsidRPr="00EA41E0">
        <w:t>.</w:t>
      </w:r>
      <w:proofErr w:type="gramEnd"/>
      <w:r w:rsidRPr="00EA41E0">
        <w:t xml:space="preserve"> Supervising Scientist Report 173, Supervising Scientist, Darwin NT.</w:t>
      </w:r>
      <w:bookmarkEnd w:id="126"/>
    </w:p>
    <w:p w:rsidR="00802A22" w:rsidRDefault="00802A22" w:rsidP="0018370A">
      <w:pPr>
        <w:spacing w:after="0" w:line="240" w:lineRule="auto"/>
        <w:jc w:val="left"/>
      </w:pPr>
      <w:bookmarkStart w:id="127" w:name="_Toc401910168"/>
    </w:p>
    <w:p w:rsidR="00802A22" w:rsidRDefault="00802A22" w:rsidP="009A3243">
      <w:pPr>
        <w:pStyle w:val="Heading1"/>
      </w:pPr>
    </w:p>
    <w:p w:rsidR="00802A22" w:rsidRDefault="00802A22" w:rsidP="009A3243">
      <w:pPr>
        <w:pStyle w:val="Heading1"/>
      </w:pPr>
    </w:p>
    <w:p w:rsidR="00802A22" w:rsidRDefault="00802A22" w:rsidP="009A3243">
      <w:pPr>
        <w:pStyle w:val="Heading1"/>
      </w:pPr>
    </w:p>
    <w:p w:rsidR="0042639C" w:rsidRDefault="0042639C" w:rsidP="0042639C"/>
    <w:p w:rsidR="0042639C" w:rsidRDefault="0042639C" w:rsidP="0042639C"/>
    <w:p w:rsidR="0042639C" w:rsidRPr="0042639C" w:rsidRDefault="0042639C" w:rsidP="0042639C"/>
    <w:p w:rsidR="007A7453" w:rsidRPr="007A7453" w:rsidRDefault="007A7453" w:rsidP="007A7453"/>
    <w:p w:rsidR="009A3243" w:rsidRPr="00B03227" w:rsidRDefault="00307669" w:rsidP="00307669">
      <w:pPr>
        <w:pStyle w:val="Heading1"/>
      </w:pPr>
      <w:bookmarkStart w:id="128" w:name="_Toc418172700"/>
      <w:r>
        <w:t>Key Knowledge Need</w:t>
      </w:r>
      <w:bookmarkStart w:id="129" w:name="_Toc409772789"/>
      <w:r>
        <w:t xml:space="preserve"> </w:t>
      </w:r>
      <w:r w:rsidR="005659C6">
        <w:t>1.3</w:t>
      </w:r>
      <w:r w:rsidR="007A7453">
        <w:t>:</w:t>
      </w:r>
      <w:r w:rsidR="009A3243" w:rsidRPr="00B03227">
        <w:t xml:space="preserve"> Monitoring</w:t>
      </w:r>
      <w:bookmarkEnd w:id="127"/>
      <w:bookmarkEnd w:id="129"/>
      <w:bookmarkEnd w:id="128"/>
    </w:p>
    <w:p w:rsidR="006637B2" w:rsidRDefault="006637B2" w:rsidP="00463F8B">
      <w:pPr>
        <w:pStyle w:val="Heading2"/>
        <w:rPr>
          <w:noProof/>
        </w:rPr>
      </w:pPr>
    </w:p>
    <w:p w:rsidR="009A3243" w:rsidRDefault="009A3243" w:rsidP="009A3243"/>
    <w:p w:rsidR="009A3243" w:rsidRDefault="009A3243" w:rsidP="009A3243"/>
    <w:p w:rsidR="009A3243" w:rsidRPr="009A3243" w:rsidRDefault="009A3243" w:rsidP="009A3243">
      <w:pPr>
        <w:sectPr w:rsidR="009A3243" w:rsidRPr="009A3243" w:rsidSect="00487A27">
          <w:headerReference w:type="default" r:id="rId99"/>
          <w:footnotePr>
            <w:numRestart w:val="eachPage"/>
          </w:footnotePr>
          <w:pgSz w:w="11906" w:h="16838" w:code="9"/>
          <w:pgMar w:top="1440" w:right="1800" w:bottom="1440" w:left="1800" w:header="1080" w:footer="835" w:gutter="0"/>
          <w:cols w:space="360"/>
          <w:noEndnote/>
        </w:sectPr>
      </w:pPr>
    </w:p>
    <w:p w:rsidR="00D940C4" w:rsidRDefault="00D940C4" w:rsidP="00D940C4">
      <w:pPr>
        <w:pStyle w:val="Heading1"/>
        <w:rPr>
          <w:rFonts w:eastAsia="Arial Unicode MS"/>
        </w:rPr>
      </w:pPr>
      <w:bookmarkStart w:id="130" w:name="_Toc349310747"/>
      <w:bookmarkStart w:id="131" w:name="_Toc380667548"/>
      <w:bookmarkStart w:id="132" w:name="_Toc384300383"/>
      <w:bookmarkStart w:id="133" w:name="_Toc418172701"/>
      <w:bookmarkStart w:id="134" w:name="_Toc401910170"/>
      <w:bookmarkStart w:id="135" w:name="_Toc409772790"/>
      <w:r w:rsidRPr="00F73523">
        <w:t>Results of the stream</w:t>
      </w:r>
      <w:r>
        <w:t xml:space="preserve"> monitoring programme in Magela Creek and Gulungul Creek catchments, </w:t>
      </w:r>
      <w:r>
        <w:rPr>
          <w:rFonts w:eastAsia="Arial Unicode MS"/>
        </w:rPr>
        <w:t>2013–1</w:t>
      </w:r>
      <w:bookmarkEnd w:id="130"/>
      <w:bookmarkEnd w:id="131"/>
      <w:bookmarkEnd w:id="132"/>
      <w:r>
        <w:rPr>
          <w:rFonts w:eastAsia="Arial Unicode MS"/>
        </w:rPr>
        <w:t>4</w:t>
      </w:r>
      <w:bookmarkEnd w:id="133"/>
    </w:p>
    <w:p w:rsidR="00D940C4" w:rsidRPr="00E34D52" w:rsidRDefault="00D940C4" w:rsidP="00D940C4">
      <w:r w:rsidRPr="00E34D52">
        <w:t>Progress under this KKN for the stream monitoring program</w:t>
      </w:r>
      <w:r>
        <w:t>me</w:t>
      </w:r>
      <w:r w:rsidRPr="00E34D52">
        <w:t xml:space="preserve"> in the Magela Creek and Gulungul Creek catchments is reported by way of (i) results of the routine monitoring program</w:t>
      </w:r>
      <w:r>
        <w:t>me</w:t>
      </w:r>
      <w:r w:rsidRPr="00E34D52">
        <w:t xml:space="preserve"> conducted for the 201</w:t>
      </w:r>
      <w:r>
        <w:t>3</w:t>
      </w:r>
      <w:r w:rsidRPr="00E34D52">
        <w:t>–1</w:t>
      </w:r>
      <w:r>
        <w:t>4</w:t>
      </w:r>
      <w:r w:rsidRPr="00E34D52">
        <w:t xml:space="preserve"> period, and (ii) monitoring support tasks for the same period, including research and development, reviews and reporting. </w:t>
      </w:r>
    </w:p>
    <w:p w:rsidR="00D940C4" w:rsidRPr="00E34D52" w:rsidRDefault="00D940C4" w:rsidP="00D940C4">
      <w:pPr>
        <w:rPr>
          <w:lang w:val="en-US"/>
        </w:rPr>
      </w:pPr>
      <w:r w:rsidRPr="00E34D52">
        <w:rPr>
          <w:lang w:val="en-US"/>
        </w:rPr>
        <w:t>Since 2001, ecotoxicity</w:t>
      </w:r>
      <w:r>
        <w:rPr>
          <w:lang w:val="en-US"/>
        </w:rPr>
        <w:t xml:space="preserve"> and</w:t>
      </w:r>
      <w:r w:rsidRPr="00E34D52">
        <w:rPr>
          <w:lang w:val="en-US"/>
        </w:rPr>
        <w:t xml:space="preserve"> routine water quality monitoring and program</w:t>
      </w:r>
      <w:r>
        <w:rPr>
          <w:lang w:val="en-US"/>
        </w:rPr>
        <w:t>me</w:t>
      </w:r>
      <w:r w:rsidRPr="00E34D52">
        <w:rPr>
          <w:lang w:val="en-US"/>
        </w:rPr>
        <w:t>s have been deployed by the SSD for environmental assessment of aquatic ecosystems in the ARR. The objective of this work has been to provide independent assurance that the aquatic environment remains protected from current and past mining-associated activities in the region. The monitoring program</w:t>
      </w:r>
      <w:r>
        <w:rPr>
          <w:lang w:val="en-US"/>
        </w:rPr>
        <w:t>me</w:t>
      </w:r>
      <w:r w:rsidRPr="00E34D52">
        <w:rPr>
          <w:lang w:val="en-US"/>
        </w:rPr>
        <w:t xml:space="preserve"> incorporates chemical, physical and biological components. </w:t>
      </w:r>
    </w:p>
    <w:p w:rsidR="00D940C4" w:rsidRDefault="00D940C4" w:rsidP="00D940C4">
      <w:pPr>
        <w:rPr>
          <w:lang w:val="en-US"/>
        </w:rPr>
      </w:pPr>
      <w:r w:rsidRPr="00E34D52">
        <w:rPr>
          <w:lang w:val="en-US"/>
        </w:rPr>
        <w:t>The techniques and ‘indicators’ used in the monitoring program</w:t>
      </w:r>
      <w:r>
        <w:rPr>
          <w:lang w:val="en-US"/>
        </w:rPr>
        <w:t>me</w:t>
      </w:r>
      <w:r w:rsidRPr="00E34D52">
        <w:rPr>
          <w:lang w:val="en-US"/>
        </w:rPr>
        <w:t xml:space="preserve"> satisfy two important needs of environmental protection: (i) the early detection of potential significant effects to avoid ecologically important impacts; and (ii) information on the ecological importance of any likely impact (biodiversity assessment). </w:t>
      </w:r>
    </w:p>
    <w:p w:rsidR="00D940C4" w:rsidRPr="00E34D52" w:rsidRDefault="00D940C4" w:rsidP="00D940C4">
      <w:r w:rsidRPr="00E34D52">
        <w:t xml:space="preserve">Monitoring techniques adopted by the SSD that meet these requirements are: </w:t>
      </w:r>
    </w:p>
    <w:p w:rsidR="00D940C4" w:rsidRPr="00E34D52" w:rsidRDefault="00D940C4" w:rsidP="00587E07">
      <w:pPr>
        <w:pStyle w:val="Heading3"/>
        <w:rPr>
          <w:lang w:val="en-US"/>
        </w:rPr>
      </w:pPr>
      <w:r w:rsidRPr="00E34D52">
        <w:t>(i) Early detection of short or longer-term changes</w:t>
      </w:r>
    </w:p>
    <w:p w:rsidR="00D940C4" w:rsidRPr="00E34D52" w:rsidRDefault="00D940C4" w:rsidP="00D940C4">
      <w:pPr>
        <w:pStyle w:val="bulletlist1"/>
        <w:numPr>
          <w:ilvl w:val="0"/>
          <w:numId w:val="1"/>
        </w:numPr>
        <w:tabs>
          <w:tab w:val="clear" w:pos="720"/>
        </w:tabs>
        <w:ind w:left="357" w:hanging="357"/>
      </w:pPr>
      <w:r w:rsidRPr="00E34D52">
        <w:t>Water physico-chemistry:</w:t>
      </w:r>
    </w:p>
    <w:p w:rsidR="00D940C4" w:rsidRPr="00E34D52" w:rsidRDefault="00D940C4" w:rsidP="00D940C4">
      <w:pPr>
        <w:pStyle w:val="bulletlist1"/>
        <w:numPr>
          <w:ilvl w:val="0"/>
          <w:numId w:val="37"/>
        </w:numPr>
      </w:pPr>
      <w:r w:rsidRPr="00E34D52">
        <w:t>Continuous monitoring: through the use of multi-probe data sondes and data loggers, continuous measurement of pH, electrical conductivity (EC), turbidity and temperature in Magela</w:t>
      </w:r>
      <w:r>
        <w:t xml:space="preserve"> and Gulungul</w:t>
      </w:r>
      <w:r w:rsidRPr="00E34D52">
        <w:t xml:space="preserve"> Creek</w:t>
      </w:r>
      <w:r>
        <w:t>s</w:t>
      </w:r>
      <w:r w:rsidRPr="00E34D52">
        <w:t xml:space="preserve">; </w:t>
      </w:r>
    </w:p>
    <w:p w:rsidR="00D940C4" w:rsidRPr="00E34D52" w:rsidRDefault="00D940C4" w:rsidP="00D940C4">
      <w:pPr>
        <w:pStyle w:val="bulletlist1"/>
        <w:numPr>
          <w:ilvl w:val="0"/>
          <w:numId w:val="37"/>
        </w:numPr>
      </w:pPr>
      <w:r w:rsidRPr="00E34D52">
        <w:t xml:space="preserve">Event-based automatic sampling: The upstream and downstream monitoring sites in both Magela and Gulungul Creeks are equipped with auto-samplers, programmed to collect a 1 L water sample in response to the occurrence of pre-specified EC or turbidity conditions. The samples are analysed for total concentrations of uranium, magnesium, calcium, manganese and </w:t>
      </w:r>
      <w:r>
        <w:t>sulfate;</w:t>
      </w:r>
      <w:r w:rsidRPr="00E34D52" w:rsidDel="00063039">
        <w:t xml:space="preserve"> </w:t>
      </w:r>
    </w:p>
    <w:p w:rsidR="00D940C4" w:rsidRDefault="00D940C4" w:rsidP="00D940C4">
      <w:pPr>
        <w:pStyle w:val="bulletlist1"/>
        <w:numPr>
          <w:ilvl w:val="0"/>
          <w:numId w:val="37"/>
        </w:numPr>
      </w:pPr>
      <w:r w:rsidRPr="00E34D52">
        <w:t xml:space="preserve">Ongoing quality control sampling: Routine site visits for spot </w:t>
      </w:r>
      <w:r w:rsidRPr="00E34D52">
        <w:rPr>
          <w:i/>
        </w:rPr>
        <w:t>in situ</w:t>
      </w:r>
      <w:r w:rsidRPr="00E34D52">
        <w:t xml:space="preserve"> measurement of pH, EC, turbidity and temperature (fortnightly), periodic grab sampling for measurement of uranium, magnesium, calcium, manganese and sulfate (monthly) and radium (samples collected fortnightly but combined to make monthly composites).</w:t>
      </w:r>
    </w:p>
    <w:p w:rsidR="00D940C4" w:rsidRPr="00E34D52" w:rsidRDefault="00D940C4" w:rsidP="00D940C4">
      <w:pPr>
        <w:pStyle w:val="ListParagraph"/>
        <w:numPr>
          <w:ilvl w:val="0"/>
          <w:numId w:val="36"/>
        </w:numPr>
      </w:pPr>
      <w:r>
        <w:t>Two forms of biological monitoring:</w:t>
      </w:r>
    </w:p>
    <w:p w:rsidR="00D940C4" w:rsidRPr="00E34D52" w:rsidRDefault="00D940C4" w:rsidP="00D940C4">
      <w:pPr>
        <w:pStyle w:val="bulletlist1"/>
        <w:numPr>
          <w:ilvl w:val="1"/>
          <w:numId w:val="1"/>
        </w:numPr>
        <w:tabs>
          <w:tab w:val="clear" w:pos="1440"/>
          <w:tab w:val="num" w:pos="709"/>
        </w:tabs>
        <w:ind w:left="709" w:hanging="283"/>
      </w:pPr>
      <w:r w:rsidRPr="00E34D52">
        <w:rPr>
          <w:i/>
        </w:rPr>
        <w:t>Toxicity monitoring</w:t>
      </w:r>
      <w:r w:rsidRPr="00E34D52">
        <w:t xml:space="preserve"> of reproduction in freshwater snails (four-day tests conducted </w:t>
      </w:r>
      <w:r w:rsidRPr="00E34D52">
        <w:rPr>
          <w:i/>
        </w:rPr>
        <w:t>in situ</w:t>
      </w:r>
      <w:r>
        <w:t>, at fortnightly intervals):</w:t>
      </w:r>
      <w:r w:rsidRPr="00F3512C">
        <w:t xml:space="preserve"> for detection at a weekly timescale of effects arising from inputs of mine waters during the wet season</w:t>
      </w:r>
      <w:r>
        <w:t>.</w:t>
      </w:r>
    </w:p>
    <w:p w:rsidR="00D940C4" w:rsidRPr="00E34D52" w:rsidRDefault="00D940C4" w:rsidP="00D940C4">
      <w:pPr>
        <w:pStyle w:val="bulletlist1"/>
        <w:numPr>
          <w:ilvl w:val="1"/>
          <w:numId w:val="1"/>
        </w:numPr>
        <w:tabs>
          <w:tab w:val="clear" w:pos="1440"/>
          <w:tab w:val="num" w:pos="709"/>
        </w:tabs>
        <w:ind w:left="709" w:hanging="283"/>
      </w:pPr>
      <w:r w:rsidRPr="00E34D52">
        <w:rPr>
          <w:i/>
        </w:rPr>
        <w:t>Bioaccumulation</w:t>
      </w:r>
      <w:r w:rsidRPr="00E34D52">
        <w:t xml:space="preserve"> – concentrations of chemicals (including radionuclides) in the tissues of freshwater mussels in Mudginberri Billabong to detect far-field effects including those arising from any potential accumulation of mine-derived contaminants in sediments (mussels sampled every late-dry season).</w:t>
      </w:r>
    </w:p>
    <w:p w:rsidR="00D940C4" w:rsidRPr="00E34D52" w:rsidRDefault="00D940C4" w:rsidP="00587E07">
      <w:pPr>
        <w:pStyle w:val="Heading3"/>
      </w:pPr>
      <w:r w:rsidRPr="00E34D52">
        <w:t>(ii) Assessment of changes in biodiversity</w:t>
      </w:r>
    </w:p>
    <w:p w:rsidR="00D940C4" w:rsidRDefault="00D940C4" w:rsidP="00D940C4">
      <w:pPr>
        <w:pStyle w:val="bulletlist1"/>
        <w:numPr>
          <w:ilvl w:val="0"/>
          <w:numId w:val="1"/>
        </w:numPr>
        <w:tabs>
          <w:tab w:val="clear" w:pos="720"/>
        </w:tabs>
        <w:ind w:left="357" w:hanging="357"/>
      </w:pPr>
      <w:r>
        <w:t>This involves two types of assemblage-based biological monitoring. D</w:t>
      </w:r>
      <w:r w:rsidRPr="00F3512C">
        <w:t>ata from late wet season sampling at sites in Magela and Gulungul creeks are compared with historical data and data from control sites</w:t>
      </w:r>
      <w:r>
        <w:t xml:space="preserve"> upstream, and/or</w:t>
      </w:r>
      <w:r w:rsidRPr="00F3512C">
        <w:t xml:space="preserve"> in streams unaffected by contemporary mining</w:t>
      </w:r>
      <w:r>
        <w:t>:</w:t>
      </w:r>
    </w:p>
    <w:p w:rsidR="00D940C4" w:rsidRPr="00E34D52" w:rsidRDefault="00D940C4" w:rsidP="00D940C4">
      <w:pPr>
        <w:pStyle w:val="bulletlist1"/>
        <w:numPr>
          <w:ilvl w:val="1"/>
          <w:numId w:val="1"/>
        </w:numPr>
        <w:tabs>
          <w:tab w:val="clear" w:pos="1440"/>
          <w:tab w:val="num" w:pos="709"/>
        </w:tabs>
        <w:ind w:left="709" w:hanging="283"/>
      </w:pPr>
      <w:r w:rsidRPr="00E34D52">
        <w:rPr>
          <w:i/>
        </w:rPr>
        <w:t>Benthic macroinvertebrate communities</w:t>
      </w:r>
      <w:r w:rsidRPr="00E34D52">
        <w:t xml:space="preserve"> at stream sites (sampled at end of each wet season)</w:t>
      </w:r>
    </w:p>
    <w:p w:rsidR="00D940C4" w:rsidRPr="00E34D52" w:rsidRDefault="00D940C4" w:rsidP="00D940C4">
      <w:pPr>
        <w:pStyle w:val="bulletlist1"/>
        <w:numPr>
          <w:ilvl w:val="1"/>
          <w:numId w:val="1"/>
        </w:numPr>
        <w:tabs>
          <w:tab w:val="clear" w:pos="1440"/>
          <w:tab w:val="num" w:pos="709"/>
        </w:tabs>
        <w:ind w:left="709" w:hanging="283"/>
      </w:pPr>
      <w:r w:rsidRPr="00E34D52">
        <w:rPr>
          <w:i/>
        </w:rPr>
        <w:t>Fish communities in billabongs</w:t>
      </w:r>
      <w:r w:rsidRPr="00E34D52">
        <w:t xml:space="preserve"> (sampled at the end of each wet season).</w:t>
      </w:r>
    </w:p>
    <w:p w:rsidR="00D940C4" w:rsidRPr="00E34D52" w:rsidRDefault="00D940C4" w:rsidP="00D940C4">
      <w:r w:rsidRPr="00E34D52">
        <w:t>In accordance with the concepts of best practice and optimisation, the routine monitoring program</w:t>
      </w:r>
      <w:r>
        <w:t>me</w:t>
      </w:r>
      <w:r w:rsidRPr="00E34D52">
        <w:t xml:space="preserve"> has evolved through time as technologies (e</w:t>
      </w:r>
      <w:r>
        <w:t>.</w:t>
      </w:r>
      <w:r w:rsidRPr="00E34D52">
        <w:t>g</w:t>
      </w:r>
      <w:r>
        <w:t>.</w:t>
      </w:r>
      <w:r w:rsidRPr="00E34D52">
        <w:t xml:space="preserve"> continuous physicochemical monitoring using data sondes and telemetry) have evolved, and improved methodologies for biological assessment (e</w:t>
      </w:r>
      <w:r>
        <w:t>.</w:t>
      </w:r>
      <w:r w:rsidRPr="00E34D52">
        <w:t>g</w:t>
      </w:r>
      <w:r>
        <w:t>.</w:t>
      </w:r>
      <w:r w:rsidRPr="00E34D52">
        <w:t xml:space="preserve"> </w:t>
      </w:r>
      <w:r w:rsidRPr="00E16AC4">
        <w:t>in situ</w:t>
      </w:r>
      <w:r w:rsidRPr="00E34D52">
        <w:t xml:space="preserve"> monitoring using snails) have been developed under the SSD research program</w:t>
      </w:r>
      <w:r>
        <w:t>me</w:t>
      </w:r>
      <w:r w:rsidRPr="00E34D52">
        <w:t>.</w:t>
      </w:r>
    </w:p>
    <w:p w:rsidR="0018370A" w:rsidRDefault="00D940C4" w:rsidP="0018370A">
      <w:pPr>
        <w:jc w:val="left"/>
        <w:sectPr w:rsidR="0018370A" w:rsidSect="00487A27">
          <w:headerReference w:type="default" r:id="rId100"/>
          <w:pgSz w:w="11906" w:h="16838" w:code="9"/>
          <w:pgMar w:top="1440" w:right="1800" w:bottom="1440" w:left="1800" w:header="1080" w:footer="835" w:gutter="0"/>
          <w:cols w:space="360"/>
          <w:noEndnote/>
        </w:sectPr>
      </w:pPr>
      <w:r w:rsidRPr="00E34D52">
        <w:t>The results from the stream chemical and biological monitoring program</w:t>
      </w:r>
      <w:r>
        <w:t>me</w:t>
      </w:r>
      <w:r w:rsidRPr="00E34D52">
        <w:t xml:space="preserve"> for 201</w:t>
      </w:r>
      <w:r>
        <w:t>3</w:t>
      </w:r>
      <w:r w:rsidRPr="00E34D52">
        <w:t>–1</w:t>
      </w:r>
      <w:r>
        <w:t>4</w:t>
      </w:r>
      <w:r w:rsidRPr="00E34D52">
        <w:t xml:space="preserve"> are summarised below. </w:t>
      </w:r>
    </w:p>
    <w:p w:rsidR="00D94641" w:rsidRDefault="00D94641" w:rsidP="00802A22">
      <w:pPr>
        <w:pStyle w:val="Heading1"/>
      </w:pPr>
      <w:bookmarkStart w:id="136" w:name="_Toc418172702"/>
      <w:r w:rsidRPr="00B03227">
        <w:t>Surface water quality monitoring</w:t>
      </w:r>
      <w:bookmarkEnd w:id="134"/>
      <w:bookmarkEnd w:id="135"/>
      <w:r w:rsidR="001725F8">
        <w:t>: Ranger</w:t>
      </w:r>
      <w:bookmarkEnd w:id="136"/>
    </w:p>
    <w:p w:rsidR="00802A22" w:rsidRPr="00802A22" w:rsidRDefault="0058618D" w:rsidP="0058618D">
      <w:pPr>
        <w:pStyle w:val="Heading3"/>
        <w:spacing w:after="480"/>
        <w:jc w:val="center"/>
      </w:pPr>
      <w:bookmarkStart w:id="137" w:name="_Toc409772791"/>
      <w:r>
        <w:t>A Sinclair</w:t>
      </w:r>
      <w:bookmarkEnd w:id="137"/>
      <w:r>
        <w:t xml:space="preserve"> &amp; K Turner</w:t>
      </w:r>
    </w:p>
    <w:p w:rsidR="00D94641" w:rsidRPr="00B03227" w:rsidRDefault="00D94641" w:rsidP="00D94641">
      <w:pPr>
        <w:rPr>
          <w:spacing w:val="-2"/>
        </w:rPr>
      </w:pPr>
      <w:r w:rsidRPr="00B03227">
        <w:t xml:space="preserve">Under the Authorisation, ERA is required to monitor and report on water quality in Magela and Gulungul Creeks adjacent to Ranger mine. </w:t>
      </w:r>
      <w:r w:rsidRPr="00B03227">
        <w:rPr>
          <w:spacing w:val="-2"/>
        </w:rPr>
        <w:t xml:space="preserve">Specific water quality objectives must be achieved in Magela Creek. </w:t>
      </w:r>
    </w:p>
    <w:p w:rsidR="00D94641" w:rsidRPr="00B03227" w:rsidRDefault="00D94641" w:rsidP="00D94641">
      <w:r w:rsidRPr="00B03227">
        <w:t>The Authorisation specifies the sites, the frequency of sampling and the analytes to be reported. Each week during the wet season ERA reports the water quality at key sites, including Magela and Gulungul Creeks upstream and downstream of the mine, to the major stakeholders (SS, DME, NLC and GAC). A detailed interpretation of water quality across the site is provided at the end of each wet season in the ERA Ranger Annual Wet Season Report.</w:t>
      </w:r>
    </w:p>
    <w:p w:rsidR="00D94641" w:rsidRPr="00B03227" w:rsidRDefault="00D94641" w:rsidP="00D94641">
      <w:r w:rsidRPr="00B03227">
        <w:t xml:space="preserve">In addition to ERA’s monitoring programme, the Supervising Scientist conducts an independent surface water quality monitoring programme that includes measurement of chemical and physical variables in Magela and Gulungul Creeks, and biological monitoring in Magela and Gulungul Creeks as well as other reference creeks and waterbodies in the region. </w:t>
      </w:r>
    </w:p>
    <w:p w:rsidR="00D94641" w:rsidRPr="00B03227" w:rsidRDefault="00D94641" w:rsidP="00D94641">
      <w:pPr>
        <w:rPr>
          <w:spacing w:val="-2"/>
        </w:rPr>
      </w:pPr>
      <w:r w:rsidRPr="00B03227">
        <w:t xml:space="preserve">Key results </w:t>
      </w:r>
      <w:r w:rsidRPr="00B03227">
        <w:rPr>
          <w:szCs w:val="22"/>
        </w:rPr>
        <w:t xml:space="preserve">(including time-series charts of key variables of water quality) </w:t>
      </w:r>
      <w:r w:rsidRPr="00B03227">
        <w:t>are reported on</w:t>
      </w:r>
      <w:r w:rsidRPr="00B03227">
        <w:rPr>
          <w:szCs w:val="22"/>
        </w:rPr>
        <w:t xml:space="preserve"> the Internet </w:t>
      </w:r>
      <w:r w:rsidRPr="00B03227">
        <w:t xml:space="preserve">by the Supervising Scientist throughout the wet season (see </w:t>
      </w:r>
      <w:hyperlink r:id="rId101" w:history="1">
        <w:r w:rsidR="0020167B">
          <w:rPr>
            <w:rStyle w:val="Hyperlink"/>
          </w:rPr>
          <w:t>www.environment.gov.au/science/supervising-scientist/monitoring</w:t>
        </w:r>
      </w:hyperlink>
      <w:r w:rsidRPr="00B03227">
        <w:t>)</w:t>
      </w:r>
      <w:r w:rsidRPr="00B03227">
        <w:rPr>
          <w:szCs w:val="22"/>
        </w:rPr>
        <w:t xml:space="preserve">. The highlights of the monitoring results from the 2013–14 wet </w:t>
      </w:r>
      <w:proofErr w:type="gramStart"/>
      <w:r w:rsidRPr="00B03227">
        <w:rPr>
          <w:szCs w:val="22"/>
        </w:rPr>
        <w:t>season</w:t>
      </w:r>
      <w:proofErr w:type="gramEnd"/>
      <w:r w:rsidRPr="00B03227">
        <w:rPr>
          <w:szCs w:val="22"/>
        </w:rPr>
        <w:t xml:space="preserve"> are summarised below.</w:t>
      </w:r>
    </w:p>
    <w:p w:rsidR="00D94641" w:rsidRPr="00587E07" w:rsidRDefault="00D94641" w:rsidP="00587E07">
      <w:pPr>
        <w:pStyle w:val="Heading2"/>
      </w:pPr>
      <w:bookmarkStart w:id="138" w:name="_Toc401910171"/>
      <w:r w:rsidRPr="00587E07">
        <w:t>Chemical and physical monitoring of Magela Creek</w:t>
      </w:r>
      <w:bookmarkEnd w:id="138"/>
    </w:p>
    <w:p w:rsidR="00D94641" w:rsidRPr="00B03227" w:rsidRDefault="00D94641" w:rsidP="00D94641">
      <w:r w:rsidRPr="00B03227">
        <w:t>Flow was first recorded at the Magela Creek upstream and downstream monitoring stations on 28 November 2013, which is also when the water quality sensors at the downstream site were submerged. Only the turbidity sensors at the upstream site were submerge</w:t>
      </w:r>
      <w:r w:rsidR="00FF6DF3">
        <w:t xml:space="preserve">d on 28 November 2013 (Figure </w:t>
      </w:r>
      <w:r w:rsidRPr="00B03227">
        <w:t>1), with the EC and pH sensors, which are located above the turbidity sensors, becoming submerged on 2 D</w:t>
      </w:r>
      <w:r w:rsidR="00FF6DF3">
        <w:t xml:space="preserve">ecember 2013 (Figures 2 and </w:t>
      </w:r>
      <w:r w:rsidRPr="00B03227">
        <w:t>3).</w:t>
      </w:r>
    </w:p>
    <w:p w:rsidR="00D94641" w:rsidRPr="00B03227" w:rsidRDefault="00D94641" w:rsidP="00D94641">
      <w:r w:rsidRPr="00B03227">
        <w:t>On 7 December 2013 there was a leach tank failure on the Ranger mine site. In response to this SS increased the monitoring frequency within Magela Creek as part of an investigation into the incident to confirm that there was no impact on the external environment or human health, and that the surrounding environment, including Kakadu National Park, remained protected. Results received show that concentrations of uranium, manganese and magnesium remained significantly below the ecotoxicologically derived water quality objectives.</w:t>
      </w:r>
    </w:p>
    <w:p w:rsidR="00D94641" w:rsidRPr="00B03227" w:rsidRDefault="00D94641" w:rsidP="00D94641">
      <w:r w:rsidRPr="00B03227">
        <w:t>On 22 December 2013 an isolated heavy rainfall event occurred in the Georgetown Creek catchment with 64 mm recorded by ERA at GC2 compared to only 22 mm at the Jabiru Airport. This resulted in an influx of surface water down the Georgetown system, with an EC of around 130 µS cm</w:t>
      </w:r>
      <w:r w:rsidRPr="00B03227">
        <w:rPr>
          <w:snapToGrid w:val="0"/>
          <w:color w:val="000000"/>
          <w:position w:val="5"/>
          <w:sz w:val="15"/>
          <w:szCs w:val="0"/>
          <w:u w:color="000000"/>
        </w:rPr>
        <w:t>-1</w:t>
      </w:r>
      <w:r w:rsidRPr="00B03227">
        <w:t xml:space="preserve"> at ERA’s monitoring site GC2 and 94 µS cm</w:t>
      </w:r>
      <w:r w:rsidRPr="00B03227">
        <w:rPr>
          <w:snapToGrid w:val="0"/>
          <w:color w:val="000000"/>
          <w:position w:val="5"/>
          <w:sz w:val="15"/>
          <w:szCs w:val="0"/>
          <w:u w:color="000000"/>
        </w:rPr>
        <w:t>-1</w:t>
      </w:r>
      <w:r w:rsidRPr="00B03227">
        <w:t xml:space="preserve"> in Georgetown Billabong. The flow in Magela Creek was less than 5 cumecs and the pulse of surface water from Georgetown Billabong was observed at the downstream site where the EC peaked at 31 µS cm</w:t>
      </w:r>
      <w:r w:rsidRPr="00B03227">
        <w:rPr>
          <w:snapToGrid w:val="0"/>
          <w:color w:val="000000"/>
          <w:position w:val="5"/>
          <w:sz w:val="15"/>
          <w:szCs w:val="0"/>
          <w:u w:color="000000"/>
        </w:rPr>
        <w:t>-1</w:t>
      </w:r>
      <w:r w:rsidR="00FF6DF3">
        <w:t xml:space="preserve"> (Figure </w:t>
      </w:r>
      <w:r w:rsidRPr="00B03227">
        <w:t>2). The corresponding EC measured at the upstream site during this period was 16 µS cm</w:t>
      </w:r>
      <w:r w:rsidRPr="00B03227">
        <w:rPr>
          <w:snapToGrid w:val="0"/>
          <w:color w:val="000000"/>
          <w:position w:val="5"/>
          <w:sz w:val="15"/>
          <w:szCs w:val="0"/>
          <w:u w:color="000000"/>
        </w:rPr>
        <w:t>-1</w:t>
      </w:r>
      <w:r w:rsidRPr="00B03227">
        <w:t>.  During this EC event an automatic sample was triggered at MCDW, which had elevated magnesium (1.7 mg</w:t>
      </w:r>
      <w:r w:rsidR="008A286A">
        <w:t>L</w:t>
      </w:r>
      <w:r w:rsidR="0079278E" w:rsidRPr="0079278E">
        <w:rPr>
          <w:vertAlign w:val="superscript"/>
        </w:rPr>
        <w:t>-1</w:t>
      </w:r>
      <w:r w:rsidRPr="00B03227">
        <w:t xml:space="preserve">) and sulfate </w:t>
      </w:r>
      <w:proofErr w:type="gramStart"/>
      <w:r w:rsidR="0079278E">
        <w:t>(3.0 mg</w:t>
      </w:r>
      <w:r w:rsidR="008A286A">
        <w:t>L</w:t>
      </w:r>
      <w:r w:rsidR="0079278E" w:rsidRPr="0079278E">
        <w:rPr>
          <w:vertAlign w:val="superscript"/>
        </w:rPr>
        <w:t>-1</w:t>
      </w:r>
      <w:r w:rsidRPr="00B03227">
        <w:t>)</w:t>
      </w:r>
      <w:proofErr w:type="gramEnd"/>
      <w:r w:rsidRPr="00B03227">
        <w:t xml:space="preserve"> concentrations. The event remained well below the chronic exposure limit for magnesium of 3.0 mg</w:t>
      </w:r>
      <w:r w:rsidR="0079278E" w:rsidRPr="0079278E">
        <w:rPr>
          <w:vertAlign w:val="superscript"/>
        </w:rPr>
        <w:t>-1</w:t>
      </w:r>
      <w:r w:rsidRPr="00B03227">
        <w:t xml:space="preserve">. Uranium concentration was low </w:t>
      </w:r>
      <w:proofErr w:type="gramStart"/>
      <w:r w:rsidRPr="00B03227">
        <w:t>at 0.19 µg</w:t>
      </w:r>
      <w:r w:rsidR="008A286A">
        <w:t>L</w:t>
      </w:r>
      <w:r w:rsidR="0079278E" w:rsidRPr="0079278E">
        <w:rPr>
          <w:vertAlign w:val="superscript"/>
        </w:rPr>
        <w:t>-1</w:t>
      </w:r>
      <w:r w:rsidRPr="00B03227">
        <w:t>,</w:t>
      </w:r>
      <w:proofErr w:type="gramEnd"/>
      <w:r w:rsidRPr="00B03227">
        <w:t xml:space="preserve"> which is approximately 3% of the ecotoxicologically derived limit of 6</w:t>
      </w:r>
      <w:r w:rsidR="0079278E">
        <w:t xml:space="preserve"> µg</w:t>
      </w:r>
      <w:r w:rsidR="008A286A">
        <w:t>L</w:t>
      </w:r>
      <w:r w:rsidR="0079278E" w:rsidRPr="0079278E">
        <w:rPr>
          <w:vertAlign w:val="superscript"/>
        </w:rPr>
        <w:t>-1</w:t>
      </w:r>
      <w:r w:rsidR="00FF6DF3">
        <w:t xml:space="preserve"> (Figure </w:t>
      </w:r>
      <w:r w:rsidRPr="00B03227">
        <w:t>4). Manganese concentrations were also below the ecotoxicologically de</w:t>
      </w:r>
      <w:r w:rsidR="00FF6DF3">
        <w:t xml:space="preserve">rived trigger values (Figure </w:t>
      </w:r>
      <w:r w:rsidRPr="00B03227">
        <w:t>5)</w:t>
      </w:r>
    </w:p>
    <w:p w:rsidR="00D94641" w:rsidRPr="00B03227" w:rsidRDefault="00D94641" w:rsidP="00D94641"/>
    <w:p w:rsidR="00D94641" w:rsidRPr="00B03227" w:rsidRDefault="00D94641" w:rsidP="00D94641">
      <w:pPr>
        <w:jc w:val="center"/>
      </w:pPr>
      <w:r w:rsidRPr="00B03227">
        <w:rPr>
          <w:noProof/>
          <w:lang w:eastAsia="en-AU"/>
        </w:rPr>
        <w:drawing>
          <wp:inline distT="0" distB="0" distL="0" distR="0">
            <wp:extent cx="4727575" cy="2856643"/>
            <wp:effectExtent l="19050" t="0" r="0" b="0"/>
            <wp:docPr id="3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2" cstate="screen"/>
                    <a:srcRect/>
                    <a:stretch>
                      <a:fillRect/>
                    </a:stretch>
                  </pic:blipFill>
                  <pic:spPr bwMode="auto">
                    <a:xfrm>
                      <a:off x="0" y="0"/>
                      <a:ext cx="4727575" cy="2856643"/>
                    </a:xfrm>
                    <a:prstGeom prst="rect">
                      <a:avLst/>
                    </a:prstGeom>
                    <a:noFill/>
                    <a:ln w="9525">
                      <a:noFill/>
                      <a:miter lim="800000"/>
                      <a:headEnd/>
                      <a:tailEnd/>
                    </a:ln>
                  </pic:spPr>
                </pic:pic>
              </a:graphicData>
            </a:graphic>
          </wp:inline>
        </w:drawing>
      </w:r>
    </w:p>
    <w:p w:rsidR="00D94641" w:rsidRPr="00B03227" w:rsidRDefault="005C63DB" w:rsidP="00D94641">
      <w:pPr>
        <w:pStyle w:val="figurecaption"/>
      </w:pPr>
      <w:bookmarkStart w:id="139" w:name="_Toc397093462"/>
      <w:r>
        <w:rPr>
          <w:b/>
        </w:rPr>
        <w:t xml:space="preserve">Figure </w:t>
      </w:r>
      <w:proofErr w:type="gramStart"/>
      <w:r w:rsidR="00D94641" w:rsidRPr="00B03227">
        <w:rPr>
          <w:b/>
        </w:rPr>
        <w:t xml:space="preserve">1 </w:t>
      </w:r>
      <w:r w:rsidR="00D94641" w:rsidRPr="00B03227">
        <w:t xml:space="preserve"> Continuous</w:t>
      </w:r>
      <w:proofErr w:type="gramEnd"/>
      <w:r w:rsidR="00D94641" w:rsidRPr="00B03227">
        <w:t xml:space="preserve"> monitoring of turbidity and water discharge in Magela Creek during the 2013–14 wet season</w:t>
      </w:r>
      <w:bookmarkEnd w:id="139"/>
      <w:r w:rsidR="00031BC4">
        <w:t>.</w:t>
      </w:r>
    </w:p>
    <w:p w:rsidR="00D94641" w:rsidRPr="00B03227" w:rsidRDefault="00D94641" w:rsidP="00D94641"/>
    <w:p w:rsidR="00D94641" w:rsidRPr="00B03227" w:rsidRDefault="00D94641" w:rsidP="00D94641">
      <w:pPr>
        <w:jc w:val="center"/>
      </w:pPr>
      <w:r w:rsidRPr="00B03227">
        <w:rPr>
          <w:noProof/>
          <w:lang w:eastAsia="en-AU"/>
        </w:rPr>
        <w:drawing>
          <wp:inline distT="0" distB="0" distL="0" distR="0">
            <wp:extent cx="4727575" cy="2854570"/>
            <wp:effectExtent l="19050" t="0" r="0" b="0"/>
            <wp:docPr id="3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3" cstate="screen"/>
                    <a:srcRect/>
                    <a:stretch>
                      <a:fillRect/>
                    </a:stretch>
                  </pic:blipFill>
                  <pic:spPr bwMode="auto">
                    <a:xfrm>
                      <a:off x="0" y="0"/>
                      <a:ext cx="4727575" cy="2854570"/>
                    </a:xfrm>
                    <a:prstGeom prst="rect">
                      <a:avLst/>
                    </a:prstGeom>
                    <a:noFill/>
                    <a:ln w="9525">
                      <a:noFill/>
                      <a:miter lim="800000"/>
                      <a:headEnd/>
                      <a:tailEnd/>
                    </a:ln>
                  </pic:spPr>
                </pic:pic>
              </a:graphicData>
            </a:graphic>
          </wp:inline>
        </w:drawing>
      </w:r>
    </w:p>
    <w:p w:rsidR="00D94641" w:rsidRPr="00B03227" w:rsidRDefault="005C63DB" w:rsidP="00D94641">
      <w:pPr>
        <w:pStyle w:val="figurecaption"/>
      </w:pPr>
      <w:bookmarkStart w:id="140" w:name="_Toc397093463"/>
      <w:r>
        <w:rPr>
          <w:b/>
        </w:rPr>
        <w:t xml:space="preserve">Figure </w:t>
      </w:r>
      <w:proofErr w:type="gramStart"/>
      <w:r w:rsidR="00D94641" w:rsidRPr="00B03227">
        <w:rPr>
          <w:b/>
        </w:rPr>
        <w:t xml:space="preserve">2 </w:t>
      </w:r>
      <w:r w:rsidR="00D94641" w:rsidRPr="00B03227">
        <w:t xml:space="preserve"> Continuous</w:t>
      </w:r>
      <w:proofErr w:type="gramEnd"/>
      <w:r w:rsidR="00D94641" w:rsidRPr="00B03227">
        <w:t xml:space="preserve"> monitoring of EC and water discharge in Magela Creek during the 2013–14 wet season</w:t>
      </w:r>
      <w:bookmarkEnd w:id="140"/>
      <w:r w:rsidR="00031BC4">
        <w:t>.</w:t>
      </w:r>
    </w:p>
    <w:p w:rsidR="00D94641" w:rsidRPr="00B03227" w:rsidRDefault="00D94641" w:rsidP="00D94641">
      <w:pPr>
        <w:jc w:val="center"/>
      </w:pPr>
      <w:r w:rsidRPr="00B03227">
        <w:rPr>
          <w:noProof/>
          <w:lang w:eastAsia="en-AU"/>
        </w:rPr>
        <w:drawing>
          <wp:inline distT="0" distB="0" distL="0" distR="0">
            <wp:extent cx="4727575" cy="2856643"/>
            <wp:effectExtent l="19050" t="0" r="0" b="0"/>
            <wp:docPr id="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4" cstate="screen"/>
                    <a:srcRect/>
                    <a:stretch>
                      <a:fillRect/>
                    </a:stretch>
                  </pic:blipFill>
                  <pic:spPr bwMode="auto">
                    <a:xfrm>
                      <a:off x="0" y="0"/>
                      <a:ext cx="4727575" cy="2856643"/>
                    </a:xfrm>
                    <a:prstGeom prst="rect">
                      <a:avLst/>
                    </a:prstGeom>
                    <a:noFill/>
                    <a:ln w="9525">
                      <a:noFill/>
                      <a:miter lim="800000"/>
                      <a:headEnd/>
                      <a:tailEnd/>
                    </a:ln>
                  </pic:spPr>
                </pic:pic>
              </a:graphicData>
            </a:graphic>
          </wp:inline>
        </w:drawing>
      </w:r>
    </w:p>
    <w:p w:rsidR="00D94641" w:rsidRPr="00B03227" w:rsidRDefault="005C63DB" w:rsidP="00E72D62">
      <w:pPr>
        <w:pStyle w:val="figurecaption"/>
      </w:pPr>
      <w:bookmarkStart w:id="141" w:name="_Toc397093464"/>
      <w:r>
        <w:rPr>
          <w:b/>
        </w:rPr>
        <w:t xml:space="preserve">Figure </w:t>
      </w:r>
      <w:proofErr w:type="gramStart"/>
      <w:r w:rsidR="00D94641" w:rsidRPr="00B03227">
        <w:rPr>
          <w:b/>
        </w:rPr>
        <w:t xml:space="preserve">3 </w:t>
      </w:r>
      <w:r w:rsidR="00D94641" w:rsidRPr="00B03227">
        <w:t xml:space="preserve"> Continuous</w:t>
      </w:r>
      <w:proofErr w:type="gramEnd"/>
      <w:r w:rsidR="00D94641" w:rsidRPr="00B03227">
        <w:t xml:space="preserve"> monitoring of pH and water discharge in Magela Creek during the 2013–14 wet season</w:t>
      </w:r>
      <w:bookmarkEnd w:id="141"/>
      <w:r w:rsidR="00031BC4">
        <w:t>.</w:t>
      </w:r>
    </w:p>
    <w:p w:rsidR="00D94641" w:rsidRPr="00B03227" w:rsidRDefault="00D94641" w:rsidP="00D94641">
      <w:pPr>
        <w:jc w:val="center"/>
      </w:pPr>
      <w:r w:rsidRPr="00B03227">
        <w:rPr>
          <w:noProof/>
          <w:lang w:eastAsia="en-AU"/>
        </w:rPr>
        <w:drawing>
          <wp:inline distT="0" distB="0" distL="0" distR="0">
            <wp:extent cx="4727575" cy="2856643"/>
            <wp:effectExtent l="19050" t="0" r="0" b="0"/>
            <wp:docPr id="1010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5" cstate="screen"/>
                    <a:srcRect/>
                    <a:stretch>
                      <a:fillRect/>
                    </a:stretch>
                  </pic:blipFill>
                  <pic:spPr bwMode="auto">
                    <a:xfrm>
                      <a:off x="0" y="0"/>
                      <a:ext cx="4727575" cy="2856643"/>
                    </a:xfrm>
                    <a:prstGeom prst="rect">
                      <a:avLst/>
                    </a:prstGeom>
                    <a:noFill/>
                    <a:ln w="9525">
                      <a:noFill/>
                      <a:miter lim="800000"/>
                      <a:headEnd/>
                      <a:tailEnd/>
                    </a:ln>
                  </pic:spPr>
                </pic:pic>
              </a:graphicData>
            </a:graphic>
          </wp:inline>
        </w:drawing>
      </w:r>
    </w:p>
    <w:p w:rsidR="00D94641" w:rsidRPr="00B03227" w:rsidRDefault="005C63DB" w:rsidP="00D94641">
      <w:pPr>
        <w:pStyle w:val="figurecaption"/>
      </w:pPr>
      <w:bookmarkStart w:id="142" w:name="_Toc397093465"/>
      <w:r>
        <w:rPr>
          <w:b/>
        </w:rPr>
        <w:t xml:space="preserve">Figure </w:t>
      </w:r>
      <w:r w:rsidR="00D94641" w:rsidRPr="00B03227">
        <w:rPr>
          <w:b/>
        </w:rPr>
        <w:t>4</w:t>
      </w:r>
      <w:r w:rsidR="00D94641" w:rsidRPr="00B03227">
        <w:t xml:space="preserve"> Continuous EC and total uranium concentrations in Magela Creek </w:t>
      </w:r>
      <w:r w:rsidR="00D94641" w:rsidRPr="00B03227">
        <w:br/>
        <w:t>during the 2013–14 wet season</w:t>
      </w:r>
      <w:bookmarkEnd w:id="142"/>
      <w:r w:rsidR="00031BC4">
        <w:t>.</w:t>
      </w:r>
    </w:p>
    <w:p w:rsidR="00D94641" w:rsidRPr="00B03227" w:rsidRDefault="00D94641" w:rsidP="00D94641"/>
    <w:p w:rsidR="00D94641" w:rsidRPr="00B03227" w:rsidRDefault="00D94641" w:rsidP="00D94641">
      <w:r w:rsidRPr="00B03227">
        <w:t>On 29 December 2013 elevated EC was observed at the downstream site, with EC peaking at 36 µS cm</w:t>
      </w:r>
      <w:r w:rsidRPr="00B03227">
        <w:rPr>
          <w:snapToGrid w:val="0"/>
          <w:color w:val="000000"/>
          <w:position w:val="5"/>
          <w:sz w:val="15"/>
          <w:szCs w:val="0"/>
          <w:u w:color="000000"/>
        </w:rPr>
        <w:t>-1</w:t>
      </w:r>
      <w:r w:rsidRPr="00B03227">
        <w:t xml:space="preserve"> with a corresponding upstream EC of 12 µS cm</w:t>
      </w:r>
      <w:r w:rsidRPr="00B03227">
        <w:rPr>
          <w:snapToGrid w:val="0"/>
          <w:color w:val="000000"/>
          <w:position w:val="5"/>
          <w:sz w:val="15"/>
          <w:szCs w:val="0"/>
          <w:u w:color="000000"/>
        </w:rPr>
        <w:t>-1</w:t>
      </w:r>
      <w:r w:rsidR="00FF6DF3">
        <w:t xml:space="preserve"> (Figure </w:t>
      </w:r>
      <w:r w:rsidRPr="00B03227">
        <w:t xml:space="preserve">2). This increase in EC downstream of the mine was also observed by ERA, who </w:t>
      </w:r>
      <w:proofErr w:type="gramStart"/>
      <w:r w:rsidRPr="00B03227">
        <w:t>have</w:t>
      </w:r>
      <w:proofErr w:type="gramEnd"/>
      <w:r w:rsidRPr="00B03227">
        <w:t xml:space="preserve"> continuous monitoring sites located in all three channels of Magela Creek. The fact that the EC signal occurred prior to managed release of RP1 waters and it was apparent across all three channels downstream of the mine (indicating thorough mixing), suggests that the likely source is surface water from Georgetown Billabong which at the time, had an EC of around 95 µS cm</w:t>
      </w:r>
      <w:r w:rsidRPr="00B03227">
        <w:rPr>
          <w:snapToGrid w:val="0"/>
          <w:color w:val="000000"/>
          <w:position w:val="5"/>
          <w:sz w:val="15"/>
          <w:szCs w:val="0"/>
          <w:u w:color="000000"/>
        </w:rPr>
        <w:t>-1</w:t>
      </w:r>
      <w:r w:rsidRPr="00B03227">
        <w:t>.</w:t>
      </w:r>
    </w:p>
    <w:p w:rsidR="00D94641" w:rsidRPr="00B03227" w:rsidRDefault="00D94641" w:rsidP="00D94641"/>
    <w:p w:rsidR="00D94641" w:rsidRPr="00B03227" w:rsidRDefault="00D94641" w:rsidP="00D94641">
      <w:pPr>
        <w:jc w:val="center"/>
      </w:pPr>
      <w:r w:rsidRPr="00B03227">
        <w:rPr>
          <w:noProof/>
          <w:lang w:eastAsia="en-AU"/>
        </w:rPr>
        <w:drawing>
          <wp:inline distT="0" distB="0" distL="0" distR="0">
            <wp:extent cx="4727575" cy="2856643"/>
            <wp:effectExtent l="19050" t="0" r="0" b="0"/>
            <wp:docPr id="1010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6" cstate="screen"/>
                    <a:srcRect/>
                    <a:stretch>
                      <a:fillRect/>
                    </a:stretch>
                  </pic:blipFill>
                  <pic:spPr bwMode="auto">
                    <a:xfrm>
                      <a:off x="0" y="0"/>
                      <a:ext cx="4727575" cy="2856643"/>
                    </a:xfrm>
                    <a:prstGeom prst="rect">
                      <a:avLst/>
                    </a:prstGeom>
                    <a:noFill/>
                    <a:ln w="9525">
                      <a:noFill/>
                      <a:miter lim="800000"/>
                      <a:headEnd/>
                      <a:tailEnd/>
                    </a:ln>
                  </pic:spPr>
                </pic:pic>
              </a:graphicData>
            </a:graphic>
          </wp:inline>
        </w:drawing>
      </w:r>
    </w:p>
    <w:p w:rsidR="00D94641" w:rsidRPr="00B03227" w:rsidRDefault="005C63DB" w:rsidP="00D94641">
      <w:pPr>
        <w:pStyle w:val="figurecaption"/>
      </w:pPr>
      <w:bookmarkStart w:id="143" w:name="_Toc397093466"/>
      <w:r>
        <w:rPr>
          <w:b/>
        </w:rPr>
        <w:t xml:space="preserve">Figure </w:t>
      </w:r>
      <w:r w:rsidR="00D94641" w:rsidRPr="00B03227">
        <w:rPr>
          <w:b/>
        </w:rPr>
        <w:t>5</w:t>
      </w:r>
      <w:r w:rsidR="00D94641" w:rsidRPr="00B03227">
        <w:t xml:space="preserve"> Continuous EC and total manganese concentrations in Magela Creek </w:t>
      </w:r>
      <w:r w:rsidR="00D94641" w:rsidRPr="00B03227">
        <w:br/>
        <w:t>during the 2013–14 wet season</w:t>
      </w:r>
      <w:bookmarkEnd w:id="143"/>
      <w:r w:rsidR="00031BC4">
        <w:t>.</w:t>
      </w:r>
    </w:p>
    <w:p w:rsidR="00D94641" w:rsidRPr="00B03227" w:rsidRDefault="00D94641" w:rsidP="00D94641">
      <w:pPr>
        <w:rPr>
          <w:lang w:val="en-US"/>
        </w:rPr>
      </w:pPr>
      <w:r w:rsidRPr="00B03227">
        <w:rPr>
          <w:lang w:val="en-US"/>
        </w:rPr>
        <w:t>Samples were manually triggered over the Christmas period on 29 December 2013, as show</w:t>
      </w:r>
      <w:r w:rsidR="00FF6DF3">
        <w:rPr>
          <w:lang w:val="en-US"/>
        </w:rPr>
        <w:t xml:space="preserve">n in Figure </w:t>
      </w:r>
      <w:r w:rsidRPr="00B03227">
        <w:rPr>
          <w:lang w:val="en-US"/>
        </w:rPr>
        <w:t>6. The upstream sample was triggered at 03.33 am and the downstream sample was triggered at 09.15 am. The magnesium and sulfate concentrations were higher in the downstream sample as would be expected with the higher EC at the time. The uranium concentration downstream was marginally higher at 0.28 µg L</w:t>
      </w:r>
      <w:r w:rsidRPr="00B03227">
        <w:rPr>
          <w:snapToGrid w:val="0"/>
          <w:color w:val="000000"/>
          <w:position w:val="5"/>
          <w:sz w:val="15"/>
          <w:szCs w:val="0"/>
          <w:u w:color="000000"/>
          <w:lang w:val="en-US"/>
        </w:rPr>
        <w:t>-1</w:t>
      </w:r>
      <w:r w:rsidRPr="00B03227">
        <w:rPr>
          <w:lang w:val="en-US"/>
        </w:rPr>
        <w:t xml:space="preserve"> however this is still low at approximately 5% of the ecotoxicologically derived limit.</w:t>
      </w:r>
    </w:p>
    <w:p w:rsidR="00D94641" w:rsidRPr="00B03227" w:rsidRDefault="00D94641" w:rsidP="00D94641">
      <w:pPr>
        <w:jc w:val="center"/>
        <w:rPr>
          <w:lang w:val="en-US"/>
        </w:rPr>
      </w:pPr>
      <w:r w:rsidRPr="00B03227">
        <w:rPr>
          <w:noProof/>
          <w:lang w:eastAsia="en-AU"/>
        </w:rPr>
        <w:drawing>
          <wp:inline distT="0" distB="0" distL="0" distR="0">
            <wp:extent cx="4727575" cy="2816031"/>
            <wp:effectExtent l="19050" t="19050" r="15875" b="22419"/>
            <wp:docPr id="101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7" cstate="screen"/>
                    <a:srcRect/>
                    <a:stretch>
                      <a:fillRect/>
                    </a:stretch>
                  </pic:blipFill>
                  <pic:spPr bwMode="auto">
                    <a:xfrm>
                      <a:off x="0" y="0"/>
                      <a:ext cx="4727575" cy="2816031"/>
                    </a:xfrm>
                    <a:prstGeom prst="rect">
                      <a:avLst/>
                    </a:prstGeom>
                    <a:noFill/>
                    <a:ln w="3175">
                      <a:solidFill>
                        <a:schemeClr val="tx1"/>
                      </a:solidFill>
                      <a:miter lim="800000"/>
                      <a:headEnd/>
                      <a:tailEnd/>
                    </a:ln>
                  </pic:spPr>
                </pic:pic>
              </a:graphicData>
            </a:graphic>
          </wp:inline>
        </w:drawing>
      </w:r>
    </w:p>
    <w:p w:rsidR="00C14AC5" w:rsidRDefault="005C63DB" w:rsidP="00D94641">
      <w:pPr>
        <w:pStyle w:val="figurecaption"/>
        <w:sectPr w:rsidR="00C14AC5" w:rsidSect="00487A27">
          <w:pgSz w:w="11906" w:h="16838" w:code="9"/>
          <w:pgMar w:top="1440" w:right="1800" w:bottom="1440" w:left="1800" w:header="1080" w:footer="835" w:gutter="0"/>
          <w:cols w:space="360"/>
          <w:noEndnote/>
        </w:sectPr>
      </w:pPr>
      <w:bookmarkStart w:id="144" w:name="_Toc397093467"/>
      <w:r>
        <w:rPr>
          <w:b/>
        </w:rPr>
        <w:t xml:space="preserve">Figure </w:t>
      </w:r>
      <w:proofErr w:type="gramStart"/>
      <w:r w:rsidR="00D94641" w:rsidRPr="00B03227">
        <w:rPr>
          <w:b/>
        </w:rPr>
        <w:t xml:space="preserve">6 </w:t>
      </w:r>
      <w:r w:rsidR="00D94641" w:rsidRPr="00B03227">
        <w:t xml:space="preserve"> Magela</w:t>
      </w:r>
      <w:proofErr w:type="gramEnd"/>
      <w:r w:rsidR="00D94641" w:rsidRPr="00B03227">
        <w:t xml:space="preserve"> Creek continuous monitoring data showing a peak in EC at the downstream monitoring site (MCDW) during late December 2014</w:t>
      </w:r>
      <w:bookmarkEnd w:id="144"/>
      <w:r w:rsidR="00CB13A0">
        <w:t>.</w:t>
      </w:r>
    </w:p>
    <w:p w:rsidR="00D94641" w:rsidRPr="00B03227" w:rsidRDefault="00D94641" w:rsidP="00D94641">
      <w:pPr>
        <w:pStyle w:val="figurecaption"/>
      </w:pPr>
    </w:p>
    <w:p w:rsidR="00D94641" w:rsidRPr="00B03227" w:rsidRDefault="00D94641" w:rsidP="00D94641">
      <w:r w:rsidRPr="00B03227">
        <w:t xml:space="preserve">From late December 2013 the EC downstream of the mine diverged from the background EC measured upstream of the mine, which occurs each wet season once flows from Coonjimba and Georgetown billabongs into Magela Creek become established. </w:t>
      </w:r>
    </w:p>
    <w:p w:rsidR="00D94641" w:rsidRPr="00B03227" w:rsidRDefault="00D94641" w:rsidP="00D94641">
      <w:r w:rsidRPr="00B03227">
        <w:t>On 27 January 2014 there was an EC peak of 34 µS cm</w:t>
      </w:r>
      <w:r w:rsidRPr="00B03227">
        <w:rPr>
          <w:snapToGrid w:val="0"/>
          <w:color w:val="000000"/>
          <w:position w:val="5"/>
          <w:sz w:val="15"/>
          <w:szCs w:val="0"/>
          <w:u w:color="000000"/>
        </w:rPr>
        <w:t>-1</w:t>
      </w:r>
      <w:r w:rsidRPr="00B03227">
        <w:t xml:space="preserve"> at the downs</w:t>
      </w:r>
      <w:r w:rsidR="00FF6DF3">
        <w:t xml:space="preserve">tream monitoring site (Figure </w:t>
      </w:r>
      <w:r w:rsidRPr="00B03227">
        <w:t>7). The peak occurred during a decrease in Magela Creek water level and is likely to be due to Coonjimba Billabong inflow to Magela Creek. At the time, the EC of Coonjimba Billabong was around 150 µS cm</w:t>
      </w:r>
      <w:r w:rsidRPr="00B03227">
        <w:rPr>
          <w:snapToGrid w:val="0"/>
          <w:color w:val="000000"/>
          <w:position w:val="5"/>
          <w:sz w:val="15"/>
          <w:szCs w:val="0"/>
          <w:u w:color="000000"/>
        </w:rPr>
        <w:t>-1</w:t>
      </w:r>
      <w:r w:rsidRPr="00B03227">
        <w:t xml:space="preserve"> and the EC of RP1 was around 270 µS cm</w:t>
      </w:r>
      <w:r w:rsidRPr="00B03227">
        <w:rPr>
          <w:snapToGrid w:val="0"/>
          <w:color w:val="000000"/>
          <w:position w:val="5"/>
          <w:sz w:val="15"/>
          <w:szCs w:val="0"/>
          <w:u w:color="000000"/>
        </w:rPr>
        <w:t>-1</w:t>
      </w:r>
      <w:r w:rsidRPr="00B03227">
        <w:t xml:space="preserve"> (ERA monitoring data). As the EC peaks were below the autosampler activation trigger of 42 µS cm</w:t>
      </w:r>
      <w:r w:rsidRPr="00B03227">
        <w:rPr>
          <w:snapToGrid w:val="0"/>
          <w:color w:val="000000"/>
          <w:position w:val="5"/>
          <w:sz w:val="15"/>
          <w:szCs w:val="0"/>
          <w:u w:color="000000"/>
        </w:rPr>
        <w:t>-1</w:t>
      </w:r>
      <w:r w:rsidRPr="00B03227">
        <w:t xml:space="preserve"> no samples were collected.</w:t>
      </w:r>
    </w:p>
    <w:p w:rsidR="00D94641" w:rsidRPr="00B03227" w:rsidRDefault="00D94641" w:rsidP="00D94641">
      <w:pPr>
        <w:jc w:val="center"/>
      </w:pPr>
      <w:r w:rsidRPr="00B03227">
        <w:rPr>
          <w:noProof/>
          <w:lang w:eastAsia="en-AU"/>
        </w:rPr>
        <w:drawing>
          <wp:inline distT="0" distB="0" distL="0" distR="0">
            <wp:extent cx="4727575" cy="2913893"/>
            <wp:effectExtent l="19050" t="0" r="0" b="0"/>
            <wp:docPr id="1010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8" cstate="screen"/>
                    <a:srcRect/>
                    <a:stretch>
                      <a:fillRect/>
                    </a:stretch>
                  </pic:blipFill>
                  <pic:spPr bwMode="auto">
                    <a:xfrm>
                      <a:off x="0" y="0"/>
                      <a:ext cx="4727575" cy="2913893"/>
                    </a:xfrm>
                    <a:prstGeom prst="rect">
                      <a:avLst/>
                    </a:prstGeom>
                    <a:noFill/>
                    <a:ln w="9525">
                      <a:noFill/>
                      <a:miter lim="800000"/>
                      <a:headEnd/>
                      <a:tailEnd/>
                    </a:ln>
                  </pic:spPr>
                </pic:pic>
              </a:graphicData>
            </a:graphic>
          </wp:inline>
        </w:drawing>
      </w:r>
    </w:p>
    <w:p w:rsidR="00D94641" w:rsidRPr="00B03227" w:rsidRDefault="005C63DB" w:rsidP="00D94641">
      <w:pPr>
        <w:pStyle w:val="figurecaption"/>
      </w:pPr>
      <w:bookmarkStart w:id="145" w:name="_Toc397093468"/>
      <w:r>
        <w:rPr>
          <w:b/>
        </w:rPr>
        <w:t xml:space="preserve">Figure </w:t>
      </w:r>
      <w:proofErr w:type="gramStart"/>
      <w:r w:rsidR="00D94641" w:rsidRPr="00B03227">
        <w:rPr>
          <w:b/>
        </w:rPr>
        <w:t xml:space="preserve">7 </w:t>
      </w:r>
      <w:r w:rsidR="00D94641" w:rsidRPr="00B03227">
        <w:t xml:space="preserve"> Magela</w:t>
      </w:r>
      <w:proofErr w:type="gramEnd"/>
      <w:r w:rsidR="00D94641" w:rsidRPr="00B03227">
        <w:t xml:space="preserve"> Creek continuous monitoring data showing peaks in electrical conductivity at the downstream monitoring site (MCDW) during late January 2014</w:t>
      </w:r>
      <w:bookmarkEnd w:id="145"/>
      <w:r w:rsidR="00BC6D53">
        <w:t>.</w:t>
      </w:r>
    </w:p>
    <w:p w:rsidR="00D94641" w:rsidRPr="00B03227" w:rsidRDefault="00D94641" w:rsidP="00D94641">
      <w:r w:rsidRPr="00B03227">
        <w:t>High turbidity levels are common in Magela Creek during the early wet season due to first flush effects. Historically, the mine site does not contribute substantial amounts of suspended sediment to Magela Creek and therefore has little influence on the turbidity at the downstream site. Occasionally turbidity spikes are observed at the downstream site without an accompanying spike at the upstream site, indicating that the source of suspended sediment lies between the two sites. From 23–28 January 2014 there were three turbidity peaks which occurred at MCDW but were not detec</w:t>
      </w:r>
      <w:r w:rsidR="00FF6DF3">
        <w:t xml:space="preserve">ted upstream at MCUGT (Figure </w:t>
      </w:r>
      <w:r w:rsidRPr="00B03227">
        <w:t>8). These coincided with intermittent rainfall events associated with the monsoonal trough over northern Australia during late January and are due to surface run-off from localised rainfall. Water quality objectives are currently being developed for continuously monitored turbidity.</w:t>
      </w:r>
    </w:p>
    <w:p w:rsidR="00D94641" w:rsidRPr="00B03227" w:rsidRDefault="00D94641" w:rsidP="00D94641">
      <w:r w:rsidRPr="00B03227">
        <w:t>There was little rainfall over the first two weeks of February 2014 and the decrease in stream discharge led to increased pH levels. The inverse relationship between pH and water level in the creek is explained by the slightly acidic nature of the incident rainfall in the region (Noller et al. 1990). Water quality objectives are currently being developed for continuously monitored pH.</w:t>
      </w:r>
    </w:p>
    <w:p w:rsidR="00D94641" w:rsidRPr="00B03227" w:rsidRDefault="00D94641" w:rsidP="00D94641">
      <w:r w:rsidRPr="00B03227">
        <w:t>Uranium concentrations recorded within Magela Creek were all below the Focus trigger value of 0.3 µg L</w:t>
      </w:r>
      <w:r w:rsidRPr="00B03227">
        <w:rPr>
          <w:snapToGrid w:val="0"/>
          <w:color w:val="000000"/>
          <w:position w:val="5"/>
          <w:sz w:val="15"/>
          <w:szCs w:val="0"/>
          <w:u w:color="000000"/>
        </w:rPr>
        <w:t>-1</w:t>
      </w:r>
      <w:r w:rsidRPr="00B03227">
        <w:t xml:space="preserve"> with the exception of two samples collected on 6–7 April 2014, which contained 0.35 µg L</w:t>
      </w:r>
      <w:r w:rsidRPr="00B03227">
        <w:rPr>
          <w:snapToGrid w:val="0"/>
          <w:color w:val="000000"/>
          <w:position w:val="5"/>
          <w:sz w:val="15"/>
          <w:szCs w:val="0"/>
          <w:u w:color="000000"/>
        </w:rPr>
        <w:t>-1</w:t>
      </w:r>
      <w:r w:rsidRPr="00B03227">
        <w:t>and 0.31 µg L</w:t>
      </w:r>
      <w:r w:rsidRPr="00B03227">
        <w:rPr>
          <w:snapToGrid w:val="0"/>
          <w:color w:val="000000"/>
          <w:position w:val="5"/>
          <w:sz w:val="15"/>
          <w:szCs w:val="0"/>
          <w:u w:color="000000"/>
        </w:rPr>
        <w:t>-1</w:t>
      </w:r>
      <w:r w:rsidR="00FF6DF3">
        <w:t xml:space="preserve">respectively (Figure </w:t>
      </w:r>
      <w:r w:rsidRPr="00B03227">
        <w:t xml:space="preserve">4). This is approximately 6% of the ecotoxicologically derived limit. </w:t>
      </w:r>
    </w:p>
    <w:p w:rsidR="00D94641" w:rsidRPr="00B03227" w:rsidRDefault="00D94641" w:rsidP="00D94641">
      <w:pPr>
        <w:jc w:val="center"/>
      </w:pPr>
      <w:r w:rsidRPr="00B03227">
        <w:rPr>
          <w:noProof/>
          <w:lang w:eastAsia="en-AU"/>
        </w:rPr>
        <w:drawing>
          <wp:inline distT="0" distB="0" distL="0" distR="0">
            <wp:extent cx="4727575" cy="2913893"/>
            <wp:effectExtent l="19050" t="0" r="0" b="0"/>
            <wp:docPr id="1011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9" cstate="screen"/>
                    <a:srcRect/>
                    <a:stretch>
                      <a:fillRect/>
                    </a:stretch>
                  </pic:blipFill>
                  <pic:spPr bwMode="auto">
                    <a:xfrm>
                      <a:off x="0" y="0"/>
                      <a:ext cx="4727575" cy="2913893"/>
                    </a:xfrm>
                    <a:prstGeom prst="rect">
                      <a:avLst/>
                    </a:prstGeom>
                    <a:noFill/>
                    <a:ln w="9525">
                      <a:noFill/>
                      <a:miter lim="800000"/>
                      <a:headEnd/>
                      <a:tailEnd/>
                    </a:ln>
                  </pic:spPr>
                </pic:pic>
              </a:graphicData>
            </a:graphic>
          </wp:inline>
        </w:drawing>
      </w:r>
    </w:p>
    <w:p w:rsidR="00D94641" w:rsidRPr="00B03227" w:rsidRDefault="005C63DB" w:rsidP="00D94641">
      <w:pPr>
        <w:pStyle w:val="figurecaption"/>
      </w:pPr>
      <w:bookmarkStart w:id="146" w:name="_Toc397093469"/>
      <w:r>
        <w:rPr>
          <w:b/>
        </w:rPr>
        <w:t xml:space="preserve">Figure </w:t>
      </w:r>
      <w:proofErr w:type="gramStart"/>
      <w:r w:rsidR="00D94641" w:rsidRPr="00B03227">
        <w:rPr>
          <w:b/>
        </w:rPr>
        <w:t xml:space="preserve">8 </w:t>
      </w:r>
      <w:r w:rsidR="00D94641" w:rsidRPr="00B03227">
        <w:t xml:space="preserve"> Magela</w:t>
      </w:r>
      <w:proofErr w:type="gramEnd"/>
      <w:r w:rsidR="00D94641" w:rsidRPr="00B03227">
        <w:t xml:space="preserve"> Creek continuous monitoring data showing peaks in turbidity at the downstream monitoring site (MCDW) during late January 2014</w:t>
      </w:r>
      <w:bookmarkEnd w:id="146"/>
      <w:r w:rsidR="00BC6D53">
        <w:t>.</w:t>
      </w:r>
    </w:p>
    <w:p w:rsidR="00D94641" w:rsidRPr="00B03227" w:rsidRDefault="00D94641" w:rsidP="00D94641">
      <w:r w:rsidRPr="00B03227">
        <w:t>Manganese concentratio</w:t>
      </w:r>
      <w:r w:rsidR="00FF6DF3">
        <w:t xml:space="preserve">ns were also very low (Figure </w:t>
      </w:r>
      <w:r w:rsidRPr="00B03227">
        <w:t>5). Only two samples at MCDW were recorded above the Focus trigger value of 35 µg L</w:t>
      </w:r>
      <w:r w:rsidRPr="00B03227">
        <w:rPr>
          <w:snapToGrid w:val="0"/>
          <w:color w:val="000000"/>
          <w:position w:val="5"/>
          <w:sz w:val="15"/>
          <w:szCs w:val="0"/>
          <w:u w:color="000000"/>
        </w:rPr>
        <w:t>-1</w:t>
      </w:r>
      <w:r w:rsidR="008A286A">
        <w:rPr>
          <w:snapToGrid w:val="0"/>
          <w:color w:val="000000"/>
          <w:position w:val="5"/>
          <w:sz w:val="15"/>
          <w:szCs w:val="0"/>
          <w:u w:color="000000"/>
        </w:rPr>
        <w:t xml:space="preserve"> </w:t>
      </w:r>
      <w:r w:rsidRPr="00B03227">
        <w:t xml:space="preserve">with concentrations of </w:t>
      </w:r>
      <w:r w:rsidR="00CB13A0">
        <w:br/>
      </w:r>
      <w:r w:rsidRPr="00B03227">
        <w:t>44 µg L</w:t>
      </w:r>
      <w:r w:rsidRPr="00B03227">
        <w:rPr>
          <w:snapToGrid w:val="0"/>
          <w:color w:val="000000"/>
          <w:position w:val="5"/>
          <w:sz w:val="15"/>
          <w:szCs w:val="0"/>
          <w:u w:color="000000"/>
        </w:rPr>
        <w:t>-1</w:t>
      </w:r>
      <w:r w:rsidRPr="00B03227">
        <w:t>on 28 November 2013 and 36 µg L</w:t>
      </w:r>
      <w:r w:rsidRPr="00B03227">
        <w:rPr>
          <w:snapToGrid w:val="0"/>
          <w:color w:val="000000"/>
          <w:position w:val="5"/>
          <w:sz w:val="15"/>
          <w:szCs w:val="0"/>
          <w:u w:color="000000"/>
        </w:rPr>
        <w:t>-1</w:t>
      </w:r>
      <w:r w:rsidR="00CB13A0">
        <w:rPr>
          <w:snapToGrid w:val="0"/>
          <w:color w:val="000000"/>
          <w:position w:val="5"/>
          <w:sz w:val="15"/>
          <w:szCs w:val="0"/>
          <w:u w:color="000000"/>
        </w:rPr>
        <w:t xml:space="preserve"> </w:t>
      </w:r>
      <w:r w:rsidRPr="00B03227">
        <w:t>on 6 April 2014. The manganese trigger values only apply when creek flow is above 5 m</w:t>
      </w:r>
      <w:r w:rsidRPr="00B03227">
        <w:rPr>
          <w:snapToGrid w:val="0"/>
          <w:color w:val="000000"/>
          <w:position w:val="5"/>
          <w:sz w:val="15"/>
          <w:szCs w:val="0"/>
          <w:u w:color="000000"/>
        </w:rPr>
        <w:t>3</w:t>
      </w:r>
      <w:r w:rsidRPr="00B03227">
        <w:t xml:space="preserve"> s</w:t>
      </w:r>
      <w:r w:rsidRPr="00B03227">
        <w:rPr>
          <w:snapToGrid w:val="0"/>
          <w:color w:val="000000"/>
          <w:position w:val="5"/>
          <w:sz w:val="15"/>
          <w:szCs w:val="0"/>
          <w:u w:color="000000"/>
        </w:rPr>
        <w:t>-1</w:t>
      </w:r>
      <w:r w:rsidRPr="00B03227">
        <w:t>. At the time of sample collection on both occasions creek flow was &lt; 3.5 m</w:t>
      </w:r>
      <w:r w:rsidRPr="00B03227">
        <w:rPr>
          <w:snapToGrid w:val="0"/>
          <w:color w:val="000000"/>
          <w:position w:val="5"/>
          <w:sz w:val="15"/>
          <w:szCs w:val="0"/>
          <w:u w:color="000000"/>
        </w:rPr>
        <w:t>3</w:t>
      </w:r>
      <w:r w:rsidRPr="00B03227">
        <w:t xml:space="preserve"> s</w:t>
      </w:r>
      <w:r w:rsidRPr="00B03227">
        <w:rPr>
          <w:snapToGrid w:val="0"/>
          <w:color w:val="000000"/>
          <w:position w:val="5"/>
          <w:sz w:val="15"/>
          <w:szCs w:val="0"/>
          <w:u w:color="000000"/>
        </w:rPr>
        <w:t>-1</w:t>
      </w:r>
      <w:r w:rsidRPr="00B03227">
        <w:t xml:space="preserve"> and thus the trigger values are not relevant.</w:t>
      </w:r>
    </w:p>
    <w:p w:rsidR="00D94641" w:rsidRPr="00B03227" w:rsidRDefault="00D94641" w:rsidP="00D94641">
      <w:r w:rsidRPr="00B03227">
        <w:t xml:space="preserve">During late February and March the water level in Magela Creek had decreased leading to increased EC levels, generally fluctuating with each rainfall event.  Automatic samples were triggered during two EC events in April and May 2014. </w:t>
      </w:r>
    </w:p>
    <w:p w:rsidR="00D94641" w:rsidRPr="00B03227" w:rsidRDefault="00D94641" w:rsidP="00D94641">
      <w:r w:rsidRPr="00B03227">
        <w:t>EC peaked at 37 µS cm</w:t>
      </w:r>
      <w:r w:rsidRPr="00B03227">
        <w:rPr>
          <w:snapToGrid w:val="0"/>
          <w:color w:val="000000"/>
          <w:position w:val="5"/>
          <w:sz w:val="15"/>
          <w:szCs w:val="0"/>
          <w:u w:color="000000"/>
        </w:rPr>
        <w:t>-1</w:t>
      </w:r>
      <w:r w:rsidRPr="00B03227">
        <w:t xml:space="preserve"> (above the </w:t>
      </w:r>
      <w:r w:rsidRPr="00B03227">
        <w:rPr>
          <w:i/>
        </w:rPr>
        <w:t>Action</w:t>
      </w:r>
      <w:r w:rsidRPr="00B03227">
        <w:t xml:space="preserve"> trigger value) at 00.40 am on 7 April 2014 in response to surface water run-off from a rainfall event flushing solutes into the creek. A total of 41 mm of rainfall was recorded at Jabiru Airport. Despite the EC peak remaining below the chronic (&gt; 72 hour) Limit four samples were collected based on the rate of rise of EC sample trigger. These samples contained magnesium concentrations above the Action trigger of 2 mg L-</w:t>
      </w:r>
      <w:r w:rsidRPr="00B03227">
        <w:rPr>
          <w:snapToGrid w:val="0"/>
          <w:color w:val="000000"/>
          <w:position w:val="5"/>
          <w:sz w:val="15"/>
          <w:szCs w:val="0"/>
          <w:u w:color="000000"/>
        </w:rPr>
        <w:t>1</w:t>
      </w:r>
      <w:r w:rsidRPr="00B03227">
        <w:t>, with a maximum magnesium concentration of 2.4 mg L</w:t>
      </w:r>
      <w:r w:rsidRPr="00B03227">
        <w:rPr>
          <w:snapToGrid w:val="0"/>
          <w:color w:val="000000"/>
          <w:position w:val="5"/>
          <w:sz w:val="15"/>
          <w:szCs w:val="0"/>
          <w:u w:color="000000"/>
        </w:rPr>
        <w:t>-1</w:t>
      </w:r>
      <w:r w:rsidRPr="00B03227">
        <w:t>.</w:t>
      </w:r>
    </w:p>
    <w:p w:rsidR="00D94641" w:rsidRPr="00B03227" w:rsidRDefault="00D94641" w:rsidP="00D94641">
      <w:r w:rsidRPr="00B03227">
        <w:t>A localised rainfall event occurred during the night of 15 May 2014 with 76 mm of rainfall recorded at the Jabiru Airport. This rainfall flushed higher conductivity water from Georgetown and Coonjimba Billabongs (95 µS cm</w:t>
      </w:r>
      <w:r w:rsidRPr="00B03227">
        <w:rPr>
          <w:snapToGrid w:val="0"/>
          <w:color w:val="000000"/>
          <w:position w:val="5"/>
          <w:sz w:val="15"/>
          <w:szCs w:val="0"/>
          <w:u w:color="000000"/>
        </w:rPr>
        <w:t>-1</w:t>
      </w:r>
      <w:r w:rsidRPr="00B03227">
        <w:t xml:space="preserve"> and 182 µS cm</w:t>
      </w:r>
      <w:r w:rsidRPr="00B03227">
        <w:rPr>
          <w:snapToGrid w:val="0"/>
          <w:color w:val="000000"/>
          <w:position w:val="5"/>
          <w:sz w:val="15"/>
          <w:szCs w:val="0"/>
          <w:u w:color="000000"/>
        </w:rPr>
        <w:t>-1</w:t>
      </w:r>
      <w:r w:rsidRPr="00B03227">
        <w:t xml:space="preserve"> respectively, as sampled on 12 May 2014) resulting in an increase of EC at the Magela Creek downstream site. The EC event lasted for 5 hours and peaked at 45 µS cm</w:t>
      </w:r>
      <w:r w:rsidRPr="00B03227">
        <w:rPr>
          <w:snapToGrid w:val="0"/>
          <w:color w:val="000000"/>
          <w:position w:val="5"/>
          <w:sz w:val="15"/>
          <w:szCs w:val="0"/>
          <w:u w:color="000000"/>
        </w:rPr>
        <w:t>-1</w:t>
      </w:r>
      <w:r w:rsidRPr="00B03227">
        <w:t>. Given the EC toxicity limit for an event of 5 hours is 580 µS cm</w:t>
      </w:r>
      <w:r w:rsidRPr="00B03227">
        <w:rPr>
          <w:snapToGrid w:val="0"/>
          <w:color w:val="000000"/>
          <w:position w:val="5"/>
          <w:sz w:val="15"/>
          <w:szCs w:val="0"/>
          <w:u w:color="000000"/>
        </w:rPr>
        <w:t>-1</w:t>
      </w:r>
      <w:r w:rsidRPr="00B03227">
        <w:t xml:space="preserve"> it is unlikely this event was of environmental significance. Five samples were triggered by the EC event, two of which contained magnesium concentrations equal to or above the Chronic Limit trigger of 3 mg L</w:t>
      </w:r>
      <w:r w:rsidRPr="00B03227">
        <w:rPr>
          <w:snapToGrid w:val="0"/>
          <w:color w:val="000000"/>
          <w:position w:val="5"/>
          <w:sz w:val="15"/>
          <w:szCs w:val="0"/>
          <w:u w:color="000000"/>
        </w:rPr>
        <w:t xml:space="preserve">-1 </w:t>
      </w:r>
      <w:r w:rsidRPr="00B03227">
        <w:t>with a maximum magnesium concentration of 3.1 mg L</w:t>
      </w:r>
      <w:r w:rsidRPr="00B03227">
        <w:rPr>
          <w:snapToGrid w:val="0"/>
          <w:color w:val="000000"/>
          <w:position w:val="5"/>
          <w:sz w:val="15"/>
          <w:szCs w:val="0"/>
          <w:u w:color="000000"/>
        </w:rPr>
        <w:t>-1</w:t>
      </w:r>
      <w:r w:rsidR="00FF6DF3">
        <w:t xml:space="preserve"> (Figure </w:t>
      </w:r>
      <w:r w:rsidRPr="00B03227">
        <w:t xml:space="preserve">9). Sulfate concentrations were also high </w:t>
      </w:r>
      <w:r w:rsidR="00FF6DF3">
        <w:t xml:space="preserve">during this EC event (Figure </w:t>
      </w:r>
      <w:r w:rsidRPr="00B03227">
        <w:t xml:space="preserve">10). A composite of the five EC-triggered samples was analysed for </w:t>
      </w:r>
      <w:r w:rsidRPr="00B03227">
        <w:rPr>
          <w:snapToGrid w:val="0"/>
          <w:color w:val="000000"/>
          <w:position w:val="5"/>
          <w:sz w:val="15"/>
          <w:szCs w:val="0"/>
          <w:u w:color="000000"/>
        </w:rPr>
        <w:t>226</w:t>
      </w:r>
      <w:r w:rsidRPr="00B03227">
        <w:t>Ra and an activity concentration of 6.11 mBq L</w:t>
      </w:r>
      <w:r w:rsidRPr="00B03227">
        <w:rPr>
          <w:snapToGrid w:val="0"/>
          <w:color w:val="000000"/>
          <w:position w:val="5"/>
          <w:sz w:val="15"/>
          <w:szCs w:val="0"/>
          <w:u w:color="000000"/>
        </w:rPr>
        <w:t>-1</w:t>
      </w:r>
      <w:r w:rsidRPr="00B03227">
        <w:t xml:space="preserve"> </w:t>
      </w:r>
      <w:r w:rsidRPr="00B03227">
        <w:rPr>
          <w:snapToGrid w:val="0"/>
          <w:color w:val="000000"/>
          <w:position w:val="5"/>
          <w:sz w:val="15"/>
          <w:szCs w:val="0"/>
          <w:u w:color="000000"/>
        </w:rPr>
        <w:t>226</w:t>
      </w:r>
      <w:r w:rsidR="00FF6DF3">
        <w:t xml:space="preserve">Ra was recorded (Figure </w:t>
      </w:r>
      <w:r w:rsidRPr="00B03227">
        <w:t>14).</w:t>
      </w:r>
    </w:p>
    <w:p w:rsidR="00D94641" w:rsidRPr="00B03227" w:rsidRDefault="00D94641" w:rsidP="00D94641"/>
    <w:p w:rsidR="00D94641" w:rsidRPr="00B03227" w:rsidRDefault="00D94641" w:rsidP="00D94641">
      <w:pPr>
        <w:jc w:val="center"/>
      </w:pPr>
      <w:r w:rsidRPr="00B03227">
        <w:rPr>
          <w:noProof/>
          <w:lang w:eastAsia="en-AU"/>
        </w:rPr>
        <w:drawing>
          <wp:inline distT="0" distB="0" distL="0" distR="0">
            <wp:extent cx="4727575" cy="2856643"/>
            <wp:effectExtent l="19050" t="0" r="0" b="0"/>
            <wp:docPr id="4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0" cstate="screen"/>
                    <a:srcRect/>
                    <a:stretch>
                      <a:fillRect/>
                    </a:stretch>
                  </pic:blipFill>
                  <pic:spPr bwMode="auto">
                    <a:xfrm>
                      <a:off x="0" y="0"/>
                      <a:ext cx="4727575" cy="2856643"/>
                    </a:xfrm>
                    <a:prstGeom prst="rect">
                      <a:avLst/>
                    </a:prstGeom>
                    <a:noFill/>
                    <a:ln w="9525">
                      <a:noFill/>
                      <a:miter lim="800000"/>
                      <a:headEnd/>
                      <a:tailEnd/>
                    </a:ln>
                  </pic:spPr>
                </pic:pic>
              </a:graphicData>
            </a:graphic>
          </wp:inline>
        </w:drawing>
      </w:r>
    </w:p>
    <w:p w:rsidR="00D94641" w:rsidRPr="00B03227" w:rsidRDefault="005C63DB" w:rsidP="00D94641">
      <w:pPr>
        <w:pStyle w:val="figurecaption"/>
      </w:pPr>
      <w:bookmarkStart w:id="147" w:name="_Toc397093470"/>
      <w:r>
        <w:rPr>
          <w:b/>
        </w:rPr>
        <w:t xml:space="preserve">Figure </w:t>
      </w:r>
      <w:r w:rsidR="00D94641" w:rsidRPr="00B03227">
        <w:rPr>
          <w:b/>
        </w:rPr>
        <w:t>9</w:t>
      </w:r>
      <w:r w:rsidR="00D94641" w:rsidRPr="00B03227">
        <w:t xml:space="preserve"> Continuous EC and total magnesium concentrations in Magela Creek </w:t>
      </w:r>
      <w:r w:rsidR="00D94641" w:rsidRPr="00B03227">
        <w:br/>
        <w:t>during the 2013–14 wet season</w:t>
      </w:r>
      <w:bookmarkEnd w:id="147"/>
      <w:r w:rsidR="00CB13A0">
        <w:t>.</w:t>
      </w:r>
    </w:p>
    <w:p w:rsidR="00D94641" w:rsidRPr="00B03227" w:rsidRDefault="00D94641" w:rsidP="00D94641">
      <w:pPr>
        <w:jc w:val="center"/>
      </w:pPr>
      <w:r w:rsidRPr="00B03227">
        <w:rPr>
          <w:noProof/>
          <w:lang w:eastAsia="en-AU"/>
        </w:rPr>
        <w:drawing>
          <wp:inline distT="0" distB="0" distL="0" distR="0">
            <wp:extent cx="4727575" cy="2856643"/>
            <wp:effectExtent l="19050" t="0" r="0" b="0"/>
            <wp:docPr id="1011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1" cstate="screen"/>
                    <a:srcRect/>
                    <a:stretch>
                      <a:fillRect/>
                    </a:stretch>
                  </pic:blipFill>
                  <pic:spPr bwMode="auto">
                    <a:xfrm>
                      <a:off x="0" y="0"/>
                      <a:ext cx="4727575" cy="2856643"/>
                    </a:xfrm>
                    <a:prstGeom prst="rect">
                      <a:avLst/>
                    </a:prstGeom>
                    <a:noFill/>
                    <a:ln w="9525">
                      <a:noFill/>
                      <a:miter lim="800000"/>
                      <a:headEnd/>
                      <a:tailEnd/>
                    </a:ln>
                  </pic:spPr>
                </pic:pic>
              </a:graphicData>
            </a:graphic>
          </wp:inline>
        </w:drawing>
      </w:r>
    </w:p>
    <w:p w:rsidR="00D94641" w:rsidRPr="00B03227" w:rsidRDefault="005C63DB" w:rsidP="00D94641">
      <w:pPr>
        <w:pStyle w:val="figurecaption"/>
      </w:pPr>
      <w:bookmarkStart w:id="148" w:name="_Toc397093471"/>
      <w:r>
        <w:rPr>
          <w:b/>
        </w:rPr>
        <w:t xml:space="preserve">Figure </w:t>
      </w:r>
      <w:r w:rsidR="00D94641" w:rsidRPr="00B03227">
        <w:rPr>
          <w:b/>
        </w:rPr>
        <w:t>10</w:t>
      </w:r>
      <w:r w:rsidR="00D94641" w:rsidRPr="00B03227">
        <w:t xml:space="preserve"> Continuous EC and total sulfate concentrations in Magela Creek </w:t>
      </w:r>
      <w:r w:rsidR="00D94641" w:rsidRPr="00B03227">
        <w:br/>
        <w:t xml:space="preserve">during the 2013–14 wet </w:t>
      </w:r>
      <w:proofErr w:type="gramStart"/>
      <w:r w:rsidR="00D94641" w:rsidRPr="00B03227">
        <w:t>season</w:t>
      </w:r>
      <w:bookmarkEnd w:id="148"/>
      <w:proofErr w:type="gramEnd"/>
      <w:r w:rsidR="00CB13A0">
        <w:t>.</w:t>
      </w:r>
    </w:p>
    <w:p w:rsidR="00D94641" w:rsidRPr="00B03227" w:rsidRDefault="00D94641" w:rsidP="00D94641">
      <w:r w:rsidRPr="00B03227">
        <w:t>In December 2013 ecotoxicologically derived water quality objectives for total ammonia nitrogen (TAN) were formally adopted for Magela Creek as part of the regulatory approval for brine concentrator distillate release. Results received to date have shown that levels of TAN in Magela Creek are very low with a highest recorded concentration of 0.016 mg L</w:t>
      </w:r>
      <w:r w:rsidRPr="00B03227">
        <w:rPr>
          <w:snapToGrid w:val="0"/>
          <w:color w:val="000000"/>
          <w:position w:val="5"/>
          <w:sz w:val="15"/>
          <w:szCs w:val="0"/>
          <w:u w:color="000000"/>
        </w:rPr>
        <w:t>-1</w:t>
      </w:r>
      <w:r w:rsidRPr="00B03227">
        <w:t xml:space="preserve"> at MCDW on 12 December 2013, which is approximately 2% of the 0.7 mg L</w:t>
      </w:r>
      <w:r w:rsidRPr="00B03227">
        <w:rPr>
          <w:snapToGrid w:val="0"/>
          <w:color w:val="000000"/>
          <w:position w:val="5"/>
          <w:sz w:val="15"/>
          <w:szCs w:val="0"/>
          <w:u w:color="000000"/>
        </w:rPr>
        <w:t>-1</w:t>
      </w:r>
      <w:r w:rsidRPr="00B03227">
        <w:t xml:space="preserve"> Gu</w:t>
      </w:r>
      <w:r w:rsidR="00AA45A8">
        <w:t>ideline trigger value (Figure </w:t>
      </w:r>
      <w:r w:rsidRPr="00B03227">
        <w:t>11).</w:t>
      </w:r>
    </w:p>
    <w:p w:rsidR="00D94641" w:rsidRPr="00B03227" w:rsidRDefault="00D94641" w:rsidP="00D94641">
      <w:pPr>
        <w:jc w:val="center"/>
      </w:pPr>
      <w:r w:rsidRPr="00B03227">
        <w:rPr>
          <w:noProof/>
          <w:lang w:eastAsia="en-AU"/>
        </w:rPr>
        <w:drawing>
          <wp:inline distT="0" distB="0" distL="0" distR="0">
            <wp:extent cx="4727575" cy="2856643"/>
            <wp:effectExtent l="19050" t="0" r="0" b="0"/>
            <wp:docPr id="4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2" cstate="screen"/>
                    <a:srcRect/>
                    <a:stretch>
                      <a:fillRect/>
                    </a:stretch>
                  </pic:blipFill>
                  <pic:spPr bwMode="auto">
                    <a:xfrm>
                      <a:off x="0" y="0"/>
                      <a:ext cx="4727575" cy="2856643"/>
                    </a:xfrm>
                    <a:prstGeom prst="rect">
                      <a:avLst/>
                    </a:prstGeom>
                    <a:noFill/>
                    <a:ln w="9525">
                      <a:noFill/>
                      <a:miter lim="800000"/>
                      <a:headEnd/>
                      <a:tailEnd/>
                    </a:ln>
                  </pic:spPr>
                </pic:pic>
              </a:graphicData>
            </a:graphic>
          </wp:inline>
        </w:drawing>
      </w:r>
    </w:p>
    <w:p w:rsidR="00D94641" w:rsidRPr="00B03227" w:rsidRDefault="005C63DB" w:rsidP="00CB13A0">
      <w:pPr>
        <w:pStyle w:val="figurecaption"/>
      </w:pPr>
      <w:bookmarkStart w:id="149" w:name="_Toc397093472"/>
      <w:r>
        <w:rPr>
          <w:b/>
        </w:rPr>
        <w:t xml:space="preserve">Figure </w:t>
      </w:r>
      <w:r w:rsidR="00D94641" w:rsidRPr="00B03227">
        <w:rPr>
          <w:b/>
        </w:rPr>
        <w:t>11</w:t>
      </w:r>
      <w:r w:rsidR="00D94641" w:rsidRPr="00B03227">
        <w:t xml:space="preserve"> Continuous EC and total ammonia nitrogen concentrations in Magela Creek </w:t>
      </w:r>
      <w:r w:rsidR="00D94641" w:rsidRPr="00B03227">
        <w:br/>
        <w:t>during the 2013-14 wet season</w:t>
      </w:r>
      <w:bookmarkEnd w:id="149"/>
      <w:r w:rsidR="00CB13A0">
        <w:t>.</w:t>
      </w:r>
    </w:p>
    <w:p w:rsidR="00D94641" w:rsidRPr="00B03227" w:rsidRDefault="00D94641" w:rsidP="00D94641">
      <w:proofErr w:type="gramStart"/>
      <w:r w:rsidRPr="00B03227">
        <w:t>Recessional flow conditions commenced in late May.</w:t>
      </w:r>
      <w:proofErr w:type="gramEnd"/>
      <w:r w:rsidRPr="00B03227">
        <w:t xml:space="preserve"> Historically recessional flow has resulted in a gradual convergence of EC at MCUGT and MCDW. It was noted on 10 June 2014 that the EC at the downstream site was still diverging from the upstream site. The higher EC at MCDW and ongoing divergence with MCUGT was caused by low flow in Magela Creek coupled with water entering from Georgetown Billabong.  This late flow from Georgetown Billabong resulted from WTP system permeate being released to the CCWLF.  Following a query from the Supervising Scientist ERA ceased the release of WTP permeate on 10 June 2014 resulting in the almost immediate convergence of EC at MCUGT and MCDW. Continuous monitoring continued until cease to flow was agreed by stakeholders on 21 July 2014.</w:t>
      </w:r>
    </w:p>
    <w:p w:rsidR="00D94641" w:rsidRPr="00B03227" w:rsidRDefault="00D94641" w:rsidP="00D94641">
      <w:r w:rsidRPr="00B03227">
        <w:t xml:space="preserve">Overall, the water quality measured in Magela Creek for the 2013–14 wet </w:t>
      </w:r>
      <w:proofErr w:type="gramStart"/>
      <w:r w:rsidRPr="00B03227">
        <w:t>season</w:t>
      </w:r>
      <w:proofErr w:type="gramEnd"/>
      <w:r w:rsidRPr="00B03227">
        <w:t xml:space="preserve"> showed higher EC at the downstream monitoring site compared to 2012–13; however, the increase was within ranges observed in previous wet seasons. Analysis of the current and historic EC peaks at the downstream monitoring site show that the EC peaks are substantially below the Limit for EC pulses &lt; 72 hours, which indicates that the aquatic environment in the creek has remained protected f</w:t>
      </w:r>
      <w:r w:rsidR="00FF6DF3">
        <w:t xml:space="preserve">rom mining activities (Figure </w:t>
      </w:r>
      <w:r w:rsidRPr="00B03227">
        <w:t>12 and Sinclair et al</w:t>
      </w:r>
      <w:r w:rsidR="00CB13A0">
        <w:t>.</w:t>
      </w:r>
      <w:r w:rsidRPr="00B03227">
        <w:t xml:space="preserve"> 2013</w:t>
      </w:r>
      <w:r w:rsidR="007908F5" w:rsidRPr="007908F5">
        <w:rPr>
          <w:rStyle w:val="FootnoteReference"/>
          <w:vertAlign w:val="baseline"/>
        </w:rPr>
        <w:t>).</w:t>
      </w:r>
    </w:p>
    <w:p w:rsidR="00D94641" w:rsidRPr="00B03227" w:rsidRDefault="00D94641" w:rsidP="00D94641">
      <w:pPr>
        <w:jc w:val="center"/>
      </w:pPr>
      <w:r w:rsidRPr="00B03227">
        <w:rPr>
          <w:noProof/>
          <w:lang w:eastAsia="en-AU"/>
        </w:rPr>
        <w:drawing>
          <wp:inline distT="0" distB="0" distL="0" distR="0">
            <wp:extent cx="4727575" cy="2909789"/>
            <wp:effectExtent l="19050" t="0" r="0" b="0"/>
            <wp:docPr id="4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3" cstate="screen"/>
                    <a:srcRect/>
                    <a:stretch>
                      <a:fillRect/>
                    </a:stretch>
                  </pic:blipFill>
                  <pic:spPr bwMode="auto">
                    <a:xfrm>
                      <a:off x="0" y="0"/>
                      <a:ext cx="4727575" cy="2909789"/>
                    </a:xfrm>
                    <a:prstGeom prst="rect">
                      <a:avLst/>
                    </a:prstGeom>
                    <a:noFill/>
                    <a:ln w="9525">
                      <a:noFill/>
                      <a:miter lim="800000"/>
                      <a:headEnd/>
                      <a:tailEnd/>
                    </a:ln>
                  </pic:spPr>
                </pic:pic>
              </a:graphicData>
            </a:graphic>
          </wp:inline>
        </w:drawing>
      </w:r>
    </w:p>
    <w:p w:rsidR="00D94641" w:rsidRPr="00B03227" w:rsidRDefault="005C63DB" w:rsidP="00D94641">
      <w:pPr>
        <w:pStyle w:val="figurecaption"/>
        <w:spacing w:before="240"/>
      </w:pPr>
      <w:bookmarkStart w:id="150" w:name="_Toc397093473"/>
      <w:r>
        <w:rPr>
          <w:b/>
        </w:rPr>
        <w:t xml:space="preserve">Figure </w:t>
      </w:r>
      <w:proofErr w:type="gramStart"/>
      <w:r w:rsidR="00D94641" w:rsidRPr="00B03227">
        <w:rPr>
          <w:b/>
        </w:rPr>
        <w:t xml:space="preserve">12  </w:t>
      </w:r>
      <w:r w:rsidR="00D94641" w:rsidRPr="00B03227">
        <w:t>Continuous</w:t>
      </w:r>
      <w:proofErr w:type="gramEnd"/>
      <w:r w:rsidR="00D94641" w:rsidRPr="00B03227">
        <w:t xml:space="preserve"> electrical conductivity</w:t>
      </w:r>
      <w:r w:rsidR="00CB13A0">
        <w:t xml:space="preserve"> and discharge in Magela Creek </w:t>
      </w:r>
      <w:r w:rsidR="00D94641" w:rsidRPr="00B03227">
        <w:t>for each wet season betwee</w:t>
      </w:r>
      <w:r w:rsidR="00CB13A0">
        <w:t xml:space="preserve">n September 2010 and June 2014 </w:t>
      </w:r>
      <w:r w:rsidR="00D94641" w:rsidRPr="00B03227">
        <w:t>(values averaged over a 90 minute period of measurement)</w:t>
      </w:r>
      <w:bookmarkEnd w:id="150"/>
      <w:r w:rsidR="00CB13A0">
        <w:t>.</w:t>
      </w:r>
    </w:p>
    <w:p w:rsidR="00D94641" w:rsidRPr="00B03227" w:rsidRDefault="00D94641" w:rsidP="00587E07">
      <w:pPr>
        <w:pStyle w:val="Heading2"/>
      </w:pPr>
      <w:bookmarkStart w:id="151" w:name="_Toc401910172"/>
      <w:r w:rsidRPr="00B03227">
        <w:t>Radium in Magela Creek</w:t>
      </w:r>
      <w:bookmarkEnd w:id="151"/>
    </w:p>
    <w:p w:rsidR="00D94641" w:rsidRPr="00B03227" w:rsidRDefault="00D94641" w:rsidP="00D94641">
      <w:r w:rsidRPr="00B03227">
        <w:t>Surface water samples are collected fortnightly from Magela Creek upstream and downstream of the Ranger mine. The fortnightly samples are combined to give monthly composite samples for each site. Total radium-226 (</w:t>
      </w:r>
      <w:r w:rsidRPr="00B03227">
        <w:rPr>
          <w:snapToGrid w:val="0"/>
          <w:color w:val="000000"/>
          <w:position w:val="5"/>
          <w:sz w:val="15"/>
          <w:szCs w:val="0"/>
          <w:u w:color="000000"/>
        </w:rPr>
        <w:t>226</w:t>
      </w:r>
      <w:r w:rsidRPr="00B03227">
        <w:t xml:space="preserve">Ra) is measured in these samples and results for the 2013–14 wet </w:t>
      </w:r>
      <w:proofErr w:type="gramStart"/>
      <w:r w:rsidRPr="00B03227">
        <w:t>season</w:t>
      </w:r>
      <w:proofErr w:type="gramEnd"/>
      <w:r w:rsidRPr="00B03227">
        <w:t xml:space="preserve"> are compared with previous data ranging back to the</w:t>
      </w:r>
      <w:r w:rsidR="00FF6DF3">
        <w:t xml:space="preserve"> 2001–02 wet season in Figure </w:t>
      </w:r>
      <w:r w:rsidRPr="00B03227">
        <w:t>13. The sample results for 2013–14 were within the historic range observed in Magela Creek since 2001.</w:t>
      </w:r>
    </w:p>
    <w:p w:rsidR="00D94641" w:rsidRPr="00B03227" w:rsidRDefault="00CB13A0" w:rsidP="00D94641">
      <w:r>
        <w:t>During 7–</w:t>
      </w:r>
      <w:r w:rsidR="00D94641" w:rsidRPr="00B03227">
        <w:t xml:space="preserve">13 December 2013 </w:t>
      </w:r>
      <w:r w:rsidR="00D94641" w:rsidRPr="00B03227">
        <w:rPr>
          <w:snapToGrid w:val="0"/>
          <w:color w:val="000000"/>
          <w:position w:val="5"/>
          <w:sz w:val="15"/>
          <w:szCs w:val="0"/>
          <w:u w:color="000000"/>
        </w:rPr>
        <w:t>226</w:t>
      </w:r>
      <w:r w:rsidR="00D94641" w:rsidRPr="00B03227">
        <w:t xml:space="preserve">Ra samples were collected in response to the leach tank incident and analysed individually. A routine composite sample was not obtained during this time. Consequently the average </w:t>
      </w:r>
      <w:r w:rsidR="00D94641" w:rsidRPr="00B03227">
        <w:rPr>
          <w:snapToGrid w:val="0"/>
          <w:color w:val="000000"/>
          <w:position w:val="5"/>
          <w:sz w:val="15"/>
          <w:szCs w:val="0"/>
          <w:u w:color="000000"/>
        </w:rPr>
        <w:t>226</w:t>
      </w:r>
      <w:r w:rsidR="00D94641" w:rsidRPr="00B03227">
        <w:t>Ra activity concentration of these samples has been included as a proxy composite sample for December 2014 and used in the calculation of the 2013–14 wet season median difference.</w:t>
      </w:r>
    </w:p>
    <w:p w:rsidR="00D94641" w:rsidRPr="00B03227" w:rsidRDefault="00D94641" w:rsidP="00D94641">
      <w:r w:rsidRPr="00B03227">
        <w:t xml:space="preserve">Since 2010, </w:t>
      </w:r>
      <w:r w:rsidRPr="00B03227">
        <w:rPr>
          <w:snapToGrid w:val="0"/>
          <w:color w:val="000000"/>
          <w:position w:val="5"/>
          <w:sz w:val="15"/>
          <w:szCs w:val="0"/>
          <w:u w:color="000000"/>
        </w:rPr>
        <w:t>226</w:t>
      </w:r>
      <w:r w:rsidRPr="00B03227">
        <w:t>Ra analyses on composited event-based samples (collected during EC-triggered events) have also been performed. A single composite sample, comprising five samples col</w:t>
      </w:r>
      <w:r w:rsidR="00CB13A0">
        <w:t>lected during an EC event on 15–</w:t>
      </w:r>
      <w:r w:rsidRPr="00B03227">
        <w:t>16 May 2014, was analysed during the 2013</w:t>
      </w:r>
      <w:r w:rsidR="00CB13A0">
        <w:t>–</w:t>
      </w:r>
      <w:r w:rsidRPr="00B03227">
        <w:t xml:space="preserve">14 wet season. </w:t>
      </w:r>
      <w:r w:rsidR="00FF6DF3">
        <w:t xml:space="preserve">The result is shown in Figure </w:t>
      </w:r>
      <w:r w:rsidRPr="00B03227">
        <w:t xml:space="preserve">14, together with the results from the incident sampling and routine radium analyses. The EC-triggered event data are not included in the calculation of the wet season median difference, because these EC events are short-lived and their impact on seasonal </w:t>
      </w:r>
      <w:r w:rsidRPr="00B03227">
        <w:rPr>
          <w:snapToGrid w:val="0"/>
          <w:color w:val="000000"/>
          <w:position w:val="5"/>
          <w:sz w:val="15"/>
          <w:szCs w:val="0"/>
          <w:u w:color="000000"/>
        </w:rPr>
        <w:t>226</w:t>
      </w:r>
      <w:r w:rsidRPr="00B03227">
        <w:t>Ra loads is very small.</w:t>
      </w:r>
    </w:p>
    <w:p w:rsidR="00D94641" w:rsidRPr="00B03227" w:rsidRDefault="00D94641" w:rsidP="00D94641">
      <w:r w:rsidRPr="00B03227">
        <w:t xml:space="preserve">The data from monthly sample composites show that the levels of </w:t>
      </w:r>
      <w:r w:rsidRPr="00B03227">
        <w:rPr>
          <w:snapToGrid w:val="0"/>
          <w:color w:val="000000"/>
          <w:position w:val="5"/>
          <w:sz w:val="15"/>
          <w:szCs w:val="0"/>
          <w:u w:color="000000"/>
        </w:rPr>
        <w:t>226</w:t>
      </w:r>
      <w:r w:rsidRPr="00B03227">
        <w:t xml:space="preserve">Ra are very low in Magela Creek, both upstream and downstream of the Ranger mine. An anomalous </w:t>
      </w:r>
      <w:r w:rsidRPr="00B03227">
        <w:rPr>
          <w:snapToGrid w:val="0"/>
          <w:color w:val="000000"/>
          <w:position w:val="5"/>
          <w:sz w:val="15"/>
          <w:szCs w:val="0"/>
          <w:u w:color="000000"/>
        </w:rPr>
        <w:t>226</w:t>
      </w:r>
      <w:r w:rsidRPr="00B03227">
        <w:t>Ra activity concentration of 8.8 mBq L</w:t>
      </w:r>
      <w:r w:rsidRPr="00B03227">
        <w:rPr>
          <w:snapToGrid w:val="0"/>
          <w:color w:val="000000"/>
          <w:position w:val="5"/>
          <w:sz w:val="15"/>
          <w:szCs w:val="0"/>
          <w:u w:color="000000"/>
        </w:rPr>
        <w:t>-1</w:t>
      </w:r>
      <w:r w:rsidRPr="00B03227">
        <w:t xml:space="preserve"> measured in a sample collected from the control site upstream of Ranger in 2005 was probably due to a higher contribution of </w:t>
      </w:r>
      <w:r w:rsidRPr="00B03227">
        <w:rPr>
          <w:snapToGrid w:val="0"/>
          <w:color w:val="000000"/>
          <w:position w:val="5"/>
          <w:sz w:val="15"/>
          <w:szCs w:val="0"/>
          <w:u w:color="000000"/>
        </w:rPr>
        <w:t>226</w:t>
      </w:r>
      <w:r w:rsidRPr="00B03227">
        <w:t xml:space="preserve">Ra -rich soil or finer sediments that are present naturally in Magela Creek. This has previously been discussed in </w:t>
      </w:r>
      <w:proofErr w:type="gramStart"/>
      <w:r w:rsidRPr="00B03227">
        <w:t>the 2004–05 Supervising Scientist’s</w:t>
      </w:r>
      <w:proofErr w:type="gramEnd"/>
      <w:r w:rsidRPr="00B03227">
        <w:t xml:space="preserve"> annual report. </w:t>
      </w:r>
    </w:p>
    <w:p w:rsidR="00D94641" w:rsidRPr="00B03227" w:rsidRDefault="00D94641" w:rsidP="00D94641"/>
    <w:p w:rsidR="00D94641" w:rsidRPr="00B03227" w:rsidRDefault="00D94641" w:rsidP="00D94641">
      <w:pPr>
        <w:jc w:val="center"/>
      </w:pPr>
      <w:r w:rsidRPr="00B03227">
        <w:rPr>
          <w:noProof/>
          <w:lang w:eastAsia="en-AU"/>
        </w:rPr>
        <w:drawing>
          <wp:inline distT="0" distB="0" distL="0" distR="0">
            <wp:extent cx="4727575" cy="4902982"/>
            <wp:effectExtent l="19050" t="0" r="0" b="0"/>
            <wp:docPr id="4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4" cstate="screen"/>
                    <a:srcRect/>
                    <a:stretch>
                      <a:fillRect/>
                    </a:stretch>
                  </pic:blipFill>
                  <pic:spPr bwMode="auto">
                    <a:xfrm>
                      <a:off x="0" y="0"/>
                      <a:ext cx="4727575" cy="4902982"/>
                    </a:xfrm>
                    <a:prstGeom prst="rect">
                      <a:avLst/>
                    </a:prstGeom>
                    <a:noFill/>
                    <a:ln w="9525">
                      <a:noFill/>
                      <a:miter lim="800000"/>
                      <a:headEnd/>
                      <a:tailEnd/>
                    </a:ln>
                  </pic:spPr>
                </pic:pic>
              </a:graphicData>
            </a:graphic>
          </wp:inline>
        </w:drawing>
      </w:r>
    </w:p>
    <w:p w:rsidR="00D94641" w:rsidRPr="00B03227" w:rsidRDefault="005C63DB" w:rsidP="00D94641">
      <w:pPr>
        <w:pStyle w:val="figurecaption"/>
      </w:pPr>
      <w:bookmarkStart w:id="152" w:name="_Toc397093474"/>
      <w:r>
        <w:rPr>
          <w:b/>
        </w:rPr>
        <w:t xml:space="preserve">Figure </w:t>
      </w:r>
      <w:proofErr w:type="gramStart"/>
      <w:r w:rsidR="00D94641" w:rsidRPr="00B03227">
        <w:rPr>
          <w:b/>
        </w:rPr>
        <w:t xml:space="preserve">13 </w:t>
      </w:r>
      <w:r w:rsidR="00D94641" w:rsidRPr="00B03227">
        <w:t xml:space="preserve"> </w:t>
      </w:r>
      <w:r w:rsidR="00D94641" w:rsidRPr="00B03227">
        <w:rPr>
          <w:snapToGrid w:val="0"/>
          <w:color w:val="000000"/>
          <w:position w:val="4"/>
          <w:sz w:val="11"/>
          <w:szCs w:val="0"/>
          <w:u w:color="000000"/>
        </w:rPr>
        <w:t>226</w:t>
      </w:r>
      <w:r w:rsidR="00D94641" w:rsidRPr="00B03227">
        <w:t>Ra</w:t>
      </w:r>
      <w:proofErr w:type="gramEnd"/>
      <w:r w:rsidR="00D94641" w:rsidRPr="00B03227">
        <w:t xml:space="preserve"> in Magela Creek 2001–2014</w:t>
      </w:r>
      <w:bookmarkEnd w:id="152"/>
      <w:r w:rsidR="00BC6D53">
        <w:t>.</w:t>
      </w:r>
    </w:p>
    <w:p w:rsidR="00D94641" w:rsidRPr="00B03227" w:rsidRDefault="00D94641" w:rsidP="00D94641">
      <w:r w:rsidRPr="00B03227">
        <w:t xml:space="preserve">The limit value for total </w:t>
      </w:r>
      <w:r w:rsidRPr="00B03227">
        <w:rPr>
          <w:snapToGrid w:val="0"/>
          <w:color w:val="000000"/>
          <w:position w:val="5"/>
          <w:sz w:val="15"/>
          <w:szCs w:val="0"/>
          <w:u w:color="000000"/>
        </w:rPr>
        <w:t>226</w:t>
      </w:r>
      <w:r w:rsidRPr="00B03227">
        <w:t xml:space="preserve">Ra activity concentrations in Magela Creek has been defined for human radiological protection purposes, and is based on the median difference between upstream and downstream </w:t>
      </w:r>
      <w:r w:rsidRPr="00B03227">
        <w:rPr>
          <w:snapToGrid w:val="0"/>
          <w:color w:val="000000"/>
          <w:position w:val="5"/>
          <w:sz w:val="15"/>
          <w:szCs w:val="0"/>
          <w:u w:color="000000"/>
        </w:rPr>
        <w:t>226</w:t>
      </w:r>
      <w:r w:rsidRPr="00B03227">
        <w:t xml:space="preserve">Ra activity concentrations over one entire wet season. The median of the upstream </w:t>
      </w:r>
      <w:r w:rsidRPr="00B03227">
        <w:rPr>
          <w:snapToGrid w:val="0"/>
          <w:color w:val="000000"/>
          <w:position w:val="5"/>
          <w:sz w:val="15"/>
          <w:szCs w:val="0"/>
          <w:u w:color="000000"/>
        </w:rPr>
        <w:t>226</w:t>
      </w:r>
      <w:r w:rsidRPr="00B03227">
        <w:t>Ra data collected over the current wet season is subtracted from the median of the downstream data. This difference value, called the wet season median difference, quantifies any increase at the downstream site, and should not exceed 10 mBq L</w:t>
      </w:r>
      <w:r w:rsidRPr="00B03227">
        <w:rPr>
          <w:snapToGrid w:val="0"/>
          <w:color w:val="000000"/>
          <w:position w:val="5"/>
          <w:sz w:val="15"/>
          <w:szCs w:val="0"/>
          <w:u w:color="000000"/>
        </w:rPr>
        <w:t>-1</w:t>
      </w:r>
      <w:r w:rsidRPr="00B03227">
        <w:t>.</w:t>
      </w:r>
    </w:p>
    <w:p w:rsidR="00D94641" w:rsidRPr="00B03227" w:rsidRDefault="00D94641" w:rsidP="00D94641">
      <w:r w:rsidRPr="00B03227">
        <w:t>A wet season median difference of 10 mBq L</w:t>
      </w:r>
      <w:r w:rsidRPr="00B03227">
        <w:rPr>
          <w:snapToGrid w:val="0"/>
          <w:color w:val="000000"/>
          <w:position w:val="5"/>
          <w:sz w:val="15"/>
          <w:szCs w:val="0"/>
          <w:u w:color="000000"/>
        </w:rPr>
        <w:t>-1</w:t>
      </w:r>
      <w:r w:rsidRPr="00B03227">
        <w:t xml:space="preserve"> would result in a mine origin ingestion dose from </w:t>
      </w:r>
      <w:r w:rsidRPr="00B03227">
        <w:rPr>
          <w:snapToGrid w:val="0"/>
          <w:color w:val="000000"/>
          <w:position w:val="5"/>
          <w:sz w:val="15"/>
          <w:szCs w:val="0"/>
          <w:u w:color="000000"/>
        </w:rPr>
        <w:t>226</w:t>
      </w:r>
      <w:r w:rsidRPr="00B03227">
        <w:t>Ra bioaccumulated in mussels of about 0.3 mSv, if 2 kg of mussels were ingested by a 10 year old child. Wet season median differences (shown by t</w:t>
      </w:r>
      <w:r w:rsidR="00FF6DF3">
        <w:t xml:space="preserve">he horizontal lines in Figure </w:t>
      </w:r>
      <w:r w:rsidRPr="00B03227">
        <w:t xml:space="preserve">14) from 2001 to 2014 are close to zero, indicating that the great majority of </w:t>
      </w:r>
      <w:r w:rsidRPr="00B03227">
        <w:rPr>
          <w:snapToGrid w:val="0"/>
          <w:color w:val="000000"/>
          <w:position w:val="5"/>
          <w:sz w:val="15"/>
          <w:szCs w:val="0"/>
          <w:u w:color="000000"/>
        </w:rPr>
        <w:t>226</w:t>
      </w:r>
      <w:r w:rsidRPr="00B03227">
        <w:t xml:space="preserve">Ra is coming from natural sources of </w:t>
      </w:r>
      <w:r w:rsidRPr="00B03227">
        <w:rPr>
          <w:snapToGrid w:val="0"/>
          <w:color w:val="000000"/>
          <w:position w:val="5"/>
          <w:sz w:val="15"/>
          <w:szCs w:val="0"/>
          <w:u w:color="000000"/>
        </w:rPr>
        <w:t>226</w:t>
      </w:r>
      <w:r w:rsidRPr="00B03227">
        <w:t>Ra located in the catchment upstream of the mine. The wet season median difference for the entire historical monitoring period (2001–14) is 0.1 mBq L</w:t>
      </w:r>
      <w:r w:rsidRPr="00B03227">
        <w:rPr>
          <w:snapToGrid w:val="0"/>
          <w:color w:val="000000"/>
          <w:position w:val="5"/>
          <w:sz w:val="15"/>
          <w:szCs w:val="0"/>
          <w:u w:color="000000"/>
        </w:rPr>
        <w:t>-1</w:t>
      </w:r>
      <w:r w:rsidRPr="00B03227">
        <w:t xml:space="preserve">. </w:t>
      </w:r>
    </w:p>
    <w:p w:rsidR="00D94641" w:rsidRPr="00B03227" w:rsidRDefault="00D94641" w:rsidP="00D94641">
      <w:r w:rsidRPr="00B03227">
        <w:t xml:space="preserve">The wet season median difference for the 2013–14 wet </w:t>
      </w:r>
      <w:proofErr w:type="gramStart"/>
      <w:r w:rsidRPr="00B03227">
        <w:t>season</w:t>
      </w:r>
      <w:proofErr w:type="gramEnd"/>
      <w:r w:rsidRPr="00B03227">
        <w:t xml:space="preserve"> is 0.5 mBq L</w:t>
      </w:r>
      <w:r w:rsidRPr="00B03227">
        <w:rPr>
          <w:snapToGrid w:val="0"/>
          <w:color w:val="000000"/>
          <w:position w:val="5"/>
          <w:sz w:val="15"/>
          <w:szCs w:val="0"/>
          <w:u w:color="000000"/>
        </w:rPr>
        <w:t>-1</w:t>
      </w:r>
      <w:r w:rsidRPr="00B03227">
        <w:t xml:space="preserve">, indicating a slightly higher median </w:t>
      </w:r>
      <w:r w:rsidRPr="00B03227">
        <w:rPr>
          <w:snapToGrid w:val="0"/>
          <w:color w:val="000000"/>
          <w:position w:val="5"/>
          <w:sz w:val="15"/>
          <w:szCs w:val="0"/>
          <w:u w:color="000000"/>
        </w:rPr>
        <w:t>226</w:t>
      </w:r>
      <w:r w:rsidRPr="00B03227">
        <w:t>Ra value for the downstream monitoring site than for the upstream monitoring site. This result is approximately 5% of the 10 mBq L</w:t>
      </w:r>
      <w:r w:rsidRPr="00B03227">
        <w:rPr>
          <w:snapToGrid w:val="0"/>
          <w:color w:val="000000"/>
          <w:position w:val="5"/>
          <w:sz w:val="15"/>
          <w:szCs w:val="0"/>
          <w:u w:color="000000"/>
        </w:rPr>
        <w:t>-1</w:t>
      </w:r>
      <w:r w:rsidRPr="00B03227">
        <w:t xml:space="preserve"> </w:t>
      </w:r>
      <w:r w:rsidRPr="00B03227">
        <w:rPr>
          <w:i/>
        </w:rPr>
        <w:t>Limit</w:t>
      </w:r>
      <w:r w:rsidRPr="00B03227">
        <w:t xml:space="preserve">. Whilst being the greatest wet season median difference since 2001 the result was only marginally increased compared to the range of variation observed in previous years and the individual sample results for 2013–14 were well within the historic range. </w:t>
      </w:r>
    </w:p>
    <w:p w:rsidR="00D94641" w:rsidRPr="00B03227" w:rsidRDefault="00D94641" w:rsidP="00091C65">
      <w:pPr>
        <w:pStyle w:val="Heading3"/>
      </w:pPr>
      <w:bookmarkStart w:id="153" w:name="_Toc401910173"/>
      <w:r w:rsidRPr="00B03227">
        <w:t>Chemical and physical monitoring of Gulungul Creek</w:t>
      </w:r>
      <w:bookmarkEnd w:id="153"/>
    </w:p>
    <w:p w:rsidR="00D94641" w:rsidRPr="00B03227" w:rsidRDefault="00D94641" w:rsidP="00D94641">
      <w:r w:rsidRPr="00B03227">
        <w:t>Flow was first recorded at the Gulungul Creek upstream monitoring site (GCUS) on 28 November 2013. Flow was not recorded at the downstream monitoring site (GCDS) until 4 December 2013. The multi-probes at GCDS were only partially submerged in mid-December, which resulted in gaps in t</w:t>
      </w:r>
      <w:r w:rsidR="005C63DB">
        <w:t xml:space="preserve">he continuous EC data (Figure </w:t>
      </w:r>
      <w:r w:rsidRPr="00B03227">
        <w:t>14).</w:t>
      </w:r>
    </w:p>
    <w:p w:rsidR="00D94641" w:rsidRPr="00B03227" w:rsidRDefault="00D94641" w:rsidP="00D94641"/>
    <w:p w:rsidR="00D94641" w:rsidRPr="00B03227" w:rsidRDefault="00D94641" w:rsidP="00D94641">
      <w:pPr>
        <w:jc w:val="center"/>
      </w:pPr>
      <w:r w:rsidRPr="00B03227">
        <w:rPr>
          <w:noProof/>
          <w:lang w:eastAsia="en-AU"/>
        </w:rPr>
        <w:drawing>
          <wp:inline distT="0" distB="0" distL="0" distR="0">
            <wp:extent cx="4727575" cy="2791687"/>
            <wp:effectExtent l="19050" t="0" r="0" b="0"/>
            <wp:docPr id="4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5" cstate="screen"/>
                    <a:srcRect/>
                    <a:stretch>
                      <a:fillRect/>
                    </a:stretch>
                  </pic:blipFill>
                  <pic:spPr bwMode="auto">
                    <a:xfrm>
                      <a:off x="0" y="0"/>
                      <a:ext cx="4727575" cy="2791687"/>
                    </a:xfrm>
                    <a:prstGeom prst="rect">
                      <a:avLst/>
                    </a:prstGeom>
                    <a:noFill/>
                    <a:ln w="9525">
                      <a:noFill/>
                      <a:miter lim="800000"/>
                      <a:headEnd/>
                      <a:tailEnd/>
                    </a:ln>
                  </pic:spPr>
                </pic:pic>
              </a:graphicData>
            </a:graphic>
          </wp:inline>
        </w:drawing>
      </w:r>
    </w:p>
    <w:p w:rsidR="00D94641" w:rsidRPr="00B03227" w:rsidRDefault="005C63DB" w:rsidP="00D94641">
      <w:pPr>
        <w:pStyle w:val="figurecaption"/>
      </w:pPr>
      <w:bookmarkStart w:id="154" w:name="_Toc397093475"/>
      <w:r>
        <w:rPr>
          <w:b/>
        </w:rPr>
        <w:t xml:space="preserve">Figure </w:t>
      </w:r>
      <w:r w:rsidR="00D94641" w:rsidRPr="00B03227">
        <w:rPr>
          <w:b/>
        </w:rPr>
        <w:t>14</w:t>
      </w:r>
      <w:r w:rsidR="00D94641" w:rsidRPr="00B03227">
        <w:t xml:space="preserve"> Continuous monitoring of EC and water level in Gulungul Creek </w:t>
      </w:r>
      <w:r w:rsidR="00D94641" w:rsidRPr="00B03227">
        <w:br/>
        <w:t>during the 2013–14 wet season</w:t>
      </w:r>
      <w:bookmarkEnd w:id="154"/>
      <w:r w:rsidR="00BC6D53">
        <w:t>.</w:t>
      </w:r>
    </w:p>
    <w:p w:rsidR="00D94641" w:rsidRPr="00B03227" w:rsidRDefault="00D94641" w:rsidP="00D94641">
      <w:r w:rsidRPr="00B03227">
        <w:t xml:space="preserve">During 21–23 December 2013 Jabiru Airport received 22.4 mm of rain. This resulted in increased surface run-off with EC and turbidity peaks recorded at both GCUS and GCDS. This is typical of first flush effects observed early in the wet season and the increased water level submerged all water quality sensors at GCDS. The EC peaked at </w:t>
      </w:r>
      <w:proofErr w:type="gramStart"/>
      <w:r w:rsidRPr="00B03227">
        <w:t>46.5 µS/cm at GCUS</w:t>
      </w:r>
      <w:proofErr w:type="gramEnd"/>
      <w:r w:rsidRPr="00B03227">
        <w:t xml:space="preserve"> and 34.8 µS/cm at GCDS. Turbidity fluctuated reaching 11.3 NTU at GCU</w:t>
      </w:r>
      <w:r w:rsidR="005C63DB">
        <w:t>S and 6.1 NTU at GCDS (Figure</w:t>
      </w:r>
      <w:r w:rsidRPr="00B03227">
        <w:t xml:space="preserve">15). A number of event-based samples were triggered at the upstream site and the analysis results show corresponding peaks in magnesium and manganese concentrations but little change in uranium </w:t>
      </w:r>
      <w:r w:rsidRPr="00C14AC5">
        <w:t xml:space="preserve">and </w:t>
      </w:r>
      <w:r w:rsidR="00C14AC5" w:rsidRPr="00C14AC5">
        <w:t>s</w:t>
      </w:r>
      <w:r w:rsidR="00BC6D53" w:rsidRPr="00C14AC5">
        <w:t>ulphate</w:t>
      </w:r>
      <w:r w:rsidRPr="00C14AC5">
        <w:t xml:space="preserve"> concentrations. In distinction from the dominant mine site signature of magnesium </w:t>
      </w:r>
      <w:r w:rsidR="00C14AC5" w:rsidRPr="00C14AC5">
        <w:t>s</w:t>
      </w:r>
      <w:r w:rsidR="00BC6D53" w:rsidRPr="00C14AC5">
        <w:t>ulphate</w:t>
      </w:r>
      <w:r w:rsidRPr="00C14AC5">
        <w:t xml:space="preserve">, the major ions (anions and cations) of the upstream Gulungul catchment are dominated by magnesium hydrogen carbonate [or magnesium bicarbonate </w:t>
      </w:r>
      <w:r w:rsidR="00BC6D53" w:rsidRPr="00C14AC5">
        <w:t>–</w:t>
      </w:r>
      <w:r w:rsidRPr="00C14AC5">
        <w:t xml:space="preserve"> </w:t>
      </w:r>
      <w:proofErr w:type="gramStart"/>
      <w:r w:rsidRPr="00C14AC5">
        <w:t>Mg(</w:t>
      </w:r>
      <w:proofErr w:type="gramEnd"/>
      <w:r w:rsidRPr="00C14AC5">
        <w:t>HCO</w:t>
      </w:r>
      <w:r w:rsidRPr="00C14AC5">
        <w:rPr>
          <w:vertAlign w:val="subscript"/>
        </w:rPr>
        <w:t>3</w:t>
      </w:r>
      <w:r w:rsidRPr="00C14AC5">
        <w:t>)</w:t>
      </w:r>
      <w:r w:rsidRPr="00C14AC5">
        <w:rPr>
          <w:vertAlign w:val="subscript"/>
        </w:rPr>
        <w:t>2</w:t>
      </w:r>
      <w:r w:rsidRPr="00C14AC5">
        <w:t xml:space="preserve">] hence the lack of change in the </w:t>
      </w:r>
      <w:r w:rsidR="00C14AC5" w:rsidRPr="00C14AC5">
        <w:t>s</w:t>
      </w:r>
      <w:r w:rsidR="00BC6D53" w:rsidRPr="00C14AC5">
        <w:t>ulphate</w:t>
      </w:r>
      <w:r w:rsidRPr="00C14AC5">
        <w:t xml:space="preserve"> con</w:t>
      </w:r>
      <w:r w:rsidRPr="00B03227">
        <w:t>centrations during this event indicates a natural catchment influence rather than a mine site input.</w:t>
      </w:r>
    </w:p>
    <w:p w:rsidR="00D94641" w:rsidRPr="00B03227" w:rsidRDefault="00D94641" w:rsidP="00D94641">
      <w:pPr>
        <w:jc w:val="center"/>
      </w:pPr>
      <w:r w:rsidRPr="00B03227">
        <w:rPr>
          <w:noProof/>
          <w:lang w:eastAsia="en-AU"/>
        </w:rPr>
        <w:drawing>
          <wp:inline distT="0" distB="0" distL="0" distR="0">
            <wp:extent cx="4727575" cy="2791687"/>
            <wp:effectExtent l="19050" t="0" r="0" b="0"/>
            <wp:docPr id="4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6" cstate="screen"/>
                    <a:srcRect/>
                    <a:stretch>
                      <a:fillRect/>
                    </a:stretch>
                  </pic:blipFill>
                  <pic:spPr bwMode="auto">
                    <a:xfrm>
                      <a:off x="0" y="0"/>
                      <a:ext cx="4727575" cy="2791687"/>
                    </a:xfrm>
                    <a:prstGeom prst="rect">
                      <a:avLst/>
                    </a:prstGeom>
                    <a:noFill/>
                    <a:ln w="9525">
                      <a:noFill/>
                      <a:miter lim="800000"/>
                      <a:headEnd/>
                      <a:tailEnd/>
                    </a:ln>
                  </pic:spPr>
                </pic:pic>
              </a:graphicData>
            </a:graphic>
          </wp:inline>
        </w:drawing>
      </w:r>
    </w:p>
    <w:p w:rsidR="00D94641" w:rsidRPr="00B03227" w:rsidRDefault="005C63DB" w:rsidP="00D94641">
      <w:pPr>
        <w:pStyle w:val="figurecaption"/>
      </w:pPr>
      <w:bookmarkStart w:id="155" w:name="_Toc397093476"/>
      <w:r>
        <w:rPr>
          <w:b/>
        </w:rPr>
        <w:t xml:space="preserve">Figure </w:t>
      </w:r>
      <w:r w:rsidR="00D94641" w:rsidRPr="00B03227">
        <w:rPr>
          <w:b/>
        </w:rPr>
        <w:t>15</w:t>
      </w:r>
      <w:r w:rsidR="00D94641" w:rsidRPr="00B03227">
        <w:t xml:space="preserve"> Continuous monitoring of turbidity and water level in Gulungul Creek </w:t>
      </w:r>
      <w:r w:rsidR="00D94641" w:rsidRPr="00B03227">
        <w:br/>
        <w:t>during the 2013–14 wet season.</w:t>
      </w:r>
      <w:bookmarkEnd w:id="155"/>
    </w:p>
    <w:p w:rsidR="00D94641" w:rsidRPr="00B03227" w:rsidRDefault="00D94641" w:rsidP="00D94641">
      <w:r w:rsidRPr="00B03227">
        <w:t xml:space="preserve">An EC event was measured at GCDS on 18 January 2014, with a peak </w:t>
      </w:r>
      <w:proofErr w:type="gramStart"/>
      <w:r w:rsidRPr="00B03227">
        <w:t>of 41.1 µS/cm</w:t>
      </w:r>
      <w:proofErr w:type="gramEnd"/>
      <w:r w:rsidRPr="00B03227">
        <w:t xml:space="preserve">. The event-based samples collected showed a maximum uranium concentration </w:t>
      </w:r>
      <w:proofErr w:type="gramStart"/>
      <w:r w:rsidRPr="00B03227">
        <w:t>of 0.22 µg/L,</w:t>
      </w:r>
      <w:proofErr w:type="gramEnd"/>
      <w:r w:rsidRPr="00B03227">
        <w:t xml:space="preserve"> which is approximately 4% of the ecotoxicologically derived limit. Further EC peaks &gt; 30 µS/c</w:t>
      </w:r>
      <w:r w:rsidR="001156BE">
        <w:t xml:space="preserve">m </w:t>
      </w:r>
      <w:proofErr w:type="gramStart"/>
      <w:r w:rsidR="001156BE">
        <w:t>were</w:t>
      </w:r>
      <w:proofErr w:type="gramEnd"/>
      <w:r w:rsidR="001156BE">
        <w:t xml:space="preserve"> observed at GCDS from 20–</w:t>
      </w:r>
      <w:r w:rsidR="005C63DB">
        <w:t xml:space="preserve">28 January 2014 (Figure </w:t>
      </w:r>
      <w:r w:rsidRPr="00B03227">
        <w:t>17) an</w:t>
      </w:r>
      <w:r w:rsidR="005C63DB">
        <w:t>d 12-14 February 2014 (Figure </w:t>
      </w:r>
      <w:r w:rsidRPr="00B03227">
        <w:t xml:space="preserve">18). On 19 January 2014 the ERA continuous monitoring at Gulungul Creek left bank (GCLB) recorded a 3 hour EC event that </w:t>
      </w:r>
      <w:r w:rsidR="005C63DB">
        <w:t xml:space="preserve">peaked </w:t>
      </w:r>
      <w:proofErr w:type="gramStart"/>
      <w:r w:rsidR="005C63DB">
        <w:t xml:space="preserve">at 184.2 µS/cm (Figure </w:t>
      </w:r>
      <w:r w:rsidRPr="00B03227">
        <w:t>16)</w:t>
      </w:r>
      <w:proofErr w:type="gramEnd"/>
      <w:r w:rsidRPr="00B03227">
        <w:t>. The ecotoxicologically-derived framework for EC pulses provides an EC limit of 1040 µS/cm for a 3 hour EC event, therefore the environment is unlikely to have been impacted.</w:t>
      </w:r>
    </w:p>
    <w:p w:rsidR="00D94641" w:rsidRPr="00B03227" w:rsidRDefault="00D94641" w:rsidP="00D94641">
      <w:r w:rsidRPr="00B03227">
        <w:t>The SS continuous monitoring station GCDS, which is located approximately 1 km downstream of the ERA station, GCLB, typically detects all EC events that</w:t>
      </w:r>
      <w:r w:rsidR="005C63DB">
        <w:t xml:space="preserve"> are detected at GCLB (Figure </w:t>
      </w:r>
      <w:r w:rsidRPr="00B03227">
        <w:t>16). However the peak of 184.2 µS/cm observed at GCLB on 19 January 2014 was not detected at GCDS, which recorded an EC of &lt;25 µS/cm throughout the duration of the event. This indicates poor mixing of Gulungul Creek waters, as SS</w:t>
      </w:r>
      <w:r w:rsidR="00BC6D53">
        <w:t>’</w:t>
      </w:r>
      <w:r w:rsidRPr="00B03227">
        <w:t xml:space="preserve">s monitoring station is located on the western bank of the creek and GCLB is located on the eastern bank. It also indicates that the source of the high EC waters is from the mine side of the creek and after entering the </w:t>
      </w:r>
      <w:proofErr w:type="gramStart"/>
      <w:r w:rsidRPr="00B03227">
        <w:t>creek,</w:t>
      </w:r>
      <w:proofErr w:type="gramEnd"/>
      <w:r w:rsidRPr="00B03227">
        <w:t xml:space="preserve"> the water may have flowed downstream close to the eastern bank and thus was not detected at GCDS. The poor mixing in the creek may have been exacerbated by incoming flows from the left bank tributary loc</w:t>
      </w:r>
      <w:r w:rsidR="005C63DB">
        <w:t xml:space="preserve">ated upstream of GCDS (Figure </w:t>
      </w:r>
      <w:r w:rsidRPr="00B03227">
        <w:t xml:space="preserve">16). </w:t>
      </w:r>
    </w:p>
    <w:p w:rsidR="00D94641" w:rsidRPr="00B03227" w:rsidRDefault="00D94641" w:rsidP="00D94641">
      <w:pPr>
        <w:jc w:val="center"/>
      </w:pPr>
      <w:r w:rsidRPr="00B03227">
        <w:rPr>
          <w:noProof/>
          <w:lang w:eastAsia="en-AU"/>
        </w:rPr>
        <w:drawing>
          <wp:inline distT="0" distB="0" distL="0" distR="0">
            <wp:extent cx="4727575" cy="3536448"/>
            <wp:effectExtent l="19050" t="0" r="0" b="0"/>
            <wp:docPr id="46" name="Picture 4" descr="Figure 4  Gulungul Creek continuous monitoring st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igure 4  Gulungul Creek continuous monitoring stations"/>
                    <pic:cNvPicPr>
                      <a:picLocks noChangeAspect="1" noChangeArrowheads="1"/>
                    </pic:cNvPicPr>
                  </pic:nvPicPr>
                  <pic:blipFill>
                    <a:blip r:embed="rId117" cstate="screen">
                      <a:grayscl/>
                      <a:lum bright="10000"/>
                    </a:blip>
                    <a:srcRect/>
                    <a:stretch>
                      <a:fillRect/>
                    </a:stretch>
                  </pic:blipFill>
                  <pic:spPr bwMode="auto">
                    <a:xfrm>
                      <a:off x="0" y="0"/>
                      <a:ext cx="4727575" cy="3536448"/>
                    </a:xfrm>
                    <a:prstGeom prst="rect">
                      <a:avLst/>
                    </a:prstGeom>
                    <a:noFill/>
                    <a:ln w="9525">
                      <a:noFill/>
                      <a:miter lim="800000"/>
                      <a:headEnd/>
                      <a:tailEnd/>
                    </a:ln>
                  </pic:spPr>
                </pic:pic>
              </a:graphicData>
            </a:graphic>
          </wp:inline>
        </w:drawing>
      </w:r>
    </w:p>
    <w:p w:rsidR="00D94641" w:rsidRPr="00B03227" w:rsidRDefault="005C63DB" w:rsidP="00D94641">
      <w:pPr>
        <w:pStyle w:val="figurecaption"/>
      </w:pPr>
      <w:bookmarkStart w:id="156" w:name="_Toc397093477"/>
      <w:r>
        <w:rPr>
          <w:b/>
        </w:rPr>
        <w:t xml:space="preserve">Figure </w:t>
      </w:r>
      <w:r w:rsidR="00D94641" w:rsidRPr="00B03227">
        <w:rPr>
          <w:b/>
        </w:rPr>
        <w:t>16</w:t>
      </w:r>
      <w:r w:rsidR="00D94641" w:rsidRPr="00B03227">
        <w:t xml:space="preserve"> Gulungul Creek continuous monitoring stations.</w:t>
      </w:r>
      <w:bookmarkEnd w:id="156"/>
    </w:p>
    <w:p w:rsidR="00D94641" w:rsidRPr="00B03227" w:rsidRDefault="00D94641" w:rsidP="00D94641">
      <w:r w:rsidRPr="00B03227">
        <w:t xml:space="preserve">SS is undertaking a number of investigations to determine the source of the solutes causing the EC peaks at the downstream sites and to better understand the extent and nature of the cross channel variation in EC at GCDS. To inform these investigations a number of small data loggers, measuring conductivity, temperature and depth (CTDs), were deployed at key sites in the Gulungul catchment during the 2013–14 wet </w:t>
      </w:r>
      <w:proofErr w:type="gramStart"/>
      <w:r w:rsidRPr="00B03227">
        <w:t>season</w:t>
      </w:r>
      <w:proofErr w:type="gramEnd"/>
      <w:r w:rsidRPr="00B03227">
        <w:t xml:space="preserve">. </w:t>
      </w:r>
    </w:p>
    <w:p w:rsidR="001A7E73" w:rsidRDefault="00D94641" w:rsidP="00D94641">
      <w:r w:rsidRPr="00B03227">
        <w:t xml:space="preserve">The first CTD logger was installed on the eastern bank, opposite the GCDS monitoring station (GCDS East Bank) on 23 January 2014. The recorded data showed that Gulungul Creek water is generally well mixed, with similar EC measured at both banks. However, occasionally the east bank EC was </w:t>
      </w:r>
      <w:proofErr w:type="gramStart"/>
      <w:r w:rsidRPr="00B03227">
        <w:t>up to 15 µS/cm</w:t>
      </w:r>
      <w:proofErr w:type="gramEnd"/>
      <w:r w:rsidRPr="00B03227">
        <w:t xml:space="preserve"> greater than the w</w:t>
      </w:r>
      <w:r w:rsidR="005C63DB">
        <w:t xml:space="preserve">est bank EC (Figures 17 and </w:t>
      </w:r>
      <w:r w:rsidRPr="00B03227">
        <w:t xml:space="preserve">18). This indicates that the source of solutes is likely to be from the eastern bank of the creek, or the mine side of the creek. </w:t>
      </w:r>
    </w:p>
    <w:p w:rsidR="001A7E73" w:rsidRPr="00B03227" w:rsidRDefault="001A7E73" w:rsidP="001A7E73">
      <w:r w:rsidRPr="00B03227">
        <w:t>On Monday 3 March 2014, SS staff conducted a field visit to the Gulungul Creek area to the west of the Ranger TSF in order to investigate the source of recent EC events noted at the ERA downstream site.</w:t>
      </w:r>
    </w:p>
    <w:p w:rsidR="001A7E73" w:rsidRPr="00B03227" w:rsidRDefault="001A7E73" w:rsidP="001A7E73">
      <w:r w:rsidRPr="00B03227">
        <w:t>EC readings were taken at a number of locations in the standing water along the Radon Springs track, with a range of 15-25 µS/cm observed. At location 1 in Figure 1.19, being the intersection point of the Gulungul Creek Tributary Site 2 (GCT2) drainage line and the Radon Springs track, EC in the range of 1250-1300 µS/cm was recorded in the small flowing stream. This stream was tracked to its confluence with Gulungul Creek (locat</w:t>
      </w:r>
      <w:r>
        <w:t xml:space="preserve">ion 2, Figure </w:t>
      </w:r>
      <w:r w:rsidRPr="00B03227">
        <w:t xml:space="preserve">19) and an EC reading </w:t>
      </w:r>
      <w:proofErr w:type="gramStart"/>
      <w:r w:rsidRPr="00B03227">
        <w:t>of approximately 500 µS/cm</w:t>
      </w:r>
      <w:proofErr w:type="gramEnd"/>
      <w:r w:rsidRPr="00B03227">
        <w:t xml:space="preserve"> was obtained at that location. The low volume of in-flow from the high EC tributary was quickly diluted once it entered the main Gulungul Creek channel. SS collected water samples and deployed a CTD logger at locations 1 and 2.</w:t>
      </w:r>
    </w:p>
    <w:p w:rsidR="001156BE" w:rsidRPr="00B03227" w:rsidRDefault="001156BE" w:rsidP="00D94641">
      <w:pPr>
        <w:sectPr w:rsidR="001156BE" w:rsidRPr="00B03227" w:rsidSect="00487A27">
          <w:pgSz w:w="11906" w:h="16838" w:code="9"/>
          <w:pgMar w:top="1440" w:right="1800" w:bottom="1440" w:left="1800" w:header="1080" w:footer="835" w:gutter="0"/>
          <w:cols w:space="360"/>
          <w:noEndnote/>
        </w:sectPr>
      </w:pPr>
    </w:p>
    <w:p w:rsidR="00D94641" w:rsidRPr="00B03227" w:rsidRDefault="00D94641" w:rsidP="00D94641">
      <w:pPr>
        <w:jc w:val="center"/>
      </w:pPr>
      <w:r w:rsidRPr="00B03227">
        <w:rPr>
          <w:noProof/>
          <w:lang w:eastAsia="en-AU"/>
        </w:rPr>
        <w:drawing>
          <wp:inline distT="0" distB="0" distL="0" distR="0">
            <wp:extent cx="4727575" cy="2792034"/>
            <wp:effectExtent l="19050" t="0" r="0" b="0"/>
            <wp:docPr id="4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8" cstate="screen"/>
                    <a:srcRect/>
                    <a:stretch>
                      <a:fillRect/>
                    </a:stretch>
                  </pic:blipFill>
                  <pic:spPr bwMode="auto">
                    <a:xfrm>
                      <a:off x="0" y="0"/>
                      <a:ext cx="4727575" cy="2792034"/>
                    </a:xfrm>
                    <a:prstGeom prst="rect">
                      <a:avLst/>
                    </a:prstGeom>
                    <a:noFill/>
                    <a:ln w="9525">
                      <a:noFill/>
                      <a:miter lim="800000"/>
                      <a:headEnd/>
                      <a:tailEnd/>
                    </a:ln>
                  </pic:spPr>
                </pic:pic>
              </a:graphicData>
            </a:graphic>
          </wp:inline>
        </w:drawing>
      </w:r>
    </w:p>
    <w:p w:rsidR="00D94641" w:rsidRPr="00B03227" w:rsidRDefault="005C63DB" w:rsidP="00D94641">
      <w:pPr>
        <w:pStyle w:val="figurecaption"/>
      </w:pPr>
      <w:bookmarkStart w:id="157" w:name="_Toc397093478"/>
      <w:r>
        <w:rPr>
          <w:b/>
        </w:rPr>
        <w:t xml:space="preserve">Figure </w:t>
      </w:r>
      <w:r w:rsidR="00D94641" w:rsidRPr="00B03227">
        <w:rPr>
          <w:b/>
        </w:rPr>
        <w:t>17</w:t>
      </w:r>
      <w:r w:rsidR="00D94641" w:rsidRPr="00B03227">
        <w:t xml:space="preserve"> Gulungul Creek continuous monitoring data showing peaks in electrical conductivity at GCDS and GCDS East Bank during mid-late January 2014.</w:t>
      </w:r>
      <w:bookmarkEnd w:id="157"/>
    </w:p>
    <w:p w:rsidR="00D94641" w:rsidRPr="00B03227" w:rsidRDefault="00D94641" w:rsidP="00D94641">
      <w:pPr>
        <w:jc w:val="center"/>
      </w:pPr>
      <w:r w:rsidRPr="00B03227">
        <w:rPr>
          <w:noProof/>
          <w:lang w:eastAsia="en-AU"/>
        </w:rPr>
        <w:drawing>
          <wp:inline distT="0" distB="0" distL="0" distR="0">
            <wp:extent cx="4727575" cy="2792034"/>
            <wp:effectExtent l="19050" t="0" r="0" b="0"/>
            <wp:docPr id="4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9" cstate="screen"/>
                    <a:srcRect/>
                    <a:stretch>
                      <a:fillRect/>
                    </a:stretch>
                  </pic:blipFill>
                  <pic:spPr bwMode="auto">
                    <a:xfrm>
                      <a:off x="0" y="0"/>
                      <a:ext cx="4727575" cy="2792034"/>
                    </a:xfrm>
                    <a:prstGeom prst="rect">
                      <a:avLst/>
                    </a:prstGeom>
                    <a:noFill/>
                    <a:ln w="9525">
                      <a:noFill/>
                      <a:miter lim="800000"/>
                      <a:headEnd/>
                      <a:tailEnd/>
                    </a:ln>
                  </pic:spPr>
                </pic:pic>
              </a:graphicData>
            </a:graphic>
          </wp:inline>
        </w:drawing>
      </w:r>
    </w:p>
    <w:p w:rsidR="00D94641" w:rsidRPr="00B03227" w:rsidRDefault="005C63DB" w:rsidP="00D94641">
      <w:pPr>
        <w:pStyle w:val="figurecaption"/>
      </w:pPr>
      <w:bookmarkStart w:id="158" w:name="_Toc397093479"/>
      <w:r>
        <w:rPr>
          <w:b/>
        </w:rPr>
        <w:t xml:space="preserve">Figure </w:t>
      </w:r>
      <w:r w:rsidR="00D94641" w:rsidRPr="00B03227">
        <w:rPr>
          <w:b/>
        </w:rPr>
        <w:t>18</w:t>
      </w:r>
      <w:r w:rsidR="00D94641" w:rsidRPr="00B03227">
        <w:t xml:space="preserve"> Gulungul Creek continuous monitoring data showing peaks in electrical conductivity at GCDS and GCDS East Bank during early February 2014.</w:t>
      </w:r>
      <w:bookmarkEnd w:id="158"/>
    </w:p>
    <w:p w:rsidR="00D94641" w:rsidRPr="00B03227" w:rsidRDefault="00D94641" w:rsidP="00D94641">
      <w:r w:rsidRPr="00B03227">
        <w:t xml:space="preserve">The data collected during these investigations are currently being analysed and will be reported in the near future. To ensure that the surface water chemistry monitoring </w:t>
      </w:r>
      <w:r w:rsidR="00E16AC4">
        <w:t>programme</w:t>
      </w:r>
      <w:r w:rsidRPr="00B03227">
        <w:t xml:space="preserve"> carried out by the SS detects and samples all EC events occurring downstream of the mine, a new continuous monitoring station is going to be installed on the eastern bank of the creek, just downstream of GCLB. This station will be equipped with duplicate EC sensors and an autosampler. </w:t>
      </w:r>
    </w:p>
    <w:p w:rsidR="00D94641" w:rsidRPr="00B03227" w:rsidRDefault="00D94641" w:rsidP="00D94641">
      <w:pPr>
        <w:jc w:val="center"/>
      </w:pPr>
      <w:r w:rsidRPr="00B03227">
        <w:rPr>
          <w:noProof/>
          <w:lang w:eastAsia="en-AU"/>
        </w:rPr>
        <w:drawing>
          <wp:inline distT="0" distB="0" distL="0" distR="0">
            <wp:extent cx="3606997" cy="3344020"/>
            <wp:effectExtent l="19050" t="19050" r="12503" b="27830"/>
            <wp:docPr id="49"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20" cstate="screen">
                      <a:grayscl/>
                      <a:lum bright="13000"/>
                    </a:blip>
                    <a:srcRect t="23834" r="17558"/>
                    <a:stretch>
                      <a:fillRect/>
                    </a:stretch>
                  </pic:blipFill>
                  <pic:spPr bwMode="auto">
                    <a:xfrm>
                      <a:off x="0" y="0"/>
                      <a:ext cx="3606997" cy="3344020"/>
                    </a:xfrm>
                    <a:prstGeom prst="rect">
                      <a:avLst/>
                    </a:prstGeom>
                    <a:noFill/>
                    <a:ln w="9525">
                      <a:solidFill>
                        <a:schemeClr val="tx1"/>
                      </a:solidFill>
                      <a:miter lim="800000"/>
                      <a:headEnd/>
                      <a:tailEnd/>
                    </a:ln>
                  </pic:spPr>
                </pic:pic>
              </a:graphicData>
            </a:graphic>
          </wp:inline>
        </w:drawing>
      </w:r>
    </w:p>
    <w:p w:rsidR="00D94641" w:rsidRPr="00B03227" w:rsidRDefault="00D94641" w:rsidP="00D94641">
      <w:pPr>
        <w:pStyle w:val="figurecaption"/>
      </w:pPr>
      <w:bookmarkStart w:id="159" w:name="_Toc397093480"/>
      <w:r w:rsidRPr="00B03227">
        <w:rPr>
          <w:b/>
        </w:rPr>
        <w:t>Figure 19</w:t>
      </w:r>
      <w:r w:rsidRPr="00B03227">
        <w:t xml:space="preserve"> Location of SS EC loggers installed on 3 March 2014 to investigate the water quality of GCT2.</w:t>
      </w:r>
      <w:bookmarkEnd w:id="159"/>
    </w:p>
    <w:p w:rsidR="00D94641" w:rsidRPr="00B03227" w:rsidRDefault="00D94641" w:rsidP="00D94641">
      <w:r w:rsidRPr="00B03227">
        <w:t>On 26 January 2014 a large turbidity event occurred at the upstream monitoring site GCUS in response to a rainfall event, with 68 mm recorded at GCUS, and subsequent rising creek flow. The magnitude of the turbidity peak at GCUS was 211 NTU occ</w:t>
      </w:r>
      <w:r w:rsidR="005C63DB">
        <w:t>urring at 20:40 hours (Figure </w:t>
      </w:r>
      <w:r w:rsidRPr="00B03227">
        <w:t xml:space="preserve">20). This is the sixth time that a turbidity peak &gt;150 NTU has been recorded at GCUS since continuous monitoring of turbidity began in the 2003–04 wet season. At 02:20 hours on 27 January 2014 the turbidity signal from the event reached GCDS and was substantially diluted, with a maximum turbidity of 49 NTU. The SS are currently undertaking a geomorphological assessment to identify the source of the turbidity. </w:t>
      </w:r>
    </w:p>
    <w:p w:rsidR="00D94641" w:rsidRPr="00B03227" w:rsidRDefault="00D94641" w:rsidP="00D94641">
      <w:pPr>
        <w:jc w:val="center"/>
      </w:pPr>
      <w:r w:rsidRPr="00B03227">
        <w:rPr>
          <w:noProof/>
          <w:lang w:eastAsia="en-AU"/>
        </w:rPr>
        <w:drawing>
          <wp:inline distT="0" distB="0" distL="0" distR="0">
            <wp:extent cx="4727575" cy="2792034"/>
            <wp:effectExtent l="19050" t="0" r="0" b="0"/>
            <wp:docPr id="5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1" cstate="screen"/>
                    <a:srcRect/>
                    <a:stretch>
                      <a:fillRect/>
                    </a:stretch>
                  </pic:blipFill>
                  <pic:spPr bwMode="auto">
                    <a:xfrm>
                      <a:off x="0" y="0"/>
                      <a:ext cx="4727575" cy="2792034"/>
                    </a:xfrm>
                    <a:prstGeom prst="rect">
                      <a:avLst/>
                    </a:prstGeom>
                    <a:noFill/>
                    <a:ln w="9525">
                      <a:noFill/>
                      <a:miter lim="800000"/>
                      <a:headEnd/>
                      <a:tailEnd/>
                    </a:ln>
                  </pic:spPr>
                </pic:pic>
              </a:graphicData>
            </a:graphic>
          </wp:inline>
        </w:drawing>
      </w:r>
    </w:p>
    <w:p w:rsidR="00D94641" w:rsidRPr="00B03227" w:rsidRDefault="005C63DB" w:rsidP="00D94641">
      <w:pPr>
        <w:pStyle w:val="figurecaption"/>
      </w:pPr>
      <w:bookmarkStart w:id="160" w:name="_Toc397093481"/>
      <w:r>
        <w:rPr>
          <w:b/>
        </w:rPr>
        <w:t xml:space="preserve">Figure </w:t>
      </w:r>
      <w:r w:rsidR="00D94641" w:rsidRPr="00B03227">
        <w:rPr>
          <w:b/>
        </w:rPr>
        <w:t>20</w:t>
      </w:r>
      <w:r w:rsidR="00D94641" w:rsidRPr="00B03227">
        <w:t xml:space="preserve"> Gulungul Creek continuous monitoring data showing a peak in turbidity at the upstream monitoring site (GCUS) on 26 January 2014.</w:t>
      </w:r>
      <w:bookmarkEnd w:id="160"/>
    </w:p>
    <w:p w:rsidR="00D94641" w:rsidRPr="00B03227" w:rsidRDefault="00D94641" w:rsidP="00D94641">
      <w:r w:rsidRPr="00772263">
        <w:t>Uranium concentrations recorded within Gulungul Creek were all below the Focus trigger value of 0.3 µg</w:t>
      </w:r>
      <w:r w:rsidR="00772263" w:rsidRPr="00772263">
        <w:t xml:space="preserve"> L</w:t>
      </w:r>
      <w:r w:rsidR="00772263" w:rsidRPr="00772263">
        <w:rPr>
          <w:vertAlign w:val="superscript"/>
        </w:rPr>
        <w:t>-1</w:t>
      </w:r>
      <w:r w:rsidRPr="00772263">
        <w:t xml:space="preserve"> (F</w:t>
      </w:r>
      <w:r w:rsidR="005C63DB">
        <w:t xml:space="preserve">igure </w:t>
      </w:r>
      <w:r w:rsidRPr="00B03227">
        <w:t>21). The maximum uranium concentration was 0.29 µg</w:t>
      </w:r>
      <w:r w:rsidR="00772263" w:rsidRPr="00772263">
        <w:t xml:space="preserve"> </w:t>
      </w:r>
      <w:r w:rsidR="00772263" w:rsidRPr="00B03227">
        <w:t>L</w:t>
      </w:r>
      <w:r w:rsidR="00772263" w:rsidRPr="00772263">
        <w:rPr>
          <w:vertAlign w:val="superscript"/>
        </w:rPr>
        <w:t>-1</w:t>
      </w:r>
      <w:r w:rsidRPr="00B03227">
        <w:t xml:space="preserve"> recorded at GCUS on 21 December 2013 at 20:25 hours. This is approximately 5% of the ecotoxicologically derived Limit. </w:t>
      </w:r>
    </w:p>
    <w:p w:rsidR="00D94641" w:rsidRPr="00B03227" w:rsidRDefault="00D94641" w:rsidP="00D94641">
      <w:r w:rsidRPr="00B03227">
        <w:t>Manganese concentrations were also very low in Gulungul Creek with all samples recording concentrations below the Focus trigger value of 35 µg</w:t>
      </w:r>
      <w:r w:rsidR="00772263" w:rsidRPr="00772263">
        <w:t xml:space="preserve"> </w:t>
      </w:r>
      <w:r w:rsidR="00772263" w:rsidRPr="00B03227">
        <w:t>L</w:t>
      </w:r>
      <w:r w:rsidR="00772263" w:rsidRPr="00772263">
        <w:rPr>
          <w:vertAlign w:val="superscript"/>
        </w:rPr>
        <w:t>-1</w:t>
      </w:r>
      <w:r w:rsidR="005C63DB">
        <w:t xml:space="preserve"> (Figure </w:t>
      </w:r>
      <w:r w:rsidRPr="00B03227">
        <w:t>22). The maximum ma</w:t>
      </w:r>
      <w:r w:rsidR="00772263">
        <w:t>nganese concentration was 12 µg</w:t>
      </w:r>
      <w:r w:rsidRPr="00B03227">
        <w:t>L</w:t>
      </w:r>
      <w:r w:rsidR="00772263" w:rsidRPr="00772263">
        <w:rPr>
          <w:vertAlign w:val="superscript"/>
        </w:rPr>
        <w:t>-1</w:t>
      </w:r>
      <w:r w:rsidRPr="00B03227">
        <w:t xml:space="preserve"> recorded at GCDS on 12 December 2013 at 10:48 hours. This is 16% of the ecotoxicologically derived limit.</w:t>
      </w:r>
    </w:p>
    <w:p w:rsidR="00D94641" w:rsidRPr="00B03227" w:rsidRDefault="00D94641" w:rsidP="00D94641">
      <w:r w:rsidRPr="00B03227">
        <w:t>Magnesium concentrations measured during 2013–14 were generally low with the exception of automatic samples triggered for an EC peak at GCDS on 18 April 2014. The GCDS EC event had two samples with magnesium concentrations above the chronic (&gt;72 hour) Limit trigger value of 3 mg</w:t>
      </w:r>
      <w:r w:rsidR="00772263" w:rsidRPr="00772263">
        <w:t xml:space="preserve"> </w:t>
      </w:r>
      <w:r w:rsidR="00772263" w:rsidRPr="00B03227">
        <w:t>L</w:t>
      </w:r>
      <w:r w:rsidR="00772263" w:rsidRPr="00772263">
        <w:rPr>
          <w:vertAlign w:val="superscript"/>
        </w:rPr>
        <w:t>-1</w:t>
      </w:r>
      <w:r w:rsidRPr="00B03227">
        <w:t>. The maximum magnesium concentration was 4.0 mg</w:t>
      </w:r>
      <w:r w:rsidR="00772263" w:rsidRPr="00772263">
        <w:t xml:space="preserve"> </w:t>
      </w:r>
      <w:r w:rsidR="00772263" w:rsidRPr="00B03227">
        <w:t>L</w:t>
      </w:r>
      <w:r w:rsidR="00772263" w:rsidRPr="00772263">
        <w:rPr>
          <w:vertAlign w:val="superscript"/>
        </w:rPr>
        <w:t>-1</w:t>
      </w:r>
      <w:r w:rsidR="005C63DB">
        <w:t xml:space="preserve"> at 20.30 pm (Figure </w:t>
      </w:r>
      <w:r w:rsidRPr="00B03227">
        <w:t>23). The corresponding</w:t>
      </w:r>
      <w:r w:rsidR="00C14AC5">
        <w:t xml:space="preserve"> </w:t>
      </w:r>
      <w:r w:rsidR="00C14AC5" w:rsidRPr="00C14AC5">
        <w:t>s</w:t>
      </w:r>
      <w:r w:rsidR="00BC6D53" w:rsidRPr="00C14AC5">
        <w:t>ulphate</w:t>
      </w:r>
      <w:r w:rsidRPr="00B03227">
        <w:t xml:space="preserve"> concentration was 12 mg</w:t>
      </w:r>
      <w:r w:rsidR="00772263" w:rsidRPr="00772263">
        <w:t xml:space="preserve"> </w:t>
      </w:r>
      <w:r w:rsidR="00772263" w:rsidRPr="00B03227">
        <w:t>L</w:t>
      </w:r>
      <w:r w:rsidR="00772263" w:rsidRPr="00772263">
        <w:rPr>
          <w:vertAlign w:val="superscript"/>
        </w:rPr>
        <w:t>-1</w:t>
      </w:r>
      <w:r w:rsidR="005C63DB">
        <w:t xml:space="preserve"> (Figure </w:t>
      </w:r>
      <w:r w:rsidRPr="00B03227">
        <w:t>24). EC remained above the chronic (&gt;72 hour) Limit of 42 µS/cm for 3 hours duration. The ecotoxicologically-derived framework for EC pulses provides a magnesium limit of 94 mg</w:t>
      </w:r>
      <w:r w:rsidR="00772263" w:rsidRPr="00772263">
        <w:t xml:space="preserve"> </w:t>
      </w:r>
      <w:r w:rsidR="00772263" w:rsidRPr="00B03227">
        <w:t>L</w:t>
      </w:r>
      <w:r w:rsidR="00772263" w:rsidRPr="00772263">
        <w:rPr>
          <w:vertAlign w:val="superscript"/>
        </w:rPr>
        <w:t>-1</w:t>
      </w:r>
      <w:r w:rsidRPr="00B03227">
        <w:t xml:space="preserve"> for pulses under 4 hours duration so this magnesium concentration of 4.0 mg</w:t>
      </w:r>
      <w:r w:rsidR="00772263" w:rsidRPr="00772263">
        <w:t xml:space="preserve"> </w:t>
      </w:r>
      <w:r w:rsidR="00772263" w:rsidRPr="00B03227">
        <w:t>L</w:t>
      </w:r>
      <w:r w:rsidR="00772263" w:rsidRPr="00772263">
        <w:rPr>
          <w:vertAlign w:val="superscript"/>
        </w:rPr>
        <w:t>-1</w:t>
      </w:r>
      <w:r w:rsidRPr="00B03227">
        <w:t xml:space="preserve"> is unlikely to have impacted the environment.</w:t>
      </w:r>
    </w:p>
    <w:p w:rsidR="00D94641" w:rsidRPr="00B03227" w:rsidRDefault="00D94641" w:rsidP="00D94641"/>
    <w:p w:rsidR="00D94641" w:rsidRPr="00B03227" w:rsidRDefault="00D94641" w:rsidP="00D94641">
      <w:pPr>
        <w:jc w:val="center"/>
      </w:pPr>
      <w:r w:rsidRPr="00B03227">
        <w:rPr>
          <w:noProof/>
          <w:lang w:eastAsia="en-AU"/>
        </w:rPr>
        <w:drawing>
          <wp:inline distT="0" distB="0" distL="0" distR="0">
            <wp:extent cx="4727575" cy="2785844"/>
            <wp:effectExtent l="19050" t="0" r="0" b="0"/>
            <wp:docPr id="5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2" cstate="screen"/>
                    <a:srcRect/>
                    <a:stretch>
                      <a:fillRect/>
                    </a:stretch>
                  </pic:blipFill>
                  <pic:spPr bwMode="auto">
                    <a:xfrm>
                      <a:off x="0" y="0"/>
                      <a:ext cx="4727575" cy="2785844"/>
                    </a:xfrm>
                    <a:prstGeom prst="rect">
                      <a:avLst/>
                    </a:prstGeom>
                    <a:noFill/>
                    <a:ln w="9525">
                      <a:noFill/>
                      <a:miter lim="800000"/>
                      <a:headEnd/>
                      <a:tailEnd/>
                    </a:ln>
                  </pic:spPr>
                </pic:pic>
              </a:graphicData>
            </a:graphic>
          </wp:inline>
        </w:drawing>
      </w:r>
    </w:p>
    <w:p w:rsidR="00D94641" w:rsidRPr="00B03227" w:rsidRDefault="005C63DB" w:rsidP="00D94641">
      <w:pPr>
        <w:pStyle w:val="figurecaption"/>
      </w:pPr>
      <w:bookmarkStart w:id="161" w:name="_Toc397093482"/>
      <w:r>
        <w:rPr>
          <w:b/>
        </w:rPr>
        <w:t xml:space="preserve">Figure </w:t>
      </w:r>
      <w:r w:rsidR="00D94641" w:rsidRPr="00B03227">
        <w:rPr>
          <w:b/>
        </w:rPr>
        <w:t>21</w:t>
      </w:r>
      <w:r w:rsidR="00D94641" w:rsidRPr="00B03227">
        <w:t xml:space="preserve"> Uranium concentration and continuous monitoring of EC in Gulungul Creek </w:t>
      </w:r>
      <w:r w:rsidR="00D94641" w:rsidRPr="00B03227">
        <w:br/>
        <w:t xml:space="preserve">during the 2013–14 wet </w:t>
      </w:r>
      <w:proofErr w:type="gramStart"/>
      <w:r w:rsidR="00D94641" w:rsidRPr="00B03227">
        <w:t>season</w:t>
      </w:r>
      <w:proofErr w:type="gramEnd"/>
      <w:r w:rsidR="00D94641" w:rsidRPr="00B03227">
        <w:t>.</w:t>
      </w:r>
      <w:bookmarkEnd w:id="161"/>
    </w:p>
    <w:p w:rsidR="00D94641" w:rsidRPr="00B03227" w:rsidRDefault="00D94641" w:rsidP="00D94641">
      <w:pPr>
        <w:jc w:val="center"/>
      </w:pPr>
      <w:r w:rsidRPr="00B03227">
        <w:rPr>
          <w:noProof/>
          <w:lang w:eastAsia="en-AU"/>
        </w:rPr>
        <w:drawing>
          <wp:inline distT="0" distB="0" distL="0" distR="0">
            <wp:extent cx="4727575" cy="2792034"/>
            <wp:effectExtent l="19050" t="0" r="0" b="0"/>
            <wp:docPr id="52"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23" cstate="screen"/>
                    <a:srcRect/>
                    <a:stretch>
                      <a:fillRect/>
                    </a:stretch>
                  </pic:blipFill>
                  <pic:spPr bwMode="auto">
                    <a:xfrm>
                      <a:off x="0" y="0"/>
                      <a:ext cx="4727575" cy="2792034"/>
                    </a:xfrm>
                    <a:prstGeom prst="rect">
                      <a:avLst/>
                    </a:prstGeom>
                    <a:noFill/>
                    <a:ln w="9525">
                      <a:noFill/>
                      <a:miter lim="800000"/>
                      <a:headEnd/>
                      <a:tailEnd/>
                    </a:ln>
                  </pic:spPr>
                </pic:pic>
              </a:graphicData>
            </a:graphic>
          </wp:inline>
        </w:drawing>
      </w:r>
    </w:p>
    <w:p w:rsidR="00D94641" w:rsidRPr="00B03227" w:rsidRDefault="005C63DB" w:rsidP="00D94641">
      <w:pPr>
        <w:pStyle w:val="figurecaption"/>
      </w:pPr>
      <w:bookmarkStart w:id="162" w:name="_Toc397093483"/>
      <w:r>
        <w:rPr>
          <w:b/>
        </w:rPr>
        <w:t xml:space="preserve">Figure </w:t>
      </w:r>
      <w:r w:rsidR="00D94641" w:rsidRPr="00B03227">
        <w:rPr>
          <w:b/>
        </w:rPr>
        <w:t>22</w:t>
      </w:r>
      <w:r w:rsidR="00D94641" w:rsidRPr="00B03227">
        <w:t xml:space="preserve"> Manganese concentration and continuous monitoring of EC in Gulungul Creek </w:t>
      </w:r>
      <w:r w:rsidR="00D94641" w:rsidRPr="00B03227">
        <w:br/>
        <w:t xml:space="preserve">during the 2013–14 wet </w:t>
      </w:r>
      <w:proofErr w:type="gramStart"/>
      <w:r w:rsidR="00D94641" w:rsidRPr="00B03227">
        <w:t>season</w:t>
      </w:r>
      <w:proofErr w:type="gramEnd"/>
      <w:r w:rsidR="00D94641" w:rsidRPr="00B03227">
        <w:t>.</w:t>
      </w:r>
      <w:bookmarkEnd w:id="162"/>
    </w:p>
    <w:p w:rsidR="00D94641" w:rsidRPr="00B03227" w:rsidRDefault="00D94641" w:rsidP="00D94641"/>
    <w:p w:rsidR="00D94641" w:rsidRPr="00B03227" w:rsidRDefault="00D94641" w:rsidP="00D94641">
      <w:pPr>
        <w:jc w:val="center"/>
      </w:pPr>
      <w:r w:rsidRPr="00B03227">
        <w:rPr>
          <w:noProof/>
          <w:lang w:eastAsia="en-AU"/>
        </w:rPr>
        <w:drawing>
          <wp:inline distT="0" distB="0" distL="0" distR="0">
            <wp:extent cx="4727575" cy="2791687"/>
            <wp:effectExtent l="19050" t="0" r="0" b="0"/>
            <wp:docPr id="5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24" cstate="screen"/>
                    <a:srcRect/>
                    <a:stretch>
                      <a:fillRect/>
                    </a:stretch>
                  </pic:blipFill>
                  <pic:spPr bwMode="auto">
                    <a:xfrm>
                      <a:off x="0" y="0"/>
                      <a:ext cx="4727575" cy="2791687"/>
                    </a:xfrm>
                    <a:prstGeom prst="rect">
                      <a:avLst/>
                    </a:prstGeom>
                    <a:noFill/>
                    <a:ln w="9525">
                      <a:noFill/>
                      <a:miter lim="800000"/>
                      <a:headEnd/>
                      <a:tailEnd/>
                    </a:ln>
                  </pic:spPr>
                </pic:pic>
              </a:graphicData>
            </a:graphic>
          </wp:inline>
        </w:drawing>
      </w:r>
    </w:p>
    <w:p w:rsidR="00D94641" w:rsidRPr="00B03227" w:rsidRDefault="005C63DB" w:rsidP="00D94641">
      <w:pPr>
        <w:pStyle w:val="figurecaption"/>
      </w:pPr>
      <w:bookmarkStart w:id="163" w:name="_Toc397093484"/>
      <w:r>
        <w:rPr>
          <w:b/>
        </w:rPr>
        <w:t xml:space="preserve">Figure </w:t>
      </w:r>
      <w:r w:rsidR="00D94641" w:rsidRPr="00B03227">
        <w:rPr>
          <w:b/>
        </w:rPr>
        <w:t>23</w:t>
      </w:r>
      <w:r w:rsidR="00D94641" w:rsidRPr="00B03227">
        <w:t xml:space="preserve"> Magnesium concentration and continuous monitoring of EC in Gulungul Creek </w:t>
      </w:r>
      <w:r w:rsidR="00D94641" w:rsidRPr="00B03227">
        <w:br/>
        <w:t xml:space="preserve">during the 2013–14 wet </w:t>
      </w:r>
      <w:proofErr w:type="gramStart"/>
      <w:r w:rsidR="00D94641" w:rsidRPr="00B03227">
        <w:t>season</w:t>
      </w:r>
      <w:proofErr w:type="gramEnd"/>
      <w:r w:rsidR="00D94641" w:rsidRPr="00B03227">
        <w:t>.</w:t>
      </w:r>
      <w:bookmarkEnd w:id="163"/>
    </w:p>
    <w:p w:rsidR="00D94641" w:rsidRPr="00B03227" w:rsidRDefault="00D94641" w:rsidP="00D94641">
      <w:pPr>
        <w:jc w:val="center"/>
      </w:pPr>
      <w:r w:rsidRPr="00B03227">
        <w:rPr>
          <w:noProof/>
          <w:lang w:eastAsia="en-AU"/>
        </w:rPr>
        <w:drawing>
          <wp:inline distT="0" distB="0" distL="0" distR="0">
            <wp:extent cx="4727575" cy="2791687"/>
            <wp:effectExtent l="19050" t="0" r="0" b="0"/>
            <wp:docPr id="5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5" cstate="screen"/>
                    <a:srcRect/>
                    <a:stretch>
                      <a:fillRect/>
                    </a:stretch>
                  </pic:blipFill>
                  <pic:spPr bwMode="auto">
                    <a:xfrm>
                      <a:off x="0" y="0"/>
                      <a:ext cx="4727575" cy="2791687"/>
                    </a:xfrm>
                    <a:prstGeom prst="rect">
                      <a:avLst/>
                    </a:prstGeom>
                    <a:noFill/>
                    <a:ln w="9525">
                      <a:noFill/>
                      <a:miter lim="800000"/>
                      <a:headEnd/>
                      <a:tailEnd/>
                    </a:ln>
                  </pic:spPr>
                </pic:pic>
              </a:graphicData>
            </a:graphic>
          </wp:inline>
        </w:drawing>
      </w:r>
    </w:p>
    <w:p w:rsidR="00D94641" w:rsidRPr="00B03227" w:rsidRDefault="005C63DB" w:rsidP="00D94641">
      <w:pPr>
        <w:pStyle w:val="figurecaption"/>
      </w:pPr>
      <w:bookmarkStart w:id="164" w:name="_Toc397093485"/>
      <w:r>
        <w:rPr>
          <w:b/>
        </w:rPr>
        <w:t xml:space="preserve">Figure </w:t>
      </w:r>
      <w:r w:rsidR="00D94641" w:rsidRPr="00B03227">
        <w:rPr>
          <w:b/>
        </w:rPr>
        <w:t>24</w:t>
      </w:r>
      <w:r w:rsidR="00D94641" w:rsidRPr="00B03227">
        <w:t xml:space="preserve"> Sulfate concentration and continuous monitoring of EC in Gulungul Creek </w:t>
      </w:r>
      <w:r w:rsidR="00D94641" w:rsidRPr="00B03227">
        <w:br/>
        <w:t xml:space="preserve">during the 2013–14 wet </w:t>
      </w:r>
      <w:proofErr w:type="gramStart"/>
      <w:r w:rsidR="00D94641" w:rsidRPr="00B03227">
        <w:t>season</w:t>
      </w:r>
      <w:proofErr w:type="gramEnd"/>
      <w:r w:rsidR="00D94641" w:rsidRPr="00B03227">
        <w:t>.</w:t>
      </w:r>
      <w:bookmarkEnd w:id="164"/>
    </w:p>
    <w:p w:rsidR="00D94641" w:rsidRPr="00B03227" w:rsidRDefault="00D94641" w:rsidP="00D94641">
      <w:r w:rsidRPr="00B03227">
        <w:t xml:space="preserve">During late February and March the water levels within Gulungul Creek decreased leading to gradually increasing EC levels, fluctuating with each rainfall event. </w:t>
      </w:r>
    </w:p>
    <w:p w:rsidR="00D94641" w:rsidRPr="00B03227" w:rsidRDefault="00D94641" w:rsidP="00D94641">
      <w:r w:rsidRPr="00B03227">
        <w:t xml:space="preserve">EC peaked </w:t>
      </w:r>
      <w:proofErr w:type="gramStart"/>
      <w:r w:rsidRPr="00B03227">
        <w:t>at 51 µS/cm</w:t>
      </w:r>
      <w:proofErr w:type="gramEnd"/>
      <w:r w:rsidRPr="00B03227">
        <w:t xml:space="preserve"> at 03.30 am on 25 March 2014 and at 55 µS/cm at 02.00 am on 7 April 2014 in response to rainfall events flushing solutes into the creek. The total rainfall recorded at Jabiru Airport for these events was 20 mm and 41 mm respectively. During late March and early April hardware malfunctions occurred in the sample trigger mechanism and then the turbidity probe, which meant that no water samples were collected during these EC events. SS is looking to increase the capacity of the autosampling equipment at GCDS by installing an additional sampler for the 2014–15 wet </w:t>
      </w:r>
      <w:proofErr w:type="gramStart"/>
      <w:r w:rsidRPr="00B03227">
        <w:t>season</w:t>
      </w:r>
      <w:proofErr w:type="gramEnd"/>
      <w:r w:rsidRPr="00B03227">
        <w:t xml:space="preserve"> so there are dedicated EC and turbidity samplers, as used in Magela Creek downstream.</w:t>
      </w:r>
    </w:p>
    <w:p w:rsidR="00D94641" w:rsidRPr="00B03227" w:rsidRDefault="00D94641" w:rsidP="00D94641">
      <w:r w:rsidRPr="00B03227">
        <w:t xml:space="preserve">The duration of the EC peaks above the chronic (&gt;72 hour) Limit of 42 µS/cm was 4 hours 10 minutes on 25 March 2014 and 3 hours 15 minutes on 7 April 2014. The ecotoxicologically-derived framework for EC pulses provides EC limits of 1040 µS/cm for pulses under 4 hours EC peak duration and for the 4 hour 10 minute duration the derived Limit is 1010 µS/cm. Thus, with recorded EC peaks of </w:t>
      </w:r>
      <w:proofErr w:type="gramStart"/>
      <w:r w:rsidRPr="00B03227">
        <w:t>51 µS/cm</w:t>
      </w:r>
      <w:proofErr w:type="gramEnd"/>
      <w:r w:rsidRPr="00B03227">
        <w:t xml:space="preserve"> and 55 µS/cm respectively, the environment is unlikely to have been impacted. </w:t>
      </w:r>
    </w:p>
    <w:p w:rsidR="00D94641" w:rsidRPr="00B03227" w:rsidRDefault="00D94641" w:rsidP="00D94641">
      <w:r w:rsidRPr="00B03227">
        <w:t>On 18 April 2014 at 21.00 pm EC peaked at the downstream monitoring site (GCDS) at 65 µS/cm and remained above the chronic (&gt;72 hour) Limit of 42 µS/cm</w:t>
      </w:r>
      <w:r w:rsidR="005C63DB">
        <w:t xml:space="preserve"> for 3 hours duration (Figure </w:t>
      </w:r>
      <w:r w:rsidRPr="00B03227">
        <w:t>25). The ecotoxicologically-derived framework for EC pulses provides EC limits of 1040 µS/cm for pulses under 4 hours EC peak duration so this EC peak of 65 µS/cm is unlikely to have impacted the environment. The source of these EC events is likely to be rainfall flushing solutes from the GCT2 drainage line as discussed above.</w:t>
      </w:r>
    </w:p>
    <w:p w:rsidR="00D94641" w:rsidRPr="00B03227" w:rsidRDefault="00D94641" w:rsidP="00D94641">
      <w:pPr>
        <w:jc w:val="center"/>
      </w:pPr>
      <w:r w:rsidRPr="00B03227">
        <w:rPr>
          <w:noProof/>
          <w:lang w:eastAsia="en-AU"/>
        </w:rPr>
        <w:drawing>
          <wp:inline distT="0" distB="0" distL="0" distR="0">
            <wp:extent cx="4727575" cy="2792034"/>
            <wp:effectExtent l="19050" t="0" r="0" b="0"/>
            <wp:docPr id="5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6" cstate="screen"/>
                    <a:srcRect/>
                    <a:stretch>
                      <a:fillRect/>
                    </a:stretch>
                  </pic:blipFill>
                  <pic:spPr bwMode="auto">
                    <a:xfrm>
                      <a:off x="0" y="0"/>
                      <a:ext cx="4727575" cy="2792034"/>
                    </a:xfrm>
                    <a:prstGeom prst="rect">
                      <a:avLst/>
                    </a:prstGeom>
                    <a:noFill/>
                    <a:ln w="9525">
                      <a:noFill/>
                      <a:miter lim="800000"/>
                      <a:headEnd/>
                      <a:tailEnd/>
                    </a:ln>
                  </pic:spPr>
                </pic:pic>
              </a:graphicData>
            </a:graphic>
          </wp:inline>
        </w:drawing>
      </w:r>
    </w:p>
    <w:p w:rsidR="00D94641" w:rsidRPr="00B03227" w:rsidRDefault="005C63DB" w:rsidP="00D94641">
      <w:pPr>
        <w:pStyle w:val="figurecaption"/>
      </w:pPr>
      <w:bookmarkStart w:id="165" w:name="_Toc397093486"/>
      <w:r>
        <w:rPr>
          <w:b/>
        </w:rPr>
        <w:t xml:space="preserve">Figure </w:t>
      </w:r>
      <w:r w:rsidR="00D94641" w:rsidRPr="00B03227">
        <w:rPr>
          <w:b/>
        </w:rPr>
        <w:t>25</w:t>
      </w:r>
      <w:r w:rsidR="00D94641" w:rsidRPr="00B03227">
        <w:t xml:space="preserve"> Gulungul Creek continuous monitoring data showing a peak in EC at the downstream monitoring site (GCDS) on 18 April 2014.</w:t>
      </w:r>
      <w:bookmarkEnd w:id="165"/>
    </w:p>
    <w:p w:rsidR="00D94641" w:rsidRPr="00B03227" w:rsidRDefault="00D94641" w:rsidP="00D94641">
      <w:r w:rsidRPr="00B03227">
        <w:t xml:space="preserve">Rainfall events during April and early May increased flow levels and resulted in small decreases in EC and increases in turbidity. </w:t>
      </w:r>
    </w:p>
    <w:p w:rsidR="00D94641" w:rsidRPr="00B03227" w:rsidRDefault="00D94641" w:rsidP="00D94641">
      <w:r w:rsidRPr="00B03227">
        <w:t xml:space="preserve">A localised rainfall event occurred during the night of 15 May with 76 mm of rainfall recorded at the Jabiru Airport. Runoff from this rainfall event caused an increase in EC at the Gulungul Creek downstream site, peaking </w:t>
      </w:r>
      <w:proofErr w:type="gramStart"/>
      <w:r w:rsidRPr="00B03227">
        <w:t>at 41 µS/cm</w:t>
      </w:r>
      <w:proofErr w:type="gramEnd"/>
      <w:r w:rsidRPr="00B03227">
        <w:t xml:space="preserve">. This is below the chronic toxicity limit </w:t>
      </w:r>
      <w:proofErr w:type="gramStart"/>
      <w:r w:rsidRPr="00B03227">
        <w:t>of 42 µS/cm</w:t>
      </w:r>
      <w:proofErr w:type="gramEnd"/>
      <w:r w:rsidRPr="00B03227">
        <w:t xml:space="preserve"> and not of environmental significance.</w:t>
      </w:r>
    </w:p>
    <w:p w:rsidR="00D94641" w:rsidRPr="00B03227" w:rsidRDefault="00D94641" w:rsidP="00D94641">
      <w:r w:rsidRPr="00B03227">
        <w:t>Recessional flow conditions became established in May 2014. Continuous monitoring continued until 20 June 2014 when the multi-probes were out of the water and could not be lowered any further. Cease to flow was agreed by stakeholders on 23 June 2014.</w:t>
      </w:r>
    </w:p>
    <w:p w:rsidR="00D94641" w:rsidRPr="00B03227" w:rsidRDefault="00D94641" w:rsidP="00D94641">
      <w:r w:rsidRPr="00B03227">
        <w:t xml:space="preserve">Overall, the water quality measured in Gulungul Creek for the 2013–14 wet </w:t>
      </w:r>
      <w:proofErr w:type="gramStart"/>
      <w:r w:rsidRPr="00B03227">
        <w:t>season</w:t>
      </w:r>
      <w:proofErr w:type="gramEnd"/>
      <w:r w:rsidRPr="00B03227">
        <w:t xml:space="preserve"> showed higher EC at the downstream monitoring site compared to previous wet seasons due to high EC inputs from the GCT2 tributary. However, analysis of the EC peaks at the downstream monitoring site show that the EC peaks are substantially below the Limit for EC pulses &lt; 72 hours, which indicates that the aquatic environment in the creek has </w:t>
      </w:r>
      <w:proofErr w:type="gramStart"/>
      <w:r w:rsidRPr="00B03227">
        <w:t>remained</w:t>
      </w:r>
      <w:proofErr w:type="gramEnd"/>
      <w:r w:rsidRPr="00B03227">
        <w:t xml:space="preserve"> protected from mining</w:t>
      </w:r>
      <w:r w:rsidR="005C63DB">
        <w:t xml:space="preserve"> activities (Figure </w:t>
      </w:r>
      <w:r w:rsidRPr="00B03227">
        <w:t>26).</w:t>
      </w:r>
    </w:p>
    <w:p w:rsidR="00D94641" w:rsidRPr="00B03227" w:rsidRDefault="00D94641" w:rsidP="00D94641">
      <w:pPr>
        <w:jc w:val="center"/>
      </w:pPr>
      <w:r w:rsidRPr="00B03227">
        <w:rPr>
          <w:noProof/>
          <w:lang w:eastAsia="en-AU"/>
        </w:rPr>
        <w:drawing>
          <wp:inline distT="0" distB="0" distL="0" distR="0">
            <wp:extent cx="4727575" cy="2792034"/>
            <wp:effectExtent l="19050" t="0" r="0" b="0"/>
            <wp:docPr id="5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7" cstate="screen"/>
                    <a:srcRect/>
                    <a:stretch>
                      <a:fillRect/>
                    </a:stretch>
                  </pic:blipFill>
                  <pic:spPr bwMode="auto">
                    <a:xfrm>
                      <a:off x="0" y="0"/>
                      <a:ext cx="4727575" cy="2792034"/>
                    </a:xfrm>
                    <a:prstGeom prst="rect">
                      <a:avLst/>
                    </a:prstGeom>
                    <a:noFill/>
                    <a:ln w="9525">
                      <a:noFill/>
                      <a:miter lim="800000"/>
                      <a:headEnd/>
                      <a:tailEnd/>
                    </a:ln>
                  </pic:spPr>
                </pic:pic>
              </a:graphicData>
            </a:graphic>
          </wp:inline>
        </w:drawing>
      </w:r>
    </w:p>
    <w:p w:rsidR="00D94641" w:rsidRPr="00B03227" w:rsidRDefault="005C63DB" w:rsidP="00D94641">
      <w:pPr>
        <w:pStyle w:val="figurecaption"/>
        <w:spacing w:before="240"/>
      </w:pPr>
      <w:bookmarkStart w:id="166" w:name="_Toc272855298"/>
      <w:bookmarkStart w:id="167" w:name="_Toc397093487"/>
      <w:r>
        <w:rPr>
          <w:b/>
        </w:rPr>
        <w:t xml:space="preserve">Figure </w:t>
      </w:r>
      <w:r w:rsidR="00D94641" w:rsidRPr="00B03227">
        <w:rPr>
          <w:b/>
        </w:rPr>
        <w:t>26</w:t>
      </w:r>
      <w:r w:rsidR="00D94641" w:rsidRPr="00B03227">
        <w:t xml:space="preserve"> Continuous electrical conductivity a</w:t>
      </w:r>
      <w:r w:rsidR="00772263">
        <w:t xml:space="preserve">nd discharge in Gulungul Creek </w:t>
      </w:r>
      <w:r w:rsidR="00D94641" w:rsidRPr="00B03227">
        <w:t xml:space="preserve">for each wet season between September 2010 and </w:t>
      </w:r>
      <w:bookmarkEnd w:id="166"/>
      <w:r w:rsidR="00772263">
        <w:t xml:space="preserve">June 2014 </w:t>
      </w:r>
      <w:r w:rsidR="00D94641" w:rsidRPr="00B03227">
        <w:t>(values averaged over a 90 minute period of measurement).</w:t>
      </w:r>
      <w:bookmarkEnd w:id="167"/>
    </w:p>
    <w:p w:rsidR="00D94641" w:rsidRPr="00B03227" w:rsidRDefault="00D94641" w:rsidP="00091C65">
      <w:pPr>
        <w:pStyle w:val="Heading2"/>
      </w:pPr>
      <w:r w:rsidRPr="00B03227">
        <w:t>References</w:t>
      </w:r>
    </w:p>
    <w:p w:rsidR="00D94641" w:rsidRPr="00B03227" w:rsidRDefault="00D94641" w:rsidP="00A7056B">
      <w:pPr>
        <w:pStyle w:val="referencelist1"/>
      </w:pPr>
      <w:proofErr w:type="gramStart"/>
      <w:r w:rsidRPr="00B03227">
        <w:t>Noller BN, Currey NA, Ayers GP &amp; Gillett RW 1990.</w:t>
      </w:r>
      <w:proofErr w:type="gramEnd"/>
      <w:r w:rsidRPr="00B03227">
        <w:t xml:space="preserve"> </w:t>
      </w:r>
      <w:proofErr w:type="gramStart"/>
      <w:r w:rsidRPr="00B03227">
        <w:t>Chemical composition and acidity of rainfall in the Alligator Rivers Region, Northern Territory, Australia.</w:t>
      </w:r>
      <w:proofErr w:type="gramEnd"/>
      <w:r w:rsidRPr="00B03227">
        <w:t xml:space="preserve"> </w:t>
      </w:r>
      <w:r w:rsidRPr="001156BE">
        <w:rPr>
          <w:i/>
        </w:rPr>
        <w:t xml:space="preserve">Science </w:t>
      </w:r>
      <w:r w:rsidR="001156BE" w:rsidRPr="001156BE">
        <w:rPr>
          <w:i/>
        </w:rPr>
        <w:t>of the Total Environment</w:t>
      </w:r>
      <w:r w:rsidR="001156BE">
        <w:t xml:space="preserve"> 91, 23–</w:t>
      </w:r>
      <w:r w:rsidRPr="00B03227">
        <w:t>48.</w:t>
      </w:r>
    </w:p>
    <w:p w:rsidR="00C700DC" w:rsidRDefault="00D94641" w:rsidP="00A7056B">
      <w:pPr>
        <w:pStyle w:val="referencelist1"/>
        <w:sectPr w:rsidR="00C700DC" w:rsidSect="00E154E1">
          <w:pgSz w:w="11906" w:h="16838" w:code="9"/>
          <w:pgMar w:top="1440" w:right="1800" w:bottom="1440" w:left="1800" w:header="1080" w:footer="835" w:gutter="0"/>
          <w:cols w:space="360"/>
          <w:noEndnote/>
        </w:sectPr>
      </w:pPr>
      <w:r w:rsidRPr="00B03227">
        <w:t>Sinclair A, T</w:t>
      </w:r>
      <w:r w:rsidR="001156BE">
        <w:t>ayler K, van Dam R &amp;</w:t>
      </w:r>
      <w:r w:rsidR="007908F5">
        <w:t xml:space="preserve"> Hogan </w:t>
      </w:r>
      <w:proofErr w:type="gramStart"/>
      <w:r w:rsidR="007908F5">
        <w:t>A</w:t>
      </w:r>
      <w:proofErr w:type="gramEnd"/>
      <w:r w:rsidRPr="00B03227">
        <w:t xml:space="preserve"> 2014. Site-specific water quality guidelines: 2. Development of a water quality regulation framework for pulse exposures of mine water discharges at </w:t>
      </w:r>
      <w:proofErr w:type="gramStart"/>
      <w:r w:rsidRPr="00B03227">
        <w:t>a uranium</w:t>
      </w:r>
      <w:proofErr w:type="gramEnd"/>
      <w:r w:rsidRPr="00B03227">
        <w:t xml:space="preserve"> mine in northern Australia. </w:t>
      </w:r>
      <w:r w:rsidRPr="001156BE">
        <w:rPr>
          <w:i/>
        </w:rPr>
        <w:t>Environmental Science and Pollution Rese</w:t>
      </w:r>
      <w:r w:rsidR="001156BE" w:rsidRPr="001156BE">
        <w:rPr>
          <w:i/>
        </w:rPr>
        <w:t>arch</w:t>
      </w:r>
      <w:r w:rsidR="001156BE">
        <w:t xml:space="preserve"> 21, 31–</w:t>
      </w:r>
      <w:r w:rsidRPr="00B03227">
        <w:t>140.</w:t>
      </w:r>
    </w:p>
    <w:p w:rsidR="00B6698B" w:rsidRPr="00B000A8" w:rsidRDefault="00B6698B" w:rsidP="00C03DA2">
      <w:pPr>
        <w:pStyle w:val="Heading1"/>
      </w:pPr>
      <w:bookmarkStart w:id="168" w:name="_Toc418172703"/>
      <w:bookmarkStart w:id="169" w:name="_Toc370812577"/>
      <w:bookmarkStart w:id="170" w:name="_Toc372540194"/>
      <w:bookmarkStart w:id="171" w:name="_Toc401910174"/>
      <w:bookmarkStart w:id="172" w:name="_Toc409772792"/>
      <w:r w:rsidRPr="00551302">
        <w:rPr>
          <w:u w:color="000000"/>
        </w:rPr>
        <w:t xml:space="preserve">In situ toxicity monitoring </w:t>
      </w:r>
      <w:r>
        <w:rPr>
          <w:u w:color="000000"/>
        </w:rPr>
        <w:t xml:space="preserve">in Magela and Gulungul Creeks </w:t>
      </w:r>
      <w:r w:rsidRPr="00551302">
        <w:rPr>
          <w:u w:color="000000"/>
        </w:rPr>
        <w:t xml:space="preserve">(routine </w:t>
      </w:r>
      <w:r w:rsidRPr="00551302">
        <w:t>monitoring</w:t>
      </w:r>
      <w:r w:rsidRPr="00551302">
        <w:rPr>
          <w:u w:color="000000"/>
        </w:rPr>
        <w:t>)</w:t>
      </w:r>
      <w:bookmarkEnd w:id="168"/>
    </w:p>
    <w:p w:rsidR="00B6698B" w:rsidRPr="00F17E68" w:rsidRDefault="00B6698B" w:rsidP="00B6698B">
      <w:pPr>
        <w:pStyle w:val="Heading3"/>
        <w:spacing w:after="480"/>
        <w:jc w:val="center"/>
      </w:pPr>
      <w:r>
        <w:t>CL Humphrey, M Ellis &amp; J Hanley</w:t>
      </w:r>
    </w:p>
    <w:p w:rsidR="00B6698B" w:rsidRDefault="00B6698B" w:rsidP="00B000A8">
      <w:pPr>
        <w:pStyle w:val="Heading2"/>
      </w:pPr>
      <w:r>
        <w:t>Background</w:t>
      </w:r>
    </w:p>
    <w:p w:rsidR="00B6698B" w:rsidRPr="00F3512C" w:rsidRDefault="00B6698B" w:rsidP="00B6698B">
      <w:r w:rsidRPr="00F3512C">
        <w:t xml:space="preserve">In this form of monitoring, effects on receiving waters of water dispersed from the Ranger minesite are evaluated using responses of aquatic animals exposed in situ to creek water. The response measured is reproduction (egg production) in the freshwater snail, </w:t>
      </w:r>
      <w:r w:rsidRPr="00F3512C">
        <w:rPr>
          <w:i/>
        </w:rPr>
        <w:t>Amerianna cumingi</w:t>
      </w:r>
      <w:r w:rsidRPr="00F3512C">
        <w:t xml:space="preserve">. Each test runs over a four-day (96-hr) exposure period. In such sub-chronic, continuous exposure situations, this species has been shown to be among the most sensitive, to both uranium and magnesium, of SSD’s suite of six local species, as determined using standardised laboratory toxicity test protocols. </w:t>
      </w:r>
    </w:p>
    <w:p w:rsidR="00B6698B" w:rsidRDefault="00B6698B" w:rsidP="00B6698B">
      <w:r w:rsidRPr="00F3512C">
        <w:t>For the 1990–91 to 2007–08 wet seasons, toxicity monitoring was carried out using the ‘creekside’ methodology (Figure 1A). This involved pumping a continuous flow of water from the adjacent Magela Creek through tanks containing test animals located under a shelter on the creek bank. In the 2006–07 wet season, an in situ testing method commenced, in which test animals are placed in floating (flow-through) containers located in the creek itself (see section 3.2 of the 2007–08 Supervising Scientist Annual Report for details). Thus, for the 2006–07 and 2007–08 wet seasons, creekside and in situ testing were conducted in parallel, to evaluate the effectiveness of the in situ method. For current data analyses, creekside data up to and including the 2005–06 wet season and in situ data from the 2006–07 wet season onward (Figure 1) are combined. The most recent refinement to this programme has been the extension of toxicity monitoring to Gulungul Creek, with testing commencing in the 2009–10 wet season (Figure 1B).</w:t>
      </w:r>
    </w:p>
    <w:p w:rsidR="00C75978" w:rsidRDefault="00B6698B" w:rsidP="00C75978">
      <w:pPr>
        <w:pStyle w:val="Heading2"/>
      </w:pPr>
      <w:r w:rsidRPr="00F3512C">
        <w:t>Analysis of results</w:t>
      </w:r>
    </w:p>
    <w:p w:rsidR="00B6698B" w:rsidRPr="00F3512C" w:rsidRDefault="00B6698B" w:rsidP="00B6698B">
      <w:r w:rsidRPr="00F3512C">
        <w:t>The first of 12 tests in Magela Creek commenced on the 5</w:t>
      </w:r>
      <w:r>
        <w:rPr>
          <w:vertAlign w:val="superscript"/>
        </w:rPr>
        <w:t>th</w:t>
      </w:r>
      <w:r w:rsidRPr="00551302">
        <w:rPr>
          <w:vertAlign w:val="superscript"/>
        </w:rPr>
        <w:t xml:space="preserve"> </w:t>
      </w:r>
      <w:r w:rsidRPr="00F3512C">
        <w:t xml:space="preserve">December 2013, seven days after the establishment of continuous flow in both creeks. The leach tank failure that occurred on 7 December 2013 (see references to the incident in earlier sections of this report) thus coincided with the first test in Magela Creek. Following the incident, three more weekly tests in Magela Creek followed before the commencement of the first of nine Gulungul tests (from 9 January 2014). Thereafter, the Gulungul tests alternated weekly with Magela tests. A combined total of 21 tests were completed over 22 wet season weeks, the highest number of tests yet for a wet season, with the final test completed in Magela Creek on the 28 April 2014. Upstream and downstream egg production and difference values for both creeks are displayed in Figure 1B. </w:t>
      </w:r>
    </w:p>
    <w:p w:rsidR="00B6698B" w:rsidRPr="00F3512C" w:rsidRDefault="00B6698B" w:rsidP="00B6698B">
      <w:r w:rsidRPr="00F3512C">
        <w:t xml:space="preserve">In the previous (2012–13) wet season, a marked increase in overall egg production was observed compared to the previous five wet seasons. This above-average increase in egg production continued in both creeks in the 2013–14 wet </w:t>
      </w:r>
      <w:proofErr w:type="gramStart"/>
      <w:r w:rsidRPr="00F3512C">
        <w:t>season</w:t>
      </w:r>
      <w:proofErr w:type="gramEnd"/>
      <w:r w:rsidRPr="00F3512C">
        <w:t xml:space="preserve"> (Figure 1B). As reported </w:t>
      </w:r>
      <w:r>
        <w:t xml:space="preserve">previously and elsewhere </w:t>
      </w:r>
      <w:proofErr w:type="gramStart"/>
      <w:r>
        <w:t>(</w:t>
      </w:r>
      <w:r w:rsidRPr="00F3512C">
        <w:t xml:space="preserve"> </w:t>
      </w:r>
      <w:r>
        <w:t>Humphrey</w:t>
      </w:r>
      <w:proofErr w:type="gramEnd"/>
      <w:r>
        <w:t xml:space="preserve"> et al</w:t>
      </w:r>
      <w:r w:rsidR="00B92A7E">
        <w:t>.</w:t>
      </w:r>
      <w:r>
        <w:t xml:space="preserve"> 2014), Humphrey &amp; Ellis 2014, 2015)</w:t>
      </w:r>
      <w:r w:rsidRPr="00F3512C">
        <w:t>, a significant factor contributing to this appears to be a more effective culturing regime for the snails at the laboratory aquaculture facility.</w:t>
      </w:r>
    </w:p>
    <w:p w:rsidR="00B6698B" w:rsidRPr="00F3512C" w:rsidRDefault="00B6698B" w:rsidP="00B6698B">
      <w:pPr>
        <w:jc w:val="center"/>
      </w:pPr>
      <w:r w:rsidRPr="00F3512C">
        <w:rPr>
          <w:noProof/>
          <w:lang w:eastAsia="en-AU"/>
        </w:rPr>
        <w:drawing>
          <wp:inline distT="0" distB="0" distL="0" distR="0">
            <wp:extent cx="4455968" cy="6268248"/>
            <wp:effectExtent l="19050" t="0" r="1732" b="0"/>
            <wp:docPr id="14" name="Picture 1" descr="Tox Mon - SSAR 201314 - Figure - 201414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x Mon - SSAR 201314 - Figure - 20141407.JPG"/>
                    <pic:cNvPicPr/>
                  </pic:nvPicPr>
                  <pic:blipFill>
                    <a:blip r:embed="rId128" cstate="screen"/>
                    <a:srcRect/>
                    <a:stretch>
                      <a:fillRect/>
                    </a:stretch>
                  </pic:blipFill>
                  <pic:spPr>
                    <a:xfrm>
                      <a:off x="0" y="0"/>
                      <a:ext cx="4457003" cy="6269704"/>
                    </a:xfrm>
                    <a:prstGeom prst="rect">
                      <a:avLst/>
                    </a:prstGeom>
                  </pic:spPr>
                </pic:pic>
              </a:graphicData>
            </a:graphic>
          </wp:inline>
        </w:drawing>
      </w:r>
    </w:p>
    <w:p w:rsidR="00C75978" w:rsidRDefault="00B6698B" w:rsidP="00C75978">
      <w:pPr>
        <w:pStyle w:val="figurecaption"/>
      </w:pPr>
      <w:r w:rsidRPr="00C75978">
        <w:rPr>
          <w:b/>
        </w:rPr>
        <w:t>Figure 1</w:t>
      </w:r>
      <w:r w:rsidRPr="00F3512C">
        <w:t xml:space="preserve">  Time-series of snail egg production data from toxicity monitoring tests conducted in Magela Creek using A: creekside tests, and B: </w:t>
      </w:r>
      <w:r w:rsidRPr="0001672F">
        <w:rPr>
          <w:i/>
        </w:rPr>
        <w:t>in situ</w:t>
      </w:r>
      <w:r w:rsidRPr="00F3512C">
        <w:t xml:space="preserve"> tests with Gulungul tests commencing in 2009–10.</w:t>
      </w:r>
    </w:p>
    <w:p w:rsidR="00B6698B" w:rsidRPr="00F3512C" w:rsidRDefault="00B6698B" w:rsidP="00B6698B">
      <w:r w:rsidRPr="00F3512C">
        <w:t>After each wet season, toxicity monitoring results for the tests are analysed, with differences in egg numbers (the ‘response’ variable) between the upstream (control) and downstream (exposed) sites tested for statistical change between the wet season just completed and previous wet seasons. This Before-After Control-Impact Paired (BACIP) design, with analysis of variance (ANOVA) testing, is described further in the Supervising Scientist’s Annual Report for 2007–2008 (section 2.2.3).</w:t>
      </w:r>
    </w:p>
    <w:p w:rsidR="00B6698B" w:rsidRPr="00BD3EDF" w:rsidRDefault="00B6698B" w:rsidP="00B000A8">
      <w:pPr>
        <w:pStyle w:val="Heading3"/>
      </w:pPr>
      <w:r w:rsidRPr="00BD3EDF">
        <w:t>Magela Creek</w:t>
      </w:r>
    </w:p>
    <w:p w:rsidR="00B6698B" w:rsidRPr="00F3512C" w:rsidRDefault="00B6698B" w:rsidP="00B6698B">
      <w:r w:rsidRPr="00F3512C">
        <w:t xml:space="preserve">The historical trend of greater downstream egg production was evident for the 2013–14 wet season, with a mean difference value of -5.21 (mean difference value across all wet seasons of -7.17). ANOVA results for the 2013–14 wet </w:t>
      </w:r>
      <w:proofErr w:type="gramStart"/>
      <w:r w:rsidRPr="00F3512C">
        <w:t>season</w:t>
      </w:r>
      <w:proofErr w:type="gramEnd"/>
      <w:r w:rsidRPr="00F3512C">
        <w:t xml:space="preserve">, together with results from the past several wet seasons, are displayed in Table 1. No significant difference was observed between the difference values derived from the 2013–14 wet season and those from previous wet seasons (p = 0.865). The (near-)significant differences observed in previous years, associated with particularly high egg production at the downstream site relative to the upstream site in the 2009–10 wet season, and lower egg production at the downstream site relative to the upstream site in the 2012–13 wet season (Table 1), are discussed in the respective Supervising Scientist annual reports. </w:t>
      </w:r>
    </w:p>
    <w:p w:rsidR="00B6698B" w:rsidRPr="00F3512C" w:rsidRDefault="00B6698B" w:rsidP="00B6698B">
      <w:pPr>
        <w:pStyle w:val="tablecaption"/>
      </w:pPr>
      <w:r w:rsidRPr="00F3512C">
        <w:rPr>
          <w:b/>
        </w:rPr>
        <w:t>Table 1</w:t>
      </w:r>
      <w:r w:rsidRPr="00F3512C">
        <w:t xml:space="preserve"> Results of ANOVA testing comparing Magela upstream-downstream difference values for mean snail egg number for different ‘Before ver</w:t>
      </w:r>
      <w:r>
        <w:t>sus After’ wet season scenarios.</w:t>
      </w:r>
    </w:p>
    <w:tbl>
      <w:tblPr>
        <w:tblW w:w="5000" w:type="pct"/>
        <w:tblLook w:val="04A0"/>
      </w:tblPr>
      <w:tblGrid>
        <w:gridCol w:w="3085"/>
        <w:gridCol w:w="1560"/>
        <w:gridCol w:w="2028"/>
        <w:gridCol w:w="1849"/>
      </w:tblGrid>
      <w:tr w:rsidR="00B6698B" w:rsidRPr="00F3512C" w:rsidTr="00E154E1">
        <w:tc>
          <w:tcPr>
            <w:tcW w:w="1810" w:type="pct"/>
            <w:tcBorders>
              <w:top w:val="single" w:sz="4" w:space="0" w:color="auto"/>
              <w:left w:val="nil"/>
              <w:bottom w:val="single" w:sz="4" w:space="0" w:color="auto"/>
              <w:right w:val="nil"/>
            </w:tcBorders>
          </w:tcPr>
          <w:p w:rsidR="00B6698B" w:rsidRPr="00681E7C" w:rsidRDefault="00B6698B" w:rsidP="00E154E1">
            <w:pPr>
              <w:pStyle w:val="table1"/>
              <w:rPr>
                <w:rFonts w:eastAsia="Arial Unicode MS"/>
                <w:b/>
                <w:color w:val="000000"/>
                <w:u w:color="000000"/>
              </w:rPr>
            </w:pPr>
            <w:r w:rsidRPr="00681E7C">
              <w:rPr>
                <w:rFonts w:eastAsia="Arial Unicode MS"/>
                <w:b/>
                <w:color w:val="000000"/>
                <w:u w:color="000000"/>
              </w:rPr>
              <w:t>Before</w:t>
            </w:r>
          </w:p>
        </w:tc>
        <w:tc>
          <w:tcPr>
            <w:tcW w:w="915" w:type="pct"/>
            <w:tcBorders>
              <w:top w:val="single" w:sz="4" w:space="0" w:color="auto"/>
              <w:left w:val="nil"/>
              <w:bottom w:val="single" w:sz="4" w:space="0" w:color="auto"/>
              <w:right w:val="nil"/>
            </w:tcBorders>
          </w:tcPr>
          <w:p w:rsidR="00B6698B" w:rsidRPr="00681E7C" w:rsidRDefault="00B6698B" w:rsidP="00E154E1">
            <w:pPr>
              <w:pStyle w:val="table1"/>
              <w:rPr>
                <w:rFonts w:eastAsia="Arial Unicode MS"/>
                <w:b/>
                <w:color w:val="000000"/>
                <w:u w:color="000000"/>
              </w:rPr>
            </w:pPr>
            <w:r w:rsidRPr="00681E7C">
              <w:rPr>
                <w:rFonts w:eastAsia="Arial Unicode MS"/>
                <w:b/>
                <w:color w:val="000000"/>
                <w:u w:color="000000"/>
              </w:rPr>
              <w:t>After</w:t>
            </w:r>
          </w:p>
        </w:tc>
        <w:tc>
          <w:tcPr>
            <w:tcW w:w="1190" w:type="pct"/>
            <w:tcBorders>
              <w:top w:val="single" w:sz="4" w:space="0" w:color="auto"/>
              <w:left w:val="nil"/>
              <w:bottom w:val="single" w:sz="4" w:space="0" w:color="auto"/>
              <w:right w:val="nil"/>
            </w:tcBorders>
          </w:tcPr>
          <w:p w:rsidR="00B6698B" w:rsidRPr="00681E7C" w:rsidRDefault="00B6698B" w:rsidP="00E154E1">
            <w:pPr>
              <w:pStyle w:val="table1"/>
              <w:rPr>
                <w:rFonts w:eastAsia="Arial Unicode MS"/>
                <w:b/>
                <w:color w:val="000000"/>
                <w:u w:color="000000"/>
              </w:rPr>
            </w:pPr>
            <w:r w:rsidRPr="00681E7C">
              <w:rPr>
                <w:rFonts w:eastAsia="Arial Unicode MS"/>
                <w:b/>
                <w:color w:val="000000"/>
                <w:u w:color="000000"/>
              </w:rPr>
              <w:t>Probability value (P)</w:t>
            </w:r>
          </w:p>
        </w:tc>
        <w:tc>
          <w:tcPr>
            <w:tcW w:w="1085" w:type="pct"/>
            <w:tcBorders>
              <w:top w:val="single" w:sz="4" w:space="0" w:color="auto"/>
              <w:left w:val="nil"/>
              <w:bottom w:val="single" w:sz="4" w:space="0" w:color="auto"/>
              <w:right w:val="nil"/>
            </w:tcBorders>
          </w:tcPr>
          <w:p w:rsidR="00B6698B" w:rsidRPr="00681E7C" w:rsidRDefault="00B6698B" w:rsidP="00E154E1">
            <w:pPr>
              <w:pStyle w:val="table1"/>
              <w:rPr>
                <w:rFonts w:eastAsia="Arial Unicode MS"/>
                <w:b/>
                <w:color w:val="000000"/>
                <w:u w:color="000000"/>
              </w:rPr>
            </w:pPr>
            <w:r w:rsidRPr="00681E7C">
              <w:rPr>
                <w:rFonts w:eastAsia="Arial Unicode MS"/>
                <w:b/>
                <w:color w:val="000000"/>
                <w:u w:color="000000"/>
              </w:rPr>
              <w:t>Significance</w:t>
            </w:r>
          </w:p>
        </w:tc>
      </w:tr>
      <w:tr w:rsidR="00B6698B" w:rsidRPr="00F3512C" w:rsidTr="00E154E1">
        <w:tc>
          <w:tcPr>
            <w:tcW w:w="1810" w:type="pct"/>
            <w:tcBorders>
              <w:top w:val="single" w:sz="4" w:space="0" w:color="auto"/>
              <w:left w:val="nil"/>
              <w:bottom w:val="nil"/>
              <w:right w:val="nil"/>
            </w:tcBorders>
          </w:tcPr>
          <w:p w:rsidR="00B6698B" w:rsidRPr="00681E7C" w:rsidRDefault="00B6698B" w:rsidP="00E154E1">
            <w:pPr>
              <w:pStyle w:val="table1"/>
              <w:rPr>
                <w:rFonts w:eastAsia="Arial Unicode MS"/>
                <w:color w:val="000000"/>
                <w:u w:color="000000"/>
              </w:rPr>
            </w:pPr>
            <w:r w:rsidRPr="00681E7C">
              <w:rPr>
                <w:rFonts w:eastAsia="Arial Unicode MS"/>
                <w:color w:val="000000"/>
                <w:u w:color="000000"/>
              </w:rPr>
              <w:t>All previous seasons</w:t>
            </w:r>
          </w:p>
        </w:tc>
        <w:tc>
          <w:tcPr>
            <w:tcW w:w="915" w:type="pct"/>
            <w:tcBorders>
              <w:top w:val="single" w:sz="4" w:space="0" w:color="auto"/>
              <w:left w:val="nil"/>
              <w:bottom w:val="nil"/>
              <w:right w:val="nil"/>
            </w:tcBorders>
          </w:tcPr>
          <w:p w:rsidR="00B6698B" w:rsidRPr="00681E7C" w:rsidRDefault="00B6698B" w:rsidP="00E154E1">
            <w:pPr>
              <w:pStyle w:val="table1"/>
              <w:rPr>
                <w:rFonts w:eastAsia="Arial Unicode MS"/>
                <w:color w:val="000000"/>
                <w:u w:color="000000"/>
              </w:rPr>
            </w:pPr>
            <w:r w:rsidRPr="00681E7C">
              <w:rPr>
                <w:rFonts w:eastAsia="Arial Unicode MS"/>
                <w:color w:val="000000"/>
                <w:u w:color="000000"/>
              </w:rPr>
              <w:t>2009–10</w:t>
            </w:r>
          </w:p>
        </w:tc>
        <w:tc>
          <w:tcPr>
            <w:tcW w:w="1190" w:type="pct"/>
            <w:tcBorders>
              <w:top w:val="single" w:sz="4" w:space="0" w:color="auto"/>
              <w:left w:val="nil"/>
              <w:bottom w:val="nil"/>
              <w:right w:val="nil"/>
            </w:tcBorders>
          </w:tcPr>
          <w:p w:rsidR="00B6698B" w:rsidRPr="00681E7C" w:rsidRDefault="00B6698B" w:rsidP="00E154E1">
            <w:pPr>
              <w:pStyle w:val="table1"/>
              <w:rPr>
                <w:rFonts w:eastAsia="Arial Unicode MS"/>
                <w:color w:val="000000"/>
                <w:u w:color="000000"/>
              </w:rPr>
            </w:pPr>
            <w:r w:rsidRPr="00681E7C">
              <w:rPr>
                <w:rFonts w:eastAsia="Arial Unicode MS"/>
                <w:color w:val="000000"/>
                <w:u w:color="000000"/>
                <w:lang w:eastAsia="en-AU"/>
              </w:rPr>
              <w:t>0.043</w:t>
            </w:r>
          </w:p>
        </w:tc>
        <w:tc>
          <w:tcPr>
            <w:tcW w:w="1085" w:type="pct"/>
            <w:tcBorders>
              <w:top w:val="single" w:sz="4" w:space="0" w:color="auto"/>
              <w:left w:val="nil"/>
              <w:bottom w:val="nil"/>
              <w:right w:val="nil"/>
            </w:tcBorders>
          </w:tcPr>
          <w:p w:rsidR="00B6698B" w:rsidRPr="00681E7C" w:rsidRDefault="00B6698B" w:rsidP="00E154E1">
            <w:pPr>
              <w:pStyle w:val="table1"/>
              <w:rPr>
                <w:rFonts w:eastAsia="Arial Unicode MS"/>
                <w:color w:val="000000"/>
                <w:u w:color="000000"/>
              </w:rPr>
            </w:pPr>
            <w:r w:rsidRPr="00681E7C">
              <w:rPr>
                <w:rFonts w:eastAsia="Arial Unicode MS"/>
                <w:color w:val="000000"/>
                <w:u w:color="000000"/>
              </w:rPr>
              <w:t>at 5% level</w:t>
            </w:r>
          </w:p>
        </w:tc>
      </w:tr>
      <w:tr w:rsidR="00B6698B" w:rsidRPr="00F3512C" w:rsidTr="00E154E1">
        <w:tc>
          <w:tcPr>
            <w:tcW w:w="1810" w:type="pct"/>
            <w:tcBorders>
              <w:top w:val="nil"/>
              <w:left w:val="nil"/>
              <w:bottom w:val="nil"/>
              <w:right w:val="nil"/>
            </w:tcBorders>
          </w:tcPr>
          <w:p w:rsidR="00B6698B" w:rsidRPr="00681E7C" w:rsidRDefault="00B6698B" w:rsidP="00E154E1">
            <w:pPr>
              <w:pStyle w:val="table1"/>
              <w:rPr>
                <w:rFonts w:eastAsia="Arial Unicode MS"/>
                <w:color w:val="000000"/>
                <w:u w:color="000000"/>
              </w:rPr>
            </w:pPr>
            <w:r w:rsidRPr="00681E7C">
              <w:rPr>
                <w:rFonts w:eastAsia="Arial Unicode MS"/>
                <w:color w:val="000000"/>
                <w:u w:color="000000"/>
              </w:rPr>
              <w:t>All previous seasons</w:t>
            </w:r>
          </w:p>
        </w:tc>
        <w:tc>
          <w:tcPr>
            <w:tcW w:w="915" w:type="pct"/>
            <w:tcBorders>
              <w:top w:val="nil"/>
              <w:left w:val="nil"/>
              <w:bottom w:val="nil"/>
              <w:right w:val="nil"/>
            </w:tcBorders>
          </w:tcPr>
          <w:p w:rsidR="00B6698B" w:rsidRPr="00681E7C" w:rsidRDefault="00B6698B" w:rsidP="00E154E1">
            <w:pPr>
              <w:pStyle w:val="table1"/>
              <w:rPr>
                <w:rFonts w:eastAsia="Arial Unicode MS"/>
                <w:color w:val="000000"/>
                <w:u w:color="000000"/>
              </w:rPr>
            </w:pPr>
            <w:r w:rsidRPr="00681E7C">
              <w:rPr>
                <w:rFonts w:eastAsia="Arial Unicode MS"/>
                <w:color w:val="000000"/>
                <w:u w:color="000000"/>
              </w:rPr>
              <w:t>2010–11</w:t>
            </w:r>
          </w:p>
        </w:tc>
        <w:tc>
          <w:tcPr>
            <w:tcW w:w="1190" w:type="pct"/>
            <w:tcBorders>
              <w:top w:val="nil"/>
              <w:left w:val="nil"/>
              <w:bottom w:val="nil"/>
              <w:right w:val="nil"/>
            </w:tcBorders>
          </w:tcPr>
          <w:p w:rsidR="00B6698B" w:rsidRPr="00681E7C" w:rsidRDefault="00B6698B" w:rsidP="00E154E1">
            <w:pPr>
              <w:pStyle w:val="table1"/>
              <w:rPr>
                <w:rFonts w:eastAsia="Arial Unicode MS"/>
                <w:color w:val="000000"/>
                <w:u w:color="000000"/>
              </w:rPr>
            </w:pPr>
            <w:r w:rsidRPr="00681E7C">
              <w:rPr>
                <w:rFonts w:eastAsia="Arial Unicode MS"/>
                <w:color w:val="000000"/>
                <w:u w:color="000000"/>
                <w:lang w:eastAsia="en-AU"/>
              </w:rPr>
              <w:t>0.436</w:t>
            </w:r>
          </w:p>
        </w:tc>
        <w:tc>
          <w:tcPr>
            <w:tcW w:w="1085" w:type="pct"/>
            <w:tcBorders>
              <w:top w:val="nil"/>
              <w:left w:val="nil"/>
              <w:bottom w:val="nil"/>
              <w:right w:val="nil"/>
            </w:tcBorders>
          </w:tcPr>
          <w:p w:rsidR="00B6698B" w:rsidRPr="00681E7C" w:rsidRDefault="00B6698B" w:rsidP="00E154E1">
            <w:pPr>
              <w:pStyle w:val="table1"/>
              <w:rPr>
                <w:rFonts w:eastAsia="Arial Unicode MS"/>
                <w:color w:val="000000"/>
                <w:u w:color="000000"/>
              </w:rPr>
            </w:pPr>
            <w:r w:rsidRPr="00681E7C">
              <w:rPr>
                <w:rFonts w:eastAsia="Arial Unicode MS"/>
                <w:color w:val="000000"/>
                <w:u w:color="000000"/>
              </w:rPr>
              <w:t>NS</w:t>
            </w:r>
          </w:p>
        </w:tc>
      </w:tr>
      <w:tr w:rsidR="00B6698B" w:rsidRPr="00F3512C" w:rsidTr="00E154E1">
        <w:tc>
          <w:tcPr>
            <w:tcW w:w="1810" w:type="pct"/>
            <w:tcBorders>
              <w:top w:val="nil"/>
              <w:left w:val="nil"/>
              <w:bottom w:val="nil"/>
              <w:right w:val="nil"/>
            </w:tcBorders>
          </w:tcPr>
          <w:p w:rsidR="00B6698B" w:rsidRPr="00681E7C" w:rsidRDefault="00B6698B" w:rsidP="00E154E1">
            <w:pPr>
              <w:pStyle w:val="table1"/>
              <w:rPr>
                <w:rFonts w:eastAsia="Arial Unicode MS"/>
                <w:color w:val="000000"/>
                <w:u w:color="000000"/>
              </w:rPr>
            </w:pPr>
            <w:r w:rsidRPr="00681E7C">
              <w:rPr>
                <w:rFonts w:eastAsia="Arial Unicode MS"/>
                <w:color w:val="000000"/>
                <w:u w:color="000000"/>
              </w:rPr>
              <w:t>All previous seasons</w:t>
            </w:r>
          </w:p>
        </w:tc>
        <w:tc>
          <w:tcPr>
            <w:tcW w:w="915" w:type="pct"/>
            <w:tcBorders>
              <w:top w:val="nil"/>
              <w:left w:val="nil"/>
              <w:bottom w:val="nil"/>
              <w:right w:val="nil"/>
            </w:tcBorders>
          </w:tcPr>
          <w:p w:rsidR="00B6698B" w:rsidRPr="00681E7C" w:rsidRDefault="00B6698B" w:rsidP="00E154E1">
            <w:pPr>
              <w:pStyle w:val="table1"/>
              <w:rPr>
                <w:rFonts w:eastAsia="Arial Unicode MS"/>
                <w:color w:val="000000"/>
                <w:u w:color="000000"/>
              </w:rPr>
            </w:pPr>
            <w:r w:rsidRPr="00681E7C">
              <w:rPr>
                <w:rFonts w:eastAsia="Arial Unicode MS"/>
                <w:color w:val="000000"/>
                <w:u w:color="000000"/>
              </w:rPr>
              <w:t>2011–12</w:t>
            </w:r>
          </w:p>
        </w:tc>
        <w:tc>
          <w:tcPr>
            <w:tcW w:w="1190" w:type="pct"/>
            <w:tcBorders>
              <w:top w:val="nil"/>
              <w:left w:val="nil"/>
              <w:bottom w:val="nil"/>
              <w:right w:val="nil"/>
            </w:tcBorders>
          </w:tcPr>
          <w:p w:rsidR="00B6698B" w:rsidRPr="00681E7C" w:rsidRDefault="00B6698B" w:rsidP="00E154E1">
            <w:pPr>
              <w:pStyle w:val="table1"/>
              <w:rPr>
                <w:rFonts w:eastAsia="Arial Unicode MS"/>
                <w:color w:val="000000"/>
                <w:u w:color="000000"/>
                <w:lang w:eastAsia="en-AU"/>
              </w:rPr>
            </w:pPr>
            <w:r w:rsidRPr="00681E7C">
              <w:rPr>
                <w:rFonts w:eastAsia="Arial Unicode MS"/>
                <w:color w:val="000000"/>
                <w:u w:color="000000"/>
                <w:lang w:eastAsia="en-AU"/>
              </w:rPr>
              <w:t>0.916</w:t>
            </w:r>
          </w:p>
        </w:tc>
        <w:tc>
          <w:tcPr>
            <w:tcW w:w="1085" w:type="pct"/>
            <w:tcBorders>
              <w:top w:val="nil"/>
              <w:left w:val="nil"/>
              <w:bottom w:val="nil"/>
              <w:right w:val="nil"/>
            </w:tcBorders>
          </w:tcPr>
          <w:p w:rsidR="00B6698B" w:rsidRPr="00681E7C" w:rsidRDefault="00B6698B" w:rsidP="00E154E1">
            <w:pPr>
              <w:pStyle w:val="table1"/>
              <w:rPr>
                <w:rFonts w:eastAsia="Arial Unicode MS"/>
                <w:color w:val="000000"/>
                <w:u w:color="000000"/>
              </w:rPr>
            </w:pPr>
            <w:r w:rsidRPr="00681E7C">
              <w:rPr>
                <w:rFonts w:eastAsia="Arial Unicode MS"/>
                <w:color w:val="000000"/>
                <w:u w:color="000000"/>
              </w:rPr>
              <w:t>NS</w:t>
            </w:r>
          </w:p>
        </w:tc>
      </w:tr>
      <w:tr w:rsidR="00B6698B" w:rsidRPr="00F3512C" w:rsidTr="00E154E1">
        <w:tc>
          <w:tcPr>
            <w:tcW w:w="1810" w:type="pct"/>
            <w:tcBorders>
              <w:top w:val="nil"/>
              <w:left w:val="nil"/>
              <w:bottom w:val="nil"/>
              <w:right w:val="nil"/>
            </w:tcBorders>
          </w:tcPr>
          <w:p w:rsidR="00B6698B" w:rsidRPr="00681E7C" w:rsidRDefault="00B6698B" w:rsidP="00E154E1">
            <w:pPr>
              <w:pStyle w:val="table1"/>
              <w:rPr>
                <w:rFonts w:eastAsia="Arial Unicode MS"/>
                <w:color w:val="000000"/>
                <w:u w:color="000000"/>
              </w:rPr>
            </w:pPr>
            <w:r w:rsidRPr="00681E7C">
              <w:rPr>
                <w:rFonts w:eastAsia="Arial Unicode MS"/>
                <w:color w:val="000000"/>
                <w:u w:color="000000"/>
              </w:rPr>
              <w:t>All previous seasons</w:t>
            </w:r>
          </w:p>
        </w:tc>
        <w:tc>
          <w:tcPr>
            <w:tcW w:w="915" w:type="pct"/>
            <w:tcBorders>
              <w:top w:val="nil"/>
              <w:left w:val="nil"/>
              <w:bottom w:val="nil"/>
              <w:right w:val="nil"/>
            </w:tcBorders>
          </w:tcPr>
          <w:p w:rsidR="00B6698B" w:rsidRPr="00681E7C" w:rsidRDefault="00B6698B" w:rsidP="00E154E1">
            <w:pPr>
              <w:pStyle w:val="table1"/>
              <w:rPr>
                <w:rFonts w:eastAsia="Arial Unicode MS"/>
                <w:color w:val="000000"/>
                <w:u w:color="000000"/>
              </w:rPr>
            </w:pPr>
            <w:r w:rsidRPr="00681E7C">
              <w:rPr>
                <w:rFonts w:eastAsia="Arial Unicode MS"/>
                <w:color w:val="000000"/>
                <w:u w:color="000000"/>
              </w:rPr>
              <w:t>2012–13</w:t>
            </w:r>
          </w:p>
        </w:tc>
        <w:tc>
          <w:tcPr>
            <w:tcW w:w="1190" w:type="pct"/>
            <w:tcBorders>
              <w:top w:val="nil"/>
              <w:left w:val="nil"/>
              <w:bottom w:val="nil"/>
              <w:right w:val="nil"/>
            </w:tcBorders>
          </w:tcPr>
          <w:p w:rsidR="00B6698B" w:rsidRPr="00681E7C" w:rsidRDefault="00B6698B" w:rsidP="00E154E1">
            <w:pPr>
              <w:pStyle w:val="table1"/>
              <w:rPr>
                <w:rFonts w:eastAsia="Arial Unicode MS"/>
                <w:color w:val="000000"/>
                <w:u w:color="000000"/>
                <w:lang w:eastAsia="en-AU"/>
              </w:rPr>
            </w:pPr>
            <w:r w:rsidRPr="00681E7C">
              <w:rPr>
                <w:rFonts w:eastAsia="Arial Unicode MS"/>
                <w:color w:val="000000"/>
                <w:u w:color="000000"/>
                <w:lang w:eastAsia="en-AU"/>
              </w:rPr>
              <w:t>0.076</w:t>
            </w:r>
          </w:p>
        </w:tc>
        <w:tc>
          <w:tcPr>
            <w:tcW w:w="1085" w:type="pct"/>
            <w:tcBorders>
              <w:top w:val="nil"/>
              <w:left w:val="nil"/>
              <w:bottom w:val="nil"/>
              <w:right w:val="nil"/>
            </w:tcBorders>
          </w:tcPr>
          <w:p w:rsidR="00B6698B" w:rsidRPr="00681E7C" w:rsidRDefault="00B6698B" w:rsidP="00E154E1">
            <w:pPr>
              <w:pStyle w:val="table1"/>
              <w:rPr>
                <w:rFonts w:eastAsia="Arial Unicode MS"/>
                <w:color w:val="000000"/>
                <w:u w:color="000000"/>
              </w:rPr>
            </w:pPr>
            <w:r w:rsidRPr="00681E7C">
              <w:rPr>
                <w:rFonts w:eastAsia="Arial Unicode MS"/>
                <w:color w:val="000000"/>
                <w:u w:color="000000"/>
              </w:rPr>
              <w:t>NS</w:t>
            </w:r>
          </w:p>
        </w:tc>
      </w:tr>
      <w:tr w:rsidR="00B6698B" w:rsidRPr="00F3512C" w:rsidTr="00E154E1">
        <w:tc>
          <w:tcPr>
            <w:tcW w:w="1810" w:type="pct"/>
            <w:tcBorders>
              <w:top w:val="nil"/>
              <w:left w:val="nil"/>
              <w:bottom w:val="single" w:sz="4" w:space="0" w:color="auto"/>
              <w:right w:val="nil"/>
            </w:tcBorders>
          </w:tcPr>
          <w:p w:rsidR="00B6698B" w:rsidRPr="00681E7C" w:rsidRDefault="00B6698B" w:rsidP="00E154E1">
            <w:pPr>
              <w:pStyle w:val="table1"/>
              <w:rPr>
                <w:rFonts w:eastAsia="Arial Unicode MS"/>
                <w:color w:val="000000"/>
                <w:u w:color="000000"/>
              </w:rPr>
            </w:pPr>
            <w:r w:rsidRPr="00681E7C">
              <w:rPr>
                <w:rFonts w:eastAsia="Arial Unicode MS"/>
                <w:color w:val="000000"/>
                <w:u w:color="000000"/>
              </w:rPr>
              <w:t>All previous seasons</w:t>
            </w:r>
          </w:p>
        </w:tc>
        <w:tc>
          <w:tcPr>
            <w:tcW w:w="915" w:type="pct"/>
            <w:tcBorders>
              <w:top w:val="nil"/>
              <w:left w:val="nil"/>
              <w:bottom w:val="single" w:sz="4" w:space="0" w:color="auto"/>
              <w:right w:val="nil"/>
            </w:tcBorders>
          </w:tcPr>
          <w:p w:rsidR="00B6698B" w:rsidRPr="00681E7C" w:rsidRDefault="00B6698B" w:rsidP="00E154E1">
            <w:pPr>
              <w:pStyle w:val="table1"/>
              <w:rPr>
                <w:rFonts w:eastAsia="Arial Unicode MS"/>
                <w:color w:val="000000"/>
                <w:u w:color="000000"/>
              </w:rPr>
            </w:pPr>
            <w:r w:rsidRPr="00681E7C">
              <w:rPr>
                <w:rFonts w:eastAsia="Arial Unicode MS"/>
                <w:color w:val="000000"/>
                <w:u w:color="000000"/>
              </w:rPr>
              <w:t>2013–14</w:t>
            </w:r>
          </w:p>
        </w:tc>
        <w:tc>
          <w:tcPr>
            <w:tcW w:w="1190" w:type="pct"/>
            <w:tcBorders>
              <w:top w:val="nil"/>
              <w:left w:val="nil"/>
              <w:bottom w:val="single" w:sz="4" w:space="0" w:color="auto"/>
              <w:right w:val="nil"/>
            </w:tcBorders>
            <w:shd w:val="clear" w:color="auto" w:fill="auto"/>
          </w:tcPr>
          <w:p w:rsidR="00B6698B" w:rsidRPr="00681E7C" w:rsidRDefault="00B6698B" w:rsidP="00E154E1">
            <w:pPr>
              <w:pStyle w:val="table1"/>
              <w:rPr>
                <w:rFonts w:eastAsia="Arial Unicode MS"/>
                <w:color w:val="000000"/>
                <w:u w:color="000000"/>
                <w:lang w:eastAsia="en-AU"/>
              </w:rPr>
            </w:pPr>
            <w:r w:rsidRPr="00681E7C">
              <w:rPr>
                <w:rFonts w:eastAsia="Arial Unicode MS"/>
                <w:color w:val="000000"/>
                <w:u w:color="000000"/>
                <w:lang w:eastAsia="en-AU"/>
              </w:rPr>
              <w:t>0.865</w:t>
            </w:r>
          </w:p>
        </w:tc>
        <w:tc>
          <w:tcPr>
            <w:tcW w:w="1085" w:type="pct"/>
            <w:tcBorders>
              <w:top w:val="nil"/>
              <w:left w:val="nil"/>
              <w:bottom w:val="single" w:sz="4" w:space="0" w:color="auto"/>
              <w:right w:val="nil"/>
            </w:tcBorders>
            <w:shd w:val="clear" w:color="auto" w:fill="auto"/>
          </w:tcPr>
          <w:p w:rsidR="00B6698B" w:rsidRPr="00681E7C" w:rsidRDefault="00B6698B" w:rsidP="00E154E1">
            <w:pPr>
              <w:pStyle w:val="table1"/>
              <w:rPr>
                <w:rFonts w:eastAsia="Arial Unicode MS"/>
                <w:color w:val="000000"/>
                <w:u w:color="000000"/>
              </w:rPr>
            </w:pPr>
            <w:r w:rsidRPr="00681E7C">
              <w:rPr>
                <w:rFonts w:eastAsia="Arial Unicode MS"/>
                <w:color w:val="000000"/>
                <w:u w:color="000000"/>
              </w:rPr>
              <w:t>NS</w:t>
            </w:r>
          </w:p>
        </w:tc>
      </w:tr>
    </w:tbl>
    <w:p w:rsidR="00B6698B" w:rsidRPr="00F3512C" w:rsidRDefault="00B6698B" w:rsidP="00B6698B">
      <w:pPr>
        <w:tabs>
          <w:tab w:val="left" w:pos="240"/>
        </w:tabs>
        <w:spacing w:before="60" w:after="180" w:line="180" w:lineRule="atLeast"/>
        <w:ind w:left="238" w:hanging="238"/>
        <w:rPr>
          <w:rFonts w:ascii="Arial" w:eastAsia="Arial Unicode MS" w:hAnsi="Arial"/>
          <w:sz w:val="14"/>
        </w:rPr>
      </w:pPr>
      <w:r w:rsidRPr="00F3512C">
        <w:rPr>
          <w:rFonts w:ascii="Arial" w:eastAsia="Arial Unicode MS" w:hAnsi="Arial"/>
          <w:sz w:val="14"/>
        </w:rPr>
        <w:t>NS = Not significant</w:t>
      </w:r>
    </w:p>
    <w:p w:rsidR="00B6698B" w:rsidRPr="00F3512C" w:rsidRDefault="00B6698B" w:rsidP="00B000A8">
      <w:pPr>
        <w:pStyle w:val="Heading3"/>
      </w:pPr>
      <w:r w:rsidRPr="00F3512C">
        <w:t>Gulungul Creek</w:t>
      </w:r>
    </w:p>
    <w:p w:rsidR="00B6698B" w:rsidRPr="00F3512C" w:rsidRDefault="00B6698B" w:rsidP="00B6698B">
      <w:r w:rsidRPr="00F3512C">
        <w:t xml:space="preserve">The mean difference value across all Gulungul Creek tests for 2013–14, of -22.5, continued the trend of greater egg production downstream reported in previous years. ANOVA testing found no significant difference between the 2013–14 difference values and those recorded in previous wet seasons (p = 0.898). </w:t>
      </w:r>
    </w:p>
    <w:p w:rsidR="00B6698B" w:rsidRPr="00F3512C" w:rsidRDefault="00B6698B" w:rsidP="00B6698B">
      <w:r w:rsidRPr="00F3512C">
        <w:t xml:space="preserve">Apart from the primary Before/After factor and associated hypothesis, the particular two-factor ANOVA model used for toxicity monitoring also allows variation amongst years (or wet seasons) and among tests within a wet season to be estimated separately. The second ‘Season’ factor can be used to determine whether, within the </w:t>
      </w:r>
      <w:proofErr w:type="gramStart"/>
      <w:r w:rsidRPr="00F3512C">
        <w:t>Before</w:t>
      </w:r>
      <w:proofErr w:type="gramEnd"/>
      <w:r w:rsidRPr="00F3512C">
        <w:t xml:space="preserve"> and After periods, any set of difference values for a wet season is significantly different. For Gulungul Creek, the Season factor has been significant since the 2011–12 wet season (inclusive), with a significant value of 0.003 for the 2013–14 wet season (cf Magela Creek where this factor has never been significant). A significant Season factor does not in itself imply potential mine-related impact; in this (Gulungul) case, it highlights the high inter-annual variation observed in seasonal difference values, as shown in Figure 1B and as reported</w:t>
      </w:r>
      <w:r>
        <w:t xml:space="preserve"> previously by Humphrey et al</w:t>
      </w:r>
      <w:r w:rsidR="007908F5">
        <w:t>.</w:t>
      </w:r>
      <w:r>
        <w:t xml:space="preserve"> (2014)</w:t>
      </w:r>
      <w:r w:rsidRPr="00F3512C">
        <w:t>.</w:t>
      </w:r>
    </w:p>
    <w:p w:rsidR="00B6698B" w:rsidRDefault="00B6698B" w:rsidP="00B000A8">
      <w:pPr>
        <w:pStyle w:val="Heading2"/>
      </w:pPr>
      <w:r w:rsidRPr="00F3512C">
        <w:t>Assessment and conclusions for both creek systems</w:t>
      </w:r>
    </w:p>
    <w:p w:rsidR="00B6698B" w:rsidRPr="00F3512C" w:rsidRDefault="00B6698B" w:rsidP="00B6698B">
      <w:r>
        <w:t>A</w:t>
      </w:r>
      <w:r w:rsidRPr="00F3512C">
        <w:t>s reported</w:t>
      </w:r>
      <w:r>
        <w:t xml:space="preserve"> previously by Humphrey &amp; Ellis (2014)</w:t>
      </w:r>
      <w:r w:rsidRPr="00F3512C">
        <w:t>, water temperature and EC influence snail egg laying response in Magela and Gulungul creeks. (Values of water temperature and EC representing each test are the median of 10 minute continuous readings taken across the four-day exposure period at each of the creek sites.) An interacting effect between water temperature and EC has been observed (section 4.4.2). As EC increases (generally across the range ~7-30 µS cm</w:t>
      </w:r>
      <w:r w:rsidRPr="00F3512C">
        <w:rPr>
          <w:snapToGrid w:val="0"/>
          <w:color w:val="000000"/>
          <w:position w:val="6"/>
          <w:sz w:val="16"/>
          <w:szCs w:val="0"/>
          <w:u w:color="000000"/>
        </w:rPr>
        <w:t>-1</w:t>
      </w:r>
      <w:r w:rsidRPr="00F3512C">
        <w:t>), egg production:</w:t>
      </w:r>
    </w:p>
    <w:p w:rsidR="00B6698B" w:rsidRPr="00AF0E79" w:rsidRDefault="00B6698B" w:rsidP="00B6698B">
      <w:pPr>
        <w:pStyle w:val="bulletlist1"/>
        <w:numPr>
          <w:ilvl w:val="0"/>
          <w:numId w:val="1"/>
        </w:numPr>
      </w:pPr>
      <w:r w:rsidRPr="00F3512C">
        <w:t>increases at lower water temperature ranges (27–30°C), and</w:t>
      </w:r>
    </w:p>
    <w:p w:rsidR="00B6698B" w:rsidRPr="00AF0E79" w:rsidRDefault="00B6698B" w:rsidP="00B6698B">
      <w:pPr>
        <w:pStyle w:val="bulletlist1"/>
        <w:numPr>
          <w:ilvl w:val="0"/>
          <w:numId w:val="1"/>
        </w:numPr>
      </w:pPr>
      <w:proofErr w:type="gramStart"/>
      <w:r w:rsidRPr="00F3512C">
        <w:t>decreases</w:t>
      </w:r>
      <w:proofErr w:type="gramEnd"/>
      <w:r w:rsidRPr="00F3512C">
        <w:t xml:space="preserve"> (i.e. negative effect) at higher water temperatures (&gt;30°C) (see </w:t>
      </w:r>
      <w:r>
        <w:t xml:space="preserve">also Humphrey &amp; Ellis (2015), </w:t>
      </w:r>
      <w:r w:rsidR="00C75978">
        <w:t xml:space="preserve"> Figure 2</w:t>
      </w:r>
      <w:r>
        <w:t>,</w:t>
      </w:r>
      <w:r w:rsidRPr="00F3512C">
        <w:t xml:space="preserve"> current </w:t>
      </w:r>
      <w:r>
        <w:t>Summary).</w:t>
      </w:r>
    </w:p>
    <w:p w:rsidR="00B6698B" w:rsidRPr="00F3512C" w:rsidRDefault="00B6698B" w:rsidP="00B6698B">
      <w:r w:rsidRPr="00F3512C">
        <w:t>These findings may usefully be applied to interpreting annual toxicity monitoring results in Magela and Gulungul creeks. While the water quality relationships have limited use in explaining the magnitude of egg production at a site, they can generally explain the difference, + or –, in egg production between the paired upstream and downstream sites. Unlike the below-average rainfall in the 2012–13 wet season, rainfall during the 2013–14 wet season was above average (</w:t>
      </w:r>
      <w:r w:rsidRPr="00F90515">
        <w:t>Figure 3.1</w:t>
      </w:r>
      <w:r>
        <w:t xml:space="preserve">, Supervising Scientist, Annual Report </w:t>
      </w:r>
      <w:r>
        <w:br/>
        <w:t>2013–14</w:t>
      </w:r>
      <w:r w:rsidRPr="00F3512C">
        <w:t>), which resulted in both greater minesite runoff (and thus generally higher downstream EC in both creeks) and generally cooler water temperatures (median values &lt;30°C). This explains why, for most tests in the creeks, there was a return to the typically higher downstream egg production. In six Magela Creek tests (#1–4, 10–11), however, median water temperatures at (usually) both sites exceeded 30°C and for all but the fourth test, lower downstream (compared to upstream) egg production was observed.</w:t>
      </w:r>
    </w:p>
    <w:p w:rsidR="00B6698B" w:rsidRDefault="00B6698B" w:rsidP="00B6698B">
      <w:r w:rsidRPr="00F3512C">
        <w:t>A (four-day) downstream median EC in Magela and Gulungul creeks greater than 20 μS cm</w:t>
      </w:r>
      <w:r w:rsidRPr="00F3512C">
        <w:rPr>
          <w:snapToGrid w:val="0"/>
          <w:color w:val="000000"/>
          <w:position w:val="6"/>
          <w:sz w:val="16"/>
          <w:szCs w:val="0"/>
          <w:u w:color="000000"/>
        </w:rPr>
        <w:t>-1</w:t>
      </w:r>
      <w:r w:rsidRPr="00F3512C">
        <w:t>, represents a value typically associated with mine waste water discharges (</w:t>
      </w:r>
      <w:r>
        <w:t>Humphrey et al</w:t>
      </w:r>
      <w:r w:rsidR="00BD4830">
        <w:t>.</w:t>
      </w:r>
      <w:r>
        <w:t xml:space="preserve"> 2013</w:t>
      </w:r>
      <w:r w:rsidRPr="00F3512C">
        <w:t>). Five of the 12 Magela tests and eight of the nine Gulungul tests were conducted under these minewater exposure regimes. Such elevated EC in two Magela tests conducted at median water temperatures &gt;30°C appear to have contributed to reduced downstream (compared to upstream) egg production while elevated EC in another Magela and eight Gulungul tests conducted at median water temperatures &lt;30°C appear to have contributed to greater downstream (compared to upstream) egg production. At this stage these mine-related ‘effects’, representing enhancement in snail reproductive activity in most cases, are not regarded as constituting environmental concern.</w:t>
      </w:r>
    </w:p>
    <w:p w:rsidR="00B6698B" w:rsidRDefault="00B6698B" w:rsidP="00B000A8">
      <w:pPr>
        <w:pStyle w:val="Heading2"/>
      </w:pPr>
      <w:r>
        <w:t>References</w:t>
      </w:r>
    </w:p>
    <w:p w:rsidR="00B6698B" w:rsidRPr="00A24E62" w:rsidRDefault="00B6698B" w:rsidP="00B6698B">
      <w:pPr>
        <w:pStyle w:val="referencelist1"/>
      </w:pPr>
      <w:bookmarkStart w:id="173" w:name="_Toc378169064"/>
      <w:bookmarkStart w:id="174" w:name="_Toc384300398"/>
      <w:proofErr w:type="gramStart"/>
      <w:r w:rsidRPr="00A24E62">
        <w:rPr>
          <w:bCs/>
          <w:lang w:val="en-US"/>
        </w:rPr>
        <w:t>Humphrey C &amp; Ellis</w:t>
      </w:r>
      <w:bookmarkEnd w:id="173"/>
      <w:bookmarkEnd w:id="174"/>
      <w:r w:rsidRPr="00A24E62">
        <w:t xml:space="preserve"> M 2014.</w:t>
      </w:r>
      <w:bookmarkStart w:id="175" w:name="_Toc378169061"/>
      <w:bookmarkStart w:id="176" w:name="_Toc384300395"/>
      <w:proofErr w:type="gramEnd"/>
      <w:r w:rsidRPr="00A24E62">
        <w:t xml:space="preserve"> </w:t>
      </w:r>
      <w:bookmarkStart w:id="177" w:name="_Toc370812575"/>
      <w:bookmarkStart w:id="178" w:name="_Toc378169063"/>
      <w:bookmarkStart w:id="179" w:name="_Toc384300397"/>
      <w:bookmarkEnd w:id="175"/>
      <w:bookmarkEnd w:id="176"/>
      <w:r w:rsidRPr="00A24E62">
        <w:t>Environmental factors associated with toxicity monitoring in Magela and Gulungul Creeks</w:t>
      </w:r>
      <w:bookmarkEnd w:id="177"/>
      <w:bookmarkEnd w:id="178"/>
      <w:bookmarkEnd w:id="179"/>
      <w:r w:rsidRPr="00A24E62">
        <w:t xml:space="preserve">. </w:t>
      </w:r>
      <w:proofErr w:type="gramStart"/>
      <w:r w:rsidRPr="00A24E62">
        <w:t>In</w:t>
      </w:r>
      <w:r w:rsidRPr="007908F5">
        <w:rPr>
          <w:sz w:val="26"/>
          <w:szCs w:val="26"/>
        </w:rPr>
        <w:t xml:space="preserve"> </w:t>
      </w:r>
      <w:r w:rsidRPr="007908F5">
        <w:rPr>
          <w:rFonts w:ascii="Times New Roman" w:hAnsi="Times New Roman"/>
          <w:b/>
          <w:i/>
          <w:sz w:val="26"/>
          <w:szCs w:val="26"/>
        </w:rPr>
        <w:t>eriss</w:t>
      </w:r>
      <w:r w:rsidRPr="007908F5">
        <w:rPr>
          <w:rFonts w:ascii="Times New Roman" w:hAnsi="Times New Roman"/>
        </w:rPr>
        <w:t xml:space="preserve"> </w:t>
      </w:r>
      <w:r w:rsidR="00594C7E" w:rsidRPr="00594C7E">
        <w:rPr>
          <w:i/>
        </w:rPr>
        <w:t>research summary</w:t>
      </w:r>
      <w:r w:rsidRPr="00A24E62">
        <w:t xml:space="preserve"> </w:t>
      </w:r>
      <w:r w:rsidR="00594C7E" w:rsidRPr="00594C7E">
        <w:rPr>
          <w:i/>
        </w:rPr>
        <w:t>2012–2013</w:t>
      </w:r>
      <w:r w:rsidRPr="00A24E62">
        <w:t>.</w:t>
      </w:r>
      <w:proofErr w:type="gramEnd"/>
      <w:r w:rsidRPr="00A24E62">
        <w:t xml:space="preserve"> Supervising Scientist Report 205, Supervising Scientist, Darwin NT,</w:t>
      </w:r>
      <w:r>
        <w:t xml:space="preserve"> </w:t>
      </w:r>
      <w:r w:rsidRPr="00A24E62">
        <w:t>79–</w:t>
      </w:r>
      <w:r>
        <w:t>86.</w:t>
      </w:r>
    </w:p>
    <w:p w:rsidR="00B6698B" w:rsidRDefault="00B6698B" w:rsidP="00B6698B">
      <w:pPr>
        <w:pStyle w:val="referencelist1"/>
      </w:pPr>
      <w:proofErr w:type="gramStart"/>
      <w:r>
        <w:t>Humphrey C &amp; Ellis M 2015.</w:t>
      </w:r>
      <w:proofErr w:type="gramEnd"/>
      <w:r>
        <w:t xml:space="preserve"> </w:t>
      </w:r>
      <w:r w:rsidRPr="00F3512C">
        <w:t>Environmental factors associated with toxicity monitoring in Magela and Gulungul Creeks</w:t>
      </w:r>
      <w:r>
        <w:t>.</w:t>
      </w:r>
      <w:r w:rsidR="00F04A5F">
        <w:t xml:space="preserve"> </w:t>
      </w:r>
      <w:proofErr w:type="gramStart"/>
      <w:r w:rsidR="00F04A5F" w:rsidRPr="00A24E62">
        <w:t xml:space="preserve">In </w:t>
      </w:r>
      <w:r w:rsidR="00F04A5F" w:rsidRPr="007908F5">
        <w:rPr>
          <w:rFonts w:ascii="Times New Roman" w:hAnsi="Times New Roman"/>
          <w:b/>
          <w:i/>
          <w:sz w:val="26"/>
          <w:szCs w:val="26"/>
        </w:rPr>
        <w:t>eriss</w:t>
      </w:r>
      <w:r w:rsidR="00F04A5F" w:rsidRPr="007908F5">
        <w:rPr>
          <w:rFonts w:ascii="Times New Roman" w:hAnsi="Times New Roman"/>
          <w:sz w:val="26"/>
          <w:szCs w:val="26"/>
        </w:rPr>
        <w:t xml:space="preserve"> </w:t>
      </w:r>
      <w:r w:rsidR="00594C7E" w:rsidRPr="00594C7E">
        <w:rPr>
          <w:i/>
        </w:rPr>
        <w:t>research summary 2013–2014</w:t>
      </w:r>
      <w:r w:rsidR="00F04A5F" w:rsidRPr="00A24E62">
        <w:t>.</w:t>
      </w:r>
      <w:proofErr w:type="gramEnd"/>
      <w:r w:rsidR="00F04A5F" w:rsidRPr="00A24E62">
        <w:t xml:space="preserve"> Supervising Scientist Report 20</w:t>
      </w:r>
      <w:r w:rsidR="00247AA6">
        <w:t>9</w:t>
      </w:r>
      <w:r w:rsidR="00F04A5F" w:rsidRPr="00A24E62">
        <w:t>, Supervising Scientist, Darwin NT,</w:t>
      </w:r>
      <w:r w:rsidR="00F04A5F">
        <w:t xml:space="preserve"> </w:t>
      </w:r>
      <w:r w:rsidR="00247AA6">
        <w:t>124</w:t>
      </w:r>
      <w:r w:rsidR="00F04A5F" w:rsidRPr="00640513">
        <w:t>–</w:t>
      </w:r>
      <w:r w:rsidR="00640513" w:rsidRPr="00640513">
        <w:t>129</w:t>
      </w:r>
      <w:r w:rsidR="00F04A5F" w:rsidRPr="00640513">
        <w:t>.</w:t>
      </w:r>
    </w:p>
    <w:p w:rsidR="00F04A5F" w:rsidRDefault="00F04A5F" w:rsidP="00B6698B">
      <w:pPr>
        <w:pStyle w:val="referencelist1"/>
      </w:pPr>
      <w:proofErr w:type="gramStart"/>
      <w:r w:rsidRPr="00A24E62">
        <w:t xml:space="preserve">In </w:t>
      </w:r>
      <w:r w:rsidR="007908F5" w:rsidRPr="007908F5">
        <w:rPr>
          <w:rFonts w:ascii="Times New Roman" w:hAnsi="Times New Roman"/>
          <w:b/>
          <w:i/>
          <w:sz w:val="26"/>
          <w:szCs w:val="26"/>
        </w:rPr>
        <w:t>eriss</w:t>
      </w:r>
      <w:r w:rsidR="007908F5" w:rsidRPr="00A24E62">
        <w:t xml:space="preserve"> </w:t>
      </w:r>
      <w:r w:rsidR="00594C7E" w:rsidRPr="00594C7E">
        <w:rPr>
          <w:i/>
        </w:rPr>
        <w:t>research summary 2012–2013</w:t>
      </w:r>
      <w:r w:rsidRPr="00A24E62">
        <w:t>.</w:t>
      </w:r>
      <w:proofErr w:type="gramEnd"/>
      <w:r w:rsidRPr="00A24E62">
        <w:t xml:space="preserve"> Supervising Scientist Report 205, Supervising Scientist, Darwin NT,</w:t>
      </w:r>
      <w:r>
        <w:t xml:space="preserve"> </w:t>
      </w:r>
      <w:r w:rsidRPr="00A24E62">
        <w:t>79–</w:t>
      </w:r>
      <w:r>
        <w:t>86.</w:t>
      </w:r>
    </w:p>
    <w:p w:rsidR="00B6698B" w:rsidRDefault="00B6698B" w:rsidP="00B6698B">
      <w:pPr>
        <w:pStyle w:val="referencelist1"/>
        <w:rPr>
          <w:lang w:eastAsia="en-AU"/>
        </w:rPr>
      </w:pPr>
      <w:r w:rsidRPr="001A0B7A">
        <w:rPr>
          <w:lang w:eastAsia="en-AU"/>
        </w:rPr>
        <w:t xml:space="preserve">Humphrey CL, Ellis M, van Dam R &amp; Harford </w:t>
      </w:r>
      <w:proofErr w:type="gramStart"/>
      <w:r w:rsidRPr="001A0B7A">
        <w:rPr>
          <w:lang w:eastAsia="en-AU"/>
        </w:rPr>
        <w:t>A</w:t>
      </w:r>
      <w:proofErr w:type="gramEnd"/>
      <w:r w:rsidRPr="001A0B7A">
        <w:rPr>
          <w:lang w:eastAsia="en-AU"/>
        </w:rPr>
        <w:t xml:space="preserve"> 2013. </w:t>
      </w:r>
      <w:proofErr w:type="gramStart"/>
      <w:r w:rsidRPr="001A0B7A">
        <w:rPr>
          <w:lang w:eastAsia="en-AU"/>
        </w:rPr>
        <w:t>Analysis of toxicity monitoring and associated water quality data for Magela and Gulungul Creeks.</w:t>
      </w:r>
      <w:proofErr w:type="gramEnd"/>
      <w:r w:rsidRPr="001A0B7A">
        <w:rPr>
          <w:lang w:eastAsia="en-AU"/>
        </w:rPr>
        <w:t xml:space="preserve"> </w:t>
      </w:r>
      <w:proofErr w:type="gramStart"/>
      <w:r w:rsidRPr="001A0B7A">
        <w:rPr>
          <w:lang w:eastAsia="en-AU"/>
        </w:rPr>
        <w:t xml:space="preserve">In </w:t>
      </w:r>
      <w:r w:rsidRPr="001D5CA5">
        <w:rPr>
          <w:rFonts w:ascii="Times New Roman" w:hAnsi="Times New Roman"/>
          <w:b/>
          <w:bCs/>
          <w:i/>
          <w:iCs/>
          <w:sz w:val="26"/>
          <w:szCs w:val="26"/>
          <w:lang w:eastAsia="en-AU"/>
        </w:rPr>
        <w:t>eriss</w:t>
      </w:r>
      <w:r w:rsidR="007908F5">
        <w:rPr>
          <w:i/>
          <w:lang w:eastAsia="en-AU"/>
        </w:rPr>
        <w:t xml:space="preserve"> </w:t>
      </w:r>
      <w:r w:rsidR="00E914B2">
        <w:rPr>
          <w:i/>
          <w:lang w:eastAsia="en-AU"/>
        </w:rPr>
        <w:t>r</w:t>
      </w:r>
      <w:r w:rsidRPr="001A0B7A">
        <w:rPr>
          <w:i/>
          <w:lang w:eastAsia="en-AU"/>
        </w:rPr>
        <w:t>esearch summary 2011–2012</w:t>
      </w:r>
      <w:r w:rsidRPr="001A0B7A">
        <w:rPr>
          <w:lang w:eastAsia="en-AU"/>
        </w:rPr>
        <w:t>.</w:t>
      </w:r>
      <w:proofErr w:type="gramEnd"/>
      <w:r w:rsidRPr="001A0B7A">
        <w:rPr>
          <w:lang w:eastAsia="en-AU"/>
        </w:rPr>
        <w:t xml:space="preserve"> </w:t>
      </w:r>
      <w:proofErr w:type="gramStart"/>
      <w:r w:rsidRPr="001A0B7A">
        <w:rPr>
          <w:lang w:eastAsia="en-AU"/>
        </w:rPr>
        <w:t>eds</w:t>
      </w:r>
      <w:proofErr w:type="gramEnd"/>
      <w:r w:rsidRPr="001A0B7A">
        <w:rPr>
          <w:lang w:eastAsia="en-AU"/>
        </w:rPr>
        <w:t xml:space="preserve"> van Dam RA, Webb A &amp; Parker SM, Supervising Scientist Report 204, Supervising Scientist, Darwin NT, 102–107.</w:t>
      </w:r>
    </w:p>
    <w:p w:rsidR="00B000A8" w:rsidRDefault="00B6698B" w:rsidP="00F8301A">
      <w:pPr>
        <w:pStyle w:val="referencelist1"/>
        <w:rPr>
          <w:lang w:eastAsia="en-AU"/>
        </w:rPr>
      </w:pPr>
      <w:r w:rsidRPr="00F8301A">
        <w:rPr>
          <w:lang w:eastAsia="en-AU"/>
        </w:rPr>
        <w:t xml:space="preserve">Humphrey CL, Ellis M &amp; Hanley J 2014. </w:t>
      </w:r>
      <w:proofErr w:type="gramStart"/>
      <w:r w:rsidRPr="00F8301A">
        <w:rPr>
          <w:lang w:eastAsia="en-AU"/>
        </w:rPr>
        <w:t>Toxicity monitoring in Magela and Gulungul Creeks.</w:t>
      </w:r>
      <w:proofErr w:type="gramEnd"/>
      <w:r w:rsidRPr="00F8301A">
        <w:rPr>
          <w:lang w:eastAsia="en-AU"/>
        </w:rPr>
        <w:t xml:space="preserve"> </w:t>
      </w:r>
      <w:proofErr w:type="gramStart"/>
      <w:r w:rsidRPr="00F8301A">
        <w:rPr>
          <w:lang w:eastAsia="en-AU"/>
        </w:rPr>
        <w:t xml:space="preserve">In </w:t>
      </w:r>
      <w:r w:rsidR="004A3C4C" w:rsidRPr="004A3C4C">
        <w:rPr>
          <w:b/>
          <w:i/>
          <w:sz w:val="26"/>
          <w:lang w:eastAsia="en-AU"/>
        </w:rPr>
        <w:t>eriss</w:t>
      </w:r>
      <w:r w:rsidR="00594C7E" w:rsidRPr="00594C7E">
        <w:rPr>
          <w:i/>
          <w:lang w:eastAsia="en-AU"/>
        </w:rPr>
        <w:t xml:space="preserve"> research summary 2012–2013</w:t>
      </w:r>
      <w:r w:rsidRPr="00F8301A">
        <w:rPr>
          <w:lang w:eastAsia="en-AU"/>
        </w:rPr>
        <w:t>.</w:t>
      </w:r>
      <w:proofErr w:type="gramEnd"/>
      <w:r w:rsidRPr="00F8301A">
        <w:rPr>
          <w:lang w:eastAsia="en-AU"/>
        </w:rPr>
        <w:t xml:space="preserve"> </w:t>
      </w:r>
      <w:proofErr w:type="gramStart"/>
      <w:r w:rsidRPr="00F8301A">
        <w:rPr>
          <w:lang w:eastAsia="en-AU"/>
        </w:rPr>
        <w:t>Supervising Scientist Divsion, Supervising Scientist Report 205, Darwin NT, 61–71</w:t>
      </w:r>
      <w:r w:rsidRPr="00396097">
        <w:rPr>
          <w:lang w:eastAsia="en-AU"/>
        </w:rPr>
        <w:t>.</w:t>
      </w:r>
      <w:bookmarkStart w:id="180" w:name="_Toc401910181"/>
      <w:bookmarkStart w:id="181" w:name="_Toc409772805"/>
      <w:proofErr w:type="gramEnd"/>
      <w:r w:rsidR="00B000A8">
        <w:rPr>
          <w:lang w:eastAsia="en-AU"/>
        </w:rPr>
        <w:br w:type="page"/>
      </w:r>
    </w:p>
    <w:p w:rsidR="00B6698B" w:rsidRDefault="00B6698B" w:rsidP="00C03DA2">
      <w:pPr>
        <w:pStyle w:val="Heading1"/>
      </w:pPr>
      <w:bookmarkStart w:id="182" w:name="_Toc418172704"/>
      <w:r w:rsidRPr="00F31626">
        <w:t>Bioaccumulation in freshwater mussels</w:t>
      </w:r>
      <w:r>
        <w:t xml:space="preserve"> and fish</w:t>
      </w:r>
      <w:bookmarkEnd w:id="180"/>
      <w:bookmarkEnd w:id="181"/>
      <w:bookmarkEnd w:id="182"/>
    </w:p>
    <w:p w:rsidR="00B6698B" w:rsidRDefault="00B6698B" w:rsidP="00B6698B">
      <w:pPr>
        <w:pStyle w:val="Heading3"/>
        <w:spacing w:after="480"/>
        <w:jc w:val="center"/>
      </w:pPr>
      <w:r>
        <w:t>A</w:t>
      </w:r>
      <w:r w:rsidRPr="00547624">
        <w:t xml:space="preserve"> Bollh</w:t>
      </w:r>
      <w:r>
        <w:t>öfer, C Doering, P Medley &amp; T</w:t>
      </w:r>
      <w:r w:rsidRPr="00547624">
        <w:t xml:space="preserve"> Fox</w:t>
      </w:r>
    </w:p>
    <w:p w:rsidR="00B6698B" w:rsidRDefault="00B6698B" w:rsidP="00B6698B">
      <w:pPr>
        <w:pStyle w:val="Heading2"/>
      </w:pPr>
      <w:r>
        <w:t>Introduction</w:t>
      </w:r>
    </w:p>
    <w:p w:rsidR="00B6698B" w:rsidRDefault="00B6698B" w:rsidP="00B6698B">
      <w:proofErr w:type="gramStart"/>
      <w:r>
        <w:t>Metals and radionuclides bioaccumulate in aquatic biota, in particular, freshwater mussels of Magela Creek and tributaries.</w:t>
      </w:r>
      <w:proofErr w:type="gramEnd"/>
      <w:r>
        <w:t xml:space="preserve"> Thus, it is essential to check that food items collected downstream of Ranger uranium mine</w:t>
      </w:r>
      <w:r w:rsidRPr="0085268C">
        <w:t xml:space="preserve"> are fit for human consumption and that concentrations of metals and radionuclides in organism</w:t>
      </w:r>
      <w:r>
        <w:t xml:space="preserve"> tissues attributable to Ranger remain within acceptable levels. </w:t>
      </w:r>
      <w:r w:rsidRPr="00A84A34">
        <w:t xml:space="preserve">Mudginberri Billabong, a permanent waterbody located 12 km downstream of the Ranger uranium mine along Magela Creek, has been the focus of </w:t>
      </w:r>
      <w:r>
        <w:t>the</w:t>
      </w:r>
      <w:r w:rsidRPr="00A84A34">
        <w:t xml:space="preserve"> monitoring programme initiated by the Supervising Scientist in 2000 to</w:t>
      </w:r>
      <w:r>
        <w:t xml:space="preserve"> (a)</w:t>
      </w:r>
      <w:r w:rsidRPr="00A84A34">
        <w:t xml:space="preserve"> assure that mussels </w:t>
      </w:r>
      <w:r>
        <w:t xml:space="preserve">(annually) and fish (biennially) </w:t>
      </w:r>
      <w:r w:rsidRPr="00A84A34">
        <w:t xml:space="preserve">collected are fit for human consumption and tissue concentrations of radionuclides (and metals) remain within acceptable levels, and </w:t>
      </w:r>
      <w:r>
        <w:t>(b)</w:t>
      </w:r>
      <w:r w:rsidRPr="00A84A34">
        <w:t xml:space="preserve"> provide an early warning of bioavailability of these constituents.</w:t>
      </w:r>
      <w:r>
        <w:t xml:space="preserve"> As monitoring had not shown any issues of potential concern with regards to bioaccumulation in fish, the focus of the bioaccumulation monitoring </w:t>
      </w:r>
      <w:r w:rsidR="00E16AC4">
        <w:t>programme</w:t>
      </w:r>
      <w:r>
        <w:t xml:space="preserve"> has been directed at mussel tissue analysis, while the two-yearly fish sampling </w:t>
      </w:r>
      <w:r w:rsidR="00E16AC4">
        <w:t>programme</w:t>
      </w:r>
      <w:r>
        <w:t xml:space="preserve"> was discontinued in 2007. </w:t>
      </w:r>
    </w:p>
    <w:p w:rsidR="00B6698B" w:rsidRDefault="00B6698B" w:rsidP="00B6698B">
      <w:r>
        <w:t xml:space="preserve">Up until 2008, mussels were collected annually from Mudginberri Billabong (the potentially impacted site) and Sandy Billabong (the control site in a different catchment, sampled from 2002 onwards). The results showed that radionuclide burdens in mussels from Mudginberri Billabong were generally about twice that observed in the reference Sandy Billabong. Two research projects reported in previous </w:t>
      </w:r>
      <w:r w:rsidRPr="007908F5">
        <w:rPr>
          <w:rFonts w:ascii="Times New Roman" w:hAnsi="Times New Roman"/>
          <w:b/>
          <w:i/>
          <w:sz w:val="26"/>
          <w:szCs w:val="26"/>
        </w:rPr>
        <w:t>eriss</w:t>
      </w:r>
      <w:r w:rsidRPr="007908F5">
        <w:rPr>
          <w:rFonts w:ascii="Times New Roman" w:hAnsi="Times New Roman"/>
          <w:sz w:val="26"/>
          <w:szCs w:val="26"/>
        </w:rPr>
        <w:t xml:space="preserve"> </w:t>
      </w:r>
      <w:r>
        <w:t xml:space="preserve">Research Summaries concluded that this difference was due to natural catchment influences and differences in water chemistry, rather than mining-related inputs to Magela Creek (Bollhöfer et al. 2011). Thus, the scope of the bioaccumulation monitoring </w:t>
      </w:r>
      <w:r w:rsidR="00E16AC4">
        <w:t>programme</w:t>
      </w:r>
      <w:r>
        <w:t xml:space="preserve"> was reduced from 2009 onwards. It now involves the annual collection and analysis of a bulk mussel sample from Mudginberri Billabong, rather than analysing separate age-classed mussels from both Mudginberri and Sandy Billabongs, primarily to provide re-assurance that the consumption of mussels does not present a radiological risk to the public. Every three years, starting with the October 2011 collection, a detailed study (analysis of aged mussels from Mudginberri and Sandy Billabongs) is conducted and results compared with those from previous years. M</w:t>
      </w:r>
      <w:r w:rsidRPr="005C56D3">
        <w:t>onitoring focuses on</w:t>
      </w:r>
      <w:r>
        <w:t xml:space="preserve"> radium-226</w:t>
      </w:r>
      <w:r w:rsidRPr="00DB653C">
        <w:t xml:space="preserve"> </w:t>
      </w:r>
      <w:r>
        <w:t>(</w:t>
      </w:r>
      <w:r w:rsidRPr="005C56D3">
        <w:rPr>
          <w:snapToGrid w:val="0"/>
          <w:color w:val="000000"/>
          <w:position w:val="5"/>
          <w:sz w:val="15"/>
          <w:szCs w:val="0"/>
          <w:u w:color="000000"/>
        </w:rPr>
        <w:t>226</w:t>
      </w:r>
      <w:r w:rsidRPr="005C56D3">
        <w:t>Ra</w:t>
      </w:r>
      <w:r>
        <w:t>)</w:t>
      </w:r>
      <w:r w:rsidRPr="005C56D3">
        <w:t xml:space="preserve"> as it has been shown </w:t>
      </w:r>
      <w:proofErr w:type="gramStart"/>
      <w:r w:rsidRPr="005C56D3">
        <w:t>that</w:t>
      </w:r>
      <w:r>
        <w:t xml:space="preserve"> </w:t>
      </w:r>
      <w:r w:rsidRPr="005C56D3">
        <w:t xml:space="preserve"> </w:t>
      </w:r>
      <w:r w:rsidRPr="005C56D3">
        <w:rPr>
          <w:snapToGrid w:val="0"/>
          <w:color w:val="000000"/>
          <w:position w:val="5"/>
          <w:sz w:val="15"/>
          <w:szCs w:val="0"/>
          <w:u w:color="000000"/>
        </w:rPr>
        <w:t>226</w:t>
      </w:r>
      <w:r w:rsidRPr="005C56D3">
        <w:t>Ra</w:t>
      </w:r>
      <w:proofErr w:type="gramEnd"/>
      <w:r w:rsidRPr="005C56D3">
        <w:t xml:space="preserve"> in mussels is the biggest potential contributor to mine-related ingestion dose from a hypothetical release of pond waters from the minesite (Martin 2000).</w:t>
      </w:r>
    </w:p>
    <w:p w:rsidR="00B6698B" w:rsidRPr="00DB653C" w:rsidRDefault="00B6698B" w:rsidP="00B6698B">
      <w:r w:rsidRPr="00DB653C">
        <w:t>In 2012</w:t>
      </w:r>
      <w:r>
        <w:t>,</w:t>
      </w:r>
      <w:r w:rsidRPr="00DB653C">
        <w:t xml:space="preserve"> an Independent Surface Water Working Group (ISWWG) was convened by ERA and GAC</w:t>
      </w:r>
      <w:r>
        <w:t>,</w:t>
      </w:r>
      <w:r w:rsidRPr="00DB653C">
        <w:t xml:space="preserve"> </w:t>
      </w:r>
      <w:r>
        <w:t>with</w:t>
      </w:r>
      <w:r w:rsidRPr="00DB653C">
        <w:t xml:space="preserve"> findings of this review released in March 2013. </w:t>
      </w:r>
      <w:r>
        <w:t>One</w:t>
      </w:r>
      <w:r w:rsidRPr="00DB653C">
        <w:t xml:space="preserve"> of </w:t>
      </w:r>
      <w:r>
        <w:t xml:space="preserve">the </w:t>
      </w:r>
      <w:r w:rsidRPr="00DB653C">
        <w:t>ISWWG recommendation</w:t>
      </w:r>
      <w:r>
        <w:t>s</w:t>
      </w:r>
      <w:r w:rsidRPr="00DB653C">
        <w:t xml:space="preserve"> w</w:t>
      </w:r>
      <w:r>
        <w:t xml:space="preserve">as </w:t>
      </w:r>
      <w:r w:rsidRPr="00DB653C">
        <w:t xml:space="preserve">for SSD to review existing metals in bush tucker data </w:t>
      </w:r>
      <w:r>
        <w:t xml:space="preserve">(including fish) </w:t>
      </w:r>
      <w:r w:rsidRPr="00DB653C">
        <w:t xml:space="preserve">and provide advice on a potential re-introduction </w:t>
      </w:r>
      <w:proofErr w:type="gramStart"/>
      <w:r w:rsidRPr="00DB653C">
        <w:t>of a metals</w:t>
      </w:r>
      <w:proofErr w:type="gramEnd"/>
      <w:r w:rsidRPr="00DB653C">
        <w:t xml:space="preserve"> in bushtucker monitoring programme. </w:t>
      </w:r>
    </w:p>
    <w:p w:rsidR="00B6698B" w:rsidRDefault="00B6698B" w:rsidP="00B6698B">
      <w:pPr>
        <w:pStyle w:val="Heading2"/>
      </w:pPr>
      <w:r>
        <w:t>Methods</w:t>
      </w:r>
    </w:p>
    <w:p w:rsidR="00B6698B" w:rsidRDefault="00B6698B" w:rsidP="00B6698B">
      <w:r w:rsidRPr="00DB653C">
        <w:t xml:space="preserve">Mussel, sediment and water samples were collected in October 2013 from Mudginberri Billabong. </w:t>
      </w:r>
      <w:r>
        <w:rPr>
          <w:szCs w:val="22"/>
        </w:rPr>
        <w:t xml:space="preserve">After collection, mussels were placed into acid-washed containers holding billabong water. Surface water samples were collected at the same time in acid washed containers and sediments associated with the mussels were collected and stored in zip-locked plastic bags. The mussels, water and sediment samples were taken to the Darwin laboratories for processing, where they were purged in host billabong water for three days, before being measured for length, breadth and width, and dissected to remove the mussel flesh. The wet weight of the mussel flesh was recorded and samples were freeze dried then re-weighed to determine the dry weight. The age of each mussel was determined by counting the number of annual growth bands preserved in the mussel shell (Humphrey &amp; Simpson 1985). </w:t>
      </w:r>
      <w:r w:rsidRPr="00DB653C">
        <w:t>While the routine sampling schedule required just the analysis of a bulk sample for this year, mussels were aged and individual age groups analysed for</w:t>
      </w:r>
      <w:r>
        <w:t xml:space="preserve"> </w:t>
      </w:r>
      <w:r w:rsidRPr="00BC36A5">
        <w:rPr>
          <w:vertAlign w:val="superscript"/>
        </w:rPr>
        <w:t>226</w:t>
      </w:r>
      <w:r w:rsidRPr="00DB653C">
        <w:t>Ra and</w:t>
      </w:r>
      <w:r>
        <w:t xml:space="preserve"> lead-210 (</w:t>
      </w:r>
      <w:r w:rsidRPr="00BC36A5">
        <w:rPr>
          <w:vertAlign w:val="superscript"/>
        </w:rPr>
        <w:t>210</w:t>
      </w:r>
      <w:r w:rsidRPr="00DB653C">
        <w:t>Pb</w:t>
      </w:r>
      <w:r>
        <w:t>)</w:t>
      </w:r>
      <w:r w:rsidRPr="00DB653C">
        <w:t xml:space="preserve"> via gamma spectrometry, uranium and other metals via ICPMS, and</w:t>
      </w:r>
      <w:r>
        <w:t xml:space="preserve"> polonium-210</w:t>
      </w:r>
      <w:r w:rsidRPr="00DB653C">
        <w:t xml:space="preserve"> </w:t>
      </w:r>
      <w:r>
        <w:t>(</w:t>
      </w:r>
      <w:r w:rsidRPr="00BC36A5">
        <w:rPr>
          <w:vertAlign w:val="superscript"/>
        </w:rPr>
        <w:t>210</w:t>
      </w:r>
      <w:r w:rsidRPr="00DB653C">
        <w:t>Po</w:t>
      </w:r>
      <w:r>
        <w:t>)</w:t>
      </w:r>
      <w:r w:rsidRPr="00DB653C">
        <w:t xml:space="preserve"> via alpha spectrometry. </w:t>
      </w:r>
    </w:p>
    <w:p w:rsidR="00B6698B" w:rsidRPr="00DB653C" w:rsidRDefault="00B6698B" w:rsidP="00B6698B">
      <w:r w:rsidRPr="009B371D">
        <w:t>The BRUCE tool</w:t>
      </w:r>
      <w:r>
        <w:t xml:space="preserve"> </w:t>
      </w:r>
      <w:r w:rsidRPr="00FD6C69">
        <w:t>(</w:t>
      </w:r>
      <w:r w:rsidRPr="00FD6C69">
        <w:rPr>
          <w:b/>
        </w:rPr>
        <w:t>B</w:t>
      </w:r>
      <w:r w:rsidRPr="00FD6C69">
        <w:t xml:space="preserve">ioaccumulation of </w:t>
      </w:r>
      <w:r w:rsidRPr="00FD6C69">
        <w:rPr>
          <w:b/>
        </w:rPr>
        <w:t>R</w:t>
      </w:r>
      <w:r w:rsidRPr="00FD6C69">
        <w:t xml:space="preserve">adioactive </w:t>
      </w:r>
      <w:r w:rsidRPr="00FD6C69">
        <w:rPr>
          <w:b/>
        </w:rPr>
        <w:t>U</w:t>
      </w:r>
      <w:r w:rsidRPr="00FD6C69">
        <w:t xml:space="preserve">-series </w:t>
      </w:r>
      <w:r w:rsidRPr="00FD6C69">
        <w:rPr>
          <w:b/>
        </w:rPr>
        <w:t>C</w:t>
      </w:r>
      <w:r w:rsidRPr="00FD6C69">
        <w:t xml:space="preserve">onstituents from the </w:t>
      </w:r>
      <w:r w:rsidRPr="00FD6C69">
        <w:rPr>
          <w:b/>
        </w:rPr>
        <w:t>E</w:t>
      </w:r>
      <w:r w:rsidRPr="00FD6C69">
        <w:t>nvironment</w:t>
      </w:r>
      <w:r>
        <w:t>)</w:t>
      </w:r>
      <w:r w:rsidRPr="009B371D">
        <w:t>, a database that has been developed by SSD to collate biota and media radionuclide data and calculate concentration ratios for various biota-radionuclide combinat</w:t>
      </w:r>
      <w:r>
        <w:t>ions (Doering 2013, Doering &amp; Bollhöfer 2014</w:t>
      </w:r>
      <w:r w:rsidRPr="009B371D">
        <w:t>), has been amended in 2013 to include metal concentration data and is continually being populated. Th</w:t>
      </w:r>
      <w:r>
        <w:t>is</w:t>
      </w:r>
      <w:r w:rsidRPr="009B371D">
        <w:t xml:space="preserve"> tool has been used to extract geometric mean, or typical, concentrations on a wet tissue weight basis for As, Cd and Pb</w:t>
      </w:r>
      <w:r>
        <w:t xml:space="preserve">, </w:t>
      </w:r>
      <w:r w:rsidRPr="00DB653C">
        <w:t>measured in mussel and fish as part of SSD’s bioaccumulation monitoring over the past decades</w:t>
      </w:r>
      <w:r>
        <w:t>. Values</w:t>
      </w:r>
      <w:r w:rsidRPr="00DB653C">
        <w:t xml:space="preserve"> are given in this report </w:t>
      </w:r>
      <w:r>
        <w:t>and</w:t>
      </w:r>
      <w:r w:rsidRPr="00DB653C">
        <w:t xml:space="preserve"> are compared with the Australian/New Zealand food standards for these metals in molluscs and fish.</w:t>
      </w:r>
      <w:r>
        <w:t xml:space="preserve"> </w:t>
      </w:r>
    </w:p>
    <w:p w:rsidR="00B6698B" w:rsidRPr="00DB653C" w:rsidRDefault="00B6698B" w:rsidP="00667324">
      <w:pPr>
        <w:pStyle w:val="Heading3"/>
      </w:pPr>
      <w:r w:rsidRPr="00DB653C">
        <w:t>Uranium in f</w:t>
      </w:r>
      <w:r w:rsidRPr="00CB7315">
        <w:t>reshwa</w:t>
      </w:r>
      <w:r>
        <w:t>ter mussels</w:t>
      </w:r>
    </w:p>
    <w:p w:rsidR="00B6698B" w:rsidRDefault="00B6698B" w:rsidP="00B6698B">
      <w:r w:rsidRPr="00DB653C">
        <w:t>Uranium concentrations in mussels (mg</w:t>
      </w:r>
      <w:r>
        <w:t xml:space="preserve"> </w:t>
      </w:r>
      <w:r w:rsidRPr="00DB653C">
        <w:t>kg</w:t>
      </w:r>
      <w:r w:rsidRPr="00735363">
        <w:rPr>
          <w:snapToGrid w:val="0"/>
          <w:color w:val="000000"/>
          <w:position w:val="5"/>
          <w:sz w:val="13"/>
          <w:szCs w:val="0"/>
          <w:u w:color="000000"/>
        </w:rPr>
        <w:t>-1</w:t>
      </w:r>
      <w:r w:rsidRPr="00DB653C">
        <w:t xml:space="preserve"> dry weight) and water collected concurrently from Mudginberri and Sandy Billabongs over the past 14 years are shown in</w:t>
      </w:r>
      <w:r>
        <w:t xml:space="preserve"> Figure 1</w:t>
      </w:r>
      <w:r w:rsidRPr="00DB653C">
        <w:t>.</w:t>
      </w:r>
    </w:p>
    <w:p w:rsidR="00B6698B" w:rsidRDefault="00B6698B" w:rsidP="00B6698B">
      <w:pPr>
        <w:jc w:val="center"/>
        <w:rPr>
          <w:rFonts w:ascii="Arial" w:hAnsi="Arial"/>
          <w:b/>
          <w:bCs/>
          <w:noProof/>
          <w:sz w:val="16"/>
          <w:lang w:val="en-US"/>
        </w:rPr>
      </w:pPr>
      <w:r w:rsidRPr="00160591">
        <w:rPr>
          <w:noProof/>
          <w:lang w:eastAsia="en-AU"/>
        </w:rPr>
        <w:drawing>
          <wp:inline distT="0" distB="0" distL="0" distR="0">
            <wp:extent cx="4311445" cy="2336084"/>
            <wp:effectExtent l="0" t="0" r="0" b="0"/>
            <wp:docPr id="1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9" cstate="screen"/>
                    <a:srcRect b="11164"/>
                    <a:stretch>
                      <a:fillRect/>
                    </a:stretch>
                  </pic:blipFill>
                  <pic:spPr bwMode="auto">
                    <a:xfrm>
                      <a:off x="0" y="0"/>
                      <a:ext cx="4311445" cy="2336084"/>
                    </a:xfrm>
                    <a:prstGeom prst="rect">
                      <a:avLst/>
                    </a:prstGeom>
                    <a:noFill/>
                    <a:ln w="9525">
                      <a:noFill/>
                      <a:miter lim="800000"/>
                      <a:headEnd/>
                      <a:tailEnd/>
                    </a:ln>
                  </pic:spPr>
                </pic:pic>
              </a:graphicData>
            </a:graphic>
          </wp:inline>
        </w:drawing>
      </w:r>
    </w:p>
    <w:p w:rsidR="00B6698B" w:rsidRPr="00C74D63" w:rsidRDefault="00B6698B" w:rsidP="00B6698B">
      <w:pPr>
        <w:jc w:val="center"/>
        <w:rPr>
          <w:rFonts w:ascii="Arial" w:hAnsi="Arial"/>
          <w:bCs/>
          <w:noProof/>
          <w:sz w:val="18"/>
          <w:szCs w:val="18"/>
          <w:highlight w:val="yellow"/>
          <w:lang w:val="en-US"/>
        </w:rPr>
      </w:pPr>
      <w:r w:rsidRPr="00C74D63">
        <w:rPr>
          <w:rFonts w:ascii="Arial" w:hAnsi="Arial"/>
          <w:b/>
          <w:bCs/>
          <w:noProof/>
          <w:sz w:val="18"/>
          <w:szCs w:val="18"/>
          <w:lang w:val="en-US"/>
        </w:rPr>
        <w:t>Figure 1</w:t>
      </w:r>
      <w:r w:rsidRPr="00C74D63">
        <w:rPr>
          <w:rFonts w:ascii="Arial" w:hAnsi="Arial"/>
          <w:bCs/>
          <w:noProof/>
          <w:sz w:val="18"/>
          <w:szCs w:val="18"/>
          <w:lang w:val="en-US"/>
        </w:rPr>
        <w:t xml:space="preserve">  Mean concentrations of U measured in mussel soft-parts and water samples collected from Mudginberri and Sandy Billabongs since 2000.</w:t>
      </w:r>
    </w:p>
    <w:p w:rsidR="00B6698B" w:rsidRPr="009B371D" w:rsidRDefault="00B6698B" w:rsidP="00B6698B">
      <w:r w:rsidRPr="009B371D">
        <w:t xml:space="preserve">The average concentrations of uranium in mussels from Mudginberri Billabong are very similar from 2000 onwards, with no evidence of an increasing trend in concentration over time. Essentially constant and low levels were also observed between 1989 and 1995 (previous reports). Notwithstanding some bioaccumulation with age, uranium in mussels is reported to have a short biological half-life, a conclusion that is supported by our data. The low and constant uranium concentrations including the last sample taken in October 2013 indicate absence of any mining influence. </w:t>
      </w:r>
    </w:p>
    <w:p w:rsidR="00B6698B" w:rsidRPr="009B371D" w:rsidRDefault="00B6698B" w:rsidP="00C03DA2">
      <w:pPr>
        <w:pStyle w:val="Heading3"/>
      </w:pPr>
      <w:r w:rsidRPr="009B371D">
        <w:t>Ra</w:t>
      </w:r>
      <w:r>
        <w:t>dium-226</w:t>
      </w:r>
      <w:proofErr w:type="gramStart"/>
      <w:r w:rsidRPr="009B371D">
        <w:t>,</w:t>
      </w:r>
      <w:r>
        <w:t>lead</w:t>
      </w:r>
      <w:proofErr w:type="gramEnd"/>
      <w:r>
        <w:t>-210</w:t>
      </w:r>
      <w:r w:rsidRPr="009B371D">
        <w:t xml:space="preserve"> and </w:t>
      </w:r>
      <w:r>
        <w:t>polonium-210</w:t>
      </w:r>
      <w:r w:rsidRPr="009B371D">
        <w:t xml:space="preserve"> in mussels</w:t>
      </w:r>
    </w:p>
    <w:p w:rsidR="00B6698B" w:rsidRDefault="00B6698B" w:rsidP="00B6698B">
      <w:r w:rsidRPr="000A399D">
        <w:rPr>
          <w:vertAlign w:val="superscript"/>
        </w:rPr>
        <w:t>226</w:t>
      </w:r>
      <w:r w:rsidRPr="009B371D">
        <w:t xml:space="preserve">Ra, </w:t>
      </w:r>
      <w:r w:rsidRPr="000A399D">
        <w:rPr>
          <w:vertAlign w:val="superscript"/>
        </w:rPr>
        <w:t>210</w:t>
      </w:r>
      <w:r w:rsidRPr="009B371D">
        <w:t xml:space="preserve">Pb and </w:t>
      </w:r>
      <w:r w:rsidRPr="000A399D">
        <w:rPr>
          <w:vertAlign w:val="superscript"/>
        </w:rPr>
        <w:t>210</w:t>
      </w:r>
      <w:r w:rsidRPr="009B371D">
        <w:t>Po activity concentrations (Bq</w:t>
      </w:r>
      <w:r>
        <w:t xml:space="preserve"> </w:t>
      </w:r>
      <w:r w:rsidRPr="009B371D">
        <w:t>kg</w:t>
      </w:r>
      <w:r w:rsidRPr="00160591">
        <w:rPr>
          <w:snapToGrid w:val="0"/>
          <w:color w:val="000000"/>
          <w:position w:val="5"/>
          <w:sz w:val="13"/>
          <w:szCs w:val="0"/>
          <w:u w:color="000000"/>
        </w:rPr>
        <w:t>-1</w:t>
      </w:r>
      <w:r w:rsidRPr="009B371D">
        <w:t xml:space="preserve"> dry weight) in mussels collected from Mudginberri Billabong in 2013 are compared with the average activity concentrations measured in previous years in Figure </w:t>
      </w:r>
      <w:r>
        <w:t>2</w:t>
      </w:r>
      <w:r w:rsidRPr="009B371D">
        <w:t xml:space="preserve">. </w:t>
      </w:r>
    </w:p>
    <w:p w:rsidR="00B6698B" w:rsidRDefault="00B6698B" w:rsidP="00B6698B">
      <w:r w:rsidRPr="000A399D">
        <w:rPr>
          <w:vertAlign w:val="superscript"/>
        </w:rPr>
        <w:t>226</w:t>
      </w:r>
      <w:r w:rsidRPr="009B371D">
        <w:t xml:space="preserve">Ra activity concentrations appear higher in mussels collected in 2013 compared to the average from previous collections. </w:t>
      </w:r>
      <w:r w:rsidRPr="000A399D">
        <w:rPr>
          <w:vertAlign w:val="superscript"/>
        </w:rPr>
        <w:t>210</w:t>
      </w:r>
      <w:r w:rsidRPr="009B371D">
        <w:t xml:space="preserve">Po is higher than the </w:t>
      </w:r>
      <w:r w:rsidRPr="000A399D">
        <w:rPr>
          <w:vertAlign w:val="superscript"/>
        </w:rPr>
        <w:t>210</w:t>
      </w:r>
      <w:r w:rsidRPr="009B371D">
        <w:t xml:space="preserve">Pb activity concentration, indicating higher accumulation of </w:t>
      </w:r>
      <w:r w:rsidRPr="000A399D">
        <w:rPr>
          <w:vertAlign w:val="superscript"/>
        </w:rPr>
        <w:t>210</w:t>
      </w:r>
      <w:r w:rsidRPr="009B371D">
        <w:t xml:space="preserve">Po from the water column compared to </w:t>
      </w:r>
      <w:r w:rsidRPr="000A399D">
        <w:rPr>
          <w:vertAlign w:val="superscript"/>
        </w:rPr>
        <w:t>210</w:t>
      </w:r>
      <w:r w:rsidRPr="009B371D">
        <w:t xml:space="preserve">Pb, in agreement with previous observations in the Alligator Rivers Region and elsewhere. There is no increase in </w:t>
      </w:r>
      <w:r w:rsidRPr="001619E2">
        <w:rPr>
          <w:vertAlign w:val="superscript"/>
        </w:rPr>
        <w:t>210</w:t>
      </w:r>
      <w:r w:rsidRPr="009B371D">
        <w:t xml:space="preserve">Po activity concentration with age in 1–10 year old mussels, consistent with its short </w:t>
      </w:r>
      <w:r>
        <w:t xml:space="preserve">physical halflife of 138 days. </w:t>
      </w:r>
      <w:r w:rsidRPr="009B371D">
        <w:t xml:space="preserve">Average </w:t>
      </w:r>
      <w:r w:rsidRPr="000A399D">
        <w:rPr>
          <w:vertAlign w:val="superscript"/>
        </w:rPr>
        <w:t>210</w:t>
      </w:r>
      <w:r w:rsidRPr="009B371D">
        <w:t xml:space="preserve">Po activity concentration in mussels collected in 2013 (open symbols: 420 ± 60 </w:t>
      </w:r>
      <w:r>
        <w:t xml:space="preserve">Bq </w:t>
      </w:r>
      <w:r w:rsidRPr="009B371D">
        <w:t>kg</w:t>
      </w:r>
      <w:r w:rsidRPr="005E369F">
        <w:rPr>
          <w:vertAlign w:val="superscript"/>
        </w:rPr>
        <w:t>-1</w:t>
      </w:r>
      <w:r w:rsidRPr="009B371D">
        <w:t>) is higher than in 2</w:t>
      </w:r>
      <w:r>
        <w:t xml:space="preserve">012 (solid symbols: 350 ± 30 Bq </w:t>
      </w:r>
      <w:r w:rsidRPr="009B371D">
        <w:t>kg</w:t>
      </w:r>
      <w:r w:rsidRPr="005E369F">
        <w:rPr>
          <w:vertAlign w:val="superscript"/>
        </w:rPr>
        <w:t>-1</w:t>
      </w:r>
      <w:r w:rsidRPr="009B371D">
        <w:t xml:space="preserve">), in particular in three, four, five and six year old mussels. </w:t>
      </w:r>
    </w:p>
    <w:p w:rsidR="00B6698B" w:rsidRPr="009B371D" w:rsidRDefault="00B6698B" w:rsidP="00B6698B">
      <w:pPr>
        <w:jc w:val="center"/>
        <w:rPr>
          <w:highlight w:val="yellow"/>
        </w:rPr>
      </w:pPr>
      <w:r w:rsidRPr="001C30B8">
        <w:rPr>
          <w:noProof/>
          <w:lang w:eastAsia="en-AU"/>
        </w:rPr>
        <w:drawing>
          <wp:inline distT="0" distB="0" distL="0" distR="0">
            <wp:extent cx="4724400" cy="2219325"/>
            <wp:effectExtent l="19050" t="0" r="0" b="0"/>
            <wp:docPr id="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0" cstate="screen"/>
                    <a:srcRect t="3719"/>
                    <a:stretch>
                      <a:fillRect/>
                    </a:stretch>
                  </pic:blipFill>
                  <pic:spPr bwMode="auto">
                    <a:xfrm>
                      <a:off x="0" y="0"/>
                      <a:ext cx="4724400" cy="2219325"/>
                    </a:xfrm>
                    <a:prstGeom prst="rect">
                      <a:avLst/>
                    </a:prstGeom>
                    <a:noFill/>
                    <a:ln w="9525">
                      <a:noFill/>
                      <a:miter lim="800000"/>
                      <a:headEnd/>
                      <a:tailEnd/>
                    </a:ln>
                  </pic:spPr>
                </pic:pic>
              </a:graphicData>
            </a:graphic>
          </wp:inline>
        </w:drawing>
      </w:r>
    </w:p>
    <w:p w:rsidR="00B6698B" w:rsidRPr="00C74D63" w:rsidRDefault="00B6698B" w:rsidP="00B6698B">
      <w:pPr>
        <w:jc w:val="center"/>
        <w:rPr>
          <w:rFonts w:ascii="Arial" w:hAnsi="Arial"/>
          <w:bCs/>
          <w:noProof/>
          <w:sz w:val="18"/>
          <w:szCs w:val="18"/>
          <w:lang w:val="en-US"/>
        </w:rPr>
      </w:pPr>
      <w:r w:rsidRPr="00C74D63">
        <w:rPr>
          <w:rFonts w:ascii="Arial" w:hAnsi="Arial"/>
          <w:b/>
          <w:bCs/>
          <w:noProof/>
          <w:sz w:val="18"/>
          <w:szCs w:val="18"/>
          <w:lang w:val="en-US"/>
        </w:rPr>
        <w:t>Figure 2</w:t>
      </w:r>
      <w:r w:rsidRPr="00C74D63">
        <w:rPr>
          <w:rFonts w:ascii="Arial" w:hAnsi="Arial"/>
          <w:bCs/>
          <w:noProof/>
          <w:sz w:val="18"/>
          <w:szCs w:val="18"/>
          <w:lang w:val="en-US"/>
        </w:rPr>
        <w:t xml:space="preserve">  </w:t>
      </w:r>
      <w:r w:rsidRPr="00C74D63">
        <w:rPr>
          <w:rFonts w:ascii="Arial" w:hAnsi="Arial"/>
          <w:bCs/>
          <w:noProof/>
          <w:snapToGrid w:val="0"/>
          <w:color w:val="000000"/>
          <w:position w:val="4"/>
          <w:sz w:val="18"/>
          <w:szCs w:val="18"/>
          <w:u w:color="000000"/>
          <w:lang w:val="en-US" w:eastAsia="en-AU"/>
        </w:rPr>
        <w:t>226</w:t>
      </w:r>
      <w:r w:rsidRPr="00C74D63">
        <w:rPr>
          <w:rFonts w:ascii="Arial" w:hAnsi="Arial"/>
          <w:bCs/>
          <w:noProof/>
          <w:sz w:val="18"/>
          <w:szCs w:val="18"/>
          <w:lang w:val="en-US" w:eastAsia="en-AU"/>
        </w:rPr>
        <w:t xml:space="preserve">Ra, </w:t>
      </w:r>
      <w:r w:rsidRPr="00C74D63">
        <w:rPr>
          <w:rFonts w:ascii="Arial" w:hAnsi="Arial"/>
          <w:bCs/>
          <w:noProof/>
          <w:snapToGrid w:val="0"/>
          <w:color w:val="000000"/>
          <w:position w:val="4"/>
          <w:sz w:val="18"/>
          <w:szCs w:val="18"/>
          <w:u w:color="000000"/>
          <w:lang w:val="en-US" w:eastAsia="en-AU"/>
        </w:rPr>
        <w:t>210</w:t>
      </w:r>
      <w:r w:rsidRPr="00C74D63">
        <w:rPr>
          <w:rFonts w:ascii="Arial" w:hAnsi="Arial"/>
          <w:bCs/>
          <w:noProof/>
          <w:sz w:val="18"/>
          <w:szCs w:val="18"/>
          <w:lang w:val="en-US" w:eastAsia="en-AU"/>
        </w:rPr>
        <w:t xml:space="preserve">Pb and </w:t>
      </w:r>
      <w:r w:rsidRPr="00C74D63">
        <w:rPr>
          <w:rFonts w:ascii="Arial" w:hAnsi="Arial"/>
          <w:bCs/>
          <w:noProof/>
          <w:snapToGrid w:val="0"/>
          <w:color w:val="000000"/>
          <w:position w:val="4"/>
          <w:sz w:val="18"/>
          <w:szCs w:val="18"/>
          <w:u w:color="000000"/>
          <w:lang w:val="en-US" w:eastAsia="en-AU"/>
        </w:rPr>
        <w:t>210</w:t>
      </w:r>
      <w:r w:rsidRPr="00C74D63">
        <w:rPr>
          <w:rFonts w:ascii="Arial" w:hAnsi="Arial"/>
          <w:bCs/>
          <w:noProof/>
          <w:sz w:val="18"/>
          <w:szCs w:val="18"/>
          <w:lang w:val="en-US" w:eastAsia="en-AU"/>
        </w:rPr>
        <w:t>Po activity concentrations measured in dry mussel flesh from Mudginberri Billabong plotted against mussel age. Averages of previous end of dry season collections (2000–12) are shown as solid symbols, open symbols show the results from the 2013 collection. Errors shown are 1 standard deviation of the mean.</w:t>
      </w:r>
    </w:p>
    <w:p w:rsidR="00B6698B" w:rsidRPr="009B371D" w:rsidRDefault="00B6698B" w:rsidP="00B6698B">
      <w:r w:rsidRPr="009B371D">
        <w:t xml:space="preserve">The higher </w:t>
      </w:r>
      <w:r w:rsidRPr="000A399D">
        <w:rPr>
          <w:vertAlign w:val="superscript"/>
        </w:rPr>
        <w:t>226</w:t>
      </w:r>
      <w:r w:rsidRPr="009B371D">
        <w:t xml:space="preserve">Ra and </w:t>
      </w:r>
      <w:r w:rsidRPr="000A399D">
        <w:rPr>
          <w:vertAlign w:val="superscript"/>
        </w:rPr>
        <w:t>210</w:t>
      </w:r>
      <w:r w:rsidRPr="009B371D">
        <w:t>Po activity concentrations are unlikely to be mine-related.</w:t>
      </w:r>
      <w:r>
        <w:t xml:space="preserve"> </w:t>
      </w:r>
      <w:r w:rsidRPr="009B371D">
        <w:t xml:space="preserve">Figure 3 shows that </w:t>
      </w:r>
      <w:r w:rsidRPr="000A399D">
        <w:rPr>
          <w:vertAlign w:val="superscript"/>
        </w:rPr>
        <w:t>228</w:t>
      </w:r>
      <w:r w:rsidRPr="009B371D">
        <w:t xml:space="preserve">Ra activity concentrations in mussels collected in 2013 were higher on average as well, although the </w:t>
      </w:r>
      <w:r w:rsidRPr="000A399D">
        <w:rPr>
          <w:vertAlign w:val="superscript"/>
        </w:rPr>
        <w:t>228</w:t>
      </w:r>
      <w:r w:rsidRPr="009B371D">
        <w:t xml:space="preserve">Ra isotope is a member of the thorium decay series. In addition, Figure 3 shows that, compared to previous collections, the </w:t>
      </w:r>
      <w:r w:rsidRPr="000A399D">
        <w:rPr>
          <w:vertAlign w:val="superscript"/>
        </w:rPr>
        <w:t>228</w:t>
      </w:r>
      <w:r w:rsidRPr="009B371D">
        <w:t>Ra /</w:t>
      </w:r>
      <w:r w:rsidRPr="000A399D">
        <w:rPr>
          <w:vertAlign w:val="superscript"/>
        </w:rPr>
        <w:t>226</w:t>
      </w:r>
      <w:r w:rsidRPr="009B371D">
        <w:t xml:space="preserve">Ra activity ratios in aged mussels have not changed in 2013, indicating that the increase in </w:t>
      </w:r>
      <w:r w:rsidRPr="001A5831">
        <w:rPr>
          <w:vertAlign w:val="superscript"/>
        </w:rPr>
        <w:t>226</w:t>
      </w:r>
      <w:r w:rsidRPr="009B371D">
        <w:t xml:space="preserve">Ra activity concentrations are not due to any mine related increases in water </w:t>
      </w:r>
      <w:r w:rsidRPr="000A399D">
        <w:rPr>
          <w:vertAlign w:val="superscript"/>
        </w:rPr>
        <w:t>226</w:t>
      </w:r>
      <w:r w:rsidRPr="009B371D">
        <w:t xml:space="preserve">Ra activity concentrations. This is confirmed by the low water </w:t>
      </w:r>
      <w:r w:rsidRPr="000A399D">
        <w:rPr>
          <w:vertAlign w:val="superscript"/>
        </w:rPr>
        <w:t>226</w:t>
      </w:r>
      <w:r w:rsidRPr="009B371D">
        <w:t>Ra activity concentration in Mudginberri Billabong in Oct</w:t>
      </w:r>
      <w:r>
        <w:t xml:space="preserve">ober 2013 of only 1.46 ± 0.14 mBq </w:t>
      </w:r>
      <w:r w:rsidRPr="009B371D">
        <w:t>L</w:t>
      </w:r>
      <w:r w:rsidRPr="005E369F">
        <w:rPr>
          <w:vertAlign w:val="superscript"/>
        </w:rPr>
        <w:t>-1</w:t>
      </w:r>
      <w:r w:rsidRPr="009B371D">
        <w:t>.</w:t>
      </w:r>
    </w:p>
    <w:p w:rsidR="00B6698B" w:rsidRPr="009B371D" w:rsidRDefault="00B6698B" w:rsidP="00B6698B">
      <w:pPr>
        <w:jc w:val="center"/>
        <w:rPr>
          <w:highlight w:val="yellow"/>
        </w:rPr>
      </w:pPr>
      <w:r w:rsidRPr="001C30B8">
        <w:rPr>
          <w:noProof/>
          <w:lang w:eastAsia="en-AU"/>
        </w:rPr>
        <w:drawing>
          <wp:inline distT="0" distB="0" distL="0" distR="0">
            <wp:extent cx="4723749" cy="2252869"/>
            <wp:effectExtent l="19050" t="0" r="651" b="0"/>
            <wp:docPr id="1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1" cstate="screen"/>
                    <a:srcRect/>
                    <a:stretch>
                      <a:fillRect/>
                    </a:stretch>
                  </pic:blipFill>
                  <pic:spPr bwMode="auto">
                    <a:xfrm>
                      <a:off x="0" y="0"/>
                      <a:ext cx="4727575" cy="2254694"/>
                    </a:xfrm>
                    <a:prstGeom prst="rect">
                      <a:avLst/>
                    </a:prstGeom>
                    <a:noFill/>
                    <a:ln w="9525">
                      <a:noFill/>
                      <a:miter lim="800000"/>
                      <a:headEnd/>
                      <a:tailEnd/>
                    </a:ln>
                  </pic:spPr>
                </pic:pic>
              </a:graphicData>
            </a:graphic>
          </wp:inline>
        </w:drawing>
      </w:r>
    </w:p>
    <w:p w:rsidR="00B6698B" w:rsidRPr="00C74D63" w:rsidRDefault="00B6698B" w:rsidP="00B6698B">
      <w:pPr>
        <w:jc w:val="center"/>
        <w:rPr>
          <w:rFonts w:ascii="Arial" w:hAnsi="Arial"/>
          <w:bCs/>
          <w:noProof/>
          <w:sz w:val="18"/>
          <w:szCs w:val="18"/>
          <w:lang w:val="en-US"/>
        </w:rPr>
      </w:pPr>
      <w:r w:rsidRPr="00C74D63">
        <w:rPr>
          <w:rFonts w:ascii="Arial" w:hAnsi="Arial"/>
          <w:b/>
          <w:bCs/>
          <w:noProof/>
          <w:sz w:val="18"/>
          <w:szCs w:val="18"/>
          <w:lang w:val="en-US"/>
        </w:rPr>
        <w:t xml:space="preserve">Figure 3 </w:t>
      </w:r>
      <w:r w:rsidRPr="00C74D63">
        <w:rPr>
          <w:rFonts w:ascii="Arial" w:hAnsi="Arial"/>
          <w:bCs/>
          <w:noProof/>
          <w:snapToGrid w:val="0"/>
          <w:color w:val="000000"/>
          <w:position w:val="4"/>
          <w:sz w:val="18"/>
          <w:szCs w:val="18"/>
          <w:u w:color="000000"/>
          <w:lang w:val="en-US" w:eastAsia="en-AU"/>
        </w:rPr>
        <w:t>228</w:t>
      </w:r>
      <w:r w:rsidRPr="00C74D63">
        <w:rPr>
          <w:rFonts w:ascii="Arial" w:hAnsi="Arial"/>
          <w:bCs/>
          <w:noProof/>
          <w:sz w:val="18"/>
          <w:szCs w:val="18"/>
          <w:lang w:val="en-US" w:eastAsia="en-AU"/>
        </w:rPr>
        <w:t xml:space="preserve">Ra activity concentrations and </w:t>
      </w:r>
      <w:r w:rsidRPr="00C74D63">
        <w:rPr>
          <w:rFonts w:ascii="Arial" w:hAnsi="Arial"/>
          <w:bCs/>
          <w:noProof/>
          <w:snapToGrid w:val="0"/>
          <w:color w:val="000000"/>
          <w:position w:val="4"/>
          <w:sz w:val="18"/>
          <w:szCs w:val="18"/>
          <w:u w:color="000000"/>
          <w:lang w:val="en-US" w:eastAsia="en-AU"/>
        </w:rPr>
        <w:t>228</w:t>
      </w:r>
      <w:r w:rsidRPr="00C74D63">
        <w:rPr>
          <w:rFonts w:ascii="Arial" w:hAnsi="Arial"/>
          <w:bCs/>
          <w:noProof/>
          <w:sz w:val="18"/>
          <w:szCs w:val="18"/>
          <w:lang w:val="en-US" w:eastAsia="en-AU"/>
        </w:rPr>
        <w:t>Ra/</w:t>
      </w:r>
      <w:r w:rsidRPr="00C74D63">
        <w:rPr>
          <w:rFonts w:ascii="Arial" w:hAnsi="Arial"/>
          <w:bCs/>
          <w:noProof/>
          <w:snapToGrid w:val="0"/>
          <w:color w:val="000000"/>
          <w:position w:val="4"/>
          <w:sz w:val="18"/>
          <w:szCs w:val="18"/>
          <w:u w:color="000000"/>
          <w:lang w:val="en-US" w:eastAsia="en-AU"/>
        </w:rPr>
        <w:t>226</w:t>
      </w:r>
      <w:r w:rsidRPr="00C74D63">
        <w:rPr>
          <w:rFonts w:ascii="Arial" w:hAnsi="Arial"/>
          <w:bCs/>
          <w:noProof/>
          <w:sz w:val="18"/>
          <w:szCs w:val="18"/>
          <w:lang w:val="en-US" w:eastAsia="en-AU"/>
        </w:rPr>
        <w:t>Ra activity ratios in dry mussel flesh from Mudginberri Billabong plotted against mussel age. Averages of previous end of dry season collections (2000–12) are shown as solid symbols, open symbols show the results from the 2013 collection.</w:t>
      </w:r>
    </w:p>
    <w:p w:rsidR="00B6698B" w:rsidRPr="009B371D" w:rsidRDefault="00B6698B" w:rsidP="00C03DA2">
      <w:pPr>
        <w:pStyle w:val="Heading3"/>
      </w:pPr>
      <w:r w:rsidRPr="009B371D">
        <w:t>Arsenic, cadmium and lead in mussel and fish tissue from Mudginberri Billabong</w:t>
      </w:r>
    </w:p>
    <w:p w:rsidR="00B6698B" w:rsidRPr="00430FEA" w:rsidRDefault="00B6698B" w:rsidP="00B6698B">
      <w:r>
        <w:t>Table 1</w:t>
      </w:r>
      <w:r w:rsidRPr="009B371D">
        <w:t xml:space="preserve"> shows the </w:t>
      </w:r>
      <w:r>
        <w:t>typical</w:t>
      </w:r>
      <w:r w:rsidRPr="009B371D">
        <w:t xml:space="preserve"> concentrations of arsenic (As), cadmium (Cd) and lead (Pb) measured in mussel and fish tissue collected during past monitoring in Mudginberri Billabong. </w:t>
      </w:r>
      <w:r>
        <w:t>C</w:t>
      </w:r>
      <w:r w:rsidRPr="00430FEA">
        <w:t>oncentrations, in particula</w:t>
      </w:r>
      <w:r>
        <w:t xml:space="preserve">r in fish tissue, are low and 5 - </w:t>
      </w:r>
      <w:r w:rsidRPr="00430FEA">
        <w:t xml:space="preserve">100 times lower than the maximum levels in fish and molluscs given in the Australian/New Zealand </w:t>
      </w:r>
      <w:r>
        <w:t>F</w:t>
      </w:r>
      <w:r w:rsidRPr="00430FEA">
        <w:t xml:space="preserve">ood </w:t>
      </w:r>
      <w:r>
        <w:t>S</w:t>
      </w:r>
      <w:r w:rsidRPr="00430FEA">
        <w:t>tandard</w:t>
      </w:r>
      <w:r>
        <w:t>s (FSANZ 2010)</w:t>
      </w:r>
      <w:r w:rsidRPr="00430FEA">
        <w:t>. Population of th</w:t>
      </w:r>
      <w:r>
        <w:t>e</w:t>
      </w:r>
      <w:r w:rsidRPr="00430FEA">
        <w:t xml:space="preserve"> database with metal concentration data for various </w:t>
      </w:r>
      <w:r>
        <w:t xml:space="preserve">bush </w:t>
      </w:r>
      <w:r w:rsidRPr="00430FEA">
        <w:t>food items is ongoing and more results will be presented in future reports.</w:t>
      </w:r>
    </w:p>
    <w:tbl>
      <w:tblPr>
        <w:tblW w:w="8046" w:type="dxa"/>
        <w:tblLook w:val="04A0"/>
      </w:tblPr>
      <w:tblGrid>
        <w:gridCol w:w="980"/>
        <w:gridCol w:w="688"/>
        <w:gridCol w:w="2126"/>
        <w:gridCol w:w="1843"/>
        <w:gridCol w:w="2409"/>
      </w:tblGrid>
      <w:tr w:rsidR="00B6698B" w:rsidRPr="00F31626" w:rsidTr="00E154E1">
        <w:trPr>
          <w:trHeight w:val="760"/>
        </w:trPr>
        <w:tc>
          <w:tcPr>
            <w:tcW w:w="8046" w:type="dxa"/>
            <w:gridSpan w:val="5"/>
            <w:tcBorders>
              <w:top w:val="nil"/>
              <w:left w:val="nil"/>
              <w:bottom w:val="single" w:sz="4" w:space="0" w:color="auto"/>
              <w:right w:val="nil"/>
            </w:tcBorders>
            <w:shd w:val="clear" w:color="auto" w:fill="auto"/>
          </w:tcPr>
          <w:p w:rsidR="00B6698B" w:rsidRPr="00A51D4D" w:rsidRDefault="00B6698B" w:rsidP="00E154E1">
            <w:pPr>
              <w:pStyle w:val="tablecaption"/>
              <w:rPr>
                <w:u w:color="000000"/>
              </w:rPr>
            </w:pPr>
            <w:r w:rsidRPr="00A51D4D">
              <w:rPr>
                <w:b/>
                <w:u w:color="000000"/>
              </w:rPr>
              <w:t>Table 1</w:t>
            </w:r>
            <w:r w:rsidRPr="00A51D4D">
              <w:rPr>
                <w:u w:color="000000"/>
              </w:rPr>
              <w:t xml:space="preserve"> Maximum levels for metal contaminants in fish and molluscs given in the Australian/New Zealand food standard (FSANZ 2010) and typical concentrations (mg kg</w:t>
            </w:r>
            <w:r w:rsidRPr="004344D8">
              <w:rPr>
                <w:vertAlign w:val="superscript"/>
              </w:rPr>
              <w:t>-1</w:t>
            </w:r>
            <w:r w:rsidRPr="00A51D4D">
              <w:rPr>
                <w:u w:color="000000"/>
              </w:rPr>
              <w:t xml:space="preserve"> wet weight) measured in fish and mussel tissue collected from Mudginberri and Sandy Billabongs</w:t>
            </w:r>
            <w:r>
              <w:rPr>
                <w:u w:color="000000"/>
              </w:rPr>
              <w:t>.</w:t>
            </w:r>
          </w:p>
        </w:tc>
      </w:tr>
      <w:tr w:rsidR="00B6698B" w:rsidRPr="00F31626" w:rsidTr="00E154E1">
        <w:tc>
          <w:tcPr>
            <w:tcW w:w="980" w:type="dxa"/>
            <w:tcBorders>
              <w:top w:val="single" w:sz="4" w:space="0" w:color="auto"/>
              <w:left w:val="nil"/>
              <w:bottom w:val="single" w:sz="4" w:space="0" w:color="auto"/>
              <w:right w:val="nil"/>
            </w:tcBorders>
          </w:tcPr>
          <w:p w:rsidR="00B6698B" w:rsidRPr="00A51D4D" w:rsidRDefault="00B6698B" w:rsidP="00E154E1">
            <w:pPr>
              <w:pStyle w:val="table1"/>
              <w:rPr>
                <w:rFonts w:eastAsia="Arial Unicode MS"/>
                <w:b/>
                <w:color w:val="000000"/>
                <w:u w:color="000000"/>
              </w:rPr>
            </w:pPr>
            <w:r w:rsidRPr="00A51D4D">
              <w:rPr>
                <w:rFonts w:eastAsia="Arial Unicode MS"/>
                <w:b/>
                <w:color w:val="000000"/>
                <w:u w:color="000000"/>
              </w:rPr>
              <w:t>Biota</w:t>
            </w:r>
          </w:p>
        </w:tc>
        <w:tc>
          <w:tcPr>
            <w:tcW w:w="688" w:type="dxa"/>
            <w:tcBorders>
              <w:top w:val="single" w:sz="4" w:space="0" w:color="auto"/>
              <w:left w:val="nil"/>
              <w:bottom w:val="single" w:sz="4" w:space="0" w:color="auto"/>
              <w:right w:val="nil"/>
            </w:tcBorders>
          </w:tcPr>
          <w:p w:rsidR="00B6698B" w:rsidRPr="00A51D4D" w:rsidRDefault="00B6698B" w:rsidP="00E154E1">
            <w:pPr>
              <w:pStyle w:val="table1"/>
              <w:rPr>
                <w:rFonts w:eastAsia="Arial Unicode MS"/>
                <w:b/>
                <w:color w:val="000000"/>
                <w:u w:color="000000"/>
              </w:rPr>
            </w:pPr>
          </w:p>
        </w:tc>
        <w:tc>
          <w:tcPr>
            <w:tcW w:w="2126" w:type="dxa"/>
            <w:tcBorders>
              <w:top w:val="single" w:sz="4" w:space="0" w:color="auto"/>
              <w:left w:val="nil"/>
              <w:bottom w:val="single" w:sz="4" w:space="0" w:color="auto"/>
              <w:right w:val="nil"/>
            </w:tcBorders>
          </w:tcPr>
          <w:p w:rsidR="00B6698B" w:rsidRPr="00A51D4D" w:rsidRDefault="00B6698B" w:rsidP="00E154E1">
            <w:pPr>
              <w:pStyle w:val="table1"/>
              <w:rPr>
                <w:rFonts w:eastAsia="Arial Unicode MS"/>
                <w:b/>
                <w:color w:val="000000"/>
                <w:u w:color="000000"/>
              </w:rPr>
            </w:pPr>
            <w:r w:rsidRPr="00A51D4D">
              <w:rPr>
                <w:rFonts w:eastAsia="Arial Unicode MS"/>
                <w:b/>
                <w:color w:val="000000"/>
                <w:u w:color="000000"/>
              </w:rPr>
              <w:t xml:space="preserve">Aus/NZ </w:t>
            </w:r>
            <w:r w:rsidRPr="00A51D4D">
              <w:rPr>
                <w:rFonts w:eastAsia="Arial Unicode MS"/>
                <w:b/>
                <w:color w:val="000000"/>
                <w:u w:color="000000"/>
              </w:rPr>
              <w:br/>
              <w:t>Food Standard</w:t>
            </w:r>
          </w:p>
        </w:tc>
        <w:tc>
          <w:tcPr>
            <w:tcW w:w="1843" w:type="dxa"/>
            <w:tcBorders>
              <w:top w:val="single" w:sz="4" w:space="0" w:color="auto"/>
              <w:left w:val="nil"/>
              <w:bottom w:val="single" w:sz="4" w:space="0" w:color="auto"/>
              <w:right w:val="nil"/>
            </w:tcBorders>
          </w:tcPr>
          <w:p w:rsidR="00B6698B" w:rsidRPr="00A51D4D" w:rsidRDefault="00B6698B" w:rsidP="00E154E1">
            <w:pPr>
              <w:pStyle w:val="table1"/>
              <w:rPr>
                <w:rFonts w:eastAsia="Arial Unicode MS"/>
                <w:b/>
                <w:color w:val="000000"/>
                <w:u w:color="000000"/>
              </w:rPr>
            </w:pPr>
            <w:r w:rsidRPr="00A51D4D">
              <w:rPr>
                <w:rFonts w:eastAsia="Arial Unicode MS"/>
                <w:b/>
                <w:color w:val="000000"/>
                <w:u w:color="000000"/>
              </w:rPr>
              <w:t xml:space="preserve">Mudginberri </w:t>
            </w:r>
            <w:r w:rsidRPr="00A51D4D">
              <w:rPr>
                <w:rFonts w:eastAsia="Arial Unicode MS"/>
                <w:b/>
                <w:color w:val="000000"/>
                <w:u w:color="000000"/>
              </w:rPr>
              <w:br/>
              <w:t>Billabong</w:t>
            </w:r>
            <w:r w:rsidRPr="00763105">
              <w:rPr>
                <w:rFonts w:eastAsia="Arial Unicode MS"/>
                <w:b/>
                <w:snapToGrid w:val="0"/>
                <w:color w:val="000000"/>
                <w:position w:val="4"/>
                <w:sz w:val="11"/>
                <w:szCs w:val="0"/>
                <w:u w:color="000000"/>
              </w:rPr>
              <w:t>1</w:t>
            </w:r>
          </w:p>
        </w:tc>
        <w:tc>
          <w:tcPr>
            <w:tcW w:w="2409" w:type="dxa"/>
            <w:tcBorders>
              <w:top w:val="single" w:sz="4" w:space="0" w:color="auto"/>
              <w:left w:val="nil"/>
              <w:bottom w:val="single" w:sz="4" w:space="0" w:color="auto"/>
              <w:right w:val="nil"/>
            </w:tcBorders>
          </w:tcPr>
          <w:p w:rsidR="00B6698B" w:rsidRPr="00A51D4D" w:rsidRDefault="00B6698B" w:rsidP="00E154E1">
            <w:pPr>
              <w:pStyle w:val="table1"/>
              <w:rPr>
                <w:rFonts w:eastAsia="Arial Unicode MS"/>
                <w:b/>
                <w:color w:val="000000"/>
                <w:u w:color="000000"/>
              </w:rPr>
            </w:pPr>
            <w:r w:rsidRPr="00A51D4D">
              <w:rPr>
                <w:rFonts w:eastAsia="Arial Unicode MS"/>
                <w:b/>
                <w:color w:val="000000"/>
                <w:u w:color="000000"/>
              </w:rPr>
              <w:t xml:space="preserve">Sandy </w:t>
            </w:r>
            <w:r w:rsidRPr="00A51D4D">
              <w:rPr>
                <w:rFonts w:eastAsia="Arial Unicode MS"/>
                <w:b/>
                <w:color w:val="000000"/>
                <w:u w:color="000000"/>
              </w:rPr>
              <w:br/>
              <w:t>Billabong</w:t>
            </w:r>
            <w:r w:rsidRPr="00763105">
              <w:rPr>
                <w:rFonts w:eastAsia="Arial Unicode MS"/>
                <w:b/>
                <w:snapToGrid w:val="0"/>
                <w:color w:val="000000"/>
                <w:position w:val="4"/>
                <w:sz w:val="11"/>
                <w:szCs w:val="0"/>
                <w:u w:color="000000"/>
              </w:rPr>
              <w:t>1</w:t>
            </w:r>
          </w:p>
        </w:tc>
      </w:tr>
      <w:tr w:rsidR="00B6698B" w:rsidRPr="00F31626" w:rsidTr="00E154E1">
        <w:tc>
          <w:tcPr>
            <w:tcW w:w="980" w:type="dxa"/>
            <w:vMerge w:val="restart"/>
            <w:tcBorders>
              <w:top w:val="single" w:sz="4" w:space="0" w:color="auto"/>
              <w:left w:val="nil"/>
              <w:right w:val="nil"/>
            </w:tcBorders>
            <w:vAlign w:val="center"/>
          </w:tcPr>
          <w:p w:rsidR="00B6698B" w:rsidRPr="00A51D4D" w:rsidRDefault="00B6698B" w:rsidP="00E154E1">
            <w:pPr>
              <w:pStyle w:val="table1"/>
              <w:rPr>
                <w:rFonts w:eastAsia="Arial Unicode MS" w:cs="Arial"/>
                <w:color w:val="000000"/>
                <w:szCs w:val="18"/>
                <w:u w:color="000000"/>
              </w:rPr>
            </w:pPr>
            <w:r w:rsidRPr="00A51D4D">
              <w:rPr>
                <w:rFonts w:eastAsia="Arial Unicode MS" w:cs="Arial"/>
                <w:color w:val="000000"/>
                <w:szCs w:val="18"/>
                <w:u w:color="000000"/>
              </w:rPr>
              <w:t>Fish</w:t>
            </w:r>
            <w:r w:rsidRPr="00763105">
              <w:rPr>
                <w:rFonts w:eastAsia="Arial Unicode MS"/>
                <w:snapToGrid w:val="0"/>
                <w:color w:val="000000"/>
                <w:position w:val="4"/>
                <w:sz w:val="11"/>
                <w:szCs w:val="0"/>
                <w:u w:color="000000"/>
              </w:rPr>
              <w:t>2</w:t>
            </w:r>
          </w:p>
        </w:tc>
        <w:tc>
          <w:tcPr>
            <w:tcW w:w="688" w:type="dxa"/>
            <w:tcBorders>
              <w:top w:val="single" w:sz="4" w:space="0" w:color="auto"/>
              <w:left w:val="nil"/>
              <w:bottom w:val="nil"/>
              <w:right w:val="nil"/>
            </w:tcBorders>
          </w:tcPr>
          <w:p w:rsidR="00B6698B" w:rsidRPr="00A51D4D" w:rsidRDefault="00B6698B" w:rsidP="00E154E1">
            <w:pPr>
              <w:pStyle w:val="table1"/>
              <w:rPr>
                <w:rFonts w:eastAsia="Arial Unicode MS" w:cs="Arial"/>
                <w:color w:val="000000"/>
                <w:szCs w:val="18"/>
                <w:u w:color="000000"/>
              </w:rPr>
            </w:pPr>
            <w:r w:rsidRPr="00A51D4D">
              <w:rPr>
                <w:rFonts w:eastAsia="Arial Unicode MS" w:cs="Arial"/>
                <w:color w:val="000000"/>
                <w:szCs w:val="18"/>
                <w:u w:color="000000"/>
              </w:rPr>
              <w:t>As</w:t>
            </w:r>
          </w:p>
        </w:tc>
        <w:tc>
          <w:tcPr>
            <w:tcW w:w="2126" w:type="dxa"/>
            <w:tcBorders>
              <w:top w:val="single" w:sz="4" w:space="0" w:color="auto"/>
              <w:left w:val="nil"/>
              <w:bottom w:val="nil"/>
              <w:right w:val="nil"/>
            </w:tcBorders>
          </w:tcPr>
          <w:p w:rsidR="00B6698B" w:rsidRPr="00A51D4D" w:rsidRDefault="00B6698B" w:rsidP="00E154E1">
            <w:pPr>
              <w:pStyle w:val="table1"/>
              <w:rPr>
                <w:rFonts w:eastAsia="Arial Unicode MS" w:cs="Arial"/>
                <w:color w:val="000000"/>
                <w:szCs w:val="18"/>
                <w:u w:color="000000"/>
              </w:rPr>
            </w:pPr>
            <w:r w:rsidRPr="00A51D4D">
              <w:rPr>
                <w:rFonts w:eastAsia="Arial Unicode MS" w:cs="Arial"/>
                <w:color w:val="000000"/>
                <w:szCs w:val="18"/>
                <w:u w:color="000000"/>
              </w:rPr>
              <w:t>2.0</w:t>
            </w:r>
          </w:p>
        </w:tc>
        <w:tc>
          <w:tcPr>
            <w:tcW w:w="1843" w:type="dxa"/>
            <w:tcBorders>
              <w:top w:val="single" w:sz="4" w:space="0" w:color="auto"/>
              <w:left w:val="nil"/>
              <w:bottom w:val="nil"/>
              <w:right w:val="nil"/>
            </w:tcBorders>
          </w:tcPr>
          <w:p w:rsidR="00B6698B" w:rsidRPr="00A51D4D" w:rsidRDefault="00B6698B" w:rsidP="00E154E1">
            <w:pPr>
              <w:pStyle w:val="table1"/>
              <w:rPr>
                <w:rFonts w:eastAsia="Arial Unicode MS" w:cs="Arial"/>
                <w:color w:val="000000"/>
                <w:szCs w:val="18"/>
                <w:u w:color="000000"/>
              </w:rPr>
            </w:pPr>
            <w:r w:rsidRPr="00A51D4D">
              <w:rPr>
                <w:rFonts w:cs="Arial"/>
                <w:color w:val="000000"/>
                <w:szCs w:val="18"/>
                <w:u w:color="000000"/>
              </w:rPr>
              <w:t>0.02; 2.6  (32)</w:t>
            </w:r>
          </w:p>
        </w:tc>
        <w:tc>
          <w:tcPr>
            <w:tcW w:w="2409" w:type="dxa"/>
            <w:tcBorders>
              <w:top w:val="single" w:sz="4" w:space="0" w:color="auto"/>
              <w:left w:val="nil"/>
              <w:bottom w:val="nil"/>
              <w:right w:val="nil"/>
            </w:tcBorders>
          </w:tcPr>
          <w:p w:rsidR="00B6698B" w:rsidRPr="00A51D4D" w:rsidRDefault="00B6698B" w:rsidP="00E154E1">
            <w:pPr>
              <w:pStyle w:val="table1"/>
              <w:rPr>
                <w:rFonts w:eastAsia="Arial Unicode MS" w:cs="Arial"/>
                <w:color w:val="000000"/>
                <w:szCs w:val="18"/>
                <w:u w:color="000000"/>
              </w:rPr>
            </w:pPr>
            <w:r w:rsidRPr="00A51D4D">
              <w:rPr>
                <w:rFonts w:cs="Arial"/>
                <w:color w:val="000000"/>
                <w:szCs w:val="18"/>
                <w:u w:color="000000"/>
              </w:rPr>
              <w:t>0.01; 1.7     (20)</w:t>
            </w:r>
          </w:p>
        </w:tc>
      </w:tr>
      <w:tr w:rsidR="00B6698B" w:rsidRPr="00F31626" w:rsidTr="00E154E1">
        <w:tc>
          <w:tcPr>
            <w:tcW w:w="980" w:type="dxa"/>
            <w:vMerge/>
            <w:tcBorders>
              <w:left w:val="nil"/>
              <w:right w:val="nil"/>
            </w:tcBorders>
          </w:tcPr>
          <w:p w:rsidR="00B6698B" w:rsidRPr="00A51D4D" w:rsidRDefault="00B6698B" w:rsidP="00E154E1">
            <w:pPr>
              <w:pStyle w:val="table1"/>
              <w:rPr>
                <w:rFonts w:eastAsia="Arial Unicode MS" w:cs="Arial"/>
                <w:color w:val="000000"/>
                <w:szCs w:val="18"/>
                <w:u w:color="000000"/>
              </w:rPr>
            </w:pPr>
          </w:p>
        </w:tc>
        <w:tc>
          <w:tcPr>
            <w:tcW w:w="688" w:type="dxa"/>
            <w:tcBorders>
              <w:top w:val="nil"/>
              <w:left w:val="nil"/>
              <w:bottom w:val="nil"/>
              <w:right w:val="nil"/>
            </w:tcBorders>
          </w:tcPr>
          <w:p w:rsidR="00B6698B" w:rsidRPr="00A51D4D" w:rsidRDefault="00B6698B" w:rsidP="00E154E1">
            <w:pPr>
              <w:pStyle w:val="table1"/>
              <w:rPr>
                <w:rFonts w:eastAsia="Arial Unicode MS" w:cs="Arial"/>
                <w:color w:val="000000"/>
                <w:szCs w:val="18"/>
                <w:u w:color="000000"/>
              </w:rPr>
            </w:pPr>
            <w:r w:rsidRPr="00A51D4D">
              <w:rPr>
                <w:rFonts w:eastAsia="Arial Unicode MS" w:cs="Arial"/>
                <w:color w:val="000000"/>
                <w:szCs w:val="18"/>
                <w:u w:color="000000"/>
              </w:rPr>
              <w:t>Cd</w:t>
            </w:r>
          </w:p>
        </w:tc>
        <w:tc>
          <w:tcPr>
            <w:tcW w:w="2126" w:type="dxa"/>
            <w:tcBorders>
              <w:top w:val="nil"/>
              <w:left w:val="nil"/>
              <w:bottom w:val="nil"/>
              <w:right w:val="nil"/>
            </w:tcBorders>
          </w:tcPr>
          <w:p w:rsidR="00B6698B" w:rsidRPr="00A51D4D" w:rsidRDefault="00B6698B" w:rsidP="00E154E1">
            <w:pPr>
              <w:pStyle w:val="table1"/>
              <w:rPr>
                <w:rFonts w:eastAsia="Arial Unicode MS" w:cs="Arial"/>
                <w:color w:val="000000"/>
                <w:szCs w:val="18"/>
                <w:u w:color="000000"/>
              </w:rPr>
            </w:pPr>
            <w:r w:rsidRPr="00A51D4D">
              <w:rPr>
                <w:rFonts w:eastAsia="Arial Unicode MS" w:cs="Arial"/>
                <w:color w:val="000000"/>
                <w:szCs w:val="18"/>
                <w:u w:color="000000"/>
              </w:rPr>
              <w:t>0.2</w:t>
            </w:r>
            <w:r w:rsidRPr="00763105">
              <w:rPr>
                <w:rFonts w:eastAsia="Arial Unicode MS"/>
                <w:snapToGrid w:val="0"/>
                <w:color w:val="000000"/>
                <w:position w:val="4"/>
                <w:sz w:val="11"/>
                <w:szCs w:val="0"/>
                <w:u w:color="000000"/>
              </w:rPr>
              <w:t>3</w:t>
            </w:r>
          </w:p>
        </w:tc>
        <w:tc>
          <w:tcPr>
            <w:tcW w:w="1843" w:type="dxa"/>
            <w:tcBorders>
              <w:top w:val="nil"/>
              <w:left w:val="nil"/>
              <w:bottom w:val="nil"/>
              <w:right w:val="nil"/>
            </w:tcBorders>
          </w:tcPr>
          <w:p w:rsidR="00B6698B" w:rsidRPr="00A51D4D" w:rsidRDefault="00B6698B" w:rsidP="00E154E1">
            <w:pPr>
              <w:pStyle w:val="table1"/>
              <w:rPr>
                <w:rFonts w:eastAsia="Arial Unicode MS" w:cs="Arial"/>
                <w:color w:val="000000"/>
                <w:szCs w:val="18"/>
                <w:u w:color="000000"/>
              </w:rPr>
            </w:pPr>
            <w:r w:rsidRPr="00A51D4D">
              <w:rPr>
                <w:rFonts w:cs="Arial"/>
                <w:color w:val="000000"/>
                <w:szCs w:val="18"/>
                <w:u w:color="000000"/>
              </w:rPr>
              <w:t>0.01; 4.1  (44)</w:t>
            </w:r>
          </w:p>
        </w:tc>
        <w:tc>
          <w:tcPr>
            <w:tcW w:w="2409" w:type="dxa"/>
            <w:tcBorders>
              <w:top w:val="nil"/>
              <w:left w:val="nil"/>
              <w:bottom w:val="nil"/>
              <w:right w:val="nil"/>
            </w:tcBorders>
          </w:tcPr>
          <w:p w:rsidR="00B6698B" w:rsidRPr="00A51D4D" w:rsidRDefault="00B6698B" w:rsidP="00E154E1">
            <w:pPr>
              <w:pStyle w:val="table1"/>
              <w:rPr>
                <w:rFonts w:eastAsia="Arial Unicode MS" w:cs="Arial"/>
                <w:color w:val="000000"/>
                <w:szCs w:val="18"/>
                <w:u w:color="000000"/>
              </w:rPr>
            </w:pPr>
            <w:r w:rsidRPr="00A51D4D">
              <w:rPr>
                <w:rFonts w:cs="Arial"/>
                <w:color w:val="000000"/>
                <w:szCs w:val="18"/>
                <w:u w:color="000000"/>
              </w:rPr>
              <w:t>0.002; 1.9   (20)</w:t>
            </w:r>
          </w:p>
        </w:tc>
      </w:tr>
      <w:tr w:rsidR="00B6698B" w:rsidRPr="00F31626" w:rsidTr="00E154E1">
        <w:tc>
          <w:tcPr>
            <w:tcW w:w="980" w:type="dxa"/>
            <w:vMerge/>
            <w:tcBorders>
              <w:left w:val="nil"/>
              <w:bottom w:val="single" w:sz="4" w:space="0" w:color="auto"/>
              <w:right w:val="nil"/>
            </w:tcBorders>
          </w:tcPr>
          <w:p w:rsidR="00B6698B" w:rsidRPr="00A51D4D" w:rsidRDefault="00B6698B" w:rsidP="00E154E1">
            <w:pPr>
              <w:pStyle w:val="table1"/>
              <w:rPr>
                <w:rFonts w:eastAsia="Arial Unicode MS" w:cs="Arial"/>
                <w:color w:val="000000"/>
                <w:szCs w:val="18"/>
                <w:u w:color="000000"/>
              </w:rPr>
            </w:pPr>
          </w:p>
        </w:tc>
        <w:tc>
          <w:tcPr>
            <w:tcW w:w="688" w:type="dxa"/>
            <w:tcBorders>
              <w:top w:val="nil"/>
              <w:left w:val="nil"/>
              <w:bottom w:val="single" w:sz="4" w:space="0" w:color="auto"/>
              <w:right w:val="nil"/>
            </w:tcBorders>
          </w:tcPr>
          <w:p w:rsidR="00B6698B" w:rsidRPr="00A51D4D" w:rsidRDefault="00B6698B" w:rsidP="00E154E1">
            <w:pPr>
              <w:pStyle w:val="table1"/>
              <w:rPr>
                <w:rFonts w:eastAsia="Arial Unicode MS" w:cs="Arial"/>
                <w:color w:val="000000"/>
                <w:szCs w:val="18"/>
                <w:u w:color="000000"/>
              </w:rPr>
            </w:pPr>
            <w:r w:rsidRPr="00A51D4D">
              <w:rPr>
                <w:rFonts w:eastAsia="Arial Unicode MS" w:cs="Arial"/>
                <w:color w:val="000000"/>
                <w:szCs w:val="18"/>
                <w:u w:color="000000"/>
              </w:rPr>
              <w:t>Pb</w:t>
            </w:r>
          </w:p>
        </w:tc>
        <w:tc>
          <w:tcPr>
            <w:tcW w:w="2126" w:type="dxa"/>
            <w:tcBorders>
              <w:top w:val="nil"/>
              <w:left w:val="nil"/>
              <w:bottom w:val="single" w:sz="4" w:space="0" w:color="auto"/>
              <w:right w:val="nil"/>
            </w:tcBorders>
          </w:tcPr>
          <w:p w:rsidR="00B6698B" w:rsidRPr="00A51D4D" w:rsidRDefault="00B6698B" w:rsidP="00E154E1">
            <w:pPr>
              <w:pStyle w:val="table1"/>
              <w:rPr>
                <w:rFonts w:eastAsia="Arial Unicode MS" w:cs="Arial"/>
                <w:color w:val="000000"/>
                <w:szCs w:val="18"/>
                <w:u w:color="000000"/>
              </w:rPr>
            </w:pPr>
            <w:r w:rsidRPr="00A51D4D">
              <w:rPr>
                <w:rFonts w:eastAsia="Arial Unicode MS" w:cs="Arial"/>
                <w:color w:val="000000"/>
                <w:szCs w:val="18"/>
                <w:u w:color="000000"/>
              </w:rPr>
              <w:t>0.5</w:t>
            </w:r>
          </w:p>
        </w:tc>
        <w:tc>
          <w:tcPr>
            <w:tcW w:w="1843" w:type="dxa"/>
            <w:tcBorders>
              <w:top w:val="nil"/>
              <w:left w:val="nil"/>
              <w:bottom w:val="single" w:sz="4" w:space="0" w:color="auto"/>
              <w:right w:val="nil"/>
            </w:tcBorders>
          </w:tcPr>
          <w:p w:rsidR="00B6698B" w:rsidRPr="00A51D4D" w:rsidRDefault="00B6698B" w:rsidP="00E154E1">
            <w:pPr>
              <w:pStyle w:val="table1"/>
              <w:rPr>
                <w:rFonts w:eastAsia="Arial Unicode MS" w:cs="Arial"/>
                <w:color w:val="000000"/>
                <w:szCs w:val="18"/>
                <w:u w:color="000000"/>
                <w:lang w:eastAsia="en-AU"/>
              </w:rPr>
            </w:pPr>
            <w:r w:rsidRPr="00A51D4D">
              <w:rPr>
                <w:rFonts w:cs="Arial"/>
                <w:color w:val="000000"/>
                <w:szCs w:val="18"/>
                <w:u w:color="000000"/>
              </w:rPr>
              <w:t>0.03; 2.8  (44)</w:t>
            </w:r>
          </w:p>
        </w:tc>
        <w:tc>
          <w:tcPr>
            <w:tcW w:w="2409" w:type="dxa"/>
            <w:tcBorders>
              <w:top w:val="nil"/>
              <w:left w:val="nil"/>
              <w:bottom w:val="single" w:sz="4" w:space="0" w:color="auto"/>
              <w:right w:val="nil"/>
            </w:tcBorders>
          </w:tcPr>
          <w:p w:rsidR="00B6698B" w:rsidRPr="00A51D4D" w:rsidRDefault="00B6698B" w:rsidP="00E154E1">
            <w:pPr>
              <w:pStyle w:val="table1"/>
              <w:rPr>
                <w:rFonts w:eastAsia="Arial Unicode MS" w:cs="Arial"/>
                <w:color w:val="000000"/>
                <w:szCs w:val="18"/>
                <w:u w:color="000000"/>
              </w:rPr>
            </w:pPr>
            <w:r w:rsidRPr="00A51D4D">
              <w:rPr>
                <w:rFonts w:cs="Arial"/>
                <w:color w:val="000000"/>
                <w:szCs w:val="18"/>
                <w:u w:color="000000"/>
              </w:rPr>
              <w:t>0.01; 1.8     (20)</w:t>
            </w:r>
          </w:p>
        </w:tc>
      </w:tr>
      <w:tr w:rsidR="00B6698B" w:rsidRPr="00F31626" w:rsidTr="00E154E1">
        <w:tc>
          <w:tcPr>
            <w:tcW w:w="980" w:type="dxa"/>
            <w:vMerge w:val="restart"/>
            <w:tcBorders>
              <w:top w:val="single" w:sz="4" w:space="0" w:color="auto"/>
              <w:left w:val="nil"/>
              <w:bottom w:val="nil"/>
              <w:right w:val="nil"/>
            </w:tcBorders>
            <w:vAlign w:val="center"/>
          </w:tcPr>
          <w:p w:rsidR="00B6698B" w:rsidRPr="00A51D4D" w:rsidRDefault="00B6698B" w:rsidP="00E154E1">
            <w:pPr>
              <w:pStyle w:val="table1"/>
              <w:rPr>
                <w:rFonts w:eastAsia="Arial Unicode MS" w:cs="Arial"/>
                <w:color w:val="000000"/>
                <w:szCs w:val="18"/>
                <w:u w:color="000000"/>
              </w:rPr>
            </w:pPr>
            <w:r w:rsidRPr="00A51D4D">
              <w:rPr>
                <w:rFonts w:eastAsia="Arial Unicode MS" w:cs="Arial"/>
                <w:color w:val="000000"/>
                <w:szCs w:val="18"/>
                <w:u w:color="000000"/>
              </w:rPr>
              <w:t>Molluscs</w:t>
            </w:r>
          </w:p>
        </w:tc>
        <w:tc>
          <w:tcPr>
            <w:tcW w:w="688" w:type="dxa"/>
            <w:tcBorders>
              <w:top w:val="single" w:sz="4" w:space="0" w:color="auto"/>
              <w:left w:val="nil"/>
              <w:bottom w:val="nil"/>
              <w:right w:val="nil"/>
            </w:tcBorders>
          </w:tcPr>
          <w:p w:rsidR="00B6698B" w:rsidRPr="00A51D4D" w:rsidRDefault="00B6698B" w:rsidP="00E154E1">
            <w:pPr>
              <w:pStyle w:val="table1"/>
              <w:rPr>
                <w:rFonts w:eastAsia="Arial Unicode MS" w:cs="Arial"/>
                <w:color w:val="000000"/>
                <w:szCs w:val="18"/>
                <w:u w:color="000000"/>
              </w:rPr>
            </w:pPr>
            <w:r w:rsidRPr="00A51D4D">
              <w:rPr>
                <w:rFonts w:eastAsia="Arial Unicode MS" w:cs="Arial"/>
                <w:color w:val="000000"/>
                <w:szCs w:val="18"/>
                <w:u w:color="000000"/>
              </w:rPr>
              <w:t>As</w:t>
            </w:r>
          </w:p>
        </w:tc>
        <w:tc>
          <w:tcPr>
            <w:tcW w:w="2126" w:type="dxa"/>
            <w:tcBorders>
              <w:top w:val="single" w:sz="4" w:space="0" w:color="auto"/>
              <w:left w:val="nil"/>
              <w:bottom w:val="nil"/>
              <w:right w:val="nil"/>
            </w:tcBorders>
          </w:tcPr>
          <w:p w:rsidR="00B6698B" w:rsidRPr="00A51D4D" w:rsidRDefault="00B6698B" w:rsidP="00E154E1">
            <w:pPr>
              <w:pStyle w:val="table1"/>
              <w:rPr>
                <w:rFonts w:eastAsia="Arial Unicode MS" w:cs="Arial"/>
                <w:color w:val="000000"/>
                <w:szCs w:val="18"/>
                <w:u w:color="000000"/>
              </w:rPr>
            </w:pPr>
            <w:r w:rsidRPr="00A51D4D">
              <w:rPr>
                <w:rFonts w:eastAsia="Arial Unicode MS" w:cs="Arial"/>
                <w:color w:val="000000"/>
                <w:szCs w:val="18"/>
                <w:u w:color="000000"/>
              </w:rPr>
              <w:t>1.0</w:t>
            </w:r>
          </w:p>
        </w:tc>
        <w:tc>
          <w:tcPr>
            <w:tcW w:w="1843" w:type="dxa"/>
            <w:tcBorders>
              <w:top w:val="single" w:sz="4" w:space="0" w:color="auto"/>
              <w:left w:val="nil"/>
              <w:bottom w:val="nil"/>
              <w:right w:val="nil"/>
            </w:tcBorders>
          </w:tcPr>
          <w:p w:rsidR="00B6698B" w:rsidRPr="00A51D4D" w:rsidRDefault="00B6698B" w:rsidP="00E154E1">
            <w:pPr>
              <w:pStyle w:val="table1"/>
              <w:rPr>
                <w:rFonts w:eastAsia="Arial Unicode MS" w:cs="Arial"/>
                <w:color w:val="000000"/>
                <w:szCs w:val="18"/>
                <w:u w:color="000000"/>
                <w:lang w:eastAsia="en-AU"/>
              </w:rPr>
            </w:pPr>
            <w:r w:rsidRPr="00A51D4D">
              <w:rPr>
                <w:rFonts w:cs="Arial"/>
                <w:color w:val="000000"/>
                <w:szCs w:val="18"/>
                <w:u w:color="000000"/>
              </w:rPr>
              <w:t>0.19; 1.4  (73)</w:t>
            </w:r>
          </w:p>
        </w:tc>
        <w:tc>
          <w:tcPr>
            <w:tcW w:w="2409" w:type="dxa"/>
            <w:tcBorders>
              <w:top w:val="single" w:sz="4" w:space="0" w:color="auto"/>
              <w:left w:val="nil"/>
              <w:bottom w:val="nil"/>
              <w:right w:val="nil"/>
            </w:tcBorders>
          </w:tcPr>
          <w:p w:rsidR="00B6698B" w:rsidRPr="00A51D4D" w:rsidRDefault="00B6698B" w:rsidP="00E154E1">
            <w:pPr>
              <w:pStyle w:val="table1"/>
              <w:rPr>
                <w:rFonts w:eastAsia="Arial Unicode MS" w:cs="Arial"/>
                <w:color w:val="000000"/>
                <w:szCs w:val="18"/>
                <w:u w:color="000000"/>
              </w:rPr>
            </w:pPr>
            <w:r w:rsidRPr="00A51D4D">
              <w:rPr>
                <w:rFonts w:cs="Arial"/>
                <w:color w:val="000000"/>
                <w:szCs w:val="18"/>
                <w:u w:color="000000"/>
              </w:rPr>
              <w:t>0.26; 1.5     (36)</w:t>
            </w:r>
          </w:p>
        </w:tc>
      </w:tr>
      <w:tr w:rsidR="00B6698B" w:rsidRPr="00F31626" w:rsidTr="00E154E1">
        <w:tc>
          <w:tcPr>
            <w:tcW w:w="980" w:type="dxa"/>
            <w:vMerge/>
            <w:tcBorders>
              <w:top w:val="nil"/>
              <w:left w:val="nil"/>
              <w:right w:val="nil"/>
            </w:tcBorders>
          </w:tcPr>
          <w:p w:rsidR="00B6698B" w:rsidRPr="00A51D4D" w:rsidRDefault="00B6698B" w:rsidP="00E154E1">
            <w:pPr>
              <w:pStyle w:val="table1"/>
              <w:rPr>
                <w:rFonts w:eastAsia="Arial Unicode MS" w:cs="Arial"/>
                <w:color w:val="000000"/>
                <w:szCs w:val="18"/>
                <w:u w:color="000000"/>
              </w:rPr>
            </w:pPr>
          </w:p>
        </w:tc>
        <w:tc>
          <w:tcPr>
            <w:tcW w:w="688" w:type="dxa"/>
            <w:tcBorders>
              <w:top w:val="nil"/>
              <w:left w:val="nil"/>
              <w:bottom w:val="nil"/>
              <w:right w:val="nil"/>
            </w:tcBorders>
          </w:tcPr>
          <w:p w:rsidR="00B6698B" w:rsidRPr="00A51D4D" w:rsidRDefault="00B6698B" w:rsidP="00E154E1">
            <w:pPr>
              <w:pStyle w:val="table1"/>
              <w:rPr>
                <w:rFonts w:eastAsia="Arial Unicode MS" w:cs="Arial"/>
                <w:color w:val="000000"/>
                <w:szCs w:val="18"/>
                <w:u w:color="000000"/>
              </w:rPr>
            </w:pPr>
            <w:r w:rsidRPr="00A51D4D">
              <w:rPr>
                <w:rFonts w:eastAsia="Arial Unicode MS" w:cs="Arial"/>
                <w:color w:val="000000"/>
                <w:szCs w:val="18"/>
                <w:u w:color="000000"/>
              </w:rPr>
              <w:t>Cd</w:t>
            </w:r>
          </w:p>
        </w:tc>
        <w:tc>
          <w:tcPr>
            <w:tcW w:w="2126" w:type="dxa"/>
            <w:tcBorders>
              <w:top w:val="nil"/>
              <w:left w:val="nil"/>
              <w:bottom w:val="nil"/>
              <w:right w:val="nil"/>
            </w:tcBorders>
          </w:tcPr>
          <w:p w:rsidR="00B6698B" w:rsidRPr="00A51D4D" w:rsidRDefault="00B6698B" w:rsidP="00E154E1">
            <w:pPr>
              <w:pStyle w:val="table1"/>
              <w:rPr>
                <w:rFonts w:eastAsia="Arial Unicode MS" w:cs="Arial"/>
                <w:color w:val="000000"/>
                <w:szCs w:val="18"/>
                <w:u w:color="000000"/>
              </w:rPr>
            </w:pPr>
            <w:r w:rsidRPr="00A51D4D">
              <w:rPr>
                <w:rFonts w:eastAsia="Arial Unicode MS" w:cs="Arial"/>
                <w:color w:val="000000"/>
                <w:szCs w:val="18"/>
                <w:u w:color="000000"/>
              </w:rPr>
              <w:t>2.0</w:t>
            </w:r>
          </w:p>
        </w:tc>
        <w:tc>
          <w:tcPr>
            <w:tcW w:w="1843" w:type="dxa"/>
            <w:tcBorders>
              <w:top w:val="nil"/>
              <w:left w:val="nil"/>
              <w:bottom w:val="nil"/>
              <w:right w:val="nil"/>
            </w:tcBorders>
            <w:shd w:val="clear" w:color="auto" w:fill="auto"/>
          </w:tcPr>
          <w:p w:rsidR="00B6698B" w:rsidRPr="00A51D4D" w:rsidRDefault="00B6698B" w:rsidP="00E154E1">
            <w:pPr>
              <w:pStyle w:val="table1"/>
              <w:rPr>
                <w:rFonts w:eastAsia="Arial Unicode MS" w:cs="Arial"/>
                <w:color w:val="000000"/>
                <w:szCs w:val="18"/>
                <w:u w:color="000000"/>
                <w:lang w:eastAsia="en-AU"/>
              </w:rPr>
            </w:pPr>
            <w:r w:rsidRPr="00A51D4D">
              <w:rPr>
                <w:rFonts w:cs="Arial"/>
                <w:color w:val="000000"/>
                <w:szCs w:val="18"/>
                <w:u w:color="000000"/>
              </w:rPr>
              <w:t>0.06; 1.9  (102)</w:t>
            </w:r>
          </w:p>
        </w:tc>
        <w:tc>
          <w:tcPr>
            <w:tcW w:w="2409" w:type="dxa"/>
            <w:tcBorders>
              <w:top w:val="nil"/>
              <w:left w:val="nil"/>
              <w:bottom w:val="nil"/>
              <w:right w:val="nil"/>
            </w:tcBorders>
            <w:shd w:val="clear" w:color="auto" w:fill="auto"/>
          </w:tcPr>
          <w:p w:rsidR="00B6698B" w:rsidRPr="00A51D4D" w:rsidRDefault="00B6698B" w:rsidP="00E154E1">
            <w:pPr>
              <w:pStyle w:val="table1"/>
              <w:rPr>
                <w:rFonts w:eastAsia="Arial Unicode MS" w:cs="Arial"/>
                <w:color w:val="000000"/>
                <w:szCs w:val="18"/>
                <w:u w:color="000000"/>
              </w:rPr>
            </w:pPr>
            <w:r w:rsidRPr="00A51D4D">
              <w:rPr>
                <w:rFonts w:cs="Arial"/>
                <w:color w:val="000000"/>
                <w:szCs w:val="18"/>
                <w:u w:color="000000"/>
              </w:rPr>
              <w:t>0.07; 1.6     (47)</w:t>
            </w:r>
          </w:p>
        </w:tc>
      </w:tr>
      <w:tr w:rsidR="00B6698B" w:rsidRPr="00F31626" w:rsidTr="00E154E1">
        <w:tc>
          <w:tcPr>
            <w:tcW w:w="980" w:type="dxa"/>
            <w:vMerge/>
            <w:tcBorders>
              <w:left w:val="nil"/>
              <w:bottom w:val="single" w:sz="4" w:space="0" w:color="auto"/>
              <w:right w:val="nil"/>
            </w:tcBorders>
          </w:tcPr>
          <w:p w:rsidR="00B6698B" w:rsidRPr="00A51D4D" w:rsidRDefault="00B6698B" w:rsidP="00E154E1">
            <w:pPr>
              <w:pStyle w:val="table1"/>
              <w:rPr>
                <w:rFonts w:eastAsia="Arial Unicode MS" w:cs="Arial"/>
                <w:color w:val="000000"/>
                <w:szCs w:val="18"/>
                <w:u w:color="000000"/>
              </w:rPr>
            </w:pPr>
          </w:p>
        </w:tc>
        <w:tc>
          <w:tcPr>
            <w:tcW w:w="688" w:type="dxa"/>
            <w:tcBorders>
              <w:top w:val="nil"/>
              <w:left w:val="nil"/>
              <w:bottom w:val="single" w:sz="4" w:space="0" w:color="auto"/>
              <w:right w:val="nil"/>
            </w:tcBorders>
          </w:tcPr>
          <w:p w:rsidR="00B6698B" w:rsidRPr="00A51D4D" w:rsidRDefault="00B6698B" w:rsidP="00E154E1">
            <w:pPr>
              <w:pStyle w:val="table1"/>
              <w:rPr>
                <w:rFonts w:eastAsia="Arial Unicode MS" w:cs="Arial"/>
                <w:color w:val="000000"/>
                <w:szCs w:val="18"/>
                <w:u w:color="000000"/>
              </w:rPr>
            </w:pPr>
            <w:r w:rsidRPr="00A51D4D">
              <w:rPr>
                <w:rFonts w:eastAsia="Arial Unicode MS" w:cs="Arial"/>
                <w:color w:val="000000"/>
                <w:szCs w:val="18"/>
                <w:u w:color="000000"/>
              </w:rPr>
              <w:t>Pb</w:t>
            </w:r>
          </w:p>
        </w:tc>
        <w:tc>
          <w:tcPr>
            <w:tcW w:w="2126" w:type="dxa"/>
            <w:tcBorders>
              <w:top w:val="nil"/>
              <w:left w:val="nil"/>
              <w:bottom w:val="single" w:sz="4" w:space="0" w:color="auto"/>
              <w:right w:val="nil"/>
            </w:tcBorders>
          </w:tcPr>
          <w:p w:rsidR="00B6698B" w:rsidRPr="00A51D4D" w:rsidRDefault="00B6698B" w:rsidP="00E154E1">
            <w:pPr>
              <w:pStyle w:val="table1"/>
              <w:rPr>
                <w:rFonts w:eastAsia="Arial Unicode MS" w:cs="Arial"/>
                <w:color w:val="000000"/>
                <w:szCs w:val="18"/>
                <w:u w:color="000000"/>
              </w:rPr>
            </w:pPr>
            <w:r w:rsidRPr="00A51D4D">
              <w:rPr>
                <w:rFonts w:eastAsia="Arial Unicode MS" w:cs="Arial"/>
                <w:color w:val="000000"/>
                <w:szCs w:val="18"/>
                <w:u w:color="000000"/>
              </w:rPr>
              <w:t>2.0</w:t>
            </w:r>
          </w:p>
        </w:tc>
        <w:tc>
          <w:tcPr>
            <w:tcW w:w="1843" w:type="dxa"/>
            <w:tcBorders>
              <w:top w:val="nil"/>
              <w:left w:val="nil"/>
              <w:bottom w:val="single" w:sz="4" w:space="0" w:color="auto"/>
              <w:right w:val="nil"/>
            </w:tcBorders>
            <w:shd w:val="clear" w:color="auto" w:fill="auto"/>
          </w:tcPr>
          <w:p w:rsidR="00B6698B" w:rsidRPr="00A51D4D" w:rsidRDefault="00B6698B" w:rsidP="00E154E1">
            <w:pPr>
              <w:pStyle w:val="table1"/>
              <w:rPr>
                <w:rFonts w:eastAsia="Arial Unicode MS" w:cs="Arial"/>
                <w:color w:val="000000"/>
                <w:szCs w:val="18"/>
                <w:u w:color="000000"/>
                <w:lang w:eastAsia="en-AU"/>
              </w:rPr>
            </w:pPr>
            <w:r w:rsidRPr="00A51D4D">
              <w:rPr>
                <w:rFonts w:cs="Arial"/>
                <w:color w:val="000000"/>
                <w:szCs w:val="18"/>
                <w:u w:color="000000"/>
              </w:rPr>
              <w:t>0.29; 2.3  (160)</w:t>
            </w:r>
          </w:p>
        </w:tc>
        <w:tc>
          <w:tcPr>
            <w:tcW w:w="2409" w:type="dxa"/>
            <w:tcBorders>
              <w:top w:val="nil"/>
              <w:left w:val="nil"/>
              <w:bottom w:val="single" w:sz="4" w:space="0" w:color="auto"/>
              <w:right w:val="nil"/>
            </w:tcBorders>
            <w:shd w:val="clear" w:color="auto" w:fill="auto"/>
          </w:tcPr>
          <w:p w:rsidR="00B6698B" w:rsidRPr="00A51D4D" w:rsidRDefault="00B6698B" w:rsidP="00E154E1">
            <w:pPr>
              <w:pStyle w:val="table1"/>
              <w:rPr>
                <w:rFonts w:eastAsia="Arial Unicode MS" w:cs="Arial"/>
                <w:color w:val="000000"/>
                <w:szCs w:val="18"/>
                <w:u w:color="000000"/>
              </w:rPr>
            </w:pPr>
            <w:r w:rsidRPr="00A51D4D">
              <w:rPr>
                <w:rFonts w:cs="Arial"/>
                <w:color w:val="000000"/>
                <w:szCs w:val="18"/>
                <w:u w:color="000000"/>
              </w:rPr>
              <w:t>0.09; 1.7     (61)</w:t>
            </w:r>
          </w:p>
        </w:tc>
      </w:tr>
    </w:tbl>
    <w:p w:rsidR="00B6698B" w:rsidRDefault="00B6698B" w:rsidP="00B6698B">
      <w:pPr>
        <w:spacing w:after="0"/>
        <w:rPr>
          <w:rFonts w:ascii="Arial" w:hAnsi="Arial"/>
          <w:bCs/>
          <w:noProof/>
          <w:sz w:val="16"/>
          <w:lang w:val="en-US" w:eastAsia="en-AU"/>
        </w:rPr>
      </w:pPr>
      <w:r>
        <w:rPr>
          <w:rFonts w:ascii="Arial" w:hAnsi="Arial"/>
          <w:noProof/>
          <w:snapToGrid w:val="0"/>
          <w:color w:val="000000"/>
          <w:position w:val="4"/>
          <w:sz w:val="13"/>
          <w:szCs w:val="13"/>
          <w:u w:color="000000"/>
          <w:lang w:val="en-US" w:eastAsia="en-AU"/>
        </w:rPr>
        <w:t xml:space="preserve">1 </w:t>
      </w:r>
      <w:r>
        <w:rPr>
          <w:rFonts w:ascii="Arial" w:hAnsi="Arial"/>
          <w:bCs/>
          <w:noProof/>
          <w:sz w:val="16"/>
          <w:lang w:val="en-US" w:eastAsia="en-AU"/>
        </w:rPr>
        <w:t>Values shown are: geometric mean; geometric mean standard deviation (</w:t>
      </w:r>
      <w:r w:rsidRPr="00687E97">
        <w:rPr>
          <w:rFonts w:ascii="Arial" w:hAnsi="Arial"/>
          <w:bCs/>
          <w:i/>
          <w:noProof/>
          <w:sz w:val="16"/>
          <w:lang w:val="en-US" w:eastAsia="en-AU"/>
        </w:rPr>
        <w:t>number of samples</w:t>
      </w:r>
      <w:r>
        <w:rPr>
          <w:rFonts w:ascii="Arial" w:hAnsi="Arial"/>
          <w:bCs/>
          <w:noProof/>
          <w:sz w:val="16"/>
          <w:lang w:val="en-US" w:eastAsia="en-AU"/>
        </w:rPr>
        <w:t>)</w:t>
      </w:r>
    </w:p>
    <w:p w:rsidR="00B6698B" w:rsidRDefault="00B6698B" w:rsidP="00B6698B">
      <w:pPr>
        <w:spacing w:after="0"/>
      </w:pPr>
      <w:r w:rsidRPr="00FA647A">
        <w:rPr>
          <w:rFonts w:ascii="Arial" w:hAnsi="Arial"/>
          <w:noProof/>
          <w:snapToGrid w:val="0"/>
          <w:color w:val="000000"/>
          <w:position w:val="4"/>
          <w:sz w:val="13"/>
          <w:szCs w:val="13"/>
          <w:u w:color="000000"/>
          <w:lang w:val="en-US" w:eastAsia="en-AU"/>
        </w:rPr>
        <w:t>2</w:t>
      </w:r>
      <w:r w:rsidRPr="00FA647A">
        <w:rPr>
          <w:rFonts w:ascii="Arial" w:hAnsi="Arial"/>
          <w:bCs/>
          <w:noProof/>
          <w:sz w:val="13"/>
          <w:szCs w:val="13"/>
          <w:lang w:val="en-US" w:eastAsia="en-AU"/>
        </w:rPr>
        <w:t xml:space="preserve"> </w:t>
      </w:r>
      <w:r>
        <w:rPr>
          <w:rFonts w:ascii="Arial" w:hAnsi="Arial"/>
          <w:bCs/>
          <w:noProof/>
          <w:sz w:val="16"/>
          <w:lang w:val="en-US" w:eastAsia="en-AU"/>
        </w:rPr>
        <w:t>Concentrations in fish given as less than the detection level (DL) were included as 0.5</w:t>
      </w:r>
      <w:r>
        <w:rPr>
          <w:rFonts w:ascii="Arial" w:hAnsi="Arial" w:cs="Arial"/>
          <w:bCs/>
          <w:noProof/>
          <w:sz w:val="16"/>
          <w:lang w:val="en-US" w:eastAsia="en-AU"/>
        </w:rPr>
        <w:t>·DL</w:t>
      </w:r>
    </w:p>
    <w:p w:rsidR="00B6698B" w:rsidRDefault="00B6698B" w:rsidP="00B6698B">
      <w:pPr>
        <w:spacing w:after="0"/>
        <w:rPr>
          <w:rFonts w:ascii="Arial" w:hAnsi="Arial"/>
          <w:bCs/>
          <w:noProof/>
          <w:sz w:val="16"/>
          <w:lang w:val="en-US" w:eastAsia="en-AU"/>
        </w:rPr>
      </w:pPr>
      <w:r w:rsidRPr="00FA647A">
        <w:rPr>
          <w:rFonts w:ascii="Arial" w:hAnsi="Arial"/>
          <w:noProof/>
          <w:snapToGrid w:val="0"/>
          <w:color w:val="000000"/>
          <w:position w:val="4"/>
          <w:sz w:val="13"/>
          <w:szCs w:val="13"/>
          <w:u w:color="000000"/>
          <w:lang w:val="en-US" w:eastAsia="en-AU"/>
        </w:rPr>
        <w:t>3</w:t>
      </w:r>
      <w:r>
        <w:rPr>
          <w:rFonts w:ascii="Arial" w:hAnsi="Arial"/>
          <w:bCs/>
          <w:noProof/>
          <w:sz w:val="16"/>
          <w:lang w:val="en-US" w:eastAsia="en-AU"/>
        </w:rPr>
        <w:t xml:space="preserve"> </w:t>
      </w:r>
      <w:r w:rsidRPr="009B371D">
        <w:rPr>
          <w:rFonts w:ascii="Arial" w:hAnsi="Arial"/>
          <w:bCs/>
          <w:noProof/>
          <w:sz w:val="16"/>
          <w:lang w:val="en-US" w:eastAsia="en-AU"/>
        </w:rPr>
        <w:t>In the absence of a cadmium standard for fish, one 10</w:t>
      </w:r>
      <w:r w:rsidRPr="009B371D">
        <w:rPr>
          <w:rFonts w:ascii="Arial" w:hAnsi="Arial"/>
          <w:bCs/>
          <w:noProof/>
          <w:sz w:val="16"/>
          <w:vertAlign w:val="superscript"/>
          <w:lang w:val="en-US" w:eastAsia="en-AU"/>
        </w:rPr>
        <w:t>th</w:t>
      </w:r>
      <w:r w:rsidRPr="009B371D">
        <w:rPr>
          <w:rFonts w:ascii="Arial" w:hAnsi="Arial"/>
          <w:bCs/>
          <w:noProof/>
          <w:sz w:val="16"/>
          <w:lang w:val="en-US" w:eastAsia="en-AU"/>
        </w:rPr>
        <w:t xml:space="preserve"> of the standard for molluscs was assumed</w:t>
      </w:r>
    </w:p>
    <w:p w:rsidR="00D57F78" w:rsidRDefault="00D57F78" w:rsidP="00B6698B">
      <w:pPr>
        <w:sectPr w:rsidR="00D57F78" w:rsidSect="00E154E1">
          <w:pgSz w:w="11906" w:h="16838" w:code="9"/>
          <w:pgMar w:top="1440" w:right="1800" w:bottom="1440" w:left="1800" w:header="1080" w:footer="835" w:gutter="0"/>
          <w:cols w:space="360"/>
          <w:noEndnote/>
        </w:sectPr>
      </w:pPr>
    </w:p>
    <w:p w:rsidR="00B6698B" w:rsidRDefault="00B6698B" w:rsidP="00B6698B">
      <w:pPr>
        <w:pStyle w:val="Heading2"/>
      </w:pPr>
      <w:r>
        <w:t xml:space="preserve">References </w:t>
      </w:r>
    </w:p>
    <w:p w:rsidR="00B6698B" w:rsidRPr="00FD120A" w:rsidRDefault="00B6698B" w:rsidP="00B6698B">
      <w:pPr>
        <w:pStyle w:val="referencelist1"/>
      </w:pPr>
      <w:r w:rsidRPr="00FD120A">
        <w:t xml:space="preserve">Bollhöfer A, Brazier J, Ryan B, Humphrey C &amp; Esparon A 2011. </w:t>
      </w:r>
      <w:proofErr w:type="gramStart"/>
      <w:r w:rsidRPr="00FD120A">
        <w:t xml:space="preserve">A study of radium bioaccumulation in freshwater mussels, </w:t>
      </w:r>
      <w:r w:rsidRPr="00FE5403">
        <w:rPr>
          <w:i/>
        </w:rPr>
        <w:t>Velesunio angasi</w:t>
      </w:r>
      <w:r w:rsidRPr="00FD120A">
        <w:t xml:space="preserve">, in the Magela Creek catchment, Northern Territory, </w:t>
      </w:r>
      <w:r w:rsidRPr="00FE5403">
        <w:t>Australia.</w:t>
      </w:r>
      <w:proofErr w:type="gramEnd"/>
      <w:r w:rsidRPr="00FE5403">
        <w:t xml:space="preserve"> </w:t>
      </w:r>
      <w:r w:rsidR="00C74D63">
        <w:rPr>
          <w:i/>
        </w:rPr>
        <w:t>Journal of Environmental</w:t>
      </w:r>
      <w:r w:rsidRPr="00FE5403">
        <w:rPr>
          <w:i/>
        </w:rPr>
        <w:t xml:space="preserve"> Radioa</w:t>
      </w:r>
      <w:r w:rsidRPr="00C74D63">
        <w:rPr>
          <w:i/>
        </w:rPr>
        <w:t>ct</w:t>
      </w:r>
      <w:r w:rsidR="00C74D63" w:rsidRPr="00C74D63">
        <w:rPr>
          <w:i/>
        </w:rPr>
        <w:t>ivity</w:t>
      </w:r>
      <w:r>
        <w:t xml:space="preserve"> 102, 964–</w:t>
      </w:r>
      <w:r w:rsidRPr="00FD120A">
        <w:t>974.</w:t>
      </w:r>
    </w:p>
    <w:p w:rsidR="00B6698B" w:rsidRPr="00FD120A" w:rsidRDefault="00B6698B" w:rsidP="00B6698B">
      <w:pPr>
        <w:pStyle w:val="referencelist1"/>
      </w:pPr>
      <w:proofErr w:type="gramStart"/>
      <w:r w:rsidRPr="00FD120A">
        <w:t>Humphrey CL &amp; Simpson RD 1985.</w:t>
      </w:r>
      <w:proofErr w:type="gramEnd"/>
      <w:r w:rsidRPr="00FD120A">
        <w:t xml:space="preserve"> The Biology and Ecology of </w:t>
      </w:r>
      <w:r w:rsidRPr="00FE5403">
        <w:rPr>
          <w:i/>
        </w:rPr>
        <w:t xml:space="preserve">Velesunio angasi </w:t>
      </w:r>
      <w:r w:rsidRPr="00FD120A">
        <w:t xml:space="preserve">(Bivalvia: Hydiidae) in the Magela Creek, Northern Territory (4 Parts). Open file record 38, Supervising Scientist for the Alligator Rivers Region, Canberra. </w:t>
      </w:r>
      <w:proofErr w:type="gramStart"/>
      <w:r w:rsidRPr="00FD120A">
        <w:t>Unpublished paper.</w:t>
      </w:r>
      <w:proofErr w:type="gramEnd"/>
    </w:p>
    <w:p w:rsidR="00B6698B" w:rsidRPr="00FD120A" w:rsidRDefault="00B6698B" w:rsidP="00B6698B">
      <w:pPr>
        <w:pStyle w:val="referencelist1"/>
        <w:rPr>
          <w:lang w:eastAsia="en-AU"/>
        </w:rPr>
      </w:pPr>
      <w:proofErr w:type="gramStart"/>
      <w:r w:rsidRPr="00FD120A">
        <w:rPr>
          <w:lang w:eastAsia="en-AU"/>
        </w:rPr>
        <w:t>Doering C 2013.</w:t>
      </w:r>
      <w:proofErr w:type="gramEnd"/>
      <w:r w:rsidRPr="00FD120A">
        <w:rPr>
          <w:lang w:eastAsia="en-AU"/>
        </w:rPr>
        <w:t xml:space="preserve"> </w:t>
      </w:r>
      <w:proofErr w:type="gramStart"/>
      <w:r w:rsidRPr="00FD120A">
        <w:rPr>
          <w:lang w:eastAsia="en-AU"/>
        </w:rPr>
        <w:t>The BRUCE tool.</w:t>
      </w:r>
      <w:proofErr w:type="gramEnd"/>
      <w:r w:rsidRPr="00FD120A">
        <w:rPr>
          <w:lang w:eastAsia="en-AU"/>
        </w:rPr>
        <w:t xml:space="preserve"> Internal Report 619, Supervising Scientist, Darwin.</w:t>
      </w:r>
    </w:p>
    <w:p w:rsidR="00B6698B" w:rsidRDefault="00B6698B" w:rsidP="00B6698B">
      <w:pPr>
        <w:pStyle w:val="referencelist1"/>
        <w:rPr>
          <w:lang w:val="en-US"/>
        </w:rPr>
      </w:pPr>
      <w:proofErr w:type="gramStart"/>
      <w:r>
        <w:rPr>
          <w:lang w:val="en-US"/>
        </w:rPr>
        <w:t>FSANZ 2010.</w:t>
      </w:r>
      <w:proofErr w:type="gramEnd"/>
      <w:r>
        <w:rPr>
          <w:lang w:val="en-US"/>
        </w:rPr>
        <w:t xml:space="preserve"> </w:t>
      </w:r>
      <w:proofErr w:type="gramStart"/>
      <w:r w:rsidRPr="0083250C">
        <w:rPr>
          <w:lang w:val="en-US"/>
        </w:rPr>
        <w:t>Food Standards Australia New Zealand</w:t>
      </w:r>
      <w:r>
        <w:rPr>
          <w:lang w:val="en-US"/>
        </w:rPr>
        <w:t>.</w:t>
      </w:r>
      <w:proofErr w:type="gramEnd"/>
      <w:r>
        <w:rPr>
          <w:lang w:val="en-US"/>
        </w:rPr>
        <w:t xml:space="preserve"> </w:t>
      </w:r>
      <w:proofErr w:type="gramStart"/>
      <w:r w:rsidRPr="0083250C">
        <w:rPr>
          <w:lang w:val="en-US"/>
        </w:rPr>
        <w:t>Australia New Zealand Food Standards Code – Amendment No. 119 – 2010</w:t>
      </w:r>
      <w:r>
        <w:rPr>
          <w:lang w:val="en-US"/>
        </w:rPr>
        <w:t>.</w:t>
      </w:r>
      <w:proofErr w:type="gramEnd"/>
      <w:r>
        <w:rPr>
          <w:lang w:val="en-US"/>
        </w:rPr>
        <w:t xml:space="preserve"> </w:t>
      </w:r>
    </w:p>
    <w:p w:rsidR="00B6698B" w:rsidRPr="00FD120A" w:rsidRDefault="00B6698B" w:rsidP="00B6698B">
      <w:pPr>
        <w:pStyle w:val="referencelist1"/>
        <w:rPr>
          <w:lang w:val="en-US"/>
        </w:rPr>
      </w:pPr>
      <w:r w:rsidRPr="00FD120A">
        <w:rPr>
          <w:lang w:val="en-US"/>
        </w:rPr>
        <w:t xml:space="preserve">Martin P 2000.  </w:t>
      </w:r>
      <w:proofErr w:type="gramStart"/>
      <w:r w:rsidRPr="00FD120A">
        <w:rPr>
          <w:lang w:val="en-US"/>
        </w:rPr>
        <w:t>Radiological impact assessment of uranium mining and milling.</w:t>
      </w:r>
      <w:proofErr w:type="gramEnd"/>
      <w:r w:rsidRPr="00FD120A">
        <w:rPr>
          <w:lang w:val="en-US"/>
        </w:rPr>
        <w:t xml:space="preserve"> </w:t>
      </w:r>
      <w:proofErr w:type="gramStart"/>
      <w:r w:rsidRPr="00FD120A">
        <w:rPr>
          <w:lang w:val="en-US"/>
        </w:rPr>
        <w:t>PhD thesis.</w:t>
      </w:r>
      <w:proofErr w:type="gramEnd"/>
      <w:r w:rsidRPr="00FD120A">
        <w:rPr>
          <w:lang w:val="en-US"/>
        </w:rPr>
        <w:t xml:space="preserve"> </w:t>
      </w:r>
      <w:proofErr w:type="gramStart"/>
      <w:r w:rsidRPr="00FD120A">
        <w:rPr>
          <w:lang w:val="en-US"/>
        </w:rPr>
        <w:t>Queensland University of Technology, Brisbane.</w:t>
      </w:r>
      <w:proofErr w:type="gramEnd"/>
    </w:p>
    <w:p w:rsidR="00C03DA2" w:rsidRDefault="00C03DA2">
      <w:pPr>
        <w:spacing w:after="0" w:line="240" w:lineRule="auto"/>
        <w:jc w:val="left"/>
        <w:rPr>
          <w:rFonts w:ascii="Arial" w:hAnsi="Arial"/>
          <w:b/>
          <w:sz w:val="36"/>
        </w:rPr>
      </w:pPr>
      <w:r>
        <w:br w:type="page"/>
      </w:r>
    </w:p>
    <w:p w:rsidR="000177D6" w:rsidRDefault="000177D6" w:rsidP="00C03DA2">
      <w:pPr>
        <w:pStyle w:val="Heading1"/>
      </w:pPr>
      <w:bookmarkStart w:id="183" w:name="_Toc418172705"/>
      <w:r w:rsidRPr="00F3512C">
        <w:t>Monitoring using macroinvertebrate community structure</w:t>
      </w:r>
      <w:bookmarkEnd w:id="183"/>
    </w:p>
    <w:p w:rsidR="000177D6" w:rsidRPr="00F17E68" w:rsidRDefault="000177D6" w:rsidP="000177D6">
      <w:pPr>
        <w:pStyle w:val="Heading3"/>
        <w:spacing w:after="480"/>
        <w:jc w:val="center"/>
      </w:pPr>
      <w:r>
        <w:t>L Chandler, J Hanley &amp; C Humphrey</w:t>
      </w:r>
    </w:p>
    <w:p w:rsidR="000177D6" w:rsidRDefault="000177D6" w:rsidP="00C03DA2">
      <w:pPr>
        <w:pStyle w:val="Heading2"/>
      </w:pPr>
      <w:r>
        <w:t>Background</w:t>
      </w:r>
    </w:p>
    <w:p w:rsidR="000177D6" w:rsidRPr="00F3512C" w:rsidRDefault="000177D6" w:rsidP="000177D6">
      <w:r w:rsidRPr="00F3512C">
        <w:t>Macroinvertebrate communities have been sampled from a number of sites in Magela Creek at the end of significant wet season flows, each year from 1988 to the present. The design and methodology have been refined over this period (changes are described in the 2003–04 Supervising Scientist annual report, section 2.2.3). The present design is a balanced one comprising upstream and downstream sites at two ‘exposed’ streams (Gulungul and Magela Creeks) and two control streams (Burdulba and Nourlangie Creeks).</w:t>
      </w:r>
    </w:p>
    <w:p w:rsidR="000177D6" w:rsidRDefault="000177D6" w:rsidP="000177D6">
      <w:r w:rsidRPr="00F3512C">
        <w:t xml:space="preserve">Samples are collected from each site at the end of each wet season (between April and May). For each sampling occasion and for each pair of sites for a particular stream, dissimilarity indices are calculated. These indices are a measure of the extent to which macroinvertebrate communities of the two sites differ from one another. A value of ‘zero%’ indicates macroinvertebrate communities identical in structure while a value of ‘100%’ </w:t>
      </w:r>
      <w:proofErr w:type="gramStart"/>
      <w:r w:rsidRPr="00F3512C">
        <w:t>indicates totally dissimilar communities</w:t>
      </w:r>
      <w:proofErr w:type="gramEnd"/>
      <w:r w:rsidRPr="00F3512C">
        <w:t>, sharing no common tax</w:t>
      </w:r>
      <w:r>
        <w:t xml:space="preserve">a. </w:t>
      </w:r>
      <w:r w:rsidRPr="00F3512C">
        <w:t>Disturbed sites may be associated with significantly higher dissimilarity values compared with undisturbed sites</w:t>
      </w:r>
      <w:r>
        <w:t xml:space="preserve"> (Supervising Scientist Division 2013). </w:t>
      </w:r>
    </w:p>
    <w:p w:rsidR="000177D6" w:rsidRDefault="000177D6" w:rsidP="000177D6">
      <w:r>
        <w:t>In the following report, d</w:t>
      </w:r>
      <w:r w:rsidRPr="00F3512C">
        <w:t xml:space="preserve">ata from late wet season sampling </w:t>
      </w:r>
      <w:r>
        <w:t xml:space="preserve">in 2014 </w:t>
      </w:r>
      <w:r w:rsidRPr="00F3512C">
        <w:t xml:space="preserve">at sites in Magela and Gulungul creeks are compared with historical data and data </w:t>
      </w:r>
      <w:r>
        <w:t xml:space="preserve">collected at the same time </w:t>
      </w:r>
      <w:r w:rsidRPr="00F3512C">
        <w:t>from control sites</w:t>
      </w:r>
      <w:r>
        <w:t xml:space="preserve"> upstream, or</w:t>
      </w:r>
      <w:r w:rsidRPr="00F3512C">
        <w:t xml:space="preserve"> in streams unaffected by contemporary mining</w:t>
      </w:r>
      <w:r>
        <w:t>, to assess potential cumulative water quality impacts arising from Ranger during the 2013–14 wet season.</w:t>
      </w:r>
    </w:p>
    <w:p w:rsidR="000177D6" w:rsidRDefault="000177D6" w:rsidP="00C03DA2">
      <w:pPr>
        <w:pStyle w:val="Heading2"/>
      </w:pPr>
      <w:r>
        <w:t>Results</w:t>
      </w:r>
    </w:p>
    <w:p w:rsidR="000177D6" w:rsidRPr="00F3512C" w:rsidRDefault="000177D6" w:rsidP="000177D6">
      <w:r w:rsidRPr="00F3512C">
        <w:t>Compilation of the full macroinvertebrate dataset from 1988 to 201</w:t>
      </w:r>
      <w:r>
        <w:t>4 has</w:t>
      </w:r>
      <w:r w:rsidRPr="00F3512C">
        <w:t xml:space="preserve"> been completed with results shown in Figure 1. This figure plots the paired-site dissimilarity values using family-level (log-transformed) data, for the two ‘exposed’ streams and the two ‘control’ streams.</w:t>
      </w:r>
    </w:p>
    <w:p w:rsidR="000177D6" w:rsidRDefault="000177D6" w:rsidP="000177D6">
      <w:r w:rsidRPr="00F3512C">
        <w:t>For statistical analysis, dissimilarity values for each of the five possible, randomly-paired, upstream and downstream replicates within each stream are derived. These replicate dissimilarity values may then be used to test whether or not macroinvertebrate community structure has altered significantly at the exposed sites for the wet season of interest. For this multi-factor ANOVA, only data gathered since 1998 have been used (data gathered prior to this time were based upon different and less rigorous sampling and sample processing methods, and/or absence of sampling in three of the four streams).</w:t>
      </w:r>
    </w:p>
    <w:p w:rsidR="00667324" w:rsidRDefault="00667324" w:rsidP="000177D6">
      <w:r w:rsidRPr="00717287">
        <w:t>A four-factor ANOVA model based on replicate, paired-site dissimilarity values, was performed using the factors Before/After (BA: fixed), Control/Impact (CI or ‘Exposure’; fixed), Year (nested within BA; random) and Stream (nested within CI; random) to determine if any change has occurred. The ANOVA showed no significant change from the before (pre</w:t>
      </w:r>
      <w:r>
        <w:t>-</w:t>
      </w:r>
      <w:r w:rsidRPr="00717287">
        <w:t>2014) to the after (2014) periods in the magnitude of upstream-downstream dissimilarity between the control and exposed streams (p</w:t>
      </w:r>
      <w:r>
        <w:t> </w:t>
      </w:r>
      <w:r w:rsidRPr="00717287">
        <w:t>=</w:t>
      </w:r>
      <w:r>
        <w:t> </w:t>
      </w:r>
      <w:r w:rsidRPr="00717287">
        <w:t>0.189 and p</w:t>
      </w:r>
      <w:r>
        <w:t> </w:t>
      </w:r>
      <w:r w:rsidRPr="00717287">
        <w:t>=</w:t>
      </w:r>
      <w:r>
        <w:t> </w:t>
      </w:r>
      <w:r w:rsidRPr="00717287">
        <w:t>0.838 for BA and BA*Exposure interaction respectively).</w:t>
      </w:r>
    </w:p>
    <w:tbl>
      <w:tblPr>
        <w:tblW w:w="7727" w:type="dxa"/>
        <w:jc w:val="center"/>
        <w:tblInd w:w="-106" w:type="dxa"/>
        <w:tblLayout w:type="fixed"/>
        <w:tblLook w:val="01E0"/>
      </w:tblPr>
      <w:tblGrid>
        <w:gridCol w:w="5648"/>
        <w:gridCol w:w="2079"/>
      </w:tblGrid>
      <w:tr w:rsidR="000177D6" w:rsidRPr="00F3512C" w:rsidTr="00E154E1">
        <w:trPr>
          <w:trHeight w:val="7655"/>
          <w:jc w:val="center"/>
        </w:trPr>
        <w:tc>
          <w:tcPr>
            <w:tcW w:w="5648" w:type="dxa"/>
          </w:tcPr>
          <w:p w:rsidR="000177D6" w:rsidRPr="00F3512C" w:rsidRDefault="000177D6" w:rsidP="00E154E1">
            <w:pPr>
              <w:pStyle w:val="table1"/>
            </w:pPr>
            <w:r w:rsidRPr="00717287">
              <w:rPr>
                <w:noProof/>
                <w:lang w:eastAsia="en-AU"/>
              </w:rPr>
              <w:drawing>
                <wp:inline distT="0" distB="0" distL="0" distR="0">
                  <wp:extent cx="3460140" cy="5219700"/>
                  <wp:effectExtent l="19050" t="0" r="6960" b="0"/>
                  <wp:docPr id="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2" cstate="screen"/>
                          <a:srcRect t="3818" r="2762"/>
                          <a:stretch>
                            <a:fillRect/>
                          </a:stretch>
                        </pic:blipFill>
                        <pic:spPr bwMode="auto">
                          <a:xfrm>
                            <a:off x="0" y="0"/>
                            <a:ext cx="3460140" cy="5219700"/>
                          </a:xfrm>
                          <a:prstGeom prst="rect">
                            <a:avLst/>
                          </a:prstGeom>
                          <a:noFill/>
                          <a:ln w="9525">
                            <a:noFill/>
                            <a:miter lim="800000"/>
                            <a:headEnd/>
                            <a:tailEnd/>
                          </a:ln>
                        </pic:spPr>
                      </pic:pic>
                    </a:graphicData>
                  </a:graphic>
                </wp:inline>
              </w:drawing>
            </w:r>
          </w:p>
        </w:tc>
        <w:tc>
          <w:tcPr>
            <w:tcW w:w="2079" w:type="dxa"/>
            <w:vAlign w:val="center"/>
          </w:tcPr>
          <w:p w:rsidR="000177D6" w:rsidRPr="00F3512C" w:rsidRDefault="000177D6" w:rsidP="00E154E1">
            <w:pPr>
              <w:pStyle w:val="figurecaption"/>
              <w:jc w:val="left"/>
            </w:pPr>
            <w:r w:rsidRPr="00F3512C">
              <w:rPr>
                <w:b/>
              </w:rPr>
              <w:t xml:space="preserve">Figure </w:t>
            </w:r>
            <w:proofErr w:type="gramStart"/>
            <w:r w:rsidRPr="00F3512C">
              <w:rPr>
                <w:b/>
              </w:rPr>
              <w:t xml:space="preserve">1 </w:t>
            </w:r>
            <w:r w:rsidRPr="00F3512C">
              <w:t xml:space="preserve"> Paired</w:t>
            </w:r>
            <w:proofErr w:type="gramEnd"/>
            <w:r w:rsidRPr="00F3512C">
              <w:t xml:space="preserve"> upstream-downstream dissimilarity values (using the Bray-Curtis measure) calculated for community structure of macroinvertebrate families in several streams in the vicinity of the Ranger mine for the period 1988 to 2014. The dashed vertical lines delineate periods for which a different sampling and/or sample processing method was used. Dashed horizontal lines indicate mean dissimilarity across years.</w:t>
            </w:r>
          </w:p>
          <w:p w:rsidR="000177D6" w:rsidRPr="00F3512C" w:rsidRDefault="000177D6" w:rsidP="00E154E1">
            <w:pPr>
              <w:pStyle w:val="figurecaption"/>
              <w:jc w:val="left"/>
            </w:pPr>
            <w:r w:rsidRPr="00F3512C">
              <w:t>Dissimilarity values represent means (</w:t>
            </w:r>
            <w:r w:rsidRPr="00F3512C">
              <w:sym w:font="Symbol" w:char="F0B1"/>
            </w:r>
            <w:r w:rsidRPr="00F3512C">
              <w:t> standard error) of the 5 possible (randomly selected) pairwise comparisons of upstream-downstream replicate samples within each stream.</w:t>
            </w:r>
          </w:p>
        </w:tc>
      </w:tr>
    </w:tbl>
    <w:p w:rsidR="000177D6" w:rsidRDefault="000177D6" w:rsidP="000177D6">
      <w:r w:rsidRPr="00717287">
        <w:t>A lack of significance in the BA and BA*</w:t>
      </w:r>
      <w:r>
        <w:t xml:space="preserve">Exposure </w:t>
      </w:r>
      <w:r w:rsidRPr="00717287">
        <w:t xml:space="preserve">interaction was observed despite a drop in dissimilarity </w:t>
      </w:r>
      <w:r>
        <w:t xml:space="preserve">values </w:t>
      </w:r>
      <w:r w:rsidRPr="00717287">
        <w:t xml:space="preserve">for </w:t>
      </w:r>
      <w:r>
        <w:t xml:space="preserve">all creeks, especially for </w:t>
      </w:r>
      <w:r w:rsidRPr="00717287">
        <w:t>Magela</w:t>
      </w:r>
      <w:r>
        <w:t>,</w:t>
      </w:r>
      <w:r w:rsidRPr="00717287">
        <w:t xml:space="preserve"> Bur</w:t>
      </w:r>
      <w:r>
        <w:t>d</w:t>
      </w:r>
      <w:r w:rsidRPr="00717287">
        <w:t xml:space="preserve">ulba and Nourlangie creeks in </w:t>
      </w:r>
      <w:r>
        <w:t>2014</w:t>
      </w:r>
      <w:r w:rsidRPr="00717287">
        <w:t xml:space="preserve"> (Figure 1)</w:t>
      </w:r>
      <w:r>
        <w:t>, indicating that the upstream and corresponding downstream sites were more similar a</w:t>
      </w:r>
      <w:r w:rsidRPr="00717287">
        <w:t>t the time of sample collection</w:t>
      </w:r>
      <w:r>
        <w:t>.</w:t>
      </w:r>
      <w:r w:rsidRPr="00717287">
        <w:t xml:space="preserve"> A marked change in dissimilarity was last reported in 2011 for Gulungul Creek, but in that instance the dissim</w:t>
      </w:r>
      <w:r>
        <w:t>il</w:t>
      </w:r>
      <w:r w:rsidRPr="00717287">
        <w:t xml:space="preserve">arity </w:t>
      </w:r>
      <w:r w:rsidRPr="008476F2">
        <w:rPr>
          <w:i/>
        </w:rPr>
        <w:t>increased</w:t>
      </w:r>
      <w:r w:rsidRPr="00717287">
        <w:t xml:space="preserve"> </w:t>
      </w:r>
      <w:r>
        <w:t xml:space="preserve">relative to historical values </w:t>
      </w:r>
      <w:r w:rsidRPr="00717287">
        <w:t xml:space="preserve">(Figure 1). In </w:t>
      </w:r>
      <w:r>
        <w:t>2011</w:t>
      </w:r>
      <w:r w:rsidRPr="00717287">
        <w:t>, the BA*Stream factor was significant (</w:t>
      </w:r>
      <w:r>
        <w:t>p = </w:t>
      </w:r>
      <w:r w:rsidRPr="00717287">
        <w:t>0.014)</w:t>
      </w:r>
      <w:r>
        <w:t xml:space="preserve">. Further examination of the </w:t>
      </w:r>
      <w:r w:rsidRPr="00717287">
        <w:t xml:space="preserve">data </w:t>
      </w:r>
      <w:r>
        <w:t>indicated this result</w:t>
      </w:r>
      <w:r w:rsidRPr="00717287">
        <w:t xml:space="preserve"> was associated with </w:t>
      </w:r>
      <w:r>
        <w:t xml:space="preserve">an increase of flow dependant taxa at the </w:t>
      </w:r>
      <w:r w:rsidRPr="00717287">
        <w:t>upstream control site in Gulungul Creek</w:t>
      </w:r>
      <w:r>
        <w:t xml:space="preserve"> and not associated with any mine-related change</w:t>
      </w:r>
      <w:r w:rsidRPr="00717287">
        <w:t xml:space="preserve"> (</w:t>
      </w:r>
      <w:r>
        <w:t>Humphrey et al</w:t>
      </w:r>
      <w:r w:rsidR="000641C6">
        <w:t>.</w:t>
      </w:r>
      <w:r>
        <w:t xml:space="preserve"> 2012</w:t>
      </w:r>
      <w:r w:rsidRPr="00717287">
        <w:t xml:space="preserve">). </w:t>
      </w:r>
    </w:p>
    <w:p w:rsidR="000177D6" w:rsidRDefault="000177D6" w:rsidP="000177D6">
      <w:r>
        <w:t>The lower paired upstream-downstream dissimilarity values observed in Magela, Nourlangie and Burdulba creeks may be associated with a combination of the generally lower water levels in the creeks at the time of sampling compared to previous years and a change in sampling locations required because of unsuitable habitat in the usual sampling location (Magela Creek upstream and both Nourlangie Creek sites). Lower creek flows can confer more similar macroinvertebrate communities between creek sites (i.e</w:t>
      </w:r>
      <w:r w:rsidR="000641C6">
        <w:t>.</w:t>
      </w:r>
      <w:r>
        <w:t xml:space="preserve"> lower dissimilarity; see Supervising Scientist Division 2013, Figure 4, and George &amp; Humphrey 2014, Figure 3).</w:t>
      </w:r>
    </w:p>
    <w:p w:rsidR="000177D6" w:rsidRDefault="000177D6" w:rsidP="000177D6">
      <w:r>
        <w:t xml:space="preserve">The paired-site dissimilarity approach, used in the ANOVA and depicted in Figure 1, results in loss of information: (i) the influence of individual sites that comprise the paired-site dissimilarity cannot be determined; and (ii) </w:t>
      </w:r>
      <w:r w:rsidRPr="00903213">
        <w:rPr>
          <w:i/>
        </w:rPr>
        <w:t>direction</w:t>
      </w:r>
      <w:r>
        <w:rPr>
          <w:i/>
        </w:rPr>
        <w:t xml:space="preserve"> </w:t>
      </w:r>
      <w:r w:rsidRPr="00903213">
        <w:t>of change in multivariate</w:t>
      </w:r>
      <w:r>
        <w:t xml:space="preserve"> space can also not be determined (Supervising Scientist Division 2013). Thus it is not possible to assign any change to either the upstream or downstream sites, while change in macroinvertebrate community structure at the exposed downstream site could occur in different directions in multivariate space. Therefore, a non-significant BA (before vs after dissimilarity) could still mask real change that is occurring at the exposed site.</w:t>
      </w:r>
    </w:p>
    <w:p w:rsidR="000177D6" w:rsidRDefault="000177D6" w:rsidP="000177D6">
      <w:r w:rsidRPr="00717287">
        <w:t>To ensure change is not passing undetected, two additional multivariate techniques are employed. Firstly, Multivariate Dimensional Scaling (MDS) ordination is u</w:t>
      </w:r>
      <w:r>
        <w:t>sed</w:t>
      </w:r>
      <w:r w:rsidRPr="00717287">
        <w:t xml:space="preserve"> to discern possible shifts in multivariate space </w:t>
      </w:r>
      <w:r>
        <w:t>at</w:t>
      </w:r>
      <w:r w:rsidRPr="00717287">
        <w:t xml:space="preserve"> the downstream exposed sites away from control sites. Secondly, PERMANOVA (PERmutational Multivariate ANalysis Of Variance) (Anderson 2001, McArdle &amp; Anderson 2001, Anderson et al. 2008) is used to perform hypothesis tests on the multivariate data from individual sites (</w:t>
      </w:r>
      <w:r>
        <w:t>as distinct from the</w:t>
      </w:r>
      <w:r w:rsidRPr="00717287">
        <w:t xml:space="preserve"> paired</w:t>
      </w:r>
      <w:r>
        <w:t>-</w:t>
      </w:r>
      <w:r w:rsidRPr="00717287">
        <w:t>site dissimilarity for the ANOVA above). Use of data from the individual sites offers increased partitioning of data variation (and hence increased factors). The ability to use the complete multivariate dissimilarity matrix enables PERMANOVA to better detect changes in direction in multivariate space that might otherwise be missed when using the simple site</w:t>
      </w:r>
      <w:r>
        <w:t>-</w:t>
      </w:r>
      <w:r w:rsidRPr="00717287">
        <w:t>pair dissimilarity metric data.</w:t>
      </w:r>
    </w:p>
    <w:p w:rsidR="000177D6" w:rsidRDefault="000177D6" w:rsidP="000177D6">
      <w:r w:rsidRPr="00717287">
        <w:t xml:space="preserve">Figure 2 depicts the multivariate ordination derived using replicate within-site macroinvertebrate data. Data points are displayed in terms of the sites sampled in Magela and Gulungul </w:t>
      </w:r>
      <w:r>
        <w:t>c</w:t>
      </w:r>
      <w:r w:rsidRPr="00717287">
        <w:t>reeks downstream of Ranger mine for each year of study (to 2014), relative to Magela and Gulungul Creek upstream (control) sites for 2014, and all other control sites sampled up to 2014 (Magela and Gulungul upstream sites, all sites in Burdulba and Nourlangie). Samples situated close to one another in the ordination indicate a similar community structure.</w:t>
      </w:r>
    </w:p>
    <w:p w:rsidR="000177D6" w:rsidRDefault="000177D6" w:rsidP="000177D6">
      <w:r w:rsidRPr="00F3512C">
        <w:t xml:space="preserve">Data points associated with the 2014 Gulungul and Magela downstream sites are generally interspersed among the points representing the control sites, indicating that these ‘exposed’ sites have macroinvertebrate communities that are similar to those occurring at control sites. </w:t>
      </w:r>
      <w:r>
        <w:t xml:space="preserve">PERMANOVA conducted on all replicate data from all available years and sites showed a significant differences for BA (p = 0.0086). However, the two interactions important for impact detection showed no significant difference (i.e. BA * Stream (Exposure) * Upstream/Downstream p = 0.299; and BA * Exposure * Upstream/Downstream, p = 0.5348). </w:t>
      </w:r>
    </w:p>
    <w:p w:rsidR="000177D6" w:rsidRDefault="000177D6" w:rsidP="000177D6">
      <w:r>
        <w:t xml:space="preserve">Whilst not indicative of a potential mine impact, further investigation was undertaken as to why there was such a significant difference in the </w:t>
      </w:r>
      <w:proofErr w:type="gramStart"/>
      <w:r>
        <w:t>Before</w:t>
      </w:r>
      <w:proofErr w:type="gramEnd"/>
      <w:r>
        <w:t xml:space="preserve"> and After factor, across all sites and exposures in 2014. A pair-wise comparison test indicated that both the upstream Nourlangie and downstream Burdulba sites were significantly different from the before to after periods (p = 0.0082 &amp; p = 0.0029, respectively). This difference </w:t>
      </w:r>
      <w:r w:rsidRPr="005B5BA6">
        <w:t xml:space="preserve">can be attributed to a dramatic increase in </w:t>
      </w:r>
      <w:r>
        <w:t xml:space="preserve">the </w:t>
      </w:r>
      <w:r w:rsidRPr="005B5BA6">
        <w:t>total taxa abundance at both locations (Figures 3 &amp; 4)</w:t>
      </w:r>
      <w:r>
        <w:t xml:space="preserve"> and in both cases </w:t>
      </w:r>
      <w:r w:rsidRPr="005B5BA6">
        <w:t>a single family</w:t>
      </w:r>
      <w:r>
        <w:t xml:space="preserve"> (</w:t>
      </w:r>
      <w:r w:rsidRPr="005B5BA6">
        <w:t>Chironomidae</w:t>
      </w:r>
      <w:r>
        <w:t>)</w:t>
      </w:r>
      <w:r w:rsidRPr="005B5BA6">
        <w:t xml:space="preserve"> was </w:t>
      </w:r>
      <w:r>
        <w:t>the main contributor to</w:t>
      </w:r>
      <w:r w:rsidRPr="005B5BA6">
        <w:t xml:space="preserve"> this trend</w:t>
      </w:r>
      <w:r>
        <w:t xml:space="preserve">. </w:t>
      </w:r>
    </w:p>
    <w:p w:rsidR="000177D6" w:rsidRDefault="000177D6" w:rsidP="000177D6"/>
    <w:p w:rsidR="000177D6" w:rsidRDefault="000177D6" w:rsidP="000177D6">
      <w:pPr>
        <w:jc w:val="center"/>
      </w:pPr>
      <w:r>
        <w:rPr>
          <w:noProof/>
          <w:lang w:eastAsia="en-AU"/>
        </w:rPr>
        <w:drawing>
          <wp:inline distT="0" distB="0" distL="0" distR="0">
            <wp:extent cx="4572000" cy="3669862"/>
            <wp:effectExtent l="19050" t="0" r="0" b="0"/>
            <wp:docPr id="3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3" cstate="screen"/>
                    <a:srcRect l="2348" t="8869" r="3383"/>
                    <a:stretch>
                      <a:fillRect/>
                    </a:stretch>
                  </pic:blipFill>
                  <pic:spPr bwMode="auto">
                    <a:xfrm>
                      <a:off x="0" y="0"/>
                      <a:ext cx="4572000" cy="3669862"/>
                    </a:xfrm>
                    <a:prstGeom prst="rect">
                      <a:avLst/>
                    </a:prstGeom>
                    <a:noFill/>
                    <a:ln w="9525">
                      <a:noFill/>
                      <a:miter lim="800000"/>
                      <a:headEnd/>
                      <a:tailEnd/>
                    </a:ln>
                  </pic:spPr>
                </pic:pic>
              </a:graphicData>
            </a:graphic>
          </wp:inline>
        </w:drawing>
      </w:r>
    </w:p>
    <w:p w:rsidR="000177D6" w:rsidRDefault="000177D6" w:rsidP="000177D6">
      <w:pPr>
        <w:pStyle w:val="figurecaption"/>
      </w:pPr>
      <w:r w:rsidRPr="00F3512C">
        <w:rPr>
          <w:b/>
        </w:rPr>
        <w:t xml:space="preserve">Figure </w:t>
      </w:r>
      <w:proofErr w:type="gramStart"/>
      <w:r w:rsidRPr="00F3512C">
        <w:rPr>
          <w:b/>
        </w:rPr>
        <w:t>2</w:t>
      </w:r>
      <w:r w:rsidRPr="00F3512C">
        <w:t xml:space="preserve">  Ordination</w:t>
      </w:r>
      <w:proofErr w:type="gramEnd"/>
      <w:r w:rsidRPr="00F3512C">
        <w:t xml:space="preserve"> plot (axis 1 and 2) of macroinvertebrate community structure data from sites sampled in several streams in the vicinity of Ranger mine for the period 1988 to 2014. Data from Magela </w:t>
      </w:r>
    </w:p>
    <w:p w:rsidR="000177D6" w:rsidRDefault="000177D6" w:rsidP="000177D6">
      <w:r>
        <w:t>Nourlangie Creek water levels were lower than usual, and the regular sampling sites were exposed. As a consequence, the sites were relocated to a nearby area with suitable habitat. The lower water levels were a result of the delay in sampling due to a late wet season rainfall event that was isolated to the East Alligator catchment (Magela and Gulungul creek sites only). The ‘new’ upstream site in Nourlangie Creek, and downstream Burdulba Creek, were characterised by higher than usual flow conditions and macrophyte beds that were dominated by submerged grass-like native annuals (</w:t>
      </w:r>
      <w:r w:rsidRPr="007E3158">
        <w:rPr>
          <w:i/>
        </w:rPr>
        <w:t>Blyxa</w:t>
      </w:r>
      <w:r>
        <w:rPr>
          <w:i/>
        </w:rPr>
        <w:t xml:space="preserve"> </w:t>
      </w:r>
      <w:r w:rsidRPr="007E3158">
        <w:t>sp. and</w:t>
      </w:r>
      <w:r>
        <w:t xml:space="preserve"> </w:t>
      </w:r>
      <w:r>
        <w:rPr>
          <w:i/>
        </w:rPr>
        <w:t xml:space="preserve">Xyris </w:t>
      </w:r>
      <w:r w:rsidRPr="007E3158">
        <w:t>sp.</w:t>
      </w:r>
      <w:r>
        <w:t>)</w:t>
      </w:r>
      <w:r w:rsidRPr="007E3158">
        <w:t xml:space="preserve"> These</w:t>
      </w:r>
      <w:r>
        <w:t xml:space="preserve"> aquatic macrophytes are typically utilised by larvae of the Chironomidae genus </w:t>
      </w:r>
      <w:r w:rsidRPr="00903213">
        <w:rPr>
          <w:i/>
        </w:rPr>
        <w:t>Rheotanytarsus</w:t>
      </w:r>
      <w:r>
        <w:t>, as a surface to which they attach their cases from which they feed. These cases were observed in unusually high numbers in the field. Species-level identification of these samples is currently being carried out to confirm the identity of these chironomids</w:t>
      </w:r>
      <w:proofErr w:type="gramStart"/>
      <w:r>
        <w:t>..</w:t>
      </w:r>
      <w:proofErr w:type="gramEnd"/>
    </w:p>
    <w:p w:rsidR="000177D6" w:rsidRDefault="000177D6" w:rsidP="000177D6">
      <w:r w:rsidRPr="00F3512C">
        <w:t>Th</w:t>
      </w:r>
      <w:r>
        <w:t>e</w:t>
      </w:r>
      <w:r w:rsidRPr="00F3512C">
        <w:t>se collective results provide good evidence that changes to water quality downstream of Ranger as a consequence of mining during the period 1994 to 201</w:t>
      </w:r>
      <w:r>
        <w:t>4</w:t>
      </w:r>
      <w:r w:rsidRPr="00F3512C">
        <w:t xml:space="preserve"> have not adversely affected macroinvertebrate communities.</w:t>
      </w:r>
    </w:p>
    <w:p w:rsidR="000177D6" w:rsidRDefault="000177D6" w:rsidP="000177D6">
      <w:r>
        <w:rPr>
          <w:noProof/>
          <w:lang w:eastAsia="en-AU"/>
        </w:rPr>
        <w:drawing>
          <wp:inline distT="0" distB="0" distL="0" distR="0">
            <wp:extent cx="5274310" cy="3017182"/>
            <wp:effectExtent l="19050" t="0" r="2540" b="0"/>
            <wp:docPr id="87" name="Picture 9" descr="C:\Users\A02270\AppData\Local\Microsoft\Windows\Temporary Internet Files\Content.Outlook\WZYPYAH9\Nourlangie abundan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02270\AppData\Local\Microsoft\Windows\Temporary Internet Files\Content.Outlook\WZYPYAH9\Nourlangie abundance.JPG"/>
                    <pic:cNvPicPr>
                      <a:picLocks noChangeAspect="1" noChangeArrowheads="1"/>
                    </pic:cNvPicPr>
                  </pic:nvPicPr>
                  <pic:blipFill>
                    <a:blip r:embed="rId134" cstate="screen"/>
                    <a:srcRect/>
                    <a:stretch>
                      <a:fillRect/>
                    </a:stretch>
                  </pic:blipFill>
                  <pic:spPr bwMode="auto">
                    <a:xfrm>
                      <a:off x="0" y="0"/>
                      <a:ext cx="5274310" cy="3017182"/>
                    </a:xfrm>
                    <a:prstGeom prst="rect">
                      <a:avLst/>
                    </a:prstGeom>
                    <a:noFill/>
                    <a:ln w="9525">
                      <a:noFill/>
                      <a:miter lim="800000"/>
                      <a:headEnd/>
                      <a:tailEnd/>
                    </a:ln>
                  </pic:spPr>
                </pic:pic>
              </a:graphicData>
            </a:graphic>
          </wp:inline>
        </w:drawing>
      </w:r>
    </w:p>
    <w:p w:rsidR="000177D6" w:rsidRDefault="000177D6" w:rsidP="000177D6">
      <w:pPr>
        <w:pStyle w:val="figurecaption"/>
      </w:pPr>
      <w:r w:rsidRPr="00903213">
        <w:rPr>
          <w:b/>
        </w:rPr>
        <w:t>Figure 3</w:t>
      </w:r>
      <w:r>
        <w:t xml:space="preserve"> Total abundance of taxa collected from upstream and downstream Nourlangie Creek sites over time</w:t>
      </w:r>
      <w:r w:rsidR="000641C6">
        <w:t>.</w:t>
      </w:r>
    </w:p>
    <w:p w:rsidR="000177D6" w:rsidRPr="00115EE6" w:rsidRDefault="000177D6" w:rsidP="000177D6">
      <w:r>
        <w:rPr>
          <w:noProof/>
          <w:lang w:eastAsia="en-AU"/>
        </w:rPr>
        <w:drawing>
          <wp:inline distT="0" distB="0" distL="0" distR="0">
            <wp:extent cx="5274310" cy="3017182"/>
            <wp:effectExtent l="19050" t="0" r="2540" b="0"/>
            <wp:docPr id="232" name="Picture 10" descr="C:\Users\A02270\AppData\Local\Microsoft\Windows\Temporary Internet Files\Content.Outlook\WZYPYAH9\Burdulba abundan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02270\AppData\Local\Microsoft\Windows\Temporary Internet Files\Content.Outlook\WZYPYAH9\Burdulba abundance.JPG"/>
                    <pic:cNvPicPr>
                      <a:picLocks noChangeAspect="1" noChangeArrowheads="1"/>
                    </pic:cNvPicPr>
                  </pic:nvPicPr>
                  <pic:blipFill>
                    <a:blip r:embed="rId135" cstate="screen"/>
                    <a:srcRect/>
                    <a:stretch>
                      <a:fillRect/>
                    </a:stretch>
                  </pic:blipFill>
                  <pic:spPr bwMode="auto">
                    <a:xfrm>
                      <a:off x="0" y="0"/>
                      <a:ext cx="5274310" cy="3017182"/>
                    </a:xfrm>
                    <a:prstGeom prst="rect">
                      <a:avLst/>
                    </a:prstGeom>
                    <a:noFill/>
                    <a:ln w="9525">
                      <a:noFill/>
                      <a:miter lim="800000"/>
                      <a:headEnd/>
                      <a:tailEnd/>
                    </a:ln>
                  </pic:spPr>
                </pic:pic>
              </a:graphicData>
            </a:graphic>
          </wp:inline>
        </w:drawing>
      </w:r>
    </w:p>
    <w:p w:rsidR="000177D6" w:rsidRDefault="000177D6" w:rsidP="000177D6">
      <w:pPr>
        <w:pStyle w:val="figurecaption"/>
      </w:pPr>
      <w:r w:rsidRPr="00903213">
        <w:rPr>
          <w:b/>
        </w:rPr>
        <w:t>Figure 4</w:t>
      </w:r>
      <w:r>
        <w:t xml:space="preserve"> Total abundance of taxa collected from upstream and downstream Burdulba Creek sites over time</w:t>
      </w:r>
      <w:r w:rsidR="000641C6">
        <w:t>.</w:t>
      </w:r>
    </w:p>
    <w:p w:rsidR="00285297" w:rsidRDefault="00285297" w:rsidP="000177D6">
      <w:pPr>
        <w:sectPr w:rsidR="00285297" w:rsidSect="00E154E1">
          <w:pgSz w:w="11906" w:h="16838" w:code="9"/>
          <w:pgMar w:top="1440" w:right="1800" w:bottom="1440" w:left="1800" w:header="1080" w:footer="835" w:gutter="0"/>
          <w:cols w:space="360"/>
          <w:noEndnote/>
        </w:sectPr>
      </w:pPr>
    </w:p>
    <w:p w:rsidR="000177D6" w:rsidRDefault="000177D6" w:rsidP="00C03DA2">
      <w:pPr>
        <w:pStyle w:val="Heading2"/>
      </w:pPr>
      <w:r w:rsidRPr="00F3512C">
        <w:t>References</w:t>
      </w:r>
    </w:p>
    <w:p w:rsidR="000177D6" w:rsidRDefault="000177D6" w:rsidP="000177D6">
      <w:pPr>
        <w:pStyle w:val="referencelist1"/>
      </w:pPr>
      <w:proofErr w:type="gramStart"/>
      <w:r>
        <w:t>Anderson MJ 2001.</w:t>
      </w:r>
      <w:proofErr w:type="gramEnd"/>
      <w:r>
        <w:t xml:space="preserve"> </w:t>
      </w:r>
      <w:proofErr w:type="gramStart"/>
      <w:r>
        <w:t>A new method for non-parametric multivariate analysis of variance.</w:t>
      </w:r>
      <w:proofErr w:type="gramEnd"/>
      <w:r>
        <w:t xml:space="preserve"> </w:t>
      </w:r>
      <w:r w:rsidRPr="00726282">
        <w:rPr>
          <w:i/>
        </w:rPr>
        <w:t>Aus</w:t>
      </w:r>
      <w:r w:rsidR="00674CAF">
        <w:rPr>
          <w:i/>
        </w:rPr>
        <w:t>t</w:t>
      </w:r>
      <w:r w:rsidRPr="00726282">
        <w:rPr>
          <w:i/>
        </w:rPr>
        <w:t>ral Ecology</w:t>
      </w:r>
      <w:r>
        <w:t xml:space="preserve"> 26, 32</w:t>
      </w:r>
      <w:r w:rsidR="000641C6">
        <w:t>–</w:t>
      </w:r>
      <w:r>
        <w:t>46.</w:t>
      </w:r>
    </w:p>
    <w:p w:rsidR="000177D6" w:rsidRDefault="000177D6" w:rsidP="000177D6">
      <w:pPr>
        <w:pStyle w:val="referencelist1"/>
      </w:pPr>
      <w:proofErr w:type="gramStart"/>
      <w:r>
        <w:t>Anderson MJ, Gorley RN &amp; Clark KR 2008.</w:t>
      </w:r>
      <w:proofErr w:type="gramEnd"/>
      <w:r>
        <w:t xml:space="preserve"> PERMANOVA+ for PRIMER: Guide to software and statistical methods, Primer-E</w:t>
      </w:r>
      <w:proofErr w:type="gramStart"/>
      <w:r>
        <w:t>:,</w:t>
      </w:r>
      <w:proofErr w:type="gramEnd"/>
      <w:r>
        <w:t xml:space="preserve"> Plymouth, UK.George A &amp; Humphrey C 2014 Development of turbidity closure criteria for receiving surface waters following Ranger minesite rehabilitation. </w:t>
      </w:r>
      <w:proofErr w:type="gramStart"/>
      <w:r>
        <w:t xml:space="preserve">In </w:t>
      </w:r>
      <w:r w:rsidRPr="000641C6">
        <w:rPr>
          <w:rFonts w:ascii="Times New Roman" w:hAnsi="Times New Roman"/>
          <w:b/>
          <w:i/>
          <w:sz w:val="26"/>
        </w:rPr>
        <w:t>eriss</w:t>
      </w:r>
      <w:r w:rsidRPr="000641C6">
        <w:rPr>
          <w:rFonts w:ascii="Times New Roman" w:hAnsi="Times New Roman"/>
        </w:rPr>
        <w:t xml:space="preserve"> </w:t>
      </w:r>
      <w:r w:rsidRPr="000A2DC5">
        <w:rPr>
          <w:i/>
        </w:rPr>
        <w:t>research summary 2012–2013</w:t>
      </w:r>
      <w:r w:rsidRPr="000A2DC5">
        <w:t>.</w:t>
      </w:r>
      <w:proofErr w:type="gramEnd"/>
      <w:r w:rsidRPr="000A2DC5">
        <w:t xml:space="preserve"> </w:t>
      </w:r>
      <w:proofErr w:type="gramStart"/>
      <w:r w:rsidRPr="000A2DC5">
        <w:t xml:space="preserve">Supervising Scientist report 205, Supervising Scientist, Darwin NT, </w:t>
      </w:r>
      <w:r>
        <w:t>154</w:t>
      </w:r>
      <w:r w:rsidRPr="000A2DC5">
        <w:t>–</w:t>
      </w:r>
      <w:r>
        <w:t>163</w:t>
      </w:r>
      <w:r w:rsidRPr="000A2DC5">
        <w:t>.</w:t>
      </w:r>
      <w:proofErr w:type="gramEnd"/>
    </w:p>
    <w:p w:rsidR="00667324" w:rsidRDefault="00667324" w:rsidP="00667324">
      <w:pPr>
        <w:pStyle w:val="referencelist1"/>
      </w:pPr>
      <w:r>
        <w:t xml:space="preserve">George A &amp; Humphrey C 2014 Development of turbidity closure criteria for receiving surface waters following Ranger minesite rehabilitation. </w:t>
      </w:r>
      <w:proofErr w:type="gramStart"/>
      <w:r>
        <w:t xml:space="preserve">In </w:t>
      </w:r>
      <w:r w:rsidRPr="000641C6">
        <w:rPr>
          <w:rFonts w:ascii="Times New Roman" w:hAnsi="Times New Roman"/>
          <w:b/>
          <w:i/>
          <w:sz w:val="26"/>
        </w:rPr>
        <w:t>eriss</w:t>
      </w:r>
      <w:r w:rsidRPr="000641C6">
        <w:rPr>
          <w:rFonts w:ascii="Times New Roman" w:hAnsi="Times New Roman"/>
        </w:rPr>
        <w:t xml:space="preserve"> </w:t>
      </w:r>
      <w:r w:rsidRPr="000A2DC5">
        <w:rPr>
          <w:i/>
        </w:rPr>
        <w:t>research summary 2012–2013</w:t>
      </w:r>
      <w:r w:rsidRPr="000A2DC5">
        <w:t>.</w:t>
      </w:r>
      <w:proofErr w:type="gramEnd"/>
      <w:r w:rsidRPr="000A2DC5">
        <w:t xml:space="preserve"> </w:t>
      </w:r>
      <w:proofErr w:type="gramStart"/>
      <w:r w:rsidRPr="000A2DC5">
        <w:t xml:space="preserve">Supervising Scientist report 205, Supervising Scientist, Darwin NT, </w:t>
      </w:r>
      <w:r>
        <w:t>154</w:t>
      </w:r>
      <w:r w:rsidRPr="000A2DC5">
        <w:t>–</w:t>
      </w:r>
      <w:r>
        <w:t>163</w:t>
      </w:r>
      <w:r w:rsidRPr="000A2DC5">
        <w:t>.</w:t>
      </w:r>
      <w:proofErr w:type="gramEnd"/>
    </w:p>
    <w:p w:rsidR="000177D6" w:rsidRPr="00F3512C" w:rsidRDefault="000177D6" w:rsidP="000177D6">
      <w:pPr>
        <w:pStyle w:val="referencelist1"/>
      </w:pPr>
      <w:r w:rsidRPr="00F3512C">
        <w:t xml:space="preserve">Humphrey CL, Chandler L, Camilleri C &amp; Hanley J 2012. </w:t>
      </w:r>
      <w:proofErr w:type="gramStart"/>
      <w:r w:rsidRPr="00F3512C">
        <w:t>Monitoring using macroinvertebrate community structure.</w:t>
      </w:r>
      <w:proofErr w:type="gramEnd"/>
      <w:r w:rsidRPr="00F3512C">
        <w:t xml:space="preserve"> </w:t>
      </w:r>
      <w:r>
        <w:t xml:space="preserve">In </w:t>
      </w:r>
      <w:r w:rsidRPr="00F3512C">
        <w:t>Jones DR &amp; Webb A</w:t>
      </w:r>
      <w:r>
        <w:t xml:space="preserve"> (</w:t>
      </w:r>
      <w:proofErr w:type="gramStart"/>
      <w:r>
        <w:t>eds</w:t>
      </w:r>
      <w:proofErr w:type="gramEnd"/>
      <w:r>
        <w:t>) 2012.</w:t>
      </w:r>
      <w:r w:rsidRPr="00F3512C">
        <w:t xml:space="preserve"> </w:t>
      </w:r>
      <w:proofErr w:type="gramStart"/>
      <w:r w:rsidRPr="004E6332">
        <w:rPr>
          <w:rFonts w:ascii="Times New Roman" w:hAnsi="Times New Roman"/>
          <w:b/>
          <w:i/>
          <w:iCs/>
          <w:sz w:val="26"/>
        </w:rPr>
        <w:t>eriss</w:t>
      </w:r>
      <w:proofErr w:type="gramEnd"/>
      <w:r w:rsidRPr="004E6332">
        <w:t xml:space="preserve"> </w:t>
      </w:r>
      <w:r w:rsidRPr="00F3512C">
        <w:rPr>
          <w:i/>
        </w:rPr>
        <w:t>research summary 2010–2011</w:t>
      </w:r>
      <w:r w:rsidRPr="00F3512C">
        <w:t>.Supervising Scientist Report 203, Supervising Scientist, Darwin NT, 88–92.</w:t>
      </w:r>
    </w:p>
    <w:p w:rsidR="000177D6" w:rsidRDefault="000177D6" w:rsidP="000177D6">
      <w:pPr>
        <w:pStyle w:val="referencelist1"/>
      </w:pPr>
      <w:r w:rsidRPr="00F3512C">
        <w:t xml:space="preserve">Humphrey CL, Hanley J, Chandler L &amp; Camilleri C 2014. </w:t>
      </w:r>
      <w:proofErr w:type="gramStart"/>
      <w:r w:rsidRPr="00F3512C">
        <w:t>Monitoring using macroinvertebrate community structure.</w:t>
      </w:r>
      <w:proofErr w:type="gramEnd"/>
      <w:r w:rsidRPr="00F3512C">
        <w:t xml:space="preserve"> </w:t>
      </w:r>
      <w:proofErr w:type="gramStart"/>
      <w:r w:rsidRPr="00F3512C">
        <w:t xml:space="preserve">In </w:t>
      </w:r>
      <w:r w:rsidRPr="004E6332">
        <w:rPr>
          <w:rFonts w:ascii="Times New Roman" w:hAnsi="Times New Roman"/>
          <w:b/>
          <w:i/>
          <w:iCs/>
          <w:sz w:val="26"/>
        </w:rPr>
        <w:t>eriss</w:t>
      </w:r>
      <w:r w:rsidRPr="00F3512C">
        <w:t xml:space="preserve"> </w:t>
      </w:r>
      <w:r w:rsidRPr="00F3512C">
        <w:rPr>
          <w:i/>
        </w:rPr>
        <w:t>research summary 2012–2013</w:t>
      </w:r>
      <w:r w:rsidRPr="00F3512C">
        <w:t>.</w:t>
      </w:r>
      <w:proofErr w:type="gramEnd"/>
      <w:r w:rsidRPr="00F3512C">
        <w:t xml:space="preserve"> </w:t>
      </w:r>
      <w:proofErr w:type="gramStart"/>
      <w:r w:rsidRPr="00F3512C">
        <w:t>Supervising Scientist report 205, Super</w:t>
      </w:r>
      <w:r>
        <w:t xml:space="preserve">vising Scientist, Darwin NT, </w:t>
      </w:r>
      <w:r w:rsidRPr="00F3512C">
        <w:t>72–75.</w:t>
      </w:r>
      <w:proofErr w:type="gramEnd"/>
    </w:p>
    <w:p w:rsidR="000177D6" w:rsidRDefault="000177D6" w:rsidP="000177D6">
      <w:pPr>
        <w:pStyle w:val="referencelist1"/>
      </w:pPr>
      <w:proofErr w:type="gramStart"/>
      <w:r>
        <w:t>McArdle BH &amp; Anderson MJ 2001.</w:t>
      </w:r>
      <w:proofErr w:type="gramEnd"/>
      <w:r>
        <w:t xml:space="preserve"> </w:t>
      </w:r>
      <w:proofErr w:type="gramStart"/>
      <w:r>
        <w:t>Fitting multivariate models to community data: a comment on distance-based redundancy analysis.</w:t>
      </w:r>
      <w:proofErr w:type="gramEnd"/>
      <w:r w:rsidRPr="00E84947">
        <w:rPr>
          <w:i/>
        </w:rPr>
        <w:t xml:space="preserve"> Ecology</w:t>
      </w:r>
      <w:r w:rsidR="000641C6">
        <w:t xml:space="preserve"> 82, 290–</w:t>
      </w:r>
      <w:r>
        <w:t>297.</w:t>
      </w:r>
    </w:p>
    <w:p w:rsidR="00C03DA2" w:rsidRDefault="000177D6" w:rsidP="00C03DA2">
      <w:pPr>
        <w:pStyle w:val="referencelist1"/>
      </w:pPr>
      <w:proofErr w:type="gramStart"/>
      <w:r>
        <w:t>Supervising Scientist Division 2013</w:t>
      </w:r>
      <w:r w:rsidRPr="00D73B46">
        <w:rPr>
          <w:i/>
        </w:rPr>
        <w:t xml:space="preserve"> </w:t>
      </w:r>
      <w:r w:rsidRPr="00795D38">
        <w:t>Environmental monitoring protocols to assess potential impacts from Ranger minesite on aquatic ecosystems: Macroinvertebrate community structure in streams.</w:t>
      </w:r>
      <w:proofErr w:type="gramEnd"/>
      <w:r>
        <w:t xml:space="preserve"> </w:t>
      </w:r>
      <w:proofErr w:type="gramStart"/>
      <w:r>
        <w:t>Internal Report 591, July 2013, Supervising Scientist, Darwin.</w:t>
      </w:r>
      <w:proofErr w:type="gramEnd"/>
    </w:p>
    <w:p w:rsidR="00624793" w:rsidRDefault="00624793">
      <w:pPr>
        <w:spacing w:after="0" w:line="240" w:lineRule="auto"/>
        <w:jc w:val="left"/>
        <w:sectPr w:rsidR="00624793" w:rsidSect="00E154E1">
          <w:pgSz w:w="11906" w:h="16838" w:code="9"/>
          <w:pgMar w:top="1440" w:right="1800" w:bottom="1440" w:left="1800" w:header="1080" w:footer="835" w:gutter="0"/>
          <w:cols w:space="360"/>
          <w:noEndnote/>
        </w:sectPr>
      </w:pPr>
    </w:p>
    <w:p w:rsidR="000177D6" w:rsidRDefault="00C03DA2" w:rsidP="00C03DA2">
      <w:pPr>
        <w:pStyle w:val="Heading1"/>
      </w:pPr>
      <w:r w:rsidRPr="00F3512C">
        <w:t xml:space="preserve"> </w:t>
      </w:r>
      <w:bookmarkStart w:id="184" w:name="_Toc418172706"/>
      <w:r w:rsidR="000177D6" w:rsidRPr="00F3512C">
        <w:t>Monitoring using fish community structure</w:t>
      </w:r>
      <w:bookmarkEnd w:id="184"/>
    </w:p>
    <w:p w:rsidR="000177D6" w:rsidRPr="00F17E68" w:rsidRDefault="000177D6" w:rsidP="000177D6">
      <w:pPr>
        <w:pStyle w:val="Heading3"/>
        <w:spacing w:after="480"/>
        <w:jc w:val="center"/>
      </w:pPr>
      <w:r>
        <w:t>M Ellis</w:t>
      </w:r>
      <w:r w:rsidDel="005E5B86">
        <w:t xml:space="preserve"> </w:t>
      </w:r>
      <w:r>
        <w:t>&amp; C Humphrey</w:t>
      </w:r>
    </w:p>
    <w:p w:rsidR="000177D6" w:rsidRDefault="000177D6" w:rsidP="00C03DA2">
      <w:pPr>
        <w:pStyle w:val="Heading2"/>
      </w:pPr>
      <w:r>
        <w:t>Background</w:t>
      </w:r>
    </w:p>
    <w:p w:rsidR="000177D6" w:rsidRDefault="000177D6" w:rsidP="000177D6">
      <w:r>
        <w:t xml:space="preserve">Assessment of fish communities in billabongs is conducted between late April and July each sampling year, the precise time of the monitoring being dependent on flow regime, using non-destructive sampling methods at ‘exposed’ and ‘control’ locations. Two billabong types are sampled: deep channel billabongs every year and shallow lowland (mostly backflow) billabongs dominated by aquatic plants every two years. Details of the sampling methods and sites were provided in Supervising Scientist (2004; section 2.2.3). These programmes were reviewed in October 2006 and the refinements to their design are detailed in Supervising Scientist (2007, 2008; section 2.2.3). Full protocols for the channel and lowland billabong fish monitoring techniques are provided in Supervising Scientist </w:t>
      </w:r>
      <w:r w:rsidRPr="003752BF">
        <w:t>(2011</w:t>
      </w:r>
      <w:r>
        <w:t>a, b respectively).</w:t>
      </w:r>
    </w:p>
    <w:p w:rsidR="000177D6" w:rsidRPr="00F3512C" w:rsidRDefault="000177D6" w:rsidP="000177D6">
      <w:r>
        <w:rPr>
          <w:spacing w:val="-2"/>
        </w:rPr>
        <w:t xml:space="preserve">For both deep channel and shallow lowland billabongs, comparisons are made between a directly-exposed billabong in the Magela Creek catchment downstream of the Ranger mine versus control billabongs from an independent catchment (Nourlangie Creek and Wirnmuyurr Creek). The extent of similarity of fish communities in exposed sites to those in control sites is determined using multivariate dissimilarity indices, calculated for each sampling occasion. The use of dissimilarity indices for both of these monitoring approaches has been described and defined in </w:t>
      </w:r>
      <w:r>
        <w:t xml:space="preserve">Supervising Scientist Division </w:t>
      </w:r>
      <w:r w:rsidRPr="003752BF">
        <w:t>(2011</w:t>
      </w:r>
      <w:r>
        <w:t>a, b)</w:t>
      </w:r>
      <w:r>
        <w:rPr>
          <w:spacing w:val="-2"/>
        </w:rPr>
        <w:t>. A significant change or trend in the dissimilarity values over time could imply mining impact.</w:t>
      </w:r>
    </w:p>
    <w:p w:rsidR="000177D6" w:rsidRDefault="000177D6" w:rsidP="00C03DA2">
      <w:pPr>
        <w:pStyle w:val="Heading2"/>
      </w:pPr>
      <w:r>
        <w:t>Deep channel billabongs</w:t>
      </w:r>
    </w:p>
    <w:p w:rsidR="000177D6" w:rsidRPr="00F3512C" w:rsidRDefault="000177D6" w:rsidP="000177D6">
      <w:r w:rsidRPr="00F3512C">
        <w:t xml:space="preserve">The exposed location for the channel billabong study is Mudginberri Billabong. For the 2014 monitoring period, access to Mudginberri Billabong was not possible due to an important time of mourning for the local Indigenous community. The next assessment will be undertaken in 2015 and will be </w:t>
      </w:r>
      <w:r>
        <w:t xml:space="preserve">first </w:t>
      </w:r>
      <w:r w:rsidRPr="00F3512C">
        <w:t>reported in the Supervising Scientist annual report for 2014–15.</w:t>
      </w:r>
    </w:p>
    <w:p w:rsidR="000177D6" w:rsidRDefault="000177D6" w:rsidP="00C03DA2">
      <w:pPr>
        <w:pStyle w:val="Heading2"/>
      </w:pPr>
      <w:r w:rsidRPr="00F3512C">
        <w:t>Shallow lowland billabongs</w:t>
      </w:r>
    </w:p>
    <w:p w:rsidR="000177D6" w:rsidRPr="00F3512C" w:rsidRDefault="000177D6" w:rsidP="000177D6">
      <w:r w:rsidRPr="00F3512C">
        <w:t xml:space="preserve">Monitoring of fish communities in shallow lowland billabongs has previously been conducted every two years, with the exception of a break in sampling between 2009 and 2012. The last assessment of fish communities in these billabongs occurred in June 2012 with results reported in </w:t>
      </w:r>
      <w:r>
        <w:t>Buckle &amp; Humphrey (2013</w:t>
      </w:r>
      <w:r w:rsidRPr="00F3512C">
        <w:t>). Results from sampling conducted in June 2014 are described below.</w:t>
      </w:r>
    </w:p>
    <w:p w:rsidR="000177D6" w:rsidRDefault="000177D6" w:rsidP="000177D6">
      <w:r w:rsidRPr="00F3512C">
        <w:t xml:space="preserve">The monitoring programme for fish communities in shallow billabongs is conducted in six billabongs, comprising three ‘control’ versus ‘exposed’ billabong pairs. In a similar manner to fish communities in channel billabongs (see </w:t>
      </w:r>
      <w:r>
        <w:t>Buckle &amp; Humphrey 2013</w:t>
      </w:r>
      <w:r w:rsidRPr="00F3512C">
        <w:t>), the similarity of fish communities in the directly exposed sites downstream of Ranger on Magela Creek (Georgetown, Coonjimba and Gulungul billabongs) to those of the control sites (Sandy Shallow and Buba billabongs on Nourlangie Creek and Wirnmuyurr Billabong – a Magela floodplain tributary) (</w:t>
      </w:r>
      <w:r w:rsidRPr="000E551D">
        <w:t>see Map 3</w:t>
      </w:r>
      <w:r w:rsidRPr="00F3512C">
        <w:t xml:space="preserve">) is determined using multivariate dissimilarity indices calculated for each sampling occasion. A plot of the dissimilarity values of the control-exposed site pairings – Coonjimba-Buba, Georgetown-Sandy Shallow and Gulungul-Wirnmuyurr billabongs – from 1994 to 2014, is shown in Figure 1. </w:t>
      </w:r>
    </w:p>
    <w:p w:rsidR="000177D6" w:rsidRPr="00F3512C" w:rsidRDefault="000177D6" w:rsidP="000177D6"/>
    <w:p w:rsidR="000177D6" w:rsidRPr="00F3512C" w:rsidRDefault="000177D6" w:rsidP="000177D6">
      <w:pPr>
        <w:jc w:val="center"/>
      </w:pPr>
      <w:r w:rsidRPr="00F3512C">
        <w:rPr>
          <w:noProof/>
          <w:lang w:eastAsia="en-AU"/>
        </w:rPr>
        <w:drawing>
          <wp:inline distT="0" distB="0" distL="0" distR="0">
            <wp:extent cx="3876675" cy="5333680"/>
            <wp:effectExtent l="19050" t="0" r="9525" b="0"/>
            <wp:docPr id="143" name="Picture 1" descr="SSAR 201314 Popnetting dissimilarity grap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SAR 201314 Popnetting dissimilarity graph.JPG"/>
                    <pic:cNvPicPr/>
                  </pic:nvPicPr>
                  <pic:blipFill>
                    <a:blip r:embed="rId136" cstate="screen"/>
                    <a:srcRect/>
                    <a:stretch>
                      <a:fillRect/>
                    </a:stretch>
                  </pic:blipFill>
                  <pic:spPr>
                    <a:xfrm>
                      <a:off x="0" y="0"/>
                      <a:ext cx="3876675" cy="5333680"/>
                    </a:xfrm>
                    <a:prstGeom prst="rect">
                      <a:avLst/>
                    </a:prstGeom>
                  </pic:spPr>
                </pic:pic>
              </a:graphicData>
            </a:graphic>
          </wp:inline>
        </w:drawing>
      </w:r>
    </w:p>
    <w:p w:rsidR="000177D6" w:rsidRPr="00F3512C" w:rsidRDefault="000177D6" w:rsidP="000177D6">
      <w:pPr>
        <w:pStyle w:val="figurecaption"/>
        <w:rPr>
          <w:b/>
        </w:rPr>
      </w:pPr>
      <w:r w:rsidRPr="00F3512C">
        <w:rPr>
          <w:b/>
        </w:rPr>
        <w:t xml:space="preserve">Figure </w:t>
      </w:r>
      <w:proofErr w:type="gramStart"/>
      <w:r w:rsidRPr="00F3512C">
        <w:rPr>
          <w:b/>
        </w:rPr>
        <w:t xml:space="preserve">1  </w:t>
      </w:r>
      <w:r w:rsidRPr="00F3512C">
        <w:t>Paired</w:t>
      </w:r>
      <w:proofErr w:type="gramEnd"/>
      <w:r w:rsidRPr="00F3512C">
        <w:t xml:space="preserve"> control-exposed site dissimilarity values (using the Bray-Curtis measure) calculated for community structure of fish in ‘exposed’ Magela and ‘control’ Nourlangie and Magela Billabongs in the vicinity of Ranger mine over time. Values are means (</w:t>
      </w:r>
      <w:r w:rsidRPr="00F3512C">
        <w:sym w:font="Symbol" w:char="F0B1"/>
      </w:r>
      <w:r w:rsidRPr="00F3512C">
        <w:t> standard error) of the 5 possible (randomly-selected) pairwise comparisons of average trap enclosure data between the pairwise billabong comparisons, Coonjimba-Buba, Gulungul-Wirnmuyurr and Georgetown-Sandy Shallow billabongs.</w:t>
      </w:r>
    </w:p>
    <w:p w:rsidR="000177D6" w:rsidRPr="00F3512C" w:rsidRDefault="000177D6" w:rsidP="000177D6">
      <w:r w:rsidRPr="00F3512C">
        <w:t xml:space="preserve">The three sets of paired-billabong dissimilarity values measured since 1998 (when sampling of all three site-pairs commenced) have been analysed using a three-factor ANOVA with Before/After (BA; fixed), Year (nested within BA; random) and Site-pair (Fixed) as factors. In this analysis, the BA factor tests whether values for the year of interest (2014) are consistent with the range of values reported in previous years (1998 to 2012), the factor ‘Year’ tests for differences amongst years within the before or after periods and the ‘Site-pair’ factor tests for differences amongst the three paired-billabong dissimilarities. </w:t>
      </w:r>
    </w:p>
    <w:p w:rsidR="000177D6" w:rsidRPr="00F3512C" w:rsidRDefault="000177D6" w:rsidP="000177D6">
      <w:r w:rsidRPr="00F3512C">
        <w:t>The ANOVA results showed that across all three site-pairs there was no significant change from 2014 to other years (BA factor, p = 0.763) and that the change between 2014 and previous years within the individual site-pairs was consistent (BA*Site-pair interaction, p = 0.953). These results confirm that dissimilarity values for 2014 for all three site-pairs do not differ from those values from previous years. Significant differences do occur over time within site-pairs (Year*Site-pair interaction, p = 0.000), which reflects (natural) changes through time. This variation over time is evident in Figure 1 and is further considered below. The paired-site dissimilarities shown in Figure</w:t>
      </w:r>
      <w:r>
        <w:t> </w:t>
      </w:r>
      <w:r w:rsidRPr="00F3512C">
        <w:t xml:space="preserve">1 average between 40 and 60%, indicating fish communities in each of the billabongs comprising a site-pair are quite different from one another. The dissimilarity values appear to reflect differences in aquatic plant communities of the site-pair billabongs, with particularly high dissimilarity values (i.e. Coonjimba-Buba pairing for 2002 and 2007, Gulungul-Wirnmuyurr site pairing for 2002, Figure 1) attributable to high densities of particular aquatic plant types in one or both billabongs in a billabong pair (see </w:t>
      </w:r>
      <w:r>
        <w:t xml:space="preserve">Buckle &amp; Humphrey </w:t>
      </w:r>
      <w:r w:rsidRPr="0039036C">
        <w:t>2008</w:t>
      </w:r>
      <w:r>
        <w:t>).</w:t>
      </w:r>
    </w:p>
    <w:p w:rsidR="000177D6" w:rsidRDefault="000177D6" w:rsidP="000177D6">
      <w:r w:rsidRPr="00F3512C">
        <w:t>Excessive plant densities are unfavourable for fish communities as fish movement, and hence residency, is physically prevented. Collectively, the graphical and statistical results provide good evidence that changes to water quality downstream of Ranger as a consequence of mining during the period 1994 to 2014 have not adversely affected fish communities in shallow billabongs.</w:t>
      </w:r>
    </w:p>
    <w:p w:rsidR="000177D6" w:rsidRDefault="000177D6" w:rsidP="00667324">
      <w:pPr>
        <w:pStyle w:val="Heading2"/>
      </w:pPr>
      <w:r w:rsidRPr="00F3512C">
        <w:t>References</w:t>
      </w:r>
    </w:p>
    <w:p w:rsidR="000177D6" w:rsidRPr="007B1CB0" w:rsidRDefault="000177D6" w:rsidP="000177D6">
      <w:pPr>
        <w:pStyle w:val="referencelist10"/>
        <w:rPr>
          <w:rFonts w:ascii="Garamond" w:hAnsi="Garamond"/>
          <w:sz w:val="24"/>
          <w:szCs w:val="24"/>
        </w:rPr>
      </w:pPr>
      <w:bookmarkStart w:id="185" w:name="_Toc348009190"/>
      <w:bookmarkStart w:id="186" w:name="_Toc349310762"/>
      <w:r w:rsidRPr="007B1CB0">
        <w:rPr>
          <w:rFonts w:ascii="Garamond" w:hAnsi="Garamond"/>
          <w:sz w:val="24"/>
          <w:szCs w:val="24"/>
        </w:rPr>
        <w:t xml:space="preserve">Buckle D &amp; Humphrey C 2008. </w:t>
      </w:r>
      <w:proofErr w:type="gramStart"/>
      <w:r w:rsidRPr="007B1CB0">
        <w:rPr>
          <w:rFonts w:ascii="Garamond" w:hAnsi="Garamond"/>
          <w:sz w:val="24"/>
          <w:szCs w:val="24"/>
        </w:rPr>
        <w:t>Monitoring of Ranger mine using fish community structure.</w:t>
      </w:r>
      <w:proofErr w:type="gramEnd"/>
      <w:r w:rsidRPr="007B1CB0">
        <w:rPr>
          <w:rFonts w:ascii="Garamond" w:hAnsi="Garamond"/>
          <w:sz w:val="24"/>
          <w:szCs w:val="24"/>
        </w:rPr>
        <w:t xml:space="preserve"> </w:t>
      </w:r>
      <w:proofErr w:type="gramStart"/>
      <w:r w:rsidRPr="007B1CB0">
        <w:rPr>
          <w:rFonts w:ascii="Garamond" w:hAnsi="Garamond"/>
          <w:sz w:val="24"/>
          <w:szCs w:val="24"/>
        </w:rPr>
        <w:t xml:space="preserve">In </w:t>
      </w:r>
      <w:r w:rsidR="004A3C4C" w:rsidRPr="004A3C4C">
        <w:rPr>
          <w:rFonts w:ascii="Garamond" w:hAnsi="Garamond"/>
          <w:b/>
          <w:i/>
          <w:sz w:val="26"/>
          <w:szCs w:val="24"/>
        </w:rPr>
        <w:t>eriss</w:t>
      </w:r>
      <w:r w:rsidRPr="007B1CB0">
        <w:rPr>
          <w:rFonts w:ascii="Garamond" w:hAnsi="Garamond"/>
          <w:sz w:val="24"/>
          <w:szCs w:val="24"/>
        </w:rPr>
        <w:t xml:space="preserve"> </w:t>
      </w:r>
      <w:r w:rsidRPr="007B1CB0">
        <w:rPr>
          <w:rFonts w:ascii="Garamond" w:hAnsi="Garamond"/>
          <w:i/>
          <w:sz w:val="24"/>
          <w:szCs w:val="24"/>
        </w:rPr>
        <w:t>research summary 2006–2007</w:t>
      </w:r>
      <w:r w:rsidRPr="007B1CB0">
        <w:rPr>
          <w:rFonts w:ascii="Garamond" w:hAnsi="Garamond"/>
          <w:sz w:val="24"/>
          <w:szCs w:val="24"/>
        </w:rPr>
        <w:t>.</w:t>
      </w:r>
      <w:proofErr w:type="gramEnd"/>
      <w:r w:rsidRPr="007B1CB0">
        <w:rPr>
          <w:rFonts w:ascii="Garamond" w:hAnsi="Garamond"/>
          <w:sz w:val="24"/>
          <w:szCs w:val="24"/>
        </w:rPr>
        <w:t xml:space="preserve"> </w:t>
      </w:r>
      <w:proofErr w:type="gramStart"/>
      <w:r w:rsidRPr="007B1CB0">
        <w:rPr>
          <w:rFonts w:ascii="Garamond" w:hAnsi="Garamond"/>
          <w:sz w:val="24"/>
          <w:szCs w:val="24"/>
        </w:rPr>
        <w:t>eds</w:t>
      </w:r>
      <w:proofErr w:type="gramEnd"/>
      <w:r w:rsidRPr="007B1CB0">
        <w:rPr>
          <w:rFonts w:ascii="Garamond" w:hAnsi="Garamond"/>
          <w:sz w:val="24"/>
          <w:szCs w:val="24"/>
        </w:rPr>
        <w:t xml:space="preserve"> Jones DR, Humphrey C, van Dam R &amp; Webb A, Supervising Scientist Report 196, Supervising Scientist, Darwin NT, 56–59.</w:t>
      </w:r>
    </w:p>
    <w:p w:rsidR="000177D6" w:rsidRDefault="000177D6" w:rsidP="000177D6">
      <w:pPr>
        <w:pStyle w:val="referencelist1"/>
        <w:rPr>
          <w:lang w:eastAsia="en-AU"/>
        </w:rPr>
      </w:pPr>
      <w:r w:rsidRPr="00FE091F">
        <w:t>Buckle</w:t>
      </w:r>
      <w:r>
        <w:t xml:space="preserve"> D &amp; Humphrey</w:t>
      </w:r>
      <w:bookmarkEnd w:id="185"/>
      <w:bookmarkEnd w:id="186"/>
      <w:r w:rsidRPr="00585D68">
        <w:rPr>
          <w:lang w:eastAsia="en-AU"/>
        </w:rPr>
        <w:t xml:space="preserve"> </w:t>
      </w:r>
      <w:r>
        <w:rPr>
          <w:lang w:eastAsia="en-AU"/>
        </w:rPr>
        <w:t>CL</w:t>
      </w:r>
      <w:r w:rsidRPr="00585D68">
        <w:rPr>
          <w:lang w:eastAsia="en-AU"/>
        </w:rPr>
        <w:t xml:space="preserve"> 2013. </w:t>
      </w:r>
      <w:bookmarkStart w:id="187" w:name="_Toc349310761"/>
      <w:proofErr w:type="gramStart"/>
      <w:r w:rsidRPr="00964CBE">
        <w:t>Monitoring using</w:t>
      </w:r>
      <w:r>
        <w:t xml:space="preserve"> </w:t>
      </w:r>
      <w:r w:rsidRPr="00964CBE">
        <w:t>fish community structure</w:t>
      </w:r>
      <w:bookmarkEnd w:id="187"/>
      <w:r w:rsidRPr="00585D68">
        <w:rPr>
          <w:lang w:eastAsia="en-AU"/>
        </w:rPr>
        <w:t>.</w:t>
      </w:r>
      <w:proofErr w:type="gramEnd"/>
      <w:r w:rsidRPr="00585D68">
        <w:rPr>
          <w:lang w:eastAsia="en-AU"/>
        </w:rPr>
        <w:t xml:space="preserve"> </w:t>
      </w:r>
      <w:proofErr w:type="gramStart"/>
      <w:r w:rsidRPr="00585D68">
        <w:rPr>
          <w:lang w:eastAsia="en-AU"/>
        </w:rPr>
        <w:t xml:space="preserve">In </w:t>
      </w:r>
      <w:r w:rsidR="004A3C4C" w:rsidRPr="004A3C4C">
        <w:rPr>
          <w:b/>
          <w:i/>
          <w:sz w:val="26"/>
          <w:szCs w:val="24"/>
          <w:lang w:eastAsia="en-AU"/>
        </w:rPr>
        <w:t>eriss</w:t>
      </w:r>
      <w:r w:rsidRPr="00585D68">
        <w:rPr>
          <w:lang w:eastAsia="en-AU"/>
        </w:rPr>
        <w:t xml:space="preserve"> </w:t>
      </w:r>
      <w:r w:rsidR="00594C7E" w:rsidRPr="00594C7E">
        <w:rPr>
          <w:i/>
          <w:lang w:eastAsia="en-AU"/>
        </w:rPr>
        <w:t>research summary 2011–2012</w:t>
      </w:r>
      <w:r w:rsidRPr="00585D68">
        <w:rPr>
          <w:lang w:eastAsia="en-AU"/>
        </w:rPr>
        <w:t>.</w:t>
      </w:r>
      <w:proofErr w:type="gramEnd"/>
      <w:r w:rsidRPr="00585D68">
        <w:rPr>
          <w:lang w:eastAsia="en-AU"/>
        </w:rPr>
        <w:t xml:space="preserve"> </w:t>
      </w:r>
      <w:proofErr w:type="gramStart"/>
      <w:r w:rsidRPr="00585D68">
        <w:rPr>
          <w:lang w:eastAsia="en-AU"/>
        </w:rPr>
        <w:t>eds</w:t>
      </w:r>
      <w:proofErr w:type="gramEnd"/>
      <w:r w:rsidRPr="00585D68">
        <w:rPr>
          <w:lang w:eastAsia="en-AU"/>
        </w:rPr>
        <w:t xml:space="preserve"> van Dam RA, Webb A &amp; Parker SM, Supervising Scientist Report 204, Supervising Scientist, Darwin NT, </w:t>
      </w:r>
      <w:r>
        <w:rPr>
          <w:lang w:eastAsia="en-AU"/>
        </w:rPr>
        <w:t>97</w:t>
      </w:r>
      <w:r w:rsidRPr="00585D68">
        <w:rPr>
          <w:lang w:eastAsia="en-AU"/>
        </w:rPr>
        <w:t>–</w:t>
      </w:r>
      <w:r>
        <w:rPr>
          <w:lang w:eastAsia="en-AU"/>
        </w:rPr>
        <w:t>101.</w:t>
      </w:r>
    </w:p>
    <w:p w:rsidR="000177D6" w:rsidRDefault="000177D6" w:rsidP="000177D6">
      <w:pPr>
        <w:pStyle w:val="referencelist1"/>
      </w:pPr>
      <w:proofErr w:type="gramStart"/>
      <w:r w:rsidRPr="000C7D0C">
        <w:t>Supervising Scientist 2007.</w:t>
      </w:r>
      <w:proofErr w:type="gramEnd"/>
      <w:r w:rsidRPr="000C7D0C">
        <w:t xml:space="preserve"> </w:t>
      </w:r>
      <w:r w:rsidRPr="000C7D0C">
        <w:rPr>
          <w:i/>
        </w:rPr>
        <w:t>Annual Report 2006–2007</w:t>
      </w:r>
      <w:r w:rsidRPr="000C7D0C">
        <w:t xml:space="preserve">. </w:t>
      </w:r>
      <w:proofErr w:type="gramStart"/>
      <w:r w:rsidRPr="000C7D0C">
        <w:t>Supervising Scientist, Darwin NT.</w:t>
      </w:r>
      <w:proofErr w:type="gramEnd"/>
    </w:p>
    <w:p w:rsidR="000177D6" w:rsidRDefault="000177D6" w:rsidP="000177D6">
      <w:pPr>
        <w:pStyle w:val="referencelist1"/>
      </w:pPr>
      <w:proofErr w:type="gramStart"/>
      <w:r w:rsidRPr="000C7D0C">
        <w:t>Supervising Scientist 2008.</w:t>
      </w:r>
      <w:proofErr w:type="gramEnd"/>
      <w:r w:rsidRPr="000C7D0C">
        <w:t xml:space="preserve"> </w:t>
      </w:r>
      <w:r w:rsidRPr="000C7D0C">
        <w:rPr>
          <w:i/>
        </w:rPr>
        <w:t>Annual Report 2007–2008</w:t>
      </w:r>
      <w:r w:rsidRPr="000C7D0C">
        <w:t xml:space="preserve">. </w:t>
      </w:r>
      <w:proofErr w:type="gramStart"/>
      <w:r w:rsidRPr="000C7D0C">
        <w:t>Supervising Scientist, Darwin NT.</w:t>
      </w:r>
      <w:proofErr w:type="gramEnd"/>
    </w:p>
    <w:p w:rsidR="000177D6" w:rsidRDefault="000177D6" w:rsidP="000177D6">
      <w:pPr>
        <w:pStyle w:val="referencelist1"/>
      </w:pPr>
      <w:proofErr w:type="gramStart"/>
      <w:r w:rsidRPr="000C7D0C">
        <w:t>Supervising Scientist Division 2011a.</w:t>
      </w:r>
      <w:proofErr w:type="gramEnd"/>
      <w:r w:rsidRPr="000C7D0C">
        <w:t xml:space="preserve"> Environmental monitoring protocols to assess potential impacts from Ranger minesite on aquatic ecosystems: Fish community structure in channel billabongs. Internal Report 590, September, Supervising Scientist, Darwin.</w:t>
      </w:r>
    </w:p>
    <w:p w:rsidR="000177D6" w:rsidRDefault="000177D6" w:rsidP="0029590E">
      <w:pPr>
        <w:pStyle w:val="referencelist1"/>
        <w:sectPr w:rsidR="000177D6" w:rsidSect="00E154E1">
          <w:pgSz w:w="11906" w:h="16838" w:code="9"/>
          <w:pgMar w:top="1440" w:right="1800" w:bottom="1440" w:left="1800" w:header="1080" w:footer="835" w:gutter="0"/>
          <w:cols w:space="360"/>
          <w:noEndnote/>
        </w:sectPr>
      </w:pPr>
      <w:proofErr w:type="gramStart"/>
      <w:r w:rsidRPr="000C7D0C">
        <w:t>Supervising Scientist Division 2011b.</w:t>
      </w:r>
      <w:proofErr w:type="gramEnd"/>
      <w:r w:rsidRPr="000C7D0C">
        <w:t xml:space="preserve"> Environmental monitoring protocols to assess potential impacts from Ranger minesite on aquatic ecosystems: Fish community structure in shallow lowland billabongs. </w:t>
      </w:r>
      <w:proofErr w:type="gramStart"/>
      <w:r w:rsidRPr="000C7D0C">
        <w:t>Internal Report 589, June, Supervising Scientist, Darwin.</w:t>
      </w:r>
      <w:proofErr w:type="gramEnd"/>
      <w:r>
        <w:t xml:space="preserve"> </w:t>
      </w:r>
      <w:proofErr w:type="gramStart"/>
      <w:r>
        <w:t>Unpublished paper.</w:t>
      </w:r>
      <w:proofErr w:type="gramEnd"/>
    </w:p>
    <w:p w:rsidR="00A4659C" w:rsidRPr="000177D6" w:rsidRDefault="00A4659C" w:rsidP="000177D6">
      <w:pPr>
        <w:pStyle w:val="Heading1"/>
      </w:pPr>
      <w:bookmarkStart w:id="188" w:name="_Toc418172707"/>
      <w:r w:rsidRPr="000177D6">
        <w:t>Monitoring of radionuclides and metals in groundwater at Ranger</w:t>
      </w:r>
      <w:bookmarkEnd w:id="169"/>
      <w:bookmarkEnd w:id="170"/>
      <w:bookmarkEnd w:id="171"/>
      <w:bookmarkEnd w:id="172"/>
      <w:bookmarkEnd w:id="188"/>
    </w:p>
    <w:p w:rsidR="00802A22" w:rsidRPr="00802A22" w:rsidRDefault="00373ADC" w:rsidP="00802A22">
      <w:pPr>
        <w:pStyle w:val="Heading3"/>
        <w:spacing w:after="480"/>
        <w:jc w:val="center"/>
      </w:pPr>
      <w:r>
        <w:t>A Bollhöfer, P Medley &amp; S Marshall</w:t>
      </w:r>
    </w:p>
    <w:p w:rsidR="00A4659C" w:rsidRPr="00EB50E6" w:rsidRDefault="00A4659C" w:rsidP="00091C65">
      <w:pPr>
        <w:pStyle w:val="Heading2"/>
      </w:pPr>
      <w:r w:rsidRPr="00EB50E6">
        <w:t>Introduction</w:t>
      </w:r>
    </w:p>
    <w:p w:rsidR="00A4659C" w:rsidRDefault="00A4659C" w:rsidP="00A4659C">
      <w:r>
        <w:t xml:space="preserve">Groundwater samples from bores around Ranger uranium mine have been collected by ERA, the Northern Territory Government Department of Mines and Energy (DME) and </w:t>
      </w:r>
      <w:r w:rsidRPr="00D526CC">
        <w:rPr>
          <w:rFonts w:ascii="Times New Roman" w:hAnsi="Times New Roman"/>
          <w:b/>
          <w:i/>
          <w:sz w:val="26"/>
          <w:szCs w:val="26"/>
        </w:rPr>
        <w:t>eriss</w:t>
      </w:r>
      <w:r>
        <w:t xml:space="preserve"> for more than 30 years. These groundwater samples were initially collected to monitor seepage of contaminants from the tailings storage facility (TSF) and the land application areas (LAA) into the surrounding environment. More attention has since been given to the mined-out pits, with pit 1 being used as a tailings repository and pit 3 being prepared to accept tailings commencing in 2015. </w:t>
      </w:r>
    </w:p>
    <w:p w:rsidR="00A4659C" w:rsidRDefault="00A4659C" w:rsidP="00A4659C">
      <w:r>
        <w:t>Groundwater quality parameters routinely measured include major ions (ERA/DME), heavy metals (ERA/DME/</w:t>
      </w:r>
      <w:r w:rsidR="00D526CC" w:rsidRPr="00D526CC">
        <w:rPr>
          <w:rFonts w:ascii="Times New Roman" w:hAnsi="Times New Roman"/>
          <w:b/>
          <w:i/>
          <w:sz w:val="26"/>
          <w:szCs w:val="26"/>
        </w:rPr>
        <w:t>eriss</w:t>
      </w:r>
      <w:r>
        <w:t>) and radionuclides (ERA/</w:t>
      </w:r>
      <w:r w:rsidR="00D526CC" w:rsidRPr="00D526CC">
        <w:rPr>
          <w:rFonts w:ascii="Times New Roman" w:hAnsi="Times New Roman"/>
          <w:b/>
          <w:i/>
          <w:sz w:val="26"/>
          <w:szCs w:val="26"/>
        </w:rPr>
        <w:t>eriss</w:t>
      </w:r>
      <w:r>
        <w:t xml:space="preserve">) (Martin </w:t>
      </w:r>
      <w:r w:rsidR="00D526CC">
        <w:t>&amp; Akber 1996, 1999, Klessa 2001,</w:t>
      </w:r>
      <w:r>
        <w:t xml:space="preserve"> ERA 2012). </w:t>
      </w:r>
      <w:r>
        <w:rPr>
          <w:snapToGrid w:val="0"/>
        </w:rPr>
        <w:t>Whereas radium isotopes and activity ratios are used as a process tracer that can provide information about adsorbtion and desorption mechanisms of radium in groundwater, uranium and uranium activity ratios are often used as a source tracer to investigate the potential sources of uranium in a groundwa</w:t>
      </w:r>
      <w:r w:rsidR="00D526CC">
        <w:rPr>
          <w:snapToGrid w:val="0"/>
        </w:rPr>
        <w:t>ter aquifer (Ivanovich &amp; Harmon</w:t>
      </w:r>
      <w:r w:rsidR="00F72AD6">
        <w:rPr>
          <w:snapToGrid w:val="0"/>
        </w:rPr>
        <w:t xml:space="preserve"> 1994,</w:t>
      </w:r>
      <w:r>
        <w:rPr>
          <w:snapToGrid w:val="0"/>
        </w:rPr>
        <w:t xml:space="preserve"> </w:t>
      </w:r>
      <w:r>
        <w:t>Zielinski et al</w:t>
      </w:r>
      <w:r w:rsidR="00D526CC">
        <w:t>.</w:t>
      </w:r>
      <w:r>
        <w:t xml:space="preserve"> 1997</w:t>
      </w:r>
      <w:r>
        <w:rPr>
          <w:snapToGrid w:val="0"/>
        </w:rPr>
        <w:t xml:space="preserve">). Groundwater samples have been analysed by </w:t>
      </w:r>
      <w:r w:rsidR="00D526CC" w:rsidRPr="00D526CC">
        <w:rPr>
          <w:rFonts w:ascii="Times New Roman" w:hAnsi="Times New Roman"/>
          <w:b/>
          <w:i/>
          <w:sz w:val="26"/>
          <w:szCs w:val="26"/>
        </w:rPr>
        <w:t>eriss</w:t>
      </w:r>
      <w:r w:rsidR="00D526CC">
        <w:rPr>
          <w:snapToGrid w:val="0"/>
        </w:rPr>
        <w:t xml:space="preserve"> </w:t>
      </w:r>
      <w:r>
        <w:rPr>
          <w:snapToGrid w:val="0"/>
        </w:rPr>
        <w:t>from the early 1980s for various research projects (Martin &amp; Akber 1996, 1999). F</w:t>
      </w:r>
      <w:r>
        <w:t xml:space="preserve">rom 1996, a number of bores were routinely sampled and analysed by </w:t>
      </w:r>
      <w:r w:rsidR="00D526CC" w:rsidRPr="00D526CC">
        <w:rPr>
          <w:rFonts w:ascii="Times New Roman" w:hAnsi="Times New Roman"/>
          <w:b/>
          <w:i/>
          <w:sz w:val="26"/>
          <w:szCs w:val="26"/>
        </w:rPr>
        <w:t>eriss</w:t>
      </w:r>
      <w:r>
        <w:t xml:space="preserve">, but sampling discontinued in 2003. However, </w:t>
      </w:r>
      <w:r>
        <w:rPr>
          <w:snapToGrid w:val="0"/>
        </w:rPr>
        <w:t>longer time series are needed to detect any changes in groundwater quality (Johnston &amp; Milnes 2007), and</w:t>
      </w:r>
      <w:r>
        <w:t xml:space="preserve"> it was decided that </w:t>
      </w:r>
      <w:r w:rsidR="00D526CC" w:rsidRPr="00D526CC">
        <w:rPr>
          <w:rFonts w:ascii="Times New Roman" w:hAnsi="Times New Roman"/>
          <w:b/>
          <w:i/>
          <w:sz w:val="26"/>
          <w:szCs w:val="26"/>
        </w:rPr>
        <w:t>eriss</w:t>
      </w:r>
      <w:r>
        <w:t xml:space="preserve"> continue its groundwater monitoring, focussing on the measurement of </w:t>
      </w:r>
      <w:r w:rsidRPr="00127DA8">
        <w:rPr>
          <w:snapToGrid w:val="0"/>
          <w:color w:val="000000"/>
          <w:position w:val="6"/>
          <w:sz w:val="16"/>
          <w:szCs w:val="0"/>
          <w:u w:color="000000"/>
        </w:rPr>
        <w:t>226</w:t>
      </w:r>
      <w:r>
        <w:t xml:space="preserve">Ra, </w:t>
      </w:r>
      <w:r w:rsidRPr="00127DA8">
        <w:rPr>
          <w:snapToGrid w:val="0"/>
          <w:color w:val="000000"/>
          <w:position w:val="6"/>
          <w:sz w:val="16"/>
          <w:szCs w:val="0"/>
          <w:u w:color="000000"/>
        </w:rPr>
        <w:t>234</w:t>
      </w:r>
      <w:r>
        <w:t xml:space="preserve">U and </w:t>
      </w:r>
      <w:r w:rsidRPr="00127DA8">
        <w:rPr>
          <w:snapToGrid w:val="0"/>
          <w:color w:val="000000"/>
          <w:position w:val="6"/>
          <w:sz w:val="16"/>
          <w:szCs w:val="0"/>
          <w:u w:color="000000"/>
        </w:rPr>
        <w:t>238</w:t>
      </w:r>
      <w:r>
        <w:t>U activity concentrations</w:t>
      </w:r>
      <w:r w:rsidRPr="0021076D">
        <w:t xml:space="preserve"> </w:t>
      </w:r>
      <w:r>
        <w:t xml:space="preserve">in aliquots of bore waters sampled by DME. </w:t>
      </w:r>
      <w:r w:rsidRPr="002E2696">
        <w:rPr>
          <w:szCs w:val="22"/>
        </w:rPr>
        <w:t>ARRTC</w:t>
      </w:r>
      <w:r>
        <w:rPr>
          <w:szCs w:val="22"/>
        </w:rPr>
        <w:t xml:space="preserve"> also</w:t>
      </w:r>
      <w:r w:rsidRPr="002E2696">
        <w:rPr>
          <w:szCs w:val="22"/>
        </w:rPr>
        <w:t xml:space="preserve"> identified </w:t>
      </w:r>
      <w:r>
        <w:rPr>
          <w:szCs w:val="22"/>
        </w:rPr>
        <w:t>a</w:t>
      </w:r>
      <w:r w:rsidRPr="002E2696">
        <w:rPr>
          <w:szCs w:val="22"/>
        </w:rPr>
        <w:t>t their 12</w:t>
      </w:r>
      <w:r w:rsidRPr="002E2696">
        <w:rPr>
          <w:szCs w:val="22"/>
          <w:vertAlign w:val="superscript"/>
        </w:rPr>
        <w:t>th</w:t>
      </w:r>
      <w:r w:rsidRPr="002E2696">
        <w:rPr>
          <w:szCs w:val="22"/>
        </w:rPr>
        <w:t xml:space="preserve"> meeting in April 2003</w:t>
      </w:r>
      <w:r>
        <w:rPr>
          <w:szCs w:val="22"/>
        </w:rPr>
        <w:t xml:space="preserve"> that </w:t>
      </w:r>
      <w:r w:rsidRPr="002E2696">
        <w:rPr>
          <w:szCs w:val="22"/>
        </w:rPr>
        <w:t xml:space="preserve">the groundwater pathway </w:t>
      </w:r>
      <w:r>
        <w:rPr>
          <w:szCs w:val="22"/>
        </w:rPr>
        <w:t>required</w:t>
      </w:r>
      <w:r w:rsidRPr="002E2696">
        <w:rPr>
          <w:szCs w:val="22"/>
        </w:rPr>
        <w:t xml:space="preserve"> further research</w:t>
      </w:r>
      <w:r>
        <w:rPr>
          <w:szCs w:val="22"/>
        </w:rPr>
        <w:t>, and that</w:t>
      </w:r>
      <w:r w:rsidRPr="002E2696">
        <w:rPr>
          <w:szCs w:val="22"/>
        </w:rPr>
        <w:t xml:space="preserve"> groundwater dispersion </w:t>
      </w:r>
      <w:r>
        <w:rPr>
          <w:szCs w:val="22"/>
        </w:rPr>
        <w:t>w</w:t>
      </w:r>
      <w:r w:rsidRPr="002E2696">
        <w:rPr>
          <w:szCs w:val="22"/>
        </w:rPr>
        <w:t>as one of the Key Knowledge Needs that need</w:t>
      </w:r>
      <w:r>
        <w:rPr>
          <w:szCs w:val="22"/>
        </w:rPr>
        <w:t>ed</w:t>
      </w:r>
      <w:r w:rsidRPr="002E2696">
        <w:rPr>
          <w:szCs w:val="22"/>
        </w:rPr>
        <w:t xml:space="preserve"> to be addressed from a monitoring perspective</w:t>
      </w:r>
      <w:r>
        <w:rPr>
          <w:szCs w:val="22"/>
        </w:rPr>
        <w:t>, extending well into the closure phase of Ranger mine</w:t>
      </w:r>
      <w:r>
        <w:t xml:space="preserve">. </w:t>
      </w:r>
    </w:p>
    <w:p w:rsidR="00A4659C" w:rsidRPr="008C75DE" w:rsidRDefault="00A4659C" w:rsidP="00A4659C">
      <w:r>
        <w:t>D</w:t>
      </w:r>
      <w:r w:rsidRPr="008C75DE">
        <w:t xml:space="preserve">ue to the </w:t>
      </w:r>
      <w:r>
        <w:t xml:space="preserve">disconnection and </w:t>
      </w:r>
      <w:r w:rsidRPr="008C75DE">
        <w:t>discon</w:t>
      </w:r>
      <w:r>
        <w:t>tinua</w:t>
      </w:r>
      <w:r w:rsidRPr="008C75DE">
        <w:t xml:space="preserve">tion of </w:t>
      </w:r>
      <w:r>
        <w:t xml:space="preserve">the </w:t>
      </w:r>
      <w:r w:rsidRPr="008C75DE">
        <w:t xml:space="preserve">various </w:t>
      </w:r>
      <w:r w:rsidR="00E16AC4">
        <w:t>programme</w:t>
      </w:r>
      <w:r w:rsidRPr="008C75DE">
        <w:t>s involved in groundwater monitoring at Ranger</w:t>
      </w:r>
      <w:r>
        <w:t xml:space="preserve">, </w:t>
      </w:r>
      <w:r w:rsidRPr="008C75DE">
        <w:t>the information</w:t>
      </w:r>
      <w:r>
        <w:t xml:space="preserve"> gathered</w:t>
      </w:r>
      <w:r w:rsidRPr="008C75DE">
        <w:t xml:space="preserve"> is not used to its full </w:t>
      </w:r>
      <w:r>
        <w:t>potential, with</w:t>
      </w:r>
      <w:r w:rsidRPr="008C75DE">
        <w:t xml:space="preserve"> </w:t>
      </w:r>
      <w:r>
        <w:t>g</w:t>
      </w:r>
      <w:r w:rsidRPr="008C75DE">
        <w:t xml:space="preserve">roundwater quality data still stored in </w:t>
      </w:r>
      <w:r>
        <w:t>several</w:t>
      </w:r>
      <w:r w:rsidRPr="008C75DE">
        <w:t xml:space="preserve"> databases and</w:t>
      </w:r>
      <w:r>
        <w:t xml:space="preserve"> in various</w:t>
      </w:r>
      <w:r w:rsidRPr="008C75DE">
        <w:t xml:space="preserve"> formats. </w:t>
      </w:r>
      <w:r>
        <w:t>A</w:t>
      </w:r>
      <w:r w:rsidRPr="008C75DE">
        <w:t xml:space="preserve">s part of an effort to improve the Ranger groundwater knowledge base, </w:t>
      </w:r>
      <w:r>
        <w:t xml:space="preserve">as well as </w:t>
      </w:r>
      <w:r w:rsidRPr="008C75DE">
        <w:t xml:space="preserve">facilitate a more coordinated approach to the acquisition and storage of groundwater data </w:t>
      </w:r>
      <w:r>
        <w:t>(with the goal</w:t>
      </w:r>
      <w:r w:rsidRPr="008C75DE">
        <w:t xml:space="preserve"> to progress the development of closure criteria for Ranger</w:t>
      </w:r>
      <w:r>
        <w:t xml:space="preserve">) an internal </w:t>
      </w:r>
      <w:r w:rsidR="00D526CC" w:rsidRPr="00D526CC">
        <w:rPr>
          <w:rFonts w:ascii="Times New Roman" w:hAnsi="Times New Roman"/>
          <w:b/>
          <w:i/>
          <w:sz w:val="26"/>
          <w:szCs w:val="26"/>
        </w:rPr>
        <w:t>eriss</w:t>
      </w:r>
      <w:r w:rsidR="00D526CC">
        <w:t xml:space="preserve"> </w:t>
      </w:r>
      <w:r>
        <w:t>IR (Bollhöfer et al</w:t>
      </w:r>
      <w:r w:rsidR="00D526CC">
        <w:t>.</w:t>
      </w:r>
      <w:r w:rsidR="003C1D06">
        <w:t xml:space="preserve"> 2015</w:t>
      </w:r>
      <w:r>
        <w:t xml:space="preserve">) has now been finalised summarising all </w:t>
      </w:r>
      <w:r w:rsidR="00D526CC" w:rsidRPr="00D526CC">
        <w:rPr>
          <w:rFonts w:ascii="Times New Roman" w:hAnsi="Times New Roman"/>
          <w:b/>
          <w:i/>
          <w:sz w:val="26"/>
          <w:szCs w:val="26"/>
        </w:rPr>
        <w:t>eriss</w:t>
      </w:r>
      <w:r w:rsidR="00D526CC">
        <w:t xml:space="preserve"> </w:t>
      </w:r>
      <w:r>
        <w:t>radionuclide and metal data from the late 1980s to 2013.</w:t>
      </w:r>
    </w:p>
    <w:p w:rsidR="00A4659C" w:rsidRDefault="00A4659C" w:rsidP="00091C65">
      <w:pPr>
        <w:pStyle w:val="Heading2"/>
      </w:pPr>
      <w:r>
        <w:t>Methodology</w:t>
      </w:r>
    </w:p>
    <w:p w:rsidR="00A4659C" w:rsidRDefault="00A4659C" w:rsidP="00A4659C">
      <w:r>
        <w:t xml:space="preserve">All </w:t>
      </w:r>
      <w:r w:rsidR="00D526CC" w:rsidRPr="00D526CC">
        <w:rPr>
          <w:rFonts w:ascii="Times New Roman" w:hAnsi="Times New Roman"/>
          <w:b/>
          <w:i/>
          <w:sz w:val="26"/>
          <w:szCs w:val="26"/>
        </w:rPr>
        <w:t>eriss</w:t>
      </w:r>
      <w:r w:rsidR="00D526CC">
        <w:t xml:space="preserve"> </w:t>
      </w:r>
      <w:r>
        <w:t>g</w:t>
      </w:r>
      <w:r w:rsidRPr="008C75DE">
        <w:t>roundwater data, includ</w:t>
      </w:r>
      <w:r>
        <w:t>ing</w:t>
      </w:r>
      <w:r w:rsidRPr="008C75DE">
        <w:t xml:space="preserve"> </w:t>
      </w:r>
      <w:r w:rsidRPr="00387ACA">
        <w:rPr>
          <w:snapToGrid w:val="0"/>
          <w:color w:val="000000"/>
          <w:position w:val="5"/>
          <w:sz w:val="15"/>
          <w:szCs w:val="0"/>
          <w:u w:color="000000"/>
        </w:rPr>
        <w:t>226</w:t>
      </w:r>
      <w:r>
        <w:t>R</w:t>
      </w:r>
      <w:r w:rsidRPr="008C75DE">
        <w:t>a</w:t>
      </w:r>
      <w:r>
        <w:t>,</w:t>
      </w:r>
      <w:r w:rsidRPr="008C75DE">
        <w:t xml:space="preserve"> uranium isotopes and metals, have been </w:t>
      </w:r>
      <w:r>
        <w:t>quality checked</w:t>
      </w:r>
      <w:r w:rsidRPr="008C75DE">
        <w:t xml:space="preserve"> </w:t>
      </w:r>
      <w:r>
        <w:t>and</w:t>
      </w:r>
      <w:r w:rsidRPr="008C75DE">
        <w:t xml:space="preserve"> import</w:t>
      </w:r>
      <w:r>
        <w:t>ed</w:t>
      </w:r>
      <w:r w:rsidRPr="008C75DE">
        <w:t xml:space="preserve"> into a single </w:t>
      </w:r>
      <w:r w:rsidRPr="00A526C9">
        <w:rPr>
          <w:i/>
        </w:rPr>
        <w:t>Excel</w:t>
      </w:r>
      <w:r>
        <w:t xml:space="preserve"> </w:t>
      </w:r>
      <w:r w:rsidRPr="008C75DE">
        <w:t xml:space="preserve">groundwater </w:t>
      </w:r>
      <w:r>
        <w:t>spreadsheet</w:t>
      </w:r>
      <w:r w:rsidRPr="008C75DE">
        <w:t xml:space="preserve">. The data </w:t>
      </w:r>
      <w:r>
        <w:t>have</w:t>
      </w:r>
      <w:r w:rsidRPr="008C75DE">
        <w:t xml:space="preserve"> also been migrated into</w:t>
      </w:r>
      <w:r>
        <w:t xml:space="preserve"> the</w:t>
      </w:r>
      <w:r w:rsidRPr="008C75DE">
        <w:t xml:space="preserve"> </w:t>
      </w:r>
      <w:r w:rsidRPr="008C75DE">
        <w:rPr>
          <w:i/>
        </w:rPr>
        <w:t>EnviroSys</w:t>
      </w:r>
      <w:r>
        <w:t xml:space="preserve"> database. UTM WGS84 eastings and </w:t>
      </w:r>
      <w:proofErr w:type="gramStart"/>
      <w:r>
        <w:t>northings,</w:t>
      </w:r>
      <w:proofErr w:type="gramEnd"/>
      <w:r>
        <w:t xml:space="preserve"> bore screen depths, and information about the status of all investigated bores (active, buried etc) have been included in the database. This information has mainly been taken from Ranger uranium mine’s Bore Audit Project. </w:t>
      </w:r>
    </w:p>
    <w:p w:rsidR="00A4659C" w:rsidRDefault="00A4659C" w:rsidP="00A4659C">
      <w:r>
        <w:t xml:space="preserve">Bores have then been grouped according to catchments, and radionuclide and metal data plotted against sampling date. In addition, a Principal Component Analysis (PCA) has been performed using Minitab 16 for analytes in bores from various catchments, to determine factors governing groundwater chemistry in the bores. </w:t>
      </w:r>
    </w:p>
    <w:p w:rsidR="00A4659C" w:rsidRDefault="00A4659C" w:rsidP="00091C65">
      <w:pPr>
        <w:pStyle w:val="Heading2"/>
      </w:pPr>
      <w:r>
        <w:t>Results</w:t>
      </w:r>
    </w:p>
    <w:p w:rsidR="00A4659C" w:rsidRPr="00285297" w:rsidRDefault="00A4659C" w:rsidP="00A4659C">
      <w:pPr>
        <w:rPr>
          <w:spacing w:val="-2"/>
        </w:rPr>
      </w:pPr>
      <w:r w:rsidRPr="00285297">
        <w:rPr>
          <w:spacing w:val="-2"/>
        </w:rPr>
        <w:t xml:space="preserve">A review of the data available to </w:t>
      </w:r>
      <w:r w:rsidR="00D526CC" w:rsidRPr="00285297">
        <w:rPr>
          <w:rFonts w:ascii="Times New Roman" w:hAnsi="Times New Roman"/>
          <w:b/>
          <w:i/>
          <w:spacing w:val="-2"/>
          <w:sz w:val="26"/>
          <w:szCs w:val="26"/>
        </w:rPr>
        <w:t>eriss</w:t>
      </w:r>
      <w:r w:rsidRPr="00285297">
        <w:rPr>
          <w:spacing w:val="-2"/>
        </w:rPr>
        <w:t xml:space="preserve"> showed that time series data are available for some bores going back almost three decades (some to the late 1980s). Data from a total of 346 individual bore water samples have been quality checked and imported into the </w:t>
      </w:r>
      <w:r w:rsidRPr="00285297">
        <w:rPr>
          <w:i/>
          <w:spacing w:val="-2"/>
        </w:rPr>
        <w:t>Excel</w:t>
      </w:r>
      <w:r w:rsidRPr="00285297">
        <w:rPr>
          <w:spacing w:val="-2"/>
        </w:rPr>
        <w:t xml:space="preserve"> groundwater workbook. Figure 1 shows an aerial photograph of the Ranger mine and the location of bores with time series </w:t>
      </w:r>
      <w:r w:rsidR="00D526CC" w:rsidRPr="00285297">
        <w:rPr>
          <w:spacing w:val="-2"/>
        </w:rPr>
        <w:t>that exceed 7 years, up to 2012–</w:t>
      </w:r>
      <w:r w:rsidRPr="00285297">
        <w:rPr>
          <w:spacing w:val="-2"/>
        </w:rPr>
        <w:t xml:space="preserve">13. A total of 110 bore water samples were analysed from these ten bores. Analyses included uranium and </w:t>
      </w:r>
      <w:r w:rsidRPr="00285297">
        <w:rPr>
          <w:snapToGrid w:val="0"/>
          <w:color w:val="000000"/>
          <w:spacing w:val="-2"/>
          <w:position w:val="5"/>
          <w:sz w:val="15"/>
          <w:szCs w:val="0"/>
          <w:u w:color="000000"/>
        </w:rPr>
        <w:t>226</w:t>
      </w:r>
      <w:r w:rsidRPr="00285297">
        <w:rPr>
          <w:spacing w:val="-2"/>
        </w:rPr>
        <w:t>Ra, and metals in most of the bores. Additional information for these bores is given in Table 1.</w:t>
      </w:r>
    </w:p>
    <w:p w:rsidR="00A4659C" w:rsidRDefault="00A4659C" w:rsidP="00A4659C">
      <w:pPr>
        <w:jc w:val="center"/>
      </w:pPr>
      <w:r>
        <w:rPr>
          <w:noProof/>
          <w:lang w:eastAsia="en-AU"/>
        </w:rPr>
        <w:drawing>
          <wp:inline distT="0" distB="0" distL="0" distR="0">
            <wp:extent cx="3419475" cy="4913345"/>
            <wp:effectExtent l="19050" t="0" r="0" b="0"/>
            <wp:docPr id="63" name="Picture 3" descr="long time series bores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ng time series bores map"/>
                    <pic:cNvPicPr>
                      <a:picLocks noChangeAspect="1" noChangeArrowheads="1"/>
                    </pic:cNvPicPr>
                  </pic:nvPicPr>
                  <pic:blipFill>
                    <a:blip r:embed="rId137" cstate="screen"/>
                    <a:srcRect/>
                    <a:stretch>
                      <a:fillRect/>
                    </a:stretch>
                  </pic:blipFill>
                  <pic:spPr bwMode="auto">
                    <a:xfrm>
                      <a:off x="0" y="0"/>
                      <a:ext cx="3421462" cy="4916201"/>
                    </a:xfrm>
                    <a:prstGeom prst="rect">
                      <a:avLst/>
                    </a:prstGeom>
                    <a:noFill/>
                    <a:ln w="9525">
                      <a:noFill/>
                      <a:miter lim="800000"/>
                      <a:headEnd/>
                      <a:tailEnd/>
                    </a:ln>
                  </pic:spPr>
                </pic:pic>
              </a:graphicData>
            </a:graphic>
          </wp:inline>
        </w:drawing>
      </w:r>
    </w:p>
    <w:p w:rsidR="00A4659C" w:rsidRDefault="00A4659C" w:rsidP="00A4659C">
      <w:pPr>
        <w:pStyle w:val="figurecaption"/>
      </w:pPr>
      <w:r w:rsidRPr="00171A20">
        <w:rPr>
          <w:b/>
        </w:rPr>
        <w:t>Figure 1</w:t>
      </w:r>
      <w:r>
        <w:t xml:space="preserve"> Map of bores at Ranger with water quality time series exceeding 7 years.</w:t>
      </w:r>
    </w:p>
    <w:p w:rsidR="00795D38" w:rsidRDefault="00795D38" w:rsidP="00A4659C">
      <w:bookmarkStart w:id="189" w:name="_Toc386618573"/>
    </w:p>
    <w:p w:rsidR="00A4659C" w:rsidRDefault="00A4659C" w:rsidP="00A4659C">
      <w:r>
        <w:t xml:space="preserve">Ahmad and Green (1986) have divided the aquifers in the Ranger region into three main types (rather than into a shallow and deep aquifer only): </w:t>
      </w:r>
      <w:r w:rsidRPr="00362689">
        <w:t>type A is groundwater in the loose sand and gravels with high permeabilities, type B is groundwater in the weathered profile with relatively low permeabilities and type C groundwater</w:t>
      </w:r>
      <w:r>
        <w:t xml:space="preserve"> occurs in the relatively fresh fractured rocks in the deep aquifer. This has been modified by Salama &amp; Foley (1997) who </w:t>
      </w:r>
      <w:r w:rsidRPr="00514E85">
        <w:t xml:space="preserve">proposed a system which recognises zonal influences and host lithologies. </w:t>
      </w:r>
      <w:r>
        <w:t>The</w:t>
      </w:r>
      <w:r w:rsidRPr="00514E85">
        <w:t xml:space="preserve"> aquifers are </w:t>
      </w:r>
      <w:r>
        <w:t>classified in their work as</w:t>
      </w:r>
      <w:r w:rsidRPr="00514E85">
        <w:t xml:space="preserve"> alluvial (shallow)</w:t>
      </w:r>
      <w:r w:rsidRPr="00DC3B14">
        <w:t xml:space="preserve"> </w:t>
      </w:r>
      <w:r>
        <w:t>(aquifer 1a)</w:t>
      </w:r>
      <w:r w:rsidRPr="00514E85">
        <w:t xml:space="preserve">, weathered rock </w:t>
      </w:r>
      <w:r>
        <w:t xml:space="preserve">(upper: aquifer 1b; intermediate: aquifer 2) </w:t>
      </w:r>
      <w:r w:rsidRPr="00514E85">
        <w:t xml:space="preserve">and </w:t>
      </w:r>
      <w:r>
        <w:t xml:space="preserve">deep </w:t>
      </w:r>
      <w:r w:rsidRPr="00514E85">
        <w:t>fractured rock (</w:t>
      </w:r>
      <w:r>
        <w:t>aquifer 3</w:t>
      </w:r>
      <w:r w:rsidRPr="00514E85">
        <w:t xml:space="preserve">) </w:t>
      </w:r>
      <w:r>
        <w:t>(Klessa 2001). The aquifers have been characterised chemically by Salama and Foley (1997) and the classification is reproduced in Table 2. Figure 2 shows a ternary diagram of the major cation concentrations (in percent) in the ten bores shown in Figure 1.</w:t>
      </w:r>
    </w:p>
    <w:p w:rsidR="00795D38" w:rsidRDefault="00795D38" w:rsidP="00A4659C"/>
    <w:p w:rsidR="00795D38" w:rsidRDefault="00795D38" w:rsidP="00A4659C"/>
    <w:p w:rsidR="00A4659C" w:rsidRDefault="00A4659C" w:rsidP="00A4659C">
      <w:pPr>
        <w:pStyle w:val="tablecaption"/>
      </w:pPr>
      <w:proofErr w:type="gramStart"/>
      <w:r w:rsidRPr="00713DB4">
        <w:rPr>
          <w:b/>
        </w:rPr>
        <w:t>Table 1</w:t>
      </w:r>
      <w:r>
        <w:t xml:space="preserve"> Information for bores shown in Figure 1.</w:t>
      </w:r>
      <w:proofErr w:type="gramEnd"/>
      <w:r>
        <w:t xml:space="preserve"> </w:t>
      </w:r>
    </w:p>
    <w:tbl>
      <w:tblPr>
        <w:tblW w:w="7685" w:type="dxa"/>
        <w:tblBorders>
          <w:top w:val="single" w:sz="4" w:space="0" w:color="auto"/>
          <w:bottom w:val="single" w:sz="4" w:space="0" w:color="auto"/>
        </w:tblBorders>
        <w:tblLayout w:type="fixed"/>
        <w:tblCellMar>
          <w:left w:w="30" w:type="dxa"/>
          <w:right w:w="30" w:type="dxa"/>
        </w:tblCellMar>
        <w:tblLook w:val="0000"/>
      </w:tblPr>
      <w:tblGrid>
        <w:gridCol w:w="881"/>
        <w:gridCol w:w="1134"/>
        <w:gridCol w:w="992"/>
        <w:gridCol w:w="992"/>
        <w:gridCol w:w="993"/>
        <w:gridCol w:w="850"/>
        <w:gridCol w:w="1843"/>
      </w:tblGrid>
      <w:tr w:rsidR="00A4659C" w:rsidRPr="00D526CC" w:rsidTr="00A4659C">
        <w:trPr>
          <w:trHeight w:val="262"/>
        </w:trPr>
        <w:tc>
          <w:tcPr>
            <w:tcW w:w="881" w:type="dxa"/>
            <w:tcBorders>
              <w:top w:val="single" w:sz="8" w:space="0" w:color="auto"/>
              <w:bottom w:val="single" w:sz="8" w:space="0" w:color="auto"/>
            </w:tcBorders>
          </w:tcPr>
          <w:p w:rsidR="00A4659C" w:rsidRPr="00D526CC" w:rsidRDefault="00A4659C" w:rsidP="00D526CC">
            <w:pPr>
              <w:pStyle w:val="table1"/>
              <w:rPr>
                <w:b/>
                <w:color w:val="000000"/>
                <w:u w:color="000000"/>
                <w:lang w:val="en-US"/>
              </w:rPr>
            </w:pPr>
            <w:r w:rsidRPr="00D526CC">
              <w:rPr>
                <w:b/>
                <w:color w:val="000000"/>
                <w:u w:color="000000"/>
                <w:lang w:val="en-US"/>
              </w:rPr>
              <w:t>BoreID</w:t>
            </w:r>
          </w:p>
        </w:tc>
        <w:tc>
          <w:tcPr>
            <w:tcW w:w="1134" w:type="dxa"/>
            <w:tcBorders>
              <w:top w:val="single" w:sz="8" w:space="0" w:color="auto"/>
              <w:bottom w:val="single" w:sz="8" w:space="0" w:color="auto"/>
            </w:tcBorders>
          </w:tcPr>
          <w:p w:rsidR="00A4659C" w:rsidRPr="00D526CC" w:rsidRDefault="00A4659C" w:rsidP="00D526CC">
            <w:pPr>
              <w:pStyle w:val="table1"/>
              <w:rPr>
                <w:b/>
                <w:color w:val="000000"/>
                <w:u w:color="000000"/>
                <w:lang w:val="en-US"/>
              </w:rPr>
            </w:pPr>
            <w:r w:rsidRPr="00D526CC">
              <w:rPr>
                <w:b/>
                <w:color w:val="000000"/>
                <w:u w:color="000000"/>
                <w:lang w:val="en-US"/>
              </w:rPr>
              <w:t>RN number</w:t>
            </w:r>
          </w:p>
        </w:tc>
        <w:tc>
          <w:tcPr>
            <w:tcW w:w="992" w:type="dxa"/>
            <w:tcBorders>
              <w:top w:val="single" w:sz="8" w:space="0" w:color="auto"/>
              <w:bottom w:val="single" w:sz="8" w:space="0" w:color="auto"/>
            </w:tcBorders>
          </w:tcPr>
          <w:p w:rsidR="00A4659C" w:rsidRPr="00D526CC" w:rsidRDefault="00A4659C" w:rsidP="00D526CC">
            <w:pPr>
              <w:pStyle w:val="table1"/>
              <w:rPr>
                <w:b/>
                <w:color w:val="000000"/>
                <w:u w:color="000000"/>
                <w:lang w:val="en-US"/>
              </w:rPr>
            </w:pPr>
            <w:r w:rsidRPr="00D526CC">
              <w:rPr>
                <w:b/>
                <w:color w:val="000000"/>
                <w:u w:color="000000"/>
                <w:lang w:val="en-US"/>
              </w:rPr>
              <w:t>Data   from-to</w:t>
            </w:r>
          </w:p>
        </w:tc>
        <w:tc>
          <w:tcPr>
            <w:tcW w:w="992" w:type="dxa"/>
            <w:tcBorders>
              <w:top w:val="single" w:sz="8" w:space="0" w:color="auto"/>
              <w:bottom w:val="single" w:sz="8" w:space="0" w:color="auto"/>
            </w:tcBorders>
          </w:tcPr>
          <w:p w:rsidR="00A4659C" w:rsidRPr="00D526CC" w:rsidRDefault="00A4659C" w:rsidP="00D526CC">
            <w:pPr>
              <w:pStyle w:val="table1"/>
              <w:rPr>
                <w:b/>
                <w:color w:val="000000"/>
                <w:u w:color="000000"/>
                <w:lang w:val="en-US"/>
              </w:rPr>
            </w:pPr>
            <w:r w:rsidRPr="00D526CC">
              <w:rPr>
                <w:b/>
                <w:color w:val="000000"/>
                <w:u w:color="000000"/>
                <w:lang w:val="en-US"/>
              </w:rPr>
              <w:t>Easting</w:t>
            </w:r>
          </w:p>
        </w:tc>
        <w:tc>
          <w:tcPr>
            <w:tcW w:w="993" w:type="dxa"/>
            <w:tcBorders>
              <w:top w:val="single" w:sz="8" w:space="0" w:color="auto"/>
              <w:bottom w:val="single" w:sz="8" w:space="0" w:color="auto"/>
            </w:tcBorders>
          </w:tcPr>
          <w:p w:rsidR="00A4659C" w:rsidRPr="00D526CC" w:rsidRDefault="00A4659C" w:rsidP="00D526CC">
            <w:pPr>
              <w:pStyle w:val="table1"/>
              <w:rPr>
                <w:b/>
                <w:color w:val="000000"/>
                <w:u w:color="000000"/>
                <w:lang w:val="en-US"/>
              </w:rPr>
            </w:pPr>
            <w:r w:rsidRPr="00D526CC">
              <w:rPr>
                <w:b/>
                <w:color w:val="000000"/>
                <w:u w:color="000000"/>
                <w:lang w:val="en-US"/>
              </w:rPr>
              <w:t>Northing</w:t>
            </w:r>
          </w:p>
        </w:tc>
        <w:tc>
          <w:tcPr>
            <w:tcW w:w="850" w:type="dxa"/>
            <w:tcBorders>
              <w:top w:val="single" w:sz="8" w:space="0" w:color="auto"/>
              <w:bottom w:val="single" w:sz="8" w:space="0" w:color="auto"/>
            </w:tcBorders>
          </w:tcPr>
          <w:p w:rsidR="00A4659C" w:rsidRPr="00D526CC" w:rsidRDefault="00A4659C" w:rsidP="00D526CC">
            <w:pPr>
              <w:pStyle w:val="table1"/>
              <w:rPr>
                <w:b/>
                <w:color w:val="000000"/>
                <w:u w:color="000000"/>
                <w:lang w:val="en-US"/>
              </w:rPr>
            </w:pPr>
            <w:r w:rsidRPr="00D526CC">
              <w:rPr>
                <w:b/>
                <w:color w:val="000000"/>
                <w:u w:color="000000"/>
                <w:lang w:val="en-US"/>
              </w:rPr>
              <w:t>Screen depth</w:t>
            </w:r>
          </w:p>
        </w:tc>
        <w:tc>
          <w:tcPr>
            <w:tcW w:w="1843" w:type="dxa"/>
            <w:tcBorders>
              <w:top w:val="single" w:sz="8" w:space="0" w:color="auto"/>
              <w:bottom w:val="single" w:sz="8" w:space="0" w:color="auto"/>
            </w:tcBorders>
          </w:tcPr>
          <w:p w:rsidR="00A4659C" w:rsidRPr="00D526CC" w:rsidRDefault="00A4659C" w:rsidP="00D526CC">
            <w:pPr>
              <w:pStyle w:val="table1"/>
              <w:rPr>
                <w:b/>
                <w:color w:val="000000"/>
                <w:u w:color="000000"/>
                <w:lang w:val="en-US"/>
              </w:rPr>
            </w:pPr>
            <w:r w:rsidRPr="00D526CC">
              <w:rPr>
                <w:b/>
                <w:color w:val="000000"/>
                <w:u w:color="000000"/>
                <w:lang w:val="en-US"/>
              </w:rPr>
              <w:t>Site name</w:t>
            </w:r>
          </w:p>
        </w:tc>
      </w:tr>
      <w:tr w:rsidR="00A4659C" w:rsidRPr="00D526CC" w:rsidTr="00A4659C">
        <w:trPr>
          <w:trHeight w:val="262"/>
        </w:trPr>
        <w:tc>
          <w:tcPr>
            <w:tcW w:w="881" w:type="dxa"/>
            <w:tcBorders>
              <w:top w:val="single" w:sz="8" w:space="0" w:color="auto"/>
              <w:bottom w:val="nil"/>
            </w:tcBorders>
          </w:tcPr>
          <w:p w:rsidR="00A4659C" w:rsidRPr="004C3E9C" w:rsidRDefault="00A4659C" w:rsidP="00D526CC">
            <w:pPr>
              <w:pStyle w:val="table1"/>
              <w:rPr>
                <w:b/>
                <w:color w:val="000000"/>
                <w:u w:color="000000"/>
              </w:rPr>
            </w:pPr>
            <w:r w:rsidRPr="004C3E9C">
              <w:rPr>
                <w:b/>
                <w:color w:val="000000"/>
                <w:u w:color="000000"/>
              </w:rPr>
              <w:t>OB23</w:t>
            </w:r>
          </w:p>
        </w:tc>
        <w:tc>
          <w:tcPr>
            <w:tcW w:w="1134" w:type="dxa"/>
            <w:tcBorders>
              <w:top w:val="single" w:sz="8" w:space="0" w:color="auto"/>
              <w:bottom w:val="nil"/>
            </w:tcBorders>
          </w:tcPr>
          <w:p w:rsidR="00A4659C" w:rsidRPr="00D526CC" w:rsidRDefault="00A4659C" w:rsidP="00D526CC">
            <w:pPr>
              <w:pStyle w:val="table1"/>
              <w:rPr>
                <w:color w:val="000000"/>
                <w:u w:color="000000"/>
              </w:rPr>
            </w:pPr>
            <w:r w:rsidRPr="00D526CC">
              <w:rPr>
                <w:color w:val="000000"/>
                <w:u w:color="000000"/>
              </w:rPr>
              <w:t>RN022937</w:t>
            </w:r>
          </w:p>
        </w:tc>
        <w:tc>
          <w:tcPr>
            <w:tcW w:w="992" w:type="dxa"/>
            <w:tcBorders>
              <w:top w:val="single" w:sz="8" w:space="0" w:color="auto"/>
              <w:bottom w:val="nil"/>
            </w:tcBorders>
          </w:tcPr>
          <w:p w:rsidR="00A4659C" w:rsidRPr="00D526CC" w:rsidRDefault="00A4659C" w:rsidP="00D526CC">
            <w:pPr>
              <w:pStyle w:val="table1"/>
              <w:rPr>
                <w:color w:val="000000"/>
                <w:u w:color="000000"/>
              </w:rPr>
            </w:pPr>
            <w:r w:rsidRPr="00D526CC">
              <w:rPr>
                <w:color w:val="000000"/>
                <w:u w:color="000000"/>
              </w:rPr>
              <w:t xml:space="preserve">11/89 </w:t>
            </w:r>
            <w:r w:rsidR="00BC6D53">
              <w:rPr>
                <w:color w:val="000000"/>
                <w:u w:color="000000"/>
              </w:rPr>
              <w:t>–</w:t>
            </w:r>
            <w:r w:rsidRPr="00D526CC">
              <w:rPr>
                <w:color w:val="000000"/>
                <w:u w:color="000000"/>
              </w:rPr>
              <w:t xml:space="preserve"> 9/12</w:t>
            </w:r>
          </w:p>
        </w:tc>
        <w:tc>
          <w:tcPr>
            <w:tcW w:w="992" w:type="dxa"/>
            <w:tcBorders>
              <w:top w:val="single" w:sz="8" w:space="0" w:color="auto"/>
              <w:bottom w:val="nil"/>
            </w:tcBorders>
            <w:vAlign w:val="bottom"/>
          </w:tcPr>
          <w:p w:rsidR="00A4659C" w:rsidRPr="00D526CC" w:rsidRDefault="00A4659C" w:rsidP="00D526CC">
            <w:pPr>
              <w:pStyle w:val="table1"/>
              <w:rPr>
                <w:color w:val="000000"/>
                <w:u w:color="000000"/>
              </w:rPr>
            </w:pPr>
            <w:r w:rsidRPr="00D526CC">
              <w:rPr>
                <w:color w:val="000000"/>
                <w:u w:color="000000"/>
              </w:rPr>
              <w:t>271844</w:t>
            </w:r>
          </w:p>
        </w:tc>
        <w:tc>
          <w:tcPr>
            <w:tcW w:w="993" w:type="dxa"/>
            <w:tcBorders>
              <w:top w:val="single" w:sz="8" w:space="0" w:color="auto"/>
              <w:bottom w:val="nil"/>
            </w:tcBorders>
            <w:vAlign w:val="bottom"/>
          </w:tcPr>
          <w:p w:rsidR="00A4659C" w:rsidRPr="00D526CC" w:rsidRDefault="00A4659C" w:rsidP="00D526CC">
            <w:pPr>
              <w:pStyle w:val="table1"/>
              <w:rPr>
                <w:color w:val="000000"/>
                <w:u w:color="000000"/>
              </w:rPr>
            </w:pPr>
            <w:r w:rsidRPr="00D526CC">
              <w:rPr>
                <w:color w:val="000000"/>
                <w:u w:color="000000"/>
              </w:rPr>
              <w:t>8597241</w:t>
            </w:r>
          </w:p>
        </w:tc>
        <w:tc>
          <w:tcPr>
            <w:tcW w:w="850" w:type="dxa"/>
            <w:tcBorders>
              <w:top w:val="single" w:sz="8" w:space="0" w:color="auto"/>
              <w:bottom w:val="nil"/>
            </w:tcBorders>
          </w:tcPr>
          <w:p w:rsidR="00A4659C" w:rsidRPr="00D526CC" w:rsidRDefault="00A4659C" w:rsidP="00D526CC">
            <w:pPr>
              <w:pStyle w:val="table1"/>
              <w:rPr>
                <w:color w:val="000000"/>
                <w:u w:color="000000"/>
              </w:rPr>
            </w:pPr>
            <w:r w:rsidRPr="00D526CC">
              <w:rPr>
                <w:color w:val="000000"/>
                <w:u w:color="000000"/>
              </w:rPr>
              <w:t>36 – 51</w:t>
            </w:r>
          </w:p>
        </w:tc>
        <w:tc>
          <w:tcPr>
            <w:tcW w:w="1843" w:type="dxa"/>
            <w:tcBorders>
              <w:top w:val="single" w:sz="8" w:space="0" w:color="auto"/>
              <w:bottom w:val="nil"/>
            </w:tcBorders>
            <w:vAlign w:val="bottom"/>
          </w:tcPr>
          <w:p w:rsidR="00A4659C" w:rsidRPr="00D526CC" w:rsidRDefault="00A4659C" w:rsidP="00D526CC">
            <w:pPr>
              <w:pStyle w:val="table1"/>
              <w:rPr>
                <w:color w:val="000000"/>
                <w:u w:color="000000"/>
              </w:rPr>
            </w:pPr>
            <w:r w:rsidRPr="00D526CC">
              <w:rPr>
                <w:color w:val="000000"/>
                <w:u w:color="000000"/>
              </w:rPr>
              <w:t>North of TSF</w:t>
            </w:r>
          </w:p>
        </w:tc>
      </w:tr>
      <w:tr w:rsidR="00A4659C" w:rsidRPr="00D526CC" w:rsidTr="00A4659C">
        <w:trPr>
          <w:trHeight w:val="262"/>
        </w:trPr>
        <w:tc>
          <w:tcPr>
            <w:tcW w:w="881" w:type="dxa"/>
            <w:tcBorders>
              <w:top w:val="nil"/>
              <w:bottom w:val="nil"/>
            </w:tcBorders>
          </w:tcPr>
          <w:p w:rsidR="00A4659C" w:rsidRPr="004C3E9C" w:rsidRDefault="00A4659C" w:rsidP="00D526CC">
            <w:pPr>
              <w:pStyle w:val="table1"/>
              <w:rPr>
                <w:b/>
                <w:color w:val="000000"/>
                <w:u w:color="000000"/>
              </w:rPr>
            </w:pPr>
            <w:r w:rsidRPr="004C3E9C">
              <w:rPr>
                <w:b/>
                <w:color w:val="000000"/>
                <w:u w:color="000000"/>
              </w:rPr>
              <w:t>OB1A</w:t>
            </w:r>
          </w:p>
        </w:tc>
        <w:tc>
          <w:tcPr>
            <w:tcW w:w="1134" w:type="dxa"/>
            <w:tcBorders>
              <w:top w:val="nil"/>
              <w:bottom w:val="nil"/>
            </w:tcBorders>
          </w:tcPr>
          <w:p w:rsidR="00A4659C" w:rsidRPr="00D526CC" w:rsidRDefault="00A4659C" w:rsidP="00D526CC">
            <w:pPr>
              <w:pStyle w:val="table1"/>
              <w:rPr>
                <w:color w:val="000000"/>
                <w:u w:color="000000"/>
              </w:rPr>
            </w:pPr>
            <w:r w:rsidRPr="00D526CC">
              <w:rPr>
                <w:color w:val="000000"/>
                <w:u w:color="000000"/>
              </w:rPr>
              <w:t>RN022902</w:t>
            </w:r>
          </w:p>
        </w:tc>
        <w:tc>
          <w:tcPr>
            <w:tcW w:w="992" w:type="dxa"/>
            <w:tcBorders>
              <w:top w:val="nil"/>
              <w:bottom w:val="nil"/>
            </w:tcBorders>
          </w:tcPr>
          <w:p w:rsidR="00A4659C" w:rsidRPr="00D526CC" w:rsidRDefault="00A4659C" w:rsidP="00D526CC">
            <w:pPr>
              <w:pStyle w:val="table1"/>
              <w:rPr>
                <w:color w:val="000000"/>
                <w:u w:color="000000"/>
              </w:rPr>
            </w:pPr>
            <w:r w:rsidRPr="00D526CC">
              <w:rPr>
                <w:color w:val="000000"/>
                <w:u w:color="000000"/>
              </w:rPr>
              <w:t xml:space="preserve">11/89 </w:t>
            </w:r>
            <w:r w:rsidR="00BC6D53">
              <w:rPr>
                <w:color w:val="000000"/>
                <w:u w:color="000000"/>
              </w:rPr>
              <w:t>–</w:t>
            </w:r>
            <w:r w:rsidRPr="00D526CC">
              <w:rPr>
                <w:color w:val="000000"/>
                <w:u w:color="000000"/>
              </w:rPr>
              <w:t xml:space="preserve"> 9/12</w:t>
            </w:r>
          </w:p>
        </w:tc>
        <w:tc>
          <w:tcPr>
            <w:tcW w:w="992" w:type="dxa"/>
            <w:tcBorders>
              <w:top w:val="nil"/>
              <w:bottom w:val="nil"/>
            </w:tcBorders>
            <w:vAlign w:val="bottom"/>
          </w:tcPr>
          <w:p w:rsidR="00A4659C" w:rsidRPr="00D526CC" w:rsidRDefault="00A4659C" w:rsidP="00D526CC">
            <w:pPr>
              <w:pStyle w:val="table1"/>
              <w:rPr>
                <w:color w:val="000000"/>
                <w:u w:color="000000"/>
              </w:rPr>
            </w:pPr>
            <w:r w:rsidRPr="00D526CC">
              <w:rPr>
                <w:color w:val="000000"/>
                <w:u w:color="000000"/>
              </w:rPr>
              <w:t>271561</w:t>
            </w:r>
          </w:p>
        </w:tc>
        <w:tc>
          <w:tcPr>
            <w:tcW w:w="993" w:type="dxa"/>
            <w:tcBorders>
              <w:top w:val="nil"/>
              <w:bottom w:val="nil"/>
            </w:tcBorders>
            <w:vAlign w:val="bottom"/>
          </w:tcPr>
          <w:p w:rsidR="00A4659C" w:rsidRPr="00D526CC" w:rsidRDefault="00A4659C" w:rsidP="00D526CC">
            <w:pPr>
              <w:pStyle w:val="table1"/>
              <w:rPr>
                <w:color w:val="000000"/>
                <w:u w:color="000000"/>
              </w:rPr>
            </w:pPr>
            <w:r w:rsidRPr="00D526CC">
              <w:rPr>
                <w:color w:val="000000"/>
                <w:u w:color="000000"/>
              </w:rPr>
              <w:t>8596865</w:t>
            </w:r>
          </w:p>
        </w:tc>
        <w:tc>
          <w:tcPr>
            <w:tcW w:w="850" w:type="dxa"/>
            <w:tcBorders>
              <w:top w:val="nil"/>
              <w:bottom w:val="nil"/>
            </w:tcBorders>
            <w:vAlign w:val="bottom"/>
          </w:tcPr>
          <w:p w:rsidR="00A4659C" w:rsidRPr="00D526CC" w:rsidRDefault="00A4659C" w:rsidP="00D526CC">
            <w:pPr>
              <w:pStyle w:val="table1"/>
              <w:rPr>
                <w:color w:val="000000"/>
                <w:u w:color="000000"/>
              </w:rPr>
            </w:pPr>
            <w:r w:rsidRPr="00D526CC">
              <w:rPr>
                <w:color w:val="000000"/>
                <w:u w:color="000000"/>
              </w:rPr>
              <w:t>16 – 31</w:t>
            </w:r>
          </w:p>
        </w:tc>
        <w:tc>
          <w:tcPr>
            <w:tcW w:w="1843" w:type="dxa"/>
            <w:tcBorders>
              <w:top w:val="nil"/>
              <w:bottom w:val="nil"/>
            </w:tcBorders>
            <w:vAlign w:val="bottom"/>
          </w:tcPr>
          <w:p w:rsidR="00A4659C" w:rsidRPr="00D526CC" w:rsidRDefault="00A4659C" w:rsidP="00D526CC">
            <w:pPr>
              <w:pStyle w:val="table1"/>
              <w:rPr>
                <w:color w:val="000000"/>
                <w:u w:color="000000"/>
              </w:rPr>
            </w:pPr>
            <w:r w:rsidRPr="00D526CC">
              <w:rPr>
                <w:color w:val="000000"/>
                <w:u w:color="000000"/>
              </w:rPr>
              <w:t>North of TSF</w:t>
            </w:r>
          </w:p>
        </w:tc>
      </w:tr>
      <w:tr w:rsidR="00A4659C" w:rsidRPr="00D526CC" w:rsidTr="00A4659C">
        <w:trPr>
          <w:trHeight w:val="262"/>
        </w:trPr>
        <w:tc>
          <w:tcPr>
            <w:tcW w:w="881" w:type="dxa"/>
            <w:tcBorders>
              <w:top w:val="nil"/>
              <w:bottom w:val="nil"/>
            </w:tcBorders>
          </w:tcPr>
          <w:p w:rsidR="00A4659C" w:rsidRPr="004C3E9C" w:rsidRDefault="00A4659C" w:rsidP="00D526CC">
            <w:pPr>
              <w:pStyle w:val="table1"/>
              <w:rPr>
                <w:b/>
                <w:color w:val="000000"/>
                <w:u w:color="000000"/>
              </w:rPr>
            </w:pPr>
            <w:r w:rsidRPr="004C3E9C">
              <w:rPr>
                <w:b/>
                <w:color w:val="000000"/>
                <w:u w:color="000000"/>
              </w:rPr>
              <w:t>RN9329</w:t>
            </w:r>
          </w:p>
        </w:tc>
        <w:tc>
          <w:tcPr>
            <w:tcW w:w="1134" w:type="dxa"/>
            <w:tcBorders>
              <w:top w:val="nil"/>
              <w:bottom w:val="nil"/>
            </w:tcBorders>
          </w:tcPr>
          <w:p w:rsidR="00A4659C" w:rsidRPr="00D526CC" w:rsidRDefault="00A4659C" w:rsidP="00D526CC">
            <w:pPr>
              <w:pStyle w:val="table1"/>
              <w:rPr>
                <w:color w:val="000000"/>
                <w:u w:color="000000"/>
              </w:rPr>
            </w:pPr>
            <w:r w:rsidRPr="00D526CC">
              <w:rPr>
                <w:color w:val="000000"/>
                <w:u w:color="000000"/>
              </w:rPr>
              <w:t>RN009329</w:t>
            </w:r>
          </w:p>
        </w:tc>
        <w:tc>
          <w:tcPr>
            <w:tcW w:w="992" w:type="dxa"/>
            <w:tcBorders>
              <w:top w:val="nil"/>
              <w:bottom w:val="nil"/>
            </w:tcBorders>
          </w:tcPr>
          <w:p w:rsidR="00A4659C" w:rsidRPr="00D526CC" w:rsidRDefault="00A4659C" w:rsidP="00D526CC">
            <w:pPr>
              <w:pStyle w:val="table1"/>
              <w:rPr>
                <w:color w:val="000000"/>
                <w:u w:color="000000"/>
              </w:rPr>
            </w:pPr>
            <w:r w:rsidRPr="00D526CC">
              <w:rPr>
                <w:color w:val="000000"/>
                <w:u w:color="000000"/>
              </w:rPr>
              <w:t xml:space="preserve">9/03 </w:t>
            </w:r>
            <w:r w:rsidR="00BC6D53">
              <w:rPr>
                <w:color w:val="000000"/>
                <w:u w:color="000000"/>
              </w:rPr>
              <w:t>–</w:t>
            </w:r>
            <w:r w:rsidRPr="00D526CC">
              <w:rPr>
                <w:color w:val="000000"/>
                <w:u w:color="000000"/>
              </w:rPr>
              <w:t xml:space="preserve"> 9/12</w:t>
            </w:r>
          </w:p>
        </w:tc>
        <w:tc>
          <w:tcPr>
            <w:tcW w:w="992" w:type="dxa"/>
            <w:tcBorders>
              <w:top w:val="nil"/>
              <w:bottom w:val="nil"/>
            </w:tcBorders>
            <w:vAlign w:val="bottom"/>
          </w:tcPr>
          <w:p w:rsidR="00A4659C" w:rsidRPr="00D526CC" w:rsidRDefault="00A4659C" w:rsidP="00D526CC">
            <w:pPr>
              <w:pStyle w:val="table1"/>
              <w:rPr>
                <w:color w:val="000000"/>
                <w:u w:color="000000"/>
              </w:rPr>
            </w:pPr>
            <w:r w:rsidRPr="00D526CC">
              <w:rPr>
                <w:color w:val="000000"/>
                <w:u w:color="000000"/>
              </w:rPr>
              <w:t>270863</w:t>
            </w:r>
          </w:p>
        </w:tc>
        <w:tc>
          <w:tcPr>
            <w:tcW w:w="993" w:type="dxa"/>
            <w:tcBorders>
              <w:top w:val="nil"/>
              <w:bottom w:val="nil"/>
            </w:tcBorders>
            <w:vAlign w:val="bottom"/>
          </w:tcPr>
          <w:p w:rsidR="00A4659C" w:rsidRPr="00D526CC" w:rsidRDefault="00A4659C" w:rsidP="00D526CC">
            <w:pPr>
              <w:pStyle w:val="table1"/>
              <w:rPr>
                <w:color w:val="000000"/>
                <w:u w:color="000000"/>
              </w:rPr>
            </w:pPr>
            <w:r w:rsidRPr="00D526CC">
              <w:rPr>
                <w:color w:val="000000"/>
                <w:u w:color="000000"/>
              </w:rPr>
              <w:t>8596371</w:t>
            </w:r>
          </w:p>
        </w:tc>
        <w:tc>
          <w:tcPr>
            <w:tcW w:w="850" w:type="dxa"/>
            <w:tcBorders>
              <w:top w:val="nil"/>
              <w:bottom w:val="nil"/>
            </w:tcBorders>
            <w:vAlign w:val="bottom"/>
          </w:tcPr>
          <w:p w:rsidR="00A4659C" w:rsidRPr="00D526CC" w:rsidRDefault="00A4659C" w:rsidP="00D526CC">
            <w:pPr>
              <w:pStyle w:val="table1"/>
              <w:rPr>
                <w:color w:val="000000"/>
                <w:u w:color="000000"/>
              </w:rPr>
            </w:pPr>
            <w:r w:rsidRPr="00D526CC">
              <w:rPr>
                <w:color w:val="000000"/>
                <w:u w:color="000000"/>
              </w:rPr>
              <w:t>17 – 19</w:t>
            </w:r>
          </w:p>
        </w:tc>
        <w:tc>
          <w:tcPr>
            <w:tcW w:w="1843" w:type="dxa"/>
            <w:tcBorders>
              <w:top w:val="nil"/>
              <w:bottom w:val="nil"/>
            </w:tcBorders>
            <w:vAlign w:val="bottom"/>
          </w:tcPr>
          <w:p w:rsidR="00A4659C" w:rsidRPr="00D526CC" w:rsidRDefault="00A4659C" w:rsidP="00D526CC">
            <w:pPr>
              <w:pStyle w:val="table1"/>
              <w:rPr>
                <w:color w:val="000000"/>
                <w:u w:color="000000"/>
              </w:rPr>
            </w:pPr>
            <w:r w:rsidRPr="00D526CC">
              <w:rPr>
                <w:color w:val="000000"/>
                <w:u w:color="000000"/>
              </w:rPr>
              <w:t>East of TSF</w:t>
            </w:r>
          </w:p>
        </w:tc>
      </w:tr>
      <w:tr w:rsidR="00A4659C" w:rsidRPr="00D526CC" w:rsidTr="00A4659C">
        <w:trPr>
          <w:trHeight w:val="262"/>
        </w:trPr>
        <w:tc>
          <w:tcPr>
            <w:tcW w:w="881" w:type="dxa"/>
            <w:tcBorders>
              <w:top w:val="nil"/>
              <w:bottom w:val="nil"/>
            </w:tcBorders>
          </w:tcPr>
          <w:p w:rsidR="00A4659C" w:rsidRPr="004C3E9C" w:rsidRDefault="00A4659C" w:rsidP="00D526CC">
            <w:pPr>
              <w:pStyle w:val="table1"/>
              <w:rPr>
                <w:b/>
                <w:color w:val="000000"/>
                <w:u w:color="000000"/>
              </w:rPr>
            </w:pPr>
            <w:r w:rsidRPr="004C3E9C">
              <w:rPr>
                <w:b/>
                <w:color w:val="000000"/>
                <w:u w:color="000000"/>
              </w:rPr>
              <w:t>OB20</w:t>
            </w:r>
          </w:p>
        </w:tc>
        <w:tc>
          <w:tcPr>
            <w:tcW w:w="1134" w:type="dxa"/>
            <w:tcBorders>
              <w:top w:val="nil"/>
              <w:bottom w:val="nil"/>
            </w:tcBorders>
          </w:tcPr>
          <w:p w:rsidR="00A4659C" w:rsidRPr="00D526CC" w:rsidRDefault="00A4659C" w:rsidP="00D526CC">
            <w:pPr>
              <w:pStyle w:val="table1"/>
              <w:rPr>
                <w:color w:val="000000"/>
                <w:u w:color="000000"/>
              </w:rPr>
            </w:pPr>
            <w:r w:rsidRPr="00D526CC">
              <w:rPr>
                <w:color w:val="000000"/>
                <w:u w:color="000000"/>
              </w:rPr>
              <w:t>RN022934</w:t>
            </w:r>
          </w:p>
        </w:tc>
        <w:tc>
          <w:tcPr>
            <w:tcW w:w="992" w:type="dxa"/>
            <w:tcBorders>
              <w:top w:val="nil"/>
              <w:bottom w:val="nil"/>
            </w:tcBorders>
          </w:tcPr>
          <w:p w:rsidR="00A4659C" w:rsidRPr="00D526CC" w:rsidRDefault="00A4659C" w:rsidP="00D526CC">
            <w:pPr>
              <w:pStyle w:val="table1"/>
              <w:rPr>
                <w:color w:val="000000"/>
                <w:u w:color="000000"/>
              </w:rPr>
            </w:pPr>
            <w:r w:rsidRPr="00D526CC">
              <w:rPr>
                <w:color w:val="000000"/>
                <w:u w:color="000000"/>
              </w:rPr>
              <w:t xml:space="preserve">11/89 </w:t>
            </w:r>
            <w:r w:rsidR="00BC6D53">
              <w:rPr>
                <w:color w:val="000000"/>
                <w:u w:color="000000"/>
              </w:rPr>
              <w:t>–</w:t>
            </w:r>
            <w:r w:rsidRPr="00D526CC">
              <w:rPr>
                <w:color w:val="000000"/>
                <w:u w:color="000000"/>
              </w:rPr>
              <w:t xml:space="preserve"> 9/12</w:t>
            </w:r>
          </w:p>
        </w:tc>
        <w:tc>
          <w:tcPr>
            <w:tcW w:w="992" w:type="dxa"/>
            <w:tcBorders>
              <w:top w:val="nil"/>
              <w:bottom w:val="nil"/>
            </w:tcBorders>
            <w:vAlign w:val="bottom"/>
          </w:tcPr>
          <w:p w:rsidR="00A4659C" w:rsidRPr="00D526CC" w:rsidRDefault="00A4659C" w:rsidP="00D526CC">
            <w:pPr>
              <w:pStyle w:val="table1"/>
              <w:rPr>
                <w:color w:val="000000"/>
                <w:u w:color="000000"/>
              </w:rPr>
            </w:pPr>
            <w:r w:rsidRPr="00D526CC">
              <w:rPr>
                <w:color w:val="000000"/>
                <w:u w:color="000000"/>
              </w:rPr>
              <w:t>271822</w:t>
            </w:r>
          </w:p>
        </w:tc>
        <w:tc>
          <w:tcPr>
            <w:tcW w:w="993" w:type="dxa"/>
            <w:tcBorders>
              <w:top w:val="nil"/>
              <w:bottom w:val="nil"/>
            </w:tcBorders>
            <w:vAlign w:val="bottom"/>
          </w:tcPr>
          <w:p w:rsidR="00A4659C" w:rsidRPr="00D526CC" w:rsidRDefault="00A4659C" w:rsidP="00D526CC">
            <w:pPr>
              <w:pStyle w:val="table1"/>
              <w:rPr>
                <w:color w:val="000000"/>
                <w:u w:color="000000"/>
              </w:rPr>
            </w:pPr>
            <w:r w:rsidRPr="00D526CC">
              <w:rPr>
                <w:color w:val="000000"/>
                <w:u w:color="000000"/>
              </w:rPr>
              <w:t>8595161</w:t>
            </w:r>
          </w:p>
        </w:tc>
        <w:tc>
          <w:tcPr>
            <w:tcW w:w="850" w:type="dxa"/>
            <w:tcBorders>
              <w:top w:val="nil"/>
              <w:bottom w:val="nil"/>
            </w:tcBorders>
            <w:vAlign w:val="bottom"/>
          </w:tcPr>
          <w:p w:rsidR="00A4659C" w:rsidRPr="00D526CC" w:rsidRDefault="00A4659C" w:rsidP="00D526CC">
            <w:pPr>
              <w:pStyle w:val="table1"/>
              <w:rPr>
                <w:color w:val="000000"/>
                <w:u w:color="000000"/>
              </w:rPr>
            </w:pPr>
            <w:r w:rsidRPr="00D526CC">
              <w:rPr>
                <w:color w:val="000000"/>
                <w:u w:color="000000"/>
              </w:rPr>
              <w:t>21 – 36</w:t>
            </w:r>
          </w:p>
        </w:tc>
        <w:tc>
          <w:tcPr>
            <w:tcW w:w="1843" w:type="dxa"/>
            <w:tcBorders>
              <w:top w:val="nil"/>
              <w:bottom w:val="nil"/>
            </w:tcBorders>
            <w:vAlign w:val="bottom"/>
          </w:tcPr>
          <w:p w:rsidR="00A4659C" w:rsidRPr="00D526CC" w:rsidRDefault="00A4659C" w:rsidP="00D526CC">
            <w:pPr>
              <w:pStyle w:val="table1"/>
              <w:rPr>
                <w:color w:val="000000"/>
                <w:u w:color="000000"/>
              </w:rPr>
            </w:pPr>
            <w:r w:rsidRPr="00D526CC">
              <w:rPr>
                <w:color w:val="000000"/>
                <w:u w:color="000000"/>
              </w:rPr>
              <w:t>South of TSF</w:t>
            </w:r>
          </w:p>
        </w:tc>
      </w:tr>
      <w:tr w:rsidR="00A4659C" w:rsidRPr="00D526CC" w:rsidTr="00A4659C">
        <w:trPr>
          <w:trHeight w:val="262"/>
        </w:trPr>
        <w:tc>
          <w:tcPr>
            <w:tcW w:w="881" w:type="dxa"/>
            <w:tcBorders>
              <w:top w:val="nil"/>
              <w:bottom w:val="nil"/>
            </w:tcBorders>
          </w:tcPr>
          <w:p w:rsidR="00A4659C" w:rsidRPr="004C3E9C" w:rsidRDefault="00A4659C" w:rsidP="00D526CC">
            <w:pPr>
              <w:pStyle w:val="table1"/>
              <w:rPr>
                <w:b/>
                <w:color w:val="000000"/>
                <w:u w:color="000000"/>
              </w:rPr>
            </w:pPr>
            <w:r w:rsidRPr="004C3E9C">
              <w:rPr>
                <w:b/>
                <w:color w:val="000000"/>
                <w:u w:color="000000"/>
              </w:rPr>
              <w:t>OB21A</w:t>
            </w:r>
          </w:p>
        </w:tc>
        <w:tc>
          <w:tcPr>
            <w:tcW w:w="1134" w:type="dxa"/>
            <w:tcBorders>
              <w:top w:val="nil"/>
              <w:bottom w:val="nil"/>
            </w:tcBorders>
          </w:tcPr>
          <w:p w:rsidR="00A4659C" w:rsidRPr="00D526CC" w:rsidRDefault="00A4659C" w:rsidP="00D526CC">
            <w:pPr>
              <w:pStyle w:val="table1"/>
              <w:rPr>
                <w:color w:val="000000"/>
                <w:u w:color="000000"/>
              </w:rPr>
            </w:pPr>
            <w:r w:rsidRPr="00D526CC">
              <w:rPr>
                <w:color w:val="000000"/>
                <w:u w:color="000000"/>
              </w:rPr>
              <w:t>RN022935</w:t>
            </w:r>
          </w:p>
        </w:tc>
        <w:tc>
          <w:tcPr>
            <w:tcW w:w="992" w:type="dxa"/>
            <w:tcBorders>
              <w:top w:val="nil"/>
              <w:bottom w:val="nil"/>
            </w:tcBorders>
          </w:tcPr>
          <w:p w:rsidR="00A4659C" w:rsidRPr="00D526CC" w:rsidRDefault="00A4659C" w:rsidP="00D526CC">
            <w:pPr>
              <w:pStyle w:val="table1"/>
              <w:rPr>
                <w:color w:val="000000"/>
                <w:u w:color="000000"/>
              </w:rPr>
            </w:pPr>
            <w:r w:rsidRPr="00D526CC">
              <w:rPr>
                <w:color w:val="000000"/>
                <w:u w:color="000000"/>
              </w:rPr>
              <w:t xml:space="preserve">11/89 </w:t>
            </w:r>
            <w:r w:rsidR="00BC6D53">
              <w:rPr>
                <w:color w:val="000000"/>
                <w:u w:color="000000"/>
              </w:rPr>
              <w:t>–</w:t>
            </w:r>
            <w:r w:rsidRPr="00D526CC">
              <w:rPr>
                <w:color w:val="000000"/>
                <w:u w:color="000000"/>
              </w:rPr>
              <w:t xml:space="preserve"> 9/12</w:t>
            </w:r>
          </w:p>
        </w:tc>
        <w:tc>
          <w:tcPr>
            <w:tcW w:w="992" w:type="dxa"/>
            <w:tcBorders>
              <w:top w:val="nil"/>
              <w:bottom w:val="nil"/>
            </w:tcBorders>
            <w:vAlign w:val="bottom"/>
          </w:tcPr>
          <w:p w:rsidR="00A4659C" w:rsidRPr="00D526CC" w:rsidRDefault="00A4659C" w:rsidP="00D526CC">
            <w:pPr>
              <w:pStyle w:val="table1"/>
              <w:rPr>
                <w:color w:val="000000"/>
                <w:u w:color="000000"/>
              </w:rPr>
            </w:pPr>
            <w:r w:rsidRPr="00D526CC">
              <w:rPr>
                <w:color w:val="000000"/>
                <w:u w:color="000000"/>
              </w:rPr>
              <w:t>272484</w:t>
            </w:r>
          </w:p>
        </w:tc>
        <w:tc>
          <w:tcPr>
            <w:tcW w:w="993" w:type="dxa"/>
            <w:tcBorders>
              <w:top w:val="nil"/>
              <w:bottom w:val="nil"/>
            </w:tcBorders>
            <w:vAlign w:val="bottom"/>
          </w:tcPr>
          <w:p w:rsidR="00A4659C" w:rsidRPr="00D526CC" w:rsidRDefault="00A4659C" w:rsidP="00D526CC">
            <w:pPr>
              <w:pStyle w:val="table1"/>
              <w:rPr>
                <w:color w:val="000000"/>
                <w:u w:color="000000"/>
              </w:rPr>
            </w:pPr>
            <w:r w:rsidRPr="00D526CC">
              <w:rPr>
                <w:color w:val="000000"/>
                <w:u w:color="000000"/>
              </w:rPr>
              <w:t>8595180</w:t>
            </w:r>
          </w:p>
        </w:tc>
        <w:tc>
          <w:tcPr>
            <w:tcW w:w="850" w:type="dxa"/>
            <w:tcBorders>
              <w:top w:val="nil"/>
              <w:bottom w:val="nil"/>
            </w:tcBorders>
            <w:vAlign w:val="bottom"/>
          </w:tcPr>
          <w:p w:rsidR="00A4659C" w:rsidRPr="00D526CC" w:rsidRDefault="00A4659C" w:rsidP="00D526CC">
            <w:pPr>
              <w:pStyle w:val="table1"/>
              <w:rPr>
                <w:color w:val="000000"/>
                <w:u w:color="000000"/>
              </w:rPr>
            </w:pPr>
            <w:r w:rsidRPr="00D526CC">
              <w:rPr>
                <w:color w:val="000000"/>
                <w:u w:color="000000"/>
              </w:rPr>
              <w:t>31 – 43</w:t>
            </w:r>
          </w:p>
        </w:tc>
        <w:tc>
          <w:tcPr>
            <w:tcW w:w="1843" w:type="dxa"/>
            <w:tcBorders>
              <w:top w:val="nil"/>
              <w:bottom w:val="nil"/>
            </w:tcBorders>
            <w:vAlign w:val="bottom"/>
          </w:tcPr>
          <w:p w:rsidR="00A4659C" w:rsidRPr="00D526CC" w:rsidRDefault="00A4659C" w:rsidP="00D526CC">
            <w:pPr>
              <w:pStyle w:val="table1"/>
              <w:rPr>
                <w:color w:val="000000"/>
                <w:u w:color="000000"/>
              </w:rPr>
            </w:pPr>
            <w:r w:rsidRPr="00D526CC">
              <w:rPr>
                <w:color w:val="000000"/>
                <w:u w:color="000000"/>
              </w:rPr>
              <w:t>South of TSF</w:t>
            </w:r>
          </w:p>
        </w:tc>
      </w:tr>
      <w:tr w:rsidR="00A4659C" w:rsidRPr="00D526CC" w:rsidTr="00A4659C">
        <w:trPr>
          <w:trHeight w:val="262"/>
        </w:trPr>
        <w:tc>
          <w:tcPr>
            <w:tcW w:w="881" w:type="dxa"/>
            <w:tcBorders>
              <w:top w:val="nil"/>
              <w:bottom w:val="nil"/>
            </w:tcBorders>
          </w:tcPr>
          <w:p w:rsidR="00A4659C" w:rsidRPr="004C3E9C" w:rsidRDefault="00A4659C" w:rsidP="00D526CC">
            <w:pPr>
              <w:pStyle w:val="table1"/>
              <w:rPr>
                <w:b/>
                <w:color w:val="000000"/>
                <w:u w:color="000000"/>
              </w:rPr>
            </w:pPr>
            <w:r w:rsidRPr="004C3E9C">
              <w:rPr>
                <w:b/>
                <w:color w:val="000000"/>
                <w:u w:color="000000"/>
              </w:rPr>
              <w:t>RN23551</w:t>
            </w:r>
          </w:p>
        </w:tc>
        <w:tc>
          <w:tcPr>
            <w:tcW w:w="1134" w:type="dxa"/>
            <w:tcBorders>
              <w:top w:val="nil"/>
              <w:bottom w:val="nil"/>
            </w:tcBorders>
          </w:tcPr>
          <w:p w:rsidR="00A4659C" w:rsidRPr="00D526CC" w:rsidRDefault="00A4659C" w:rsidP="00D526CC">
            <w:pPr>
              <w:pStyle w:val="table1"/>
              <w:rPr>
                <w:color w:val="000000"/>
                <w:u w:color="000000"/>
              </w:rPr>
            </w:pPr>
            <w:r w:rsidRPr="00D526CC">
              <w:rPr>
                <w:color w:val="000000"/>
                <w:u w:color="000000"/>
              </w:rPr>
              <w:t>RN023551</w:t>
            </w:r>
          </w:p>
        </w:tc>
        <w:tc>
          <w:tcPr>
            <w:tcW w:w="992" w:type="dxa"/>
            <w:tcBorders>
              <w:top w:val="nil"/>
              <w:bottom w:val="nil"/>
            </w:tcBorders>
          </w:tcPr>
          <w:p w:rsidR="00A4659C" w:rsidRPr="00D526CC" w:rsidRDefault="00A4659C" w:rsidP="00D526CC">
            <w:pPr>
              <w:pStyle w:val="table1"/>
              <w:rPr>
                <w:color w:val="000000"/>
                <w:u w:color="000000"/>
              </w:rPr>
            </w:pPr>
            <w:r w:rsidRPr="00D526CC">
              <w:rPr>
                <w:color w:val="000000"/>
                <w:u w:color="000000"/>
              </w:rPr>
              <w:t xml:space="preserve">9/04 </w:t>
            </w:r>
            <w:r w:rsidR="00BC6D53">
              <w:rPr>
                <w:color w:val="000000"/>
                <w:u w:color="000000"/>
              </w:rPr>
              <w:t>–</w:t>
            </w:r>
            <w:r w:rsidRPr="00D526CC">
              <w:rPr>
                <w:color w:val="000000"/>
                <w:u w:color="000000"/>
              </w:rPr>
              <w:t xml:space="preserve"> 9/12</w:t>
            </w:r>
          </w:p>
        </w:tc>
        <w:tc>
          <w:tcPr>
            <w:tcW w:w="992" w:type="dxa"/>
            <w:tcBorders>
              <w:top w:val="nil"/>
              <w:bottom w:val="nil"/>
            </w:tcBorders>
            <w:vAlign w:val="bottom"/>
          </w:tcPr>
          <w:p w:rsidR="00A4659C" w:rsidRPr="00D526CC" w:rsidRDefault="00A4659C" w:rsidP="00D526CC">
            <w:pPr>
              <w:pStyle w:val="table1"/>
              <w:rPr>
                <w:color w:val="000000"/>
                <w:u w:color="000000"/>
              </w:rPr>
            </w:pPr>
            <w:r w:rsidRPr="00D526CC">
              <w:rPr>
                <w:color w:val="000000"/>
                <w:u w:color="000000"/>
              </w:rPr>
              <w:t>272435</w:t>
            </w:r>
          </w:p>
        </w:tc>
        <w:tc>
          <w:tcPr>
            <w:tcW w:w="993" w:type="dxa"/>
            <w:tcBorders>
              <w:top w:val="nil"/>
              <w:bottom w:val="nil"/>
            </w:tcBorders>
            <w:vAlign w:val="bottom"/>
          </w:tcPr>
          <w:p w:rsidR="00A4659C" w:rsidRPr="00D526CC" w:rsidRDefault="00A4659C" w:rsidP="00D526CC">
            <w:pPr>
              <w:pStyle w:val="table1"/>
              <w:rPr>
                <w:color w:val="000000"/>
                <w:u w:color="000000"/>
              </w:rPr>
            </w:pPr>
            <w:r w:rsidRPr="00D526CC">
              <w:rPr>
                <w:color w:val="000000"/>
                <w:u w:color="000000"/>
              </w:rPr>
              <w:t>8597838</w:t>
            </w:r>
          </w:p>
        </w:tc>
        <w:tc>
          <w:tcPr>
            <w:tcW w:w="850" w:type="dxa"/>
            <w:tcBorders>
              <w:top w:val="nil"/>
              <w:bottom w:val="nil"/>
            </w:tcBorders>
            <w:vAlign w:val="bottom"/>
          </w:tcPr>
          <w:p w:rsidR="00A4659C" w:rsidRPr="00D526CC" w:rsidRDefault="00A4659C" w:rsidP="00D526CC">
            <w:pPr>
              <w:pStyle w:val="table1"/>
              <w:rPr>
                <w:color w:val="000000"/>
                <w:u w:color="000000"/>
              </w:rPr>
            </w:pPr>
            <w:r w:rsidRPr="00D526CC">
              <w:rPr>
                <w:color w:val="000000"/>
                <w:u w:color="000000"/>
              </w:rPr>
              <w:t xml:space="preserve">4 </w:t>
            </w:r>
            <w:r w:rsidR="00BC6D53">
              <w:rPr>
                <w:color w:val="000000"/>
                <w:u w:color="000000"/>
              </w:rPr>
              <w:t>–</w:t>
            </w:r>
            <w:r w:rsidRPr="00D526CC">
              <w:rPr>
                <w:color w:val="000000"/>
                <w:u w:color="000000"/>
              </w:rPr>
              <w:t xml:space="preserve"> 4.5</w:t>
            </w:r>
          </w:p>
        </w:tc>
        <w:tc>
          <w:tcPr>
            <w:tcW w:w="1843" w:type="dxa"/>
            <w:tcBorders>
              <w:top w:val="nil"/>
              <w:bottom w:val="nil"/>
            </w:tcBorders>
            <w:vAlign w:val="bottom"/>
          </w:tcPr>
          <w:p w:rsidR="00A4659C" w:rsidRPr="00D526CC" w:rsidRDefault="00A4659C" w:rsidP="00D526CC">
            <w:pPr>
              <w:pStyle w:val="table1"/>
              <w:rPr>
                <w:color w:val="000000"/>
                <w:u w:color="000000"/>
              </w:rPr>
            </w:pPr>
            <w:r w:rsidRPr="00D526CC">
              <w:rPr>
                <w:color w:val="000000"/>
                <w:u w:color="000000"/>
              </w:rPr>
              <w:t>RP1/Coonjimba</w:t>
            </w:r>
          </w:p>
        </w:tc>
      </w:tr>
      <w:tr w:rsidR="00A4659C" w:rsidRPr="00D526CC" w:rsidTr="00A4659C">
        <w:trPr>
          <w:trHeight w:val="262"/>
        </w:trPr>
        <w:tc>
          <w:tcPr>
            <w:tcW w:w="881" w:type="dxa"/>
            <w:tcBorders>
              <w:top w:val="nil"/>
              <w:bottom w:val="nil"/>
            </w:tcBorders>
          </w:tcPr>
          <w:p w:rsidR="00A4659C" w:rsidRPr="004C3E9C" w:rsidRDefault="00A4659C" w:rsidP="00D526CC">
            <w:pPr>
              <w:pStyle w:val="table1"/>
              <w:rPr>
                <w:b/>
                <w:color w:val="000000"/>
                <w:u w:color="000000"/>
              </w:rPr>
            </w:pPr>
            <w:r w:rsidRPr="004C3E9C">
              <w:rPr>
                <w:b/>
                <w:color w:val="000000"/>
                <w:u w:color="000000"/>
              </w:rPr>
              <w:t>B11</w:t>
            </w:r>
          </w:p>
        </w:tc>
        <w:tc>
          <w:tcPr>
            <w:tcW w:w="1134" w:type="dxa"/>
            <w:tcBorders>
              <w:top w:val="nil"/>
              <w:bottom w:val="nil"/>
            </w:tcBorders>
          </w:tcPr>
          <w:p w:rsidR="00A4659C" w:rsidRPr="00D526CC" w:rsidRDefault="00A4659C" w:rsidP="00D526CC">
            <w:pPr>
              <w:pStyle w:val="table1"/>
              <w:rPr>
                <w:color w:val="000000"/>
                <w:u w:color="000000"/>
              </w:rPr>
            </w:pPr>
            <w:r w:rsidRPr="00D526CC">
              <w:rPr>
                <w:color w:val="000000"/>
                <w:u w:color="000000"/>
              </w:rPr>
              <w:t>RN007243</w:t>
            </w:r>
          </w:p>
        </w:tc>
        <w:tc>
          <w:tcPr>
            <w:tcW w:w="992" w:type="dxa"/>
            <w:tcBorders>
              <w:top w:val="nil"/>
              <w:bottom w:val="nil"/>
            </w:tcBorders>
          </w:tcPr>
          <w:p w:rsidR="00A4659C" w:rsidRPr="00D526CC" w:rsidRDefault="00A4659C" w:rsidP="00D526CC">
            <w:pPr>
              <w:pStyle w:val="table1"/>
              <w:rPr>
                <w:color w:val="000000"/>
                <w:u w:color="000000"/>
              </w:rPr>
            </w:pPr>
            <w:r w:rsidRPr="00D526CC">
              <w:rPr>
                <w:color w:val="000000"/>
                <w:u w:color="000000"/>
              </w:rPr>
              <w:t xml:space="preserve">9/06 </w:t>
            </w:r>
            <w:r w:rsidR="00BC6D53">
              <w:rPr>
                <w:color w:val="000000"/>
                <w:u w:color="000000"/>
              </w:rPr>
              <w:t>–</w:t>
            </w:r>
            <w:r w:rsidRPr="00D526CC">
              <w:rPr>
                <w:color w:val="000000"/>
                <w:u w:color="000000"/>
              </w:rPr>
              <w:t xml:space="preserve"> 9/09</w:t>
            </w:r>
          </w:p>
        </w:tc>
        <w:tc>
          <w:tcPr>
            <w:tcW w:w="992" w:type="dxa"/>
            <w:tcBorders>
              <w:top w:val="nil"/>
              <w:bottom w:val="nil"/>
            </w:tcBorders>
            <w:vAlign w:val="bottom"/>
          </w:tcPr>
          <w:p w:rsidR="00A4659C" w:rsidRPr="00D526CC" w:rsidRDefault="00A4659C" w:rsidP="00D526CC">
            <w:pPr>
              <w:pStyle w:val="table1"/>
              <w:rPr>
                <w:color w:val="000000"/>
                <w:u w:color="000000"/>
              </w:rPr>
            </w:pPr>
            <w:r w:rsidRPr="00D526CC">
              <w:rPr>
                <w:color w:val="000000"/>
                <w:u w:color="000000"/>
              </w:rPr>
              <w:t>272126</w:t>
            </w:r>
          </w:p>
        </w:tc>
        <w:tc>
          <w:tcPr>
            <w:tcW w:w="993" w:type="dxa"/>
            <w:tcBorders>
              <w:top w:val="nil"/>
              <w:bottom w:val="nil"/>
            </w:tcBorders>
            <w:vAlign w:val="bottom"/>
          </w:tcPr>
          <w:p w:rsidR="00A4659C" w:rsidRPr="00D526CC" w:rsidRDefault="00A4659C" w:rsidP="00D526CC">
            <w:pPr>
              <w:pStyle w:val="table1"/>
              <w:rPr>
                <w:color w:val="000000"/>
                <w:u w:color="000000"/>
              </w:rPr>
            </w:pPr>
            <w:r w:rsidRPr="00D526CC">
              <w:rPr>
                <w:color w:val="000000"/>
                <w:u w:color="000000"/>
              </w:rPr>
              <w:t>8599051</w:t>
            </w:r>
          </w:p>
        </w:tc>
        <w:tc>
          <w:tcPr>
            <w:tcW w:w="850" w:type="dxa"/>
            <w:tcBorders>
              <w:top w:val="nil"/>
              <w:bottom w:val="nil"/>
            </w:tcBorders>
            <w:vAlign w:val="bottom"/>
          </w:tcPr>
          <w:p w:rsidR="00A4659C" w:rsidRPr="00D526CC" w:rsidRDefault="00A4659C" w:rsidP="00D526CC">
            <w:pPr>
              <w:pStyle w:val="table1"/>
              <w:rPr>
                <w:color w:val="000000"/>
                <w:u w:color="000000"/>
              </w:rPr>
            </w:pPr>
            <w:r w:rsidRPr="00D526CC">
              <w:rPr>
                <w:color w:val="000000"/>
                <w:u w:color="000000"/>
              </w:rPr>
              <w:t>0 – 13</w:t>
            </w:r>
          </w:p>
        </w:tc>
        <w:tc>
          <w:tcPr>
            <w:tcW w:w="1843" w:type="dxa"/>
            <w:tcBorders>
              <w:top w:val="nil"/>
              <w:bottom w:val="nil"/>
            </w:tcBorders>
            <w:vAlign w:val="bottom"/>
          </w:tcPr>
          <w:p w:rsidR="00A4659C" w:rsidRPr="00D526CC" w:rsidRDefault="00A4659C" w:rsidP="00D526CC">
            <w:pPr>
              <w:pStyle w:val="table1"/>
              <w:rPr>
                <w:color w:val="000000"/>
                <w:u w:color="000000"/>
              </w:rPr>
            </w:pPr>
            <w:r w:rsidRPr="00D526CC">
              <w:rPr>
                <w:color w:val="000000"/>
                <w:u w:color="000000"/>
              </w:rPr>
              <w:t>RP1/Coonjimba</w:t>
            </w:r>
          </w:p>
        </w:tc>
      </w:tr>
      <w:tr w:rsidR="00A4659C" w:rsidRPr="00D526CC" w:rsidTr="00A4659C">
        <w:trPr>
          <w:trHeight w:val="262"/>
        </w:trPr>
        <w:tc>
          <w:tcPr>
            <w:tcW w:w="881" w:type="dxa"/>
            <w:tcBorders>
              <w:top w:val="nil"/>
              <w:bottom w:val="nil"/>
            </w:tcBorders>
          </w:tcPr>
          <w:p w:rsidR="00A4659C" w:rsidRPr="004C3E9C" w:rsidRDefault="00A4659C" w:rsidP="00D526CC">
            <w:pPr>
              <w:pStyle w:val="table1"/>
              <w:rPr>
                <w:b/>
                <w:color w:val="000000"/>
                <w:u w:color="000000"/>
              </w:rPr>
            </w:pPr>
            <w:r w:rsidRPr="004C3E9C">
              <w:rPr>
                <w:b/>
                <w:color w:val="000000"/>
                <w:u w:color="000000"/>
              </w:rPr>
              <w:t>83_1</w:t>
            </w:r>
          </w:p>
        </w:tc>
        <w:tc>
          <w:tcPr>
            <w:tcW w:w="1134" w:type="dxa"/>
            <w:tcBorders>
              <w:top w:val="nil"/>
              <w:bottom w:val="nil"/>
            </w:tcBorders>
          </w:tcPr>
          <w:p w:rsidR="00A4659C" w:rsidRPr="00D526CC" w:rsidRDefault="00A4659C" w:rsidP="00D526CC">
            <w:pPr>
              <w:pStyle w:val="table1"/>
              <w:rPr>
                <w:color w:val="000000"/>
                <w:u w:color="000000"/>
              </w:rPr>
            </w:pPr>
            <w:r w:rsidRPr="00D526CC">
              <w:rPr>
                <w:color w:val="000000"/>
                <w:u w:color="000000"/>
              </w:rPr>
              <w:t>RN023010</w:t>
            </w:r>
          </w:p>
        </w:tc>
        <w:tc>
          <w:tcPr>
            <w:tcW w:w="992" w:type="dxa"/>
            <w:tcBorders>
              <w:top w:val="nil"/>
              <w:bottom w:val="nil"/>
            </w:tcBorders>
          </w:tcPr>
          <w:p w:rsidR="00A4659C" w:rsidRPr="00D526CC" w:rsidRDefault="00A4659C" w:rsidP="00D526CC">
            <w:pPr>
              <w:pStyle w:val="table1"/>
              <w:rPr>
                <w:color w:val="000000"/>
                <w:u w:color="000000"/>
              </w:rPr>
            </w:pPr>
            <w:r w:rsidRPr="00D526CC">
              <w:rPr>
                <w:color w:val="000000"/>
                <w:u w:color="000000"/>
              </w:rPr>
              <w:t xml:space="preserve">5/03 </w:t>
            </w:r>
            <w:r w:rsidR="00BC6D53">
              <w:rPr>
                <w:color w:val="000000"/>
                <w:u w:color="000000"/>
              </w:rPr>
              <w:t>–</w:t>
            </w:r>
            <w:r w:rsidRPr="00D526CC">
              <w:rPr>
                <w:color w:val="000000"/>
                <w:u w:color="000000"/>
              </w:rPr>
              <w:t xml:space="preserve"> 9/12</w:t>
            </w:r>
          </w:p>
        </w:tc>
        <w:tc>
          <w:tcPr>
            <w:tcW w:w="992" w:type="dxa"/>
            <w:tcBorders>
              <w:top w:val="nil"/>
              <w:bottom w:val="nil"/>
            </w:tcBorders>
            <w:vAlign w:val="bottom"/>
          </w:tcPr>
          <w:p w:rsidR="00A4659C" w:rsidRPr="00D526CC" w:rsidRDefault="00A4659C" w:rsidP="00D526CC">
            <w:pPr>
              <w:pStyle w:val="table1"/>
              <w:rPr>
                <w:color w:val="000000"/>
                <w:u w:color="000000"/>
              </w:rPr>
            </w:pPr>
            <w:r w:rsidRPr="00D526CC">
              <w:rPr>
                <w:color w:val="000000"/>
                <w:u w:color="000000"/>
              </w:rPr>
              <w:t>274414</w:t>
            </w:r>
          </w:p>
        </w:tc>
        <w:tc>
          <w:tcPr>
            <w:tcW w:w="993" w:type="dxa"/>
            <w:tcBorders>
              <w:top w:val="nil"/>
              <w:bottom w:val="nil"/>
            </w:tcBorders>
            <w:vAlign w:val="bottom"/>
          </w:tcPr>
          <w:p w:rsidR="00A4659C" w:rsidRPr="00D526CC" w:rsidRDefault="00A4659C" w:rsidP="00D526CC">
            <w:pPr>
              <w:pStyle w:val="table1"/>
              <w:rPr>
                <w:color w:val="000000"/>
                <w:u w:color="000000"/>
              </w:rPr>
            </w:pPr>
            <w:r w:rsidRPr="00D526CC">
              <w:rPr>
                <w:color w:val="000000"/>
                <w:u w:color="000000"/>
              </w:rPr>
              <w:t>8598255</w:t>
            </w:r>
          </w:p>
        </w:tc>
        <w:tc>
          <w:tcPr>
            <w:tcW w:w="850" w:type="dxa"/>
            <w:tcBorders>
              <w:top w:val="nil"/>
              <w:bottom w:val="nil"/>
            </w:tcBorders>
            <w:vAlign w:val="bottom"/>
          </w:tcPr>
          <w:p w:rsidR="00A4659C" w:rsidRPr="00D526CC" w:rsidRDefault="00A4659C" w:rsidP="00D526CC">
            <w:pPr>
              <w:pStyle w:val="table1"/>
              <w:rPr>
                <w:color w:val="000000"/>
                <w:u w:color="000000"/>
              </w:rPr>
            </w:pPr>
            <w:r w:rsidRPr="00D526CC">
              <w:rPr>
                <w:color w:val="000000"/>
                <w:u w:color="000000"/>
              </w:rPr>
              <w:t xml:space="preserve">0 </w:t>
            </w:r>
            <w:r w:rsidR="00BC6D53">
              <w:rPr>
                <w:color w:val="000000"/>
                <w:u w:color="000000"/>
              </w:rPr>
              <w:t>–</w:t>
            </w:r>
            <w:r w:rsidRPr="00D526CC">
              <w:rPr>
                <w:color w:val="000000"/>
                <w:u w:color="000000"/>
              </w:rPr>
              <w:t xml:space="preserve"> 90</w:t>
            </w:r>
          </w:p>
        </w:tc>
        <w:tc>
          <w:tcPr>
            <w:tcW w:w="1843" w:type="dxa"/>
            <w:tcBorders>
              <w:top w:val="nil"/>
              <w:bottom w:val="nil"/>
            </w:tcBorders>
            <w:vAlign w:val="bottom"/>
          </w:tcPr>
          <w:p w:rsidR="00A4659C" w:rsidRPr="00D526CC" w:rsidRDefault="00A4659C" w:rsidP="00D526CC">
            <w:pPr>
              <w:pStyle w:val="table1"/>
              <w:rPr>
                <w:color w:val="000000"/>
                <w:u w:color="000000"/>
              </w:rPr>
            </w:pPr>
            <w:r w:rsidRPr="00D526CC">
              <w:rPr>
                <w:color w:val="000000"/>
                <w:u w:color="000000"/>
              </w:rPr>
              <w:t>Magela LAA</w:t>
            </w:r>
          </w:p>
        </w:tc>
      </w:tr>
      <w:tr w:rsidR="00A4659C" w:rsidRPr="00D526CC" w:rsidTr="00A4659C">
        <w:trPr>
          <w:trHeight w:val="262"/>
        </w:trPr>
        <w:tc>
          <w:tcPr>
            <w:tcW w:w="881" w:type="dxa"/>
            <w:tcBorders>
              <w:top w:val="nil"/>
              <w:bottom w:val="nil"/>
            </w:tcBorders>
          </w:tcPr>
          <w:p w:rsidR="00A4659C" w:rsidRPr="004C3E9C" w:rsidRDefault="00A4659C" w:rsidP="00D526CC">
            <w:pPr>
              <w:pStyle w:val="table1"/>
              <w:rPr>
                <w:b/>
                <w:color w:val="000000"/>
                <w:u w:color="000000"/>
              </w:rPr>
            </w:pPr>
            <w:r w:rsidRPr="004C3E9C">
              <w:rPr>
                <w:b/>
                <w:color w:val="000000"/>
                <w:u w:color="000000"/>
              </w:rPr>
              <w:t>OB30</w:t>
            </w:r>
          </w:p>
        </w:tc>
        <w:tc>
          <w:tcPr>
            <w:tcW w:w="1134" w:type="dxa"/>
            <w:tcBorders>
              <w:top w:val="nil"/>
              <w:bottom w:val="nil"/>
            </w:tcBorders>
          </w:tcPr>
          <w:p w:rsidR="00A4659C" w:rsidRPr="00D526CC" w:rsidRDefault="00A4659C" w:rsidP="00D526CC">
            <w:pPr>
              <w:pStyle w:val="table1"/>
              <w:rPr>
                <w:color w:val="000000"/>
                <w:u w:color="000000"/>
              </w:rPr>
            </w:pPr>
            <w:r w:rsidRPr="00D526CC">
              <w:rPr>
                <w:color w:val="000000"/>
                <w:u w:color="000000"/>
              </w:rPr>
              <w:t>RN022941</w:t>
            </w:r>
          </w:p>
        </w:tc>
        <w:tc>
          <w:tcPr>
            <w:tcW w:w="992" w:type="dxa"/>
            <w:tcBorders>
              <w:top w:val="nil"/>
              <w:bottom w:val="nil"/>
            </w:tcBorders>
          </w:tcPr>
          <w:p w:rsidR="00A4659C" w:rsidRPr="00D526CC" w:rsidRDefault="00A4659C" w:rsidP="00D526CC">
            <w:pPr>
              <w:pStyle w:val="table1"/>
              <w:rPr>
                <w:color w:val="000000"/>
                <w:u w:color="000000"/>
              </w:rPr>
            </w:pPr>
            <w:r w:rsidRPr="00D526CC">
              <w:rPr>
                <w:color w:val="000000"/>
                <w:u w:color="000000"/>
              </w:rPr>
              <w:t xml:space="preserve">11/89 </w:t>
            </w:r>
            <w:r w:rsidR="00BC6D53">
              <w:rPr>
                <w:color w:val="000000"/>
                <w:u w:color="000000"/>
              </w:rPr>
              <w:t>–</w:t>
            </w:r>
            <w:r w:rsidRPr="00D526CC">
              <w:rPr>
                <w:color w:val="000000"/>
                <w:u w:color="000000"/>
              </w:rPr>
              <w:t xml:space="preserve"> 9/12</w:t>
            </w:r>
          </w:p>
        </w:tc>
        <w:tc>
          <w:tcPr>
            <w:tcW w:w="992" w:type="dxa"/>
            <w:tcBorders>
              <w:top w:val="nil"/>
              <w:bottom w:val="nil"/>
            </w:tcBorders>
            <w:vAlign w:val="bottom"/>
          </w:tcPr>
          <w:p w:rsidR="00A4659C" w:rsidRPr="00D526CC" w:rsidRDefault="00A4659C" w:rsidP="00D526CC">
            <w:pPr>
              <w:pStyle w:val="table1"/>
              <w:rPr>
                <w:color w:val="000000"/>
                <w:u w:color="000000"/>
              </w:rPr>
            </w:pPr>
            <w:r w:rsidRPr="00D526CC">
              <w:rPr>
                <w:color w:val="000000"/>
                <w:u w:color="000000"/>
              </w:rPr>
              <w:t>273923</w:t>
            </w:r>
          </w:p>
        </w:tc>
        <w:tc>
          <w:tcPr>
            <w:tcW w:w="993" w:type="dxa"/>
            <w:tcBorders>
              <w:top w:val="nil"/>
              <w:bottom w:val="nil"/>
            </w:tcBorders>
            <w:vAlign w:val="bottom"/>
          </w:tcPr>
          <w:p w:rsidR="00A4659C" w:rsidRPr="00D526CC" w:rsidRDefault="00A4659C" w:rsidP="00D526CC">
            <w:pPr>
              <w:pStyle w:val="table1"/>
              <w:rPr>
                <w:color w:val="000000"/>
                <w:u w:color="000000"/>
              </w:rPr>
            </w:pPr>
            <w:r w:rsidRPr="00D526CC">
              <w:rPr>
                <w:color w:val="000000"/>
                <w:u w:color="000000"/>
              </w:rPr>
              <w:t>8595706</w:t>
            </w:r>
          </w:p>
        </w:tc>
        <w:tc>
          <w:tcPr>
            <w:tcW w:w="850" w:type="dxa"/>
            <w:tcBorders>
              <w:top w:val="nil"/>
              <w:bottom w:val="nil"/>
            </w:tcBorders>
            <w:vAlign w:val="bottom"/>
          </w:tcPr>
          <w:p w:rsidR="00A4659C" w:rsidRPr="00D526CC" w:rsidRDefault="00A4659C" w:rsidP="00D526CC">
            <w:pPr>
              <w:pStyle w:val="table1"/>
              <w:rPr>
                <w:color w:val="000000"/>
                <w:u w:color="000000"/>
              </w:rPr>
            </w:pPr>
            <w:r w:rsidRPr="00D526CC">
              <w:rPr>
                <w:color w:val="000000"/>
                <w:u w:color="000000"/>
              </w:rPr>
              <w:t>20 – 35</w:t>
            </w:r>
          </w:p>
        </w:tc>
        <w:tc>
          <w:tcPr>
            <w:tcW w:w="1843" w:type="dxa"/>
            <w:tcBorders>
              <w:top w:val="nil"/>
              <w:bottom w:val="nil"/>
            </w:tcBorders>
            <w:vAlign w:val="bottom"/>
          </w:tcPr>
          <w:p w:rsidR="00A4659C" w:rsidRPr="00D526CC" w:rsidRDefault="00A4659C" w:rsidP="00D526CC">
            <w:pPr>
              <w:pStyle w:val="table1"/>
              <w:rPr>
                <w:color w:val="000000"/>
                <w:u w:color="000000"/>
              </w:rPr>
            </w:pPr>
            <w:r w:rsidRPr="00D526CC">
              <w:rPr>
                <w:color w:val="000000"/>
                <w:u w:color="000000"/>
              </w:rPr>
              <w:t>Corridor Ck catchment</w:t>
            </w:r>
          </w:p>
        </w:tc>
      </w:tr>
      <w:tr w:rsidR="00A4659C" w:rsidRPr="00D526CC" w:rsidTr="00A4659C">
        <w:trPr>
          <w:trHeight w:val="262"/>
        </w:trPr>
        <w:tc>
          <w:tcPr>
            <w:tcW w:w="881" w:type="dxa"/>
            <w:tcBorders>
              <w:top w:val="nil"/>
              <w:bottom w:val="single" w:sz="8" w:space="0" w:color="auto"/>
            </w:tcBorders>
          </w:tcPr>
          <w:p w:rsidR="00A4659C" w:rsidRPr="004C3E9C" w:rsidRDefault="00A4659C" w:rsidP="00D526CC">
            <w:pPr>
              <w:pStyle w:val="table1"/>
              <w:rPr>
                <w:b/>
                <w:color w:val="000000"/>
                <w:u w:color="000000"/>
              </w:rPr>
            </w:pPr>
            <w:r w:rsidRPr="004C3E9C">
              <w:rPr>
                <w:b/>
                <w:color w:val="000000"/>
                <w:u w:color="000000"/>
              </w:rPr>
              <w:t>OB27</w:t>
            </w:r>
          </w:p>
        </w:tc>
        <w:tc>
          <w:tcPr>
            <w:tcW w:w="1134" w:type="dxa"/>
            <w:tcBorders>
              <w:top w:val="nil"/>
              <w:bottom w:val="single" w:sz="8" w:space="0" w:color="auto"/>
            </w:tcBorders>
          </w:tcPr>
          <w:p w:rsidR="00A4659C" w:rsidRPr="00D526CC" w:rsidRDefault="00A4659C" w:rsidP="00D526CC">
            <w:pPr>
              <w:pStyle w:val="table1"/>
              <w:rPr>
                <w:color w:val="000000"/>
                <w:u w:color="000000"/>
              </w:rPr>
            </w:pPr>
            <w:r w:rsidRPr="00D526CC">
              <w:rPr>
                <w:color w:val="000000"/>
                <w:u w:color="000000"/>
              </w:rPr>
              <w:t>RN022930</w:t>
            </w:r>
          </w:p>
        </w:tc>
        <w:tc>
          <w:tcPr>
            <w:tcW w:w="992" w:type="dxa"/>
            <w:tcBorders>
              <w:top w:val="nil"/>
              <w:bottom w:val="single" w:sz="8" w:space="0" w:color="auto"/>
            </w:tcBorders>
          </w:tcPr>
          <w:p w:rsidR="00A4659C" w:rsidRPr="00D526CC" w:rsidRDefault="00A4659C" w:rsidP="00D526CC">
            <w:pPr>
              <w:pStyle w:val="table1"/>
              <w:rPr>
                <w:color w:val="000000"/>
                <w:u w:color="000000"/>
              </w:rPr>
            </w:pPr>
            <w:r w:rsidRPr="00D526CC">
              <w:rPr>
                <w:color w:val="000000"/>
                <w:u w:color="000000"/>
              </w:rPr>
              <w:t xml:space="preserve">9/03 </w:t>
            </w:r>
            <w:r w:rsidR="00BC6D53">
              <w:rPr>
                <w:color w:val="000000"/>
                <w:u w:color="000000"/>
              </w:rPr>
              <w:t>–</w:t>
            </w:r>
            <w:r w:rsidRPr="00D526CC">
              <w:rPr>
                <w:color w:val="000000"/>
                <w:u w:color="000000"/>
              </w:rPr>
              <w:t xml:space="preserve"> 9/12</w:t>
            </w:r>
          </w:p>
        </w:tc>
        <w:tc>
          <w:tcPr>
            <w:tcW w:w="992" w:type="dxa"/>
            <w:tcBorders>
              <w:top w:val="nil"/>
              <w:bottom w:val="single" w:sz="8" w:space="0" w:color="auto"/>
            </w:tcBorders>
            <w:vAlign w:val="bottom"/>
          </w:tcPr>
          <w:p w:rsidR="00A4659C" w:rsidRPr="00D526CC" w:rsidRDefault="00A4659C" w:rsidP="00D526CC">
            <w:pPr>
              <w:pStyle w:val="table1"/>
              <w:rPr>
                <w:color w:val="000000"/>
                <w:u w:color="000000"/>
              </w:rPr>
            </w:pPr>
            <w:r w:rsidRPr="00D526CC">
              <w:rPr>
                <w:color w:val="000000"/>
                <w:u w:color="000000"/>
              </w:rPr>
              <w:t>275523</w:t>
            </w:r>
          </w:p>
        </w:tc>
        <w:tc>
          <w:tcPr>
            <w:tcW w:w="993" w:type="dxa"/>
            <w:tcBorders>
              <w:top w:val="nil"/>
              <w:bottom w:val="single" w:sz="8" w:space="0" w:color="auto"/>
            </w:tcBorders>
            <w:vAlign w:val="bottom"/>
          </w:tcPr>
          <w:p w:rsidR="00A4659C" w:rsidRPr="00D526CC" w:rsidRDefault="00A4659C" w:rsidP="00D526CC">
            <w:pPr>
              <w:pStyle w:val="table1"/>
              <w:rPr>
                <w:color w:val="000000"/>
                <w:u w:color="000000"/>
              </w:rPr>
            </w:pPr>
            <w:r w:rsidRPr="00D526CC">
              <w:rPr>
                <w:color w:val="000000"/>
                <w:u w:color="000000"/>
              </w:rPr>
              <w:t>8597063</w:t>
            </w:r>
          </w:p>
        </w:tc>
        <w:tc>
          <w:tcPr>
            <w:tcW w:w="850" w:type="dxa"/>
            <w:tcBorders>
              <w:top w:val="nil"/>
              <w:bottom w:val="single" w:sz="8" w:space="0" w:color="auto"/>
            </w:tcBorders>
            <w:vAlign w:val="bottom"/>
          </w:tcPr>
          <w:p w:rsidR="00A4659C" w:rsidRPr="00D526CC" w:rsidRDefault="00A4659C" w:rsidP="00D526CC">
            <w:pPr>
              <w:pStyle w:val="table1"/>
              <w:rPr>
                <w:color w:val="000000"/>
                <w:u w:color="000000"/>
              </w:rPr>
            </w:pPr>
            <w:r w:rsidRPr="00D526CC">
              <w:rPr>
                <w:color w:val="000000"/>
                <w:u w:color="000000"/>
              </w:rPr>
              <w:t>15 – 40</w:t>
            </w:r>
          </w:p>
        </w:tc>
        <w:tc>
          <w:tcPr>
            <w:tcW w:w="1843" w:type="dxa"/>
            <w:tcBorders>
              <w:top w:val="nil"/>
              <w:bottom w:val="single" w:sz="8" w:space="0" w:color="auto"/>
            </w:tcBorders>
            <w:vAlign w:val="bottom"/>
          </w:tcPr>
          <w:p w:rsidR="00A4659C" w:rsidRPr="00D526CC" w:rsidRDefault="00A4659C" w:rsidP="00D526CC">
            <w:pPr>
              <w:pStyle w:val="table1"/>
              <w:rPr>
                <w:color w:val="000000"/>
                <w:u w:color="000000"/>
              </w:rPr>
            </w:pPr>
            <w:r w:rsidRPr="00D526CC">
              <w:rPr>
                <w:color w:val="000000"/>
                <w:u w:color="000000"/>
              </w:rPr>
              <w:t>Corridor Ck catchment</w:t>
            </w:r>
          </w:p>
        </w:tc>
      </w:tr>
    </w:tbl>
    <w:p w:rsidR="00A4659C" w:rsidRPr="000C1EDB" w:rsidRDefault="00A4659C" w:rsidP="00A4659C">
      <w:pPr>
        <w:pStyle w:val="tablecaption"/>
      </w:pPr>
      <w:r w:rsidRPr="00871544">
        <w:rPr>
          <w:b/>
        </w:rPr>
        <w:t>Table 2</w:t>
      </w:r>
      <w:r w:rsidRPr="000C1EDB">
        <w:t xml:space="preserve"> Cation facies, anion facies, pH and EC (μS∙cm</w:t>
      </w:r>
      <w:r w:rsidRPr="009307FF">
        <w:rPr>
          <w:snapToGrid w:val="0"/>
          <w:color w:val="000000"/>
          <w:position w:val="4"/>
          <w:sz w:val="12"/>
          <w:szCs w:val="0"/>
          <w:u w:color="000000"/>
        </w:rPr>
        <w:t>-1</w:t>
      </w:r>
      <w:r w:rsidRPr="000C1EDB">
        <w:t>) in the three aquifer classes (Klessa 2001).</w:t>
      </w:r>
      <w:bookmarkEnd w:id="189"/>
    </w:p>
    <w:tbl>
      <w:tblPr>
        <w:tblW w:w="0" w:type="auto"/>
        <w:tblBorders>
          <w:top w:val="single" w:sz="8" w:space="0" w:color="auto"/>
          <w:bottom w:val="single" w:sz="8" w:space="0" w:color="auto"/>
        </w:tblBorders>
        <w:tblLook w:val="04A0"/>
      </w:tblPr>
      <w:tblGrid>
        <w:gridCol w:w="2376"/>
        <w:gridCol w:w="1134"/>
        <w:gridCol w:w="2268"/>
        <w:gridCol w:w="851"/>
        <w:gridCol w:w="1134"/>
      </w:tblGrid>
      <w:tr w:rsidR="00A4659C" w:rsidRPr="000C1EDB" w:rsidTr="004C3E9C">
        <w:tc>
          <w:tcPr>
            <w:tcW w:w="3510" w:type="dxa"/>
            <w:gridSpan w:val="2"/>
            <w:tcBorders>
              <w:top w:val="single" w:sz="8" w:space="0" w:color="auto"/>
              <w:bottom w:val="single" w:sz="8" w:space="0" w:color="auto"/>
            </w:tcBorders>
          </w:tcPr>
          <w:p w:rsidR="00A4659C" w:rsidRPr="000C1EDB" w:rsidRDefault="00A4659C" w:rsidP="00A4659C">
            <w:pPr>
              <w:pStyle w:val="table1"/>
              <w:ind w:left="-345" w:hanging="142"/>
              <w:jc w:val="right"/>
              <w:rPr>
                <w:b/>
              </w:rPr>
            </w:pPr>
            <w:r w:rsidRPr="000C1EDB">
              <w:rPr>
                <w:b/>
              </w:rPr>
              <w:t>Major cations</w:t>
            </w:r>
          </w:p>
        </w:tc>
        <w:tc>
          <w:tcPr>
            <w:tcW w:w="2268" w:type="dxa"/>
            <w:tcBorders>
              <w:top w:val="single" w:sz="8" w:space="0" w:color="auto"/>
              <w:bottom w:val="single" w:sz="8" w:space="0" w:color="auto"/>
            </w:tcBorders>
          </w:tcPr>
          <w:p w:rsidR="00A4659C" w:rsidRPr="000C1EDB" w:rsidRDefault="00A4659C" w:rsidP="00A4659C">
            <w:pPr>
              <w:pStyle w:val="table1"/>
              <w:rPr>
                <w:b/>
              </w:rPr>
            </w:pPr>
            <w:r w:rsidRPr="000C1EDB">
              <w:rPr>
                <w:b/>
              </w:rPr>
              <w:t>Major anions</w:t>
            </w:r>
          </w:p>
        </w:tc>
        <w:tc>
          <w:tcPr>
            <w:tcW w:w="851" w:type="dxa"/>
            <w:tcBorders>
              <w:top w:val="single" w:sz="8" w:space="0" w:color="auto"/>
              <w:bottom w:val="single" w:sz="8" w:space="0" w:color="auto"/>
            </w:tcBorders>
          </w:tcPr>
          <w:p w:rsidR="00A4659C" w:rsidRPr="000C1EDB" w:rsidRDefault="00A4659C" w:rsidP="00A4659C">
            <w:pPr>
              <w:pStyle w:val="table1"/>
              <w:rPr>
                <w:b/>
              </w:rPr>
            </w:pPr>
            <w:r w:rsidRPr="000C1EDB">
              <w:rPr>
                <w:b/>
              </w:rPr>
              <w:t>pH</w:t>
            </w:r>
          </w:p>
        </w:tc>
        <w:tc>
          <w:tcPr>
            <w:tcW w:w="1134" w:type="dxa"/>
            <w:tcBorders>
              <w:top w:val="single" w:sz="8" w:space="0" w:color="auto"/>
              <w:bottom w:val="single" w:sz="8" w:space="0" w:color="auto"/>
            </w:tcBorders>
          </w:tcPr>
          <w:p w:rsidR="00A4659C" w:rsidRPr="000C1EDB" w:rsidRDefault="00A4659C" w:rsidP="00A4659C">
            <w:pPr>
              <w:pStyle w:val="table1"/>
              <w:rPr>
                <w:b/>
              </w:rPr>
            </w:pPr>
            <w:r w:rsidRPr="000C1EDB">
              <w:rPr>
                <w:b/>
              </w:rPr>
              <w:t>EC</w:t>
            </w:r>
          </w:p>
        </w:tc>
      </w:tr>
      <w:tr w:rsidR="00A4659C" w:rsidRPr="00871544" w:rsidTr="004C3E9C">
        <w:tc>
          <w:tcPr>
            <w:tcW w:w="2376" w:type="dxa"/>
            <w:tcBorders>
              <w:top w:val="single" w:sz="8" w:space="0" w:color="auto"/>
            </w:tcBorders>
          </w:tcPr>
          <w:p w:rsidR="00A4659C" w:rsidRPr="00871544" w:rsidRDefault="00A4659C" w:rsidP="00A4659C">
            <w:pPr>
              <w:pStyle w:val="table1"/>
              <w:rPr>
                <w:szCs w:val="16"/>
              </w:rPr>
            </w:pPr>
            <w:r w:rsidRPr="00871544">
              <w:rPr>
                <w:rFonts w:cs="Arial"/>
                <w:szCs w:val="16"/>
                <w:lang w:eastAsia="en-AU"/>
              </w:rPr>
              <w:t>Superficial deposits and alluvium (aquifer1a)</w:t>
            </w:r>
          </w:p>
        </w:tc>
        <w:tc>
          <w:tcPr>
            <w:tcW w:w="1134" w:type="dxa"/>
            <w:tcBorders>
              <w:top w:val="single" w:sz="8" w:space="0" w:color="auto"/>
            </w:tcBorders>
          </w:tcPr>
          <w:p w:rsidR="00A4659C" w:rsidRPr="00871544" w:rsidRDefault="00A4659C" w:rsidP="00A4659C">
            <w:pPr>
              <w:pStyle w:val="table1"/>
              <w:rPr>
                <w:szCs w:val="16"/>
              </w:rPr>
            </w:pPr>
            <w:r w:rsidRPr="00871544">
              <w:rPr>
                <w:szCs w:val="16"/>
              </w:rPr>
              <w:t>Ca-Na</w:t>
            </w:r>
          </w:p>
        </w:tc>
        <w:tc>
          <w:tcPr>
            <w:tcW w:w="2268" w:type="dxa"/>
            <w:tcBorders>
              <w:top w:val="single" w:sz="8" w:space="0" w:color="auto"/>
            </w:tcBorders>
          </w:tcPr>
          <w:p w:rsidR="00A4659C" w:rsidRPr="00871544" w:rsidRDefault="00A4659C" w:rsidP="00A4659C">
            <w:pPr>
              <w:pStyle w:val="table1"/>
              <w:rPr>
                <w:szCs w:val="16"/>
              </w:rPr>
            </w:pPr>
            <w:r w:rsidRPr="00871544">
              <w:rPr>
                <w:szCs w:val="16"/>
              </w:rPr>
              <w:t>HCO3-Cl</w:t>
            </w:r>
          </w:p>
        </w:tc>
        <w:tc>
          <w:tcPr>
            <w:tcW w:w="851" w:type="dxa"/>
            <w:tcBorders>
              <w:top w:val="single" w:sz="8" w:space="0" w:color="auto"/>
            </w:tcBorders>
          </w:tcPr>
          <w:p w:rsidR="00A4659C" w:rsidRPr="00871544" w:rsidRDefault="00A4659C" w:rsidP="00A4659C">
            <w:pPr>
              <w:pStyle w:val="table1"/>
              <w:rPr>
                <w:szCs w:val="16"/>
              </w:rPr>
            </w:pPr>
            <w:r w:rsidRPr="00871544">
              <w:rPr>
                <w:szCs w:val="16"/>
              </w:rPr>
              <w:t>5.5</w:t>
            </w:r>
          </w:p>
        </w:tc>
        <w:tc>
          <w:tcPr>
            <w:tcW w:w="1134" w:type="dxa"/>
            <w:tcBorders>
              <w:top w:val="single" w:sz="8" w:space="0" w:color="auto"/>
            </w:tcBorders>
          </w:tcPr>
          <w:p w:rsidR="00A4659C" w:rsidRPr="00871544" w:rsidRDefault="00A4659C" w:rsidP="00A4659C">
            <w:pPr>
              <w:pStyle w:val="table1"/>
              <w:rPr>
                <w:szCs w:val="16"/>
              </w:rPr>
            </w:pPr>
            <w:r w:rsidRPr="00871544">
              <w:rPr>
                <w:szCs w:val="16"/>
              </w:rPr>
              <w:t>&lt;50</w:t>
            </w:r>
          </w:p>
        </w:tc>
      </w:tr>
      <w:tr w:rsidR="00A4659C" w:rsidRPr="00871544" w:rsidTr="004C3E9C">
        <w:tc>
          <w:tcPr>
            <w:tcW w:w="2376" w:type="dxa"/>
          </w:tcPr>
          <w:p w:rsidR="00A4659C" w:rsidRPr="00871544" w:rsidRDefault="00A4659C" w:rsidP="00A4659C">
            <w:pPr>
              <w:pStyle w:val="table1"/>
              <w:rPr>
                <w:szCs w:val="16"/>
              </w:rPr>
            </w:pPr>
            <w:r w:rsidRPr="00871544">
              <w:rPr>
                <w:rFonts w:cs="Arial"/>
                <w:szCs w:val="16"/>
                <w:lang w:eastAsia="en-AU"/>
              </w:rPr>
              <w:t>Weathered Nanambu complex (aquifers 1b &amp; 2)</w:t>
            </w:r>
          </w:p>
        </w:tc>
        <w:tc>
          <w:tcPr>
            <w:tcW w:w="1134" w:type="dxa"/>
          </w:tcPr>
          <w:p w:rsidR="00A4659C" w:rsidRPr="00871544" w:rsidRDefault="00A4659C" w:rsidP="00A4659C">
            <w:pPr>
              <w:pStyle w:val="table1"/>
              <w:rPr>
                <w:szCs w:val="16"/>
              </w:rPr>
            </w:pPr>
            <w:r w:rsidRPr="00871544">
              <w:rPr>
                <w:szCs w:val="16"/>
              </w:rPr>
              <w:t>Na-Ca-Mg</w:t>
            </w:r>
          </w:p>
        </w:tc>
        <w:tc>
          <w:tcPr>
            <w:tcW w:w="2268" w:type="dxa"/>
          </w:tcPr>
          <w:p w:rsidR="00A4659C" w:rsidRPr="00871544" w:rsidRDefault="00A4659C" w:rsidP="00A4659C">
            <w:pPr>
              <w:pStyle w:val="table1"/>
              <w:rPr>
                <w:szCs w:val="16"/>
              </w:rPr>
            </w:pPr>
            <w:r w:rsidRPr="00871544">
              <w:rPr>
                <w:szCs w:val="16"/>
              </w:rPr>
              <w:t>HCO3-Cl</w:t>
            </w:r>
          </w:p>
        </w:tc>
        <w:tc>
          <w:tcPr>
            <w:tcW w:w="851" w:type="dxa"/>
          </w:tcPr>
          <w:p w:rsidR="00A4659C" w:rsidRPr="00871544" w:rsidRDefault="00A4659C" w:rsidP="00A4659C">
            <w:pPr>
              <w:pStyle w:val="table1"/>
              <w:rPr>
                <w:szCs w:val="16"/>
              </w:rPr>
            </w:pPr>
            <w:r w:rsidRPr="00871544">
              <w:rPr>
                <w:szCs w:val="16"/>
              </w:rPr>
              <w:t>6-6.5</w:t>
            </w:r>
          </w:p>
        </w:tc>
        <w:tc>
          <w:tcPr>
            <w:tcW w:w="1134" w:type="dxa"/>
          </w:tcPr>
          <w:p w:rsidR="00A4659C" w:rsidRPr="00871544" w:rsidRDefault="00A4659C" w:rsidP="00A4659C">
            <w:pPr>
              <w:pStyle w:val="table1"/>
              <w:rPr>
                <w:szCs w:val="16"/>
              </w:rPr>
            </w:pPr>
            <w:r w:rsidRPr="00871544">
              <w:rPr>
                <w:szCs w:val="16"/>
              </w:rPr>
              <w:t>&lt;200</w:t>
            </w:r>
          </w:p>
        </w:tc>
      </w:tr>
      <w:tr w:rsidR="00A4659C" w:rsidRPr="00871544" w:rsidTr="004C3E9C">
        <w:tc>
          <w:tcPr>
            <w:tcW w:w="2376" w:type="dxa"/>
          </w:tcPr>
          <w:p w:rsidR="00A4659C" w:rsidRPr="00871544" w:rsidRDefault="00A4659C" w:rsidP="00A4659C">
            <w:pPr>
              <w:pStyle w:val="table1"/>
              <w:rPr>
                <w:szCs w:val="16"/>
              </w:rPr>
            </w:pPr>
            <w:r w:rsidRPr="00871544">
              <w:rPr>
                <w:rFonts w:cs="Arial"/>
                <w:szCs w:val="16"/>
                <w:lang w:eastAsia="en-AU"/>
              </w:rPr>
              <w:t>Fractured Nanambu complex (aquifer 3)</w:t>
            </w:r>
          </w:p>
        </w:tc>
        <w:tc>
          <w:tcPr>
            <w:tcW w:w="1134" w:type="dxa"/>
          </w:tcPr>
          <w:p w:rsidR="00A4659C" w:rsidRPr="00871544" w:rsidRDefault="00A4659C" w:rsidP="00A4659C">
            <w:pPr>
              <w:pStyle w:val="table1"/>
              <w:rPr>
                <w:szCs w:val="16"/>
              </w:rPr>
            </w:pPr>
            <w:r w:rsidRPr="00871544">
              <w:rPr>
                <w:szCs w:val="16"/>
              </w:rPr>
              <w:t>Ca-Na</w:t>
            </w:r>
          </w:p>
        </w:tc>
        <w:tc>
          <w:tcPr>
            <w:tcW w:w="2268" w:type="dxa"/>
          </w:tcPr>
          <w:p w:rsidR="00A4659C" w:rsidRPr="00871544" w:rsidRDefault="00A4659C" w:rsidP="00A4659C">
            <w:pPr>
              <w:pStyle w:val="table1"/>
              <w:rPr>
                <w:szCs w:val="16"/>
              </w:rPr>
            </w:pPr>
            <w:r w:rsidRPr="00871544">
              <w:rPr>
                <w:szCs w:val="16"/>
              </w:rPr>
              <w:t>HCO3 and HCO3-Cl-SO4</w:t>
            </w:r>
          </w:p>
        </w:tc>
        <w:tc>
          <w:tcPr>
            <w:tcW w:w="851" w:type="dxa"/>
          </w:tcPr>
          <w:p w:rsidR="00A4659C" w:rsidRPr="00871544" w:rsidRDefault="00A4659C" w:rsidP="00A4659C">
            <w:pPr>
              <w:pStyle w:val="table1"/>
              <w:rPr>
                <w:szCs w:val="16"/>
              </w:rPr>
            </w:pPr>
            <w:r w:rsidRPr="00871544">
              <w:rPr>
                <w:szCs w:val="16"/>
              </w:rPr>
              <w:t>6.6-7.1</w:t>
            </w:r>
          </w:p>
        </w:tc>
        <w:tc>
          <w:tcPr>
            <w:tcW w:w="1134" w:type="dxa"/>
          </w:tcPr>
          <w:p w:rsidR="00A4659C" w:rsidRPr="00871544" w:rsidRDefault="00A4659C" w:rsidP="00A4659C">
            <w:pPr>
              <w:pStyle w:val="table1"/>
              <w:rPr>
                <w:szCs w:val="16"/>
              </w:rPr>
            </w:pPr>
            <w:r w:rsidRPr="00871544">
              <w:rPr>
                <w:szCs w:val="16"/>
              </w:rPr>
              <w:t>180-310</w:t>
            </w:r>
          </w:p>
        </w:tc>
      </w:tr>
    </w:tbl>
    <w:p w:rsidR="00A4659C" w:rsidRDefault="00BC6D53" w:rsidP="00A4659C">
      <w:pPr>
        <w:jc w:val="center"/>
      </w:pPr>
      <w:r>
        <w:br/>
      </w:r>
      <w:r w:rsidR="00A4659C" w:rsidRPr="002C0C2A">
        <w:rPr>
          <w:noProof/>
          <w:lang w:eastAsia="en-AU"/>
        </w:rPr>
        <w:drawing>
          <wp:inline distT="0" distB="0" distL="0" distR="0">
            <wp:extent cx="3162300" cy="2635330"/>
            <wp:effectExtent l="19050" t="0" r="0" b="0"/>
            <wp:docPr id="1008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8" cstate="screen"/>
                    <a:srcRect b="2381"/>
                    <a:stretch>
                      <a:fillRect/>
                    </a:stretch>
                  </pic:blipFill>
                  <pic:spPr bwMode="auto">
                    <a:xfrm>
                      <a:off x="0" y="0"/>
                      <a:ext cx="3164664" cy="2637300"/>
                    </a:xfrm>
                    <a:prstGeom prst="rect">
                      <a:avLst/>
                    </a:prstGeom>
                    <a:noFill/>
                    <a:ln w="9525">
                      <a:noFill/>
                      <a:miter lim="800000"/>
                      <a:headEnd/>
                      <a:tailEnd/>
                    </a:ln>
                  </pic:spPr>
                </pic:pic>
              </a:graphicData>
            </a:graphic>
          </wp:inline>
        </w:drawing>
      </w:r>
    </w:p>
    <w:p w:rsidR="00A4659C" w:rsidRDefault="00A4659C" w:rsidP="00A4659C">
      <w:pPr>
        <w:pStyle w:val="figurecaption"/>
      </w:pPr>
      <w:r w:rsidRPr="00905291">
        <w:rPr>
          <w:b/>
        </w:rPr>
        <w:t>Figure 2</w:t>
      </w:r>
      <w:r>
        <w:t xml:space="preserve"> </w:t>
      </w:r>
      <w:proofErr w:type="gramStart"/>
      <w:r>
        <w:t>Ternary diagram</w:t>
      </w:r>
      <w:proofErr w:type="gramEnd"/>
      <w:r>
        <w:t xml:space="preserve"> of major cation concentrations in long time series bores shown in Figure 1.</w:t>
      </w:r>
    </w:p>
    <w:p w:rsidR="004C3E9C" w:rsidRDefault="00A4659C" w:rsidP="00A4659C">
      <w:r>
        <w:t xml:space="preserve">Bores RN9329, OB20 and OB21A are located south and west of the TSF in the Gulungul groundwater catchment, and they sample aquifers 2 and/or 3. They are characterised by equal Ca, Mg and Na+K. In contrast OB1A and in particular OB23 (sampling deep aquifer 3) are dominated by Na+K and Ca. The PCA (Figures 3a, 4a) shows that groundwater chemistry in the five bores around the TSF is dominated by variations in EC, and bores OB1A and OB23 generally exhibit more reducing conditions compared to the other three bores. </w:t>
      </w:r>
    </w:p>
    <w:tbl>
      <w:tblPr>
        <w:tblW w:w="0" w:type="auto"/>
        <w:tblLook w:val="04A0"/>
      </w:tblPr>
      <w:tblGrid>
        <w:gridCol w:w="4261"/>
        <w:gridCol w:w="4261"/>
      </w:tblGrid>
      <w:tr w:rsidR="00094B28" w:rsidTr="00094B28">
        <w:tc>
          <w:tcPr>
            <w:tcW w:w="4261" w:type="dxa"/>
          </w:tcPr>
          <w:p w:rsidR="00094B28" w:rsidRPr="00E84ADC" w:rsidRDefault="00094B28" w:rsidP="00094B28">
            <w:pPr>
              <w:rPr>
                <w:b/>
                <w:szCs w:val="24"/>
              </w:rPr>
            </w:pPr>
          </w:p>
        </w:tc>
        <w:tc>
          <w:tcPr>
            <w:tcW w:w="4261" w:type="dxa"/>
          </w:tcPr>
          <w:p w:rsidR="00094B28" w:rsidRPr="00E84ADC" w:rsidRDefault="00094B28" w:rsidP="00094B28">
            <w:pPr>
              <w:rPr>
                <w:szCs w:val="24"/>
              </w:rPr>
            </w:pPr>
          </w:p>
        </w:tc>
      </w:tr>
      <w:tr w:rsidR="00094B28" w:rsidTr="00094B28">
        <w:tc>
          <w:tcPr>
            <w:tcW w:w="4261" w:type="dxa"/>
          </w:tcPr>
          <w:p w:rsidR="00094B28" w:rsidRPr="00B27186" w:rsidRDefault="006B5A61" w:rsidP="00094B28">
            <w:pPr>
              <w:rPr>
                <w:b/>
                <w:noProof/>
                <w:szCs w:val="24"/>
                <w:lang w:eastAsia="en-AU"/>
              </w:rPr>
            </w:pPr>
            <w:r>
              <w:rPr>
                <w:b/>
                <w:noProof/>
                <w:szCs w:val="24"/>
                <w:lang w:eastAsia="en-AU"/>
              </w:rPr>
              <w:pict>
                <v:shape id="_x0000_s1344" type="#_x0000_t202" style="position:absolute;left:0;text-align:left;margin-left:166.5pt;margin-top:120.5pt;width:24.75pt;height:20.25pt;z-index:251656192;mso-position-horizontal-relative:text;mso-position-vertical-relative:text" stroked="f">
                  <v:textbox style="mso-next-textbox:#_x0000_s1344">
                    <w:txbxContent>
                      <w:p w:rsidR="00F260FF" w:rsidRPr="008E5162" w:rsidRDefault="00F260FF" w:rsidP="00094B28">
                        <w:pPr>
                          <w:rPr>
                            <w:rFonts w:ascii="Arial" w:hAnsi="Arial" w:cs="Arial"/>
                            <w:b/>
                          </w:rPr>
                        </w:pPr>
                        <w:proofErr w:type="gramStart"/>
                        <w:r w:rsidRPr="008E5162">
                          <w:rPr>
                            <w:rFonts w:ascii="Arial" w:hAnsi="Arial" w:cs="Arial"/>
                            <w:b/>
                          </w:rPr>
                          <w:t>a</w:t>
                        </w:r>
                        <w:proofErr w:type="gramEnd"/>
                        <w:r>
                          <w:rPr>
                            <w:rFonts w:ascii="Arial" w:hAnsi="Arial" w:cs="Arial"/>
                            <w:b/>
                            <w:noProof/>
                            <w:lang w:eastAsia="en-AU"/>
                          </w:rPr>
                          <w:drawing>
                            <wp:inline distT="0" distB="0" distL="0" distR="0">
                              <wp:extent cx="131445" cy="107546"/>
                              <wp:effectExtent l="19050" t="0" r="1905" b="0"/>
                              <wp:docPr id="25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9"/>
                                      <a:srcRect/>
                                      <a:stretch>
                                        <a:fillRect/>
                                      </a:stretch>
                                    </pic:blipFill>
                                    <pic:spPr bwMode="auto">
                                      <a:xfrm>
                                        <a:off x="0" y="0"/>
                                        <a:ext cx="131445" cy="107546"/>
                                      </a:xfrm>
                                      <a:prstGeom prst="rect">
                                        <a:avLst/>
                                      </a:prstGeom>
                                      <a:noFill/>
                                      <a:ln w="9525">
                                        <a:noFill/>
                                        <a:miter lim="800000"/>
                                        <a:headEnd/>
                                        <a:tailEnd/>
                                      </a:ln>
                                    </pic:spPr>
                                  </pic:pic>
                                </a:graphicData>
                              </a:graphic>
                            </wp:inline>
                          </w:drawing>
                        </w:r>
                      </w:p>
                    </w:txbxContent>
                  </v:textbox>
                </v:shape>
              </w:pict>
            </w:r>
            <w:r w:rsidR="00094B28">
              <w:rPr>
                <w:b/>
                <w:noProof/>
                <w:szCs w:val="24"/>
                <w:lang w:eastAsia="en-AU"/>
              </w:rPr>
              <w:drawing>
                <wp:inline distT="0" distB="0" distL="0" distR="0">
                  <wp:extent cx="2543175" cy="2190750"/>
                  <wp:effectExtent l="0" t="0" r="9525" b="0"/>
                  <wp:docPr id="100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0" cstate="screen"/>
                          <a:srcRect t="10506" r="30469"/>
                          <a:stretch>
                            <a:fillRect/>
                          </a:stretch>
                        </pic:blipFill>
                        <pic:spPr bwMode="auto">
                          <a:xfrm>
                            <a:off x="0" y="0"/>
                            <a:ext cx="2543175" cy="2190750"/>
                          </a:xfrm>
                          <a:prstGeom prst="rect">
                            <a:avLst/>
                          </a:prstGeom>
                          <a:noFill/>
                          <a:ln w="9525">
                            <a:noFill/>
                            <a:miter lim="800000"/>
                            <a:headEnd/>
                            <a:tailEnd/>
                          </a:ln>
                        </pic:spPr>
                      </pic:pic>
                    </a:graphicData>
                  </a:graphic>
                </wp:inline>
              </w:drawing>
            </w:r>
          </w:p>
        </w:tc>
        <w:tc>
          <w:tcPr>
            <w:tcW w:w="4261" w:type="dxa"/>
          </w:tcPr>
          <w:p w:rsidR="00094B28" w:rsidRPr="00B27186" w:rsidRDefault="006B5A61" w:rsidP="00094B28">
            <w:pPr>
              <w:rPr>
                <w:b/>
                <w:noProof/>
                <w:szCs w:val="24"/>
                <w:lang w:eastAsia="en-AU"/>
              </w:rPr>
            </w:pPr>
            <w:r>
              <w:rPr>
                <w:b/>
                <w:noProof/>
                <w:szCs w:val="24"/>
                <w:lang w:eastAsia="en-AU"/>
              </w:rPr>
              <w:pict>
                <v:shape id="_x0000_s1345" type="#_x0000_t202" style="position:absolute;left:0;text-align:left;margin-left:163.45pt;margin-top:124.75pt;width:24.75pt;height:20.25pt;z-index:251657216;mso-position-horizontal-relative:text;mso-position-vertical-relative:text" stroked="f">
                  <v:textbox style="mso-next-textbox:#_x0000_s1345">
                    <w:txbxContent>
                      <w:p w:rsidR="00F260FF" w:rsidRPr="008E5162" w:rsidRDefault="00F260FF" w:rsidP="00094B28">
                        <w:pPr>
                          <w:rPr>
                            <w:rFonts w:ascii="Arial" w:hAnsi="Arial" w:cs="Arial"/>
                            <w:b/>
                          </w:rPr>
                        </w:pPr>
                        <w:proofErr w:type="gramStart"/>
                        <w:r w:rsidRPr="008E5162">
                          <w:rPr>
                            <w:rFonts w:ascii="Arial" w:hAnsi="Arial" w:cs="Arial"/>
                            <w:b/>
                          </w:rPr>
                          <w:t>b</w:t>
                        </w:r>
                        <w:proofErr w:type="gramEnd"/>
                      </w:p>
                    </w:txbxContent>
                  </v:textbox>
                </v:shape>
              </w:pict>
            </w:r>
            <w:r w:rsidR="00094B28">
              <w:rPr>
                <w:b/>
                <w:noProof/>
                <w:szCs w:val="24"/>
                <w:lang w:eastAsia="en-AU"/>
              </w:rPr>
              <w:drawing>
                <wp:inline distT="0" distB="0" distL="0" distR="0">
                  <wp:extent cx="2495534" cy="2110871"/>
                  <wp:effectExtent l="0" t="0" r="0" b="0"/>
                  <wp:docPr id="5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1" cstate="screen"/>
                          <a:srcRect l="968" t="10145" r="30888" b="3512"/>
                          <a:stretch>
                            <a:fillRect/>
                          </a:stretch>
                        </pic:blipFill>
                        <pic:spPr bwMode="auto">
                          <a:xfrm>
                            <a:off x="0" y="0"/>
                            <a:ext cx="2495534" cy="2110871"/>
                          </a:xfrm>
                          <a:prstGeom prst="rect">
                            <a:avLst/>
                          </a:prstGeom>
                          <a:noFill/>
                          <a:ln w="9525">
                            <a:noFill/>
                            <a:miter lim="800000"/>
                            <a:headEnd/>
                            <a:tailEnd/>
                          </a:ln>
                        </pic:spPr>
                      </pic:pic>
                    </a:graphicData>
                  </a:graphic>
                </wp:inline>
              </w:drawing>
            </w:r>
          </w:p>
        </w:tc>
      </w:tr>
      <w:tr w:rsidR="00094B28" w:rsidTr="00094B28">
        <w:tc>
          <w:tcPr>
            <w:tcW w:w="4261" w:type="dxa"/>
          </w:tcPr>
          <w:p w:rsidR="00094B28" w:rsidRPr="00B27186" w:rsidRDefault="006B5A61" w:rsidP="00094B28">
            <w:pPr>
              <w:rPr>
                <w:b/>
                <w:noProof/>
                <w:szCs w:val="24"/>
                <w:lang w:eastAsia="en-AU"/>
              </w:rPr>
            </w:pPr>
            <w:r>
              <w:rPr>
                <w:b/>
                <w:noProof/>
                <w:szCs w:val="24"/>
                <w:lang w:eastAsia="en-AU"/>
              </w:rPr>
              <w:pict>
                <v:shape id="_x0000_s1346" type="#_x0000_t202" style="position:absolute;left:0;text-align:left;margin-left:166.5pt;margin-top:142.75pt;width:24.75pt;height:20.25pt;z-index:251658240;mso-position-horizontal-relative:text;mso-position-vertical-relative:text" stroked="f">
                  <v:textbox style="mso-next-textbox:#_x0000_s1346">
                    <w:txbxContent>
                      <w:p w:rsidR="00F260FF" w:rsidRPr="008E5162" w:rsidRDefault="00F260FF" w:rsidP="00094B28">
                        <w:pPr>
                          <w:rPr>
                            <w:rFonts w:ascii="Arial" w:hAnsi="Arial" w:cs="Arial"/>
                            <w:b/>
                          </w:rPr>
                        </w:pPr>
                        <w:proofErr w:type="gramStart"/>
                        <w:r>
                          <w:rPr>
                            <w:rFonts w:ascii="Arial" w:hAnsi="Arial" w:cs="Arial"/>
                            <w:b/>
                          </w:rPr>
                          <w:t>c</w:t>
                        </w:r>
                        <w:proofErr w:type="gramEnd"/>
                        <w:r>
                          <w:rPr>
                            <w:rFonts w:ascii="Arial" w:hAnsi="Arial" w:cs="Arial"/>
                            <w:b/>
                            <w:noProof/>
                            <w:lang w:eastAsia="en-AU"/>
                          </w:rPr>
                          <w:drawing>
                            <wp:inline distT="0" distB="0" distL="0" distR="0">
                              <wp:extent cx="131445" cy="107546"/>
                              <wp:effectExtent l="19050" t="0" r="1905" b="0"/>
                              <wp:docPr id="25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9"/>
                                      <a:srcRect/>
                                      <a:stretch>
                                        <a:fillRect/>
                                      </a:stretch>
                                    </pic:blipFill>
                                    <pic:spPr bwMode="auto">
                                      <a:xfrm>
                                        <a:off x="0" y="0"/>
                                        <a:ext cx="131445" cy="107546"/>
                                      </a:xfrm>
                                      <a:prstGeom prst="rect">
                                        <a:avLst/>
                                      </a:prstGeom>
                                      <a:noFill/>
                                      <a:ln w="9525">
                                        <a:noFill/>
                                        <a:miter lim="800000"/>
                                        <a:headEnd/>
                                        <a:tailEnd/>
                                      </a:ln>
                                    </pic:spPr>
                                  </pic:pic>
                                </a:graphicData>
                              </a:graphic>
                            </wp:inline>
                          </w:drawing>
                        </w:r>
                      </w:p>
                    </w:txbxContent>
                  </v:textbox>
                </v:shape>
              </w:pict>
            </w:r>
            <w:r w:rsidR="00094B28">
              <w:rPr>
                <w:b/>
                <w:noProof/>
                <w:szCs w:val="24"/>
                <w:lang w:eastAsia="en-AU"/>
              </w:rPr>
              <w:drawing>
                <wp:inline distT="0" distB="0" distL="0" distR="0">
                  <wp:extent cx="3662148" cy="2444751"/>
                  <wp:effectExtent l="0" t="0" r="0" b="0"/>
                  <wp:docPr id="5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2" cstate="screen"/>
                          <a:srcRect/>
                          <a:stretch>
                            <a:fillRect/>
                          </a:stretch>
                        </pic:blipFill>
                        <pic:spPr bwMode="auto">
                          <a:xfrm>
                            <a:off x="0" y="0"/>
                            <a:ext cx="3662148" cy="2444751"/>
                          </a:xfrm>
                          <a:prstGeom prst="rect">
                            <a:avLst/>
                          </a:prstGeom>
                          <a:noFill/>
                          <a:ln w="9525">
                            <a:noFill/>
                            <a:miter lim="800000"/>
                            <a:headEnd/>
                            <a:tailEnd/>
                          </a:ln>
                        </pic:spPr>
                      </pic:pic>
                    </a:graphicData>
                  </a:graphic>
                </wp:inline>
              </w:drawing>
            </w:r>
          </w:p>
        </w:tc>
        <w:tc>
          <w:tcPr>
            <w:tcW w:w="4261" w:type="dxa"/>
          </w:tcPr>
          <w:p w:rsidR="00094B28" w:rsidRPr="00B27186" w:rsidRDefault="006B5A61" w:rsidP="00094B28">
            <w:pPr>
              <w:rPr>
                <w:b/>
                <w:noProof/>
                <w:szCs w:val="24"/>
                <w:lang w:eastAsia="en-AU"/>
              </w:rPr>
            </w:pPr>
            <w:r>
              <w:rPr>
                <w:b/>
                <w:noProof/>
                <w:szCs w:val="24"/>
                <w:lang w:eastAsia="en-AU"/>
              </w:rPr>
              <w:pict>
                <v:shape id="_x0000_s1347" type="#_x0000_t202" style="position:absolute;left:0;text-align:left;margin-left:159.7pt;margin-top:142.75pt;width:24.75pt;height:20.25pt;z-index:251659264;mso-position-horizontal-relative:text;mso-position-vertical-relative:text" stroked="f">
                  <v:textbox style="mso-next-textbox:#_x0000_s1347">
                    <w:txbxContent>
                      <w:p w:rsidR="00F260FF" w:rsidRPr="008E5162" w:rsidRDefault="00F260FF" w:rsidP="00094B28">
                        <w:pPr>
                          <w:rPr>
                            <w:rFonts w:ascii="Arial" w:hAnsi="Arial" w:cs="Arial"/>
                            <w:b/>
                          </w:rPr>
                        </w:pPr>
                        <w:proofErr w:type="gramStart"/>
                        <w:r>
                          <w:rPr>
                            <w:rFonts w:ascii="Arial" w:hAnsi="Arial" w:cs="Arial"/>
                            <w:b/>
                          </w:rPr>
                          <w:t>d</w:t>
                        </w:r>
                        <w:proofErr w:type="gramEnd"/>
                        <w:r>
                          <w:rPr>
                            <w:rFonts w:ascii="Arial" w:hAnsi="Arial" w:cs="Arial"/>
                            <w:b/>
                            <w:noProof/>
                            <w:lang w:eastAsia="en-AU"/>
                          </w:rPr>
                          <w:drawing>
                            <wp:inline distT="0" distB="0" distL="0" distR="0">
                              <wp:extent cx="131445" cy="107546"/>
                              <wp:effectExtent l="19050" t="0" r="1905" b="0"/>
                              <wp:docPr id="25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9"/>
                                      <a:srcRect/>
                                      <a:stretch>
                                        <a:fillRect/>
                                      </a:stretch>
                                    </pic:blipFill>
                                    <pic:spPr bwMode="auto">
                                      <a:xfrm>
                                        <a:off x="0" y="0"/>
                                        <a:ext cx="131445" cy="107546"/>
                                      </a:xfrm>
                                      <a:prstGeom prst="rect">
                                        <a:avLst/>
                                      </a:prstGeom>
                                      <a:noFill/>
                                      <a:ln w="9525">
                                        <a:noFill/>
                                        <a:miter lim="800000"/>
                                        <a:headEnd/>
                                        <a:tailEnd/>
                                      </a:ln>
                                    </pic:spPr>
                                  </pic:pic>
                                </a:graphicData>
                              </a:graphic>
                            </wp:inline>
                          </w:drawing>
                        </w:r>
                      </w:p>
                    </w:txbxContent>
                  </v:textbox>
                </v:shape>
              </w:pict>
            </w:r>
            <w:r w:rsidR="00094B28">
              <w:rPr>
                <w:b/>
                <w:noProof/>
                <w:szCs w:val="24"/>
                <w:lang w:eastAsia="en-AU"/>
              </w:rPr>
              <w:drawing>
                <wp:inline distT="0" distB="0" distL="0" distR="0">
                  <wp:extent cx="3662148" cy="2444751"/>
                  <wp:effectExtent l="0" t="0" r="0" b="0"/>
                  <wp:docPr id="5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3" cstate="screen"/>
                          <a:srcRect/>
                          <a:stretch>
                            <a:fillRect/>
                          </a:stretch>
                        </pic:blipFill>
                        <pic:spPr bwMode="auto">
                          <a:xfrm>
                            <a:off x="0" y="0"/>
                            <a:ext cx="3662148" cy="2444751"/>
                          </a:xfrm>
                          <a:prstGeom prst="rect">
                            <a:avLst/>
                          </a:prstGeom>
                          <a:noFill/>
                          <a:ln w="9525">
                            <a:noFill/>
                            <a:miter lim="800000"/>
                            <a:headEnd/>
                            <a:tailEnd/>
                          </a:ln>
                        </pic:spPr>
                      </pic:pic>
                    </a:graphicData>
                  </a:graphic>
                </wp:inline>
              </w:drawing>
            </w:r>
          </w:p>
        </w:tc>
      </w:tr>
    </w:tbl>
    <w:p w:rsidR="00094B28" w:rsidRDefault="00094B28" w:rsidP="00094B28">
      <w:pPr>
        <w:pStyle w:val="figurecaption"/>
        <w:rPr>
          <w:b/>
        </w:rPr>
      </w:pPr>
    </w:p>
    <w:p w:rsidR="00094B28" w:rsidRDefault="00094B28" w:rsidP="00094B28">
      <w:pPr>
        <w:pStyle w:val="figurecaption"/>
      </w:pPr>
      <w:r w:rsidRPr="00905291">
        <w:rPr>
          <w:b/>
        </w:rPr>
        <w:t>Figure 3</w:t>
      </w:r>
      <w:r>
        <w:t xml:space="preserve"> Loading plots of pH, EC, Ba, Ca,  Fe, Mg, Mn, Na+K, Sr, U and Ra-226 in bores (a) </w:t>
      </w:r>
      <w:r w:rsidRPr="00EF086E">
        <w:t>OB1A, RN9329, OB20</w:t>
      </w:r>
      <w:r>
        <w:t>,</w:t>
      </w:r>
      <w:r w:rsidRPr="00EF086E">
        <w:t xml:space="preserve"> OB21A</w:t>
      </w:r>
      <w:r>
        <w:t xml:space="preserve"> and OB23 (b) RN23551 and B11 (c) 83_1 and (d) OB30 and OB27.</w:t>
      </w:r>
    </w:p>
    <w:p w:rsidR="00A4659C" w:rsidRDefault="00A4659C" w:rsidP="00A4659C">
      <w:r>
        <w:t>Bore OB23 is located at the border of the Coonjimba and Gulungul groundwater catchments, close to one of the major fault zones north of the TSF (ERA 2013). Using the uranium activity ratio (</w:t>
      </w:r>
      <w:r w:rsidRPr="00CD5976">
        <w:rPr>
          <w:snapToGrid w:val="0"/>
          <w:color w:val="000000"/>
          <w:position w:val="5"/>
          <w:sz w:val="15"/>
          <w:szCs w:val="0"/>
          <w:u w:color="000000"/>
        </w:rPr>
        <w:t>234</w:t>
      </w:r>
      <w:r>
        <w:t>U/</w:t>
      </w:r>
      <w:r w:rsidRPr="00CD5976">
        <w:rPr>
          <w:snapToGrid w:val="0"/>
          <w:color w:val="000000"/>
          <w:position w:val="5"/>
          <w:sz w:val="15"/>
          <w:szCs w:val="0"/>
          <w:u w:color="000000"/>
        </w:rPr>
        <w:t>238</w:t>
      </w:r>
      <w:r>
        <w:t xml:space="preserve">U), shown previously </w:t>
      </w:r>
      <w:r w:rsidR="00094B28">
        <w:t>(Bollhöfer &amp; Medley 2013)</w:t>
      </w:r>
      <w:r>
        <w:t>, this bore has been identified as being potentially influenced by seepage from the TSF or by other activities on site, such as the construction of the trial landform and several TSF lifts.</w:t>
      </w:r>
    </w:p>
    <w:p w:rsidR="00A4659C" w:rsidRDefault="00A4659C" w:rsidP="00A4659C">
      <w:r>
        <w:t xml:space="preserve">Bores RN23551 and B11 are located in the Coonjimba groundwater catchment. RN23551 is </w:t>
      </w:r>
      <w:proofErr w:type="gramStart"/>
      <w:r>
        <w:t>located  immediately</w:t>
      </w:r>
      <w:proofErr w:type="gramEnd"/>
      <w:r>
        <w:t xml:space="preserve"> to the North of the TSF along the Coonjimba line (see Figure 1). RN23551 samples aquifer 2 and is dominated by Mg, whereas B11 samples aquifers 1a and 1b and is dominated by Na. Variability in EC appears to be the dominating factor for metal and radionuclide activity concentrations in the two bores (Figure 3b), but there is no discernible trend of increasing metal or radionuclide activity concentrations in the </w:t>
      </w:r>
      <w:r w:rsidRPr="00326022">
        <w:rPr>
          <w:rFonts w:ascii="Times New Roman" w:hAnsi="Times New Roman"/>
          <w:b/>
          <w:i/>
          <w:sz w:val="26"/>
          <w:szCs w:val="26"/>
        </w:rPr>
        <w:t>eriss</w:t>
      </w:r>
      <w:r>
        <w:t xml:space="preserve"> data. </w:t>
      </w:r>
    </w:p>
    <w:p w:rsidR="00A4659C" w:rsidRDefault="00A4659C" w:rsidP="00A4659C">
      <w:r>
        <w:t>Bore 83_1 is located in the Djalkmara groundwater catchment close to the Magela LAA, and samples all three aquifers. It is dominated by</w:t>
      </w:r>
      <w:r w:rsidRPr="00702E81">
        <w:t xml:space="preserve"> </w:t>
      </w:r>
      <w:r>
        <w:t>Na+K (40</w:t>
      </w:r>
      <w:r w:rsidR="00326022">
        <w:t>–</w:t>
      </w:r>
      <w:r>
        <w:t xml:space="preserve">50%) and Mg (30%). The bore is located within a sand lens that was previously identified between pit 3 and Magela Creek (ERA 2012). Bore 83_1 is a statutory monitoring bore of ERA. The dominating factor influencing metal and radionuclide activity concentrations in this bore appears to be the EC. </w:t>
      </w:r>
      <w:r w:rsidRPr="00C04759">
        <w:rPr>
          <w:snapToGrid w:val="0"/>
          <w:color w:val="000000"/>
          <w:position w:val="5"/>
          <w:sz w:val="15"/>
          <w:szCs w:val="0"/>
          <w:u w:color="000000"/>
        </w:rPr>
        <w:t>226</w:t>
      </w:r>
      <w:r>
        <w:t xml:space="preserve">Ra and EC in this bore are closely correlated but Ba is negatively correlated to EC (Figure 3c). This is potentially due to adsorbtion/desorption mechanisms in the groundwater aquifer and potential barite formation in the groundwater with increasing salinity, as reported </w:t>
      </w:r>
      <w:proofErr w:type="gramStart"/>
      <w:r>
        <w:t>by  Martin</w:t>
      </w:r>
      <w:proofErr w:type="gramEnd"/>
      <w:r>
        <w:t xml:space="preserve"> &amp; Akber (1996, 1999) for bores north of the TSF. Redox conditions also have a great influence in particular on U and Mn levels in bore 83_1, and U is generally higher when more oxidising conditions persist.</w:t>
      </w:r>
    </w:p>
    <w:p w:rsidR="00A4659C" w:rsidRDefault="00A4659C" w:rsidP="00A4659C"/>
    <w:tbl>
      <w:tblPr>
        <w:tblW w:w="0" w:type="auto"/>
        <w:tblLook w:val="04A0"/>
      </w:tblPr>
      <w:tblGrid>
        <w:gridCol w:w="4261"/>
        <w:gridCol w:w="4261"/>
      </w:tblGrid>
      <w:tr w:rsidR="00A4659C" w:rsidTr="00A4659C">
        <w:tc>
          <w:tcPr>
            <w:tcW w:w="4261" w:type="dxa"/>
          </w:tcPr>
          <w:p w:rsidR="00A4659C" w:rsidRDefault="006B5A61" w:rsidP="00A4659C">
            <w:pPr>
              <w:spacing w:after="0" w:line="240" w:lineRule="auto"/>
              <w:jc w:val="right"/>
            </w:pPr>
            <w:r>
              <w:rPr>
                <w:noProof/>
                <w:lang w:eastAsia="en-AU"/>
              </w:rPr>
              <w:pict>
                <v:shape id="_x0000_s1030" type="#_x0000_t202" style="position:absolute;left:0;text-align:left;margin-left:166.5pt;margin-top:115.5pt;width:24.75pt;height:20.25pt;z-index:251652096" stroked="f">
                  <v:textbox style="mso-next-textbox:#_x0000_s1030">
                    <w:txbxContent>
                      <w:p w:rsidR="00F260FF" w:rsidRPr="008E5162" w:rsidRDefault="00F260FF" w:rsidP="00A4659C">
                        <w:pPr>
                          <w:rPr>
                            <w:rFonts w:ascii="Arial" w:hAnsi="Arial" w:cs="Arial"/>
                            <w:b/>
                          </w:rPr>
                        </w:pPr>
                        <w:proofErr w:type="gramStart"/>
                        <w:r w:rsidRPr="008E5162">
                          <w:rPr>
                            <w:rFonts w:ascii="Arial" w:hAnsi="Arial" w:cs="Arial"/>
                            <w:b/>
                          </w:rPr>
                          <w:t>a</w:t>
                        </w:r>
                        <w:proofErr w:type="gramEnd"/>
                        <w:r>
                          <w:rPr>
                            <w:rFonts w:ascii="Arial" w:hAnsi="Arial" w:cs="Arial"/>
                            <w:b/>
                            <w:noProof/>
                            <w:lang w:eastAsia="en-AU"/>
                          </w:rPr>
                          <w:drawing>
                            <wp:inline distT="0" distB="0" distL="0" distR="0">
                              <wp:extent cx="131445" cy="107546"/>
                              <wp:effectExtent l="19050" t="0" r="1905" b="0"/>
                              <wp:docPr id="6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9"/>
                                      <a:srcRect/>
                                      <a:stretch>
                                        <a:fillRect/>
                                      </a:stretch>
                                    </pic:blipFill>
                                    <pic:spPr bwMode="auto">
                                      <a:xfrm>
                                        <a:off x="0" y="0"/>
                                        <a:ext cx="131445" cy="107546"/>
                                      </a:xfrm>
                                      <a:prstGeom prst="rect">
                                        <a:avLst/>
                                      </a:prstGeom>
                                      <a:noFill/>
                                      <a:ln w="9525">
                                        <a:noFill/>
                                        <a:miter lim="800000"/>
                                        <a:headEnd/>
                                        <a:tailEnd/>
                                      </a:ln>
                                    </pic:spPr>
                                  </pic:pic>
                                </a:graphicData>
                              </a:graphic>
                            </wp:inline>
                          </w:drawing>
                        </w:r>
                      </w:p>
                    </w:txbxContent>
                  </v:textbox>
                </v:shape>
              </w:pict>
            </w:r>
            <w:r w:rsidR="00A4659C">
              <w:rPr>
                <w:noProof/>
                <w:lang w:eastAsia="en-AU"/>
              </w:rPr>
              <w:drawing>
                <wp:inline distT="0" distB="0" distL="0" distR="0">
                  <wp:extent cx="2162175" cy="2105025"/>
                  <wp:effectExtent l="0" t="0" r="9525" b="0"/>
                  <wp:docPr id="100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4" cstate="screen"/>
                          <a:srcRect l="2107" t="10282" r="36325"/>
                          <a:stretch>
                            <a:fillRect/>
                          </a:stretch>
                        </pic:blipFill>
                        <pic:spPr bwMode="auto">
                          <a:xfrm>
                            <a:off x="0" y="0"/>
                            <a:ext cx="2162175" cy="2105025"/>
                          </a:xfrm>
                          <a:prstGeom prst="rect">
                            <a:avLst/>
                          </a:prstGeom>
                          <a:noFill/>
                          <a:ln w="9525">
                            <a:noFill/>
                            <a:miter lim="800000"/>
                            <a:headEnd/>
                            <a:tailEnd/>
                          </a:ln>
                        </pic:spPr>
                      </pic:pic>
                    </a:graphicData>
                  </a:graphic>
                </wp:inline>
              </w:drawing>
            </w:r>
          </w:p>
        </w:tc>
        <w:tc>
          <w:tcPr>
            <w:tcW w:w="4261" w:type="dxa"/>
          </w:tcPr>
          <w:p w:rsidR="00A4659C" w:rsidRDefault="006B5A61" w:rsidP="00A4659C">
            <w:pPr>
              <w:spacing w:after="0" w:line="240" w:lineRule="auto"/>
            </w:pPr>
            <w:r>
              <w:rPr>
                <w:noProof/>
                <w:lang w:eastAsia="en-AU"/>
              </w:rPr>
              <w:pict>
                <v:shape id="_x0000_s1031" type="#_x0000_t202" style="position:absolute;left:0;text-align:left;margin-left:140.6pt;margin-top:115.5pt;width:24.75pt;height:20.25pt;z-index:251653120;mso-position-horizontal-relative:text;mso-position-vertical-relative:text" stroked="f">
                  <v:textbox style="mso-next-textbox:#_x0000_s1031">
                    <w:txbxContent>
                      <w:p w:rsidR="00F260FF" w:rsidRPr="008E5162" w:rsidRDefault="00F260FF" w:rsidP="00A4659C">
                        <w:pPr>
                          <w:rPr>
                            <w:rFonts w:ascii="Arial" w:hAnsi="Arial" w:cs="Arial"/>
                            <w:b/>
                          </w:rPr>
                        </w:pPr>
                        <w:proofErr w:type="gramStart"/>
                        <w:r w:rsidRPr="008E5162">
                          <w:rPr>
                            <w:rFonts w:ascii="Arial" w:hAnsi="Arial" w:cs="Arial"/>
                            <w:b/>
                          </w:rPr>
                          <w:t>b</w:t>
                        </w:r>
                        <w:proofErr w:type="gramEnd"/>
                      </w:p>
                    </w:txbxContent>
                  </v:textbox>
                </v:shape>
              </w:pict>
            </w:r>
            <w:r w:rsidR="00A4659C">
              <w:rPr>
                <w:noProof/>
                <w:lang w:eastAsia="en-AU"/>
              </w:rPr>
              <w:drawing>
                <wp:inline distT="0" distB="0" distL="0" distR="0">
                  <wp:extent cx="2168207" cy="2085975"/>
                  <wp:effectExtent l="19050" t="0" r="3493" b="0"/>
                  <wp:docPr id="1008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5" cstate="screen"/>
                          <a:srcRect l="2167" t="11193" r="36180"/>
                          <a:stretch>
                            <a:fillRect/>
                          </a:stretch>
                        </pic:blipFill>
                        <pic:spPr bwMode="auto">
                          <a:xfrm>
                            <a:off x="0" y="0"/>
                            <a:ext cx="2168207" cy="2085975"/>
                          </a:xfrm>
                          <a:prstGeom prst="rect">
                            <a:avLst/>
                          </a:prstGeom>
                          <a:noFill/>
                          <a:ln w="9525">
                            <a:noFill/>
                            <a:miter lim="800000"/>
                            <a:headEnd/>
                            <a:tailEnd/>
                          </a:ln>
                        </pic:spPr>
                      </pic:pic>
                    </a:graphicData>
                  </a:graphic>
                </wp:inline>
              </w:drawing>
            </w:r>
          </w:p>
        </w:tc>
      </w:tr>
      <w:tr w:rsidR="00A4659C" w:rsidTr="00A4659C">
        <w:tc>
          <w:tcPr>
            <w:tcW w:w="4261" w:type="dxa"/>
          </w:tcPr>
          <w:p w:rsidR="00A4659C" w:rsidRDefault="006B5A61" w:rsidP="00A4659C">
            <w:pPr>
              <w:spacing w:after="0" w:line="240" w:lineRule="auto"/>
              <w:jc w:val="right"/>
            </w:pPr>
            <w:r>
              <w:rPr>
                <w:noProof/>
                <w:lang w:eastAsia="en-AU"/>
              </w:rPr>
              <w:pict>
                <v:shape id="_x0000_s1032" type="#_x0000_t202" style="position:absolute;left:0;text-align:left;margin-left:159.75pt;margin-top:117.75pt;width:24.75pt;height:20.25pt;z-index:251654144;mso-position-horizontal-relative:text;mso-position-vertical-relative:text" stroked="f">
                  <v:textbox style="mso-next-textbox:#_x0000_s1032">
                    <w:txbxContent>
                      <w:p w:rsidR="00F260FF" w:rsidRPr="008E5162" w:rsidRDefault="00F260FF" w:rsidP="00A4659C">
                        <w:pPr>
                          <w:rPr>
                            <w:rFonts w:ascii="Arial" w:hAnsi="Arial" w:cs="Arial"/>
                            <w:b/>
                          </w:rPr>
                        </w:pPr>
                        <w:proofErr w:type="gramStart"/>
                        <w:r>
                          <w:rPr>
                            <w:rFonts w:ascii="Arial" w:hAnsi="Arial" w:cs="Arial"/>
                            <w:b/>
                          </w:rPr>
                          <w:t>c</w:t>
                        </w:r>
                        <w:proofErr w:type="gramEnd"/>
                        <w:r>
                          <w:rPr>
                            <w:rFonts w:ascii="Arial" w:hAnsi="Arial" w:cs="Arial"/>
                            <w:b/>
                            <w:noProof/>
                            <w:lang w:eastAsia="en-AU"/>
                          </w:rPr>
                          <w:drawing>
                            <wp:inline distT="0" distB="0" distL="0" distR="0">
                              <wp:extent cx="131445" cy="107546"/>
                              <wp:effectExtent l="19050" t="0" r="1905" b="0"/>
                              <wp:docPr id="6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9"/>
                                      <a:srcRect/>
                                      <a:stretch>
                                        <a:fillRect/>
                                      </a:stretch>
                                    </pic:blipFill>
                                    <pic:spPr bwMode="auto">
                                      <a:xfrm>
                                        <a:off x="0" y="0"/>
                                        <a:ext cx="131445" cy="107546"/>
                                      </a:xfrm>
                                      <a:prstGeom prst="rect">
                                        <a:avLst/>
                                      </a:prstGeom>
                                      <a:noFill/>
                                      <a:ln w="9525">
                                        <a:noFill/>
                                        <a:miter lim="800000"/>
                                        <a:headEnd/>
                                        <a:tailEnd/>
                                      </a:ln>
                                    </pic:spPr>
                                  </pic:pic>
                                </a:graphicData>
                              </a:graphic>
                            </wp:inline>
                          </w:drawing>
                        </w:r>
                      </w:p>
                    </w:txbxContent>
                  </v:textbox>
                </v:shape>
              </w:pict>
            </w:r>
            <w:r w:rsidR="00A4659C">
              <w:rPr>
                <w:noProof/>
                <w:lang w:eastAsia="en-AU"/>
              </w:rPr>
              <w:drawing>
                <wp:inline distT="0" distB="0" distL="0" distR="0">
                  <wp:extent cx="2224087" cy="2095500"/>
                  <wp:effectExtent l="0" t="0" r="0" b="0"/>
                  <wp:docPr id="1008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46" cstate="screen"/>
                          <a:srcRect t="4762" r="32573"/>
                          <a:stretch>
                            <a:fillRect/>
                          </a:stretch>
                        </pic:blipFill>
                        <pic:spPr bwMode="auto">
                          <a:xfrm>
                            <a:off x="0" y="0"/>
                            <a:ext cx="2224087" cy="2095500"/>
                          </a:xfrm>
                          <a:prstGeom prst="rect">
                            <a:avLst/>
                          </a:prstGeom>
                          <a:noFill/>
                          <a:ln w="9525">
                            <a:noFill/>
                            <a:miter lim="800000"/>
                            <a:headEnd/>
                            <a:tailEnd/>
                          </a:ln>
                        </pic:spPr>
                      </pic:pic>
                    </a:graphicData>
                  </a:graphic>
                </wp:inline>
              </w:drawing>
            </w:r>
          </w:p>
        </w:tc>
        <w:tc>
          <w:tcPr>
            <w:tcW w:w="4261" w:type="dxa"/>
          </w:tcPr>
          <w:p w:rsidR="00A4659C" w:rsidRDefault="006B5A61" w:rsidP="00A4659C">
            <w:pPr>
              <w:spacing w:after="0" w:line="240" w:lineRule="auto"/>
            </w:pPr>
            <w:r>
              <w:rPr>
                <w:noProof/>
                <w:lang w:eastAsia="en-AU"/>
              </w:rPr>
              <w:pict>
                <v:shape id="_x0000_s1033" type="#_x0000_t202" style="position:absolute;left:0;text-align:left;margin-left:126.35pt;margin-top:117.75pt;width:24.75pt;height:20.25pt;z-index:251655168;mso-position-horizontal-relative:text;mso-position-vertical-relative:text" stroked="f">
                  <v:textbox style="mso-next-textbox:#_x0000_s1033">
                    <w:txbxContent>
                      <w:p w:rsidR="00F260FF" w:rsidRPr="008E5162" w:rsidRDefault="00F260FF" w:rsidP="00A4659C">
                        <w:pPr>
                          <w:rPr>
                            <w:rFonts w:ascii="Arial" w:hAnsi="Arial" w:cs="Arial"/>
                            <w:b/>
                          </w:rPr>
                        </w:pPr>
                        <w:proofErr w:type="gramStart"/>
                        <w:r>
                          <w:rPr>
                            <w:rFonts w:ascii="Arial" w:hAnsi="Arial" w:cs="Arial"/>
                            <w:b/>
                          </w:rPr>
                          <w:t>d</w:t>
                        </w:r>
                        <w:proofErr w:type="gramEnd"/>
                        <w:r>
                          <w:rPr>
                            <w:rFonts w:ascii="Arial" w:hAnsi="Arial" w:cs="Arial"/>
                            <w:b/>
                            <w:noProof/>
                            <w:lang w:eastAsia="en-AU"/>
                          </w:rPr>
                          <w:drawing>
                            <wp:inline distT="0" distB="0" distL="0" distR="0">
                              <wp:extent cx="131445" cy="107546"/>
                              <wp:effectExtent l="19050" t="0" r="1905" b="0"/>
                              <wp:docPr id="6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9"/>
                                      <a:srcRect/>
                                      <a:stretch>
                                        <a:fillRect/>
                                      </a:stretch>
                                    </pic:blipFill>
                                    <pic:spPr bwMode="auto">
                                      <a:xfrm>
                                        <a:off x="0" y="0"/>
                                        <a:ext cx="131445" cy="107546"/>
                                      </a:xfrm>
                                      <a:prstGeom prst="rect">
                                        <a:avLst/>
                                      </a:prstGeom>
                                      <a:noFill/>
                                      <a:ln w="9525">
                                        <a:noFill/>
                                        <a:miter lim="800000"/>
                                        <a:headEnd/>
                                        <a:tailEnd/>
                                      </a:ln>
                                    </pic:spPr>
                                  </pic:pic>
                                </a:graphicData>
                              </a:graphic>
                            </wp:inline>
                          </w:drawing>
                        </w:r>
                      </w:p>
                    </w:txbxContent>
                  </v:textbox>
                </v:shape>
              </w:pict>
            </w:r>
            <w:r w:rsidR="00A4659C">
              <w:rPr>
                <w:noProof/>
                <w:lang w:eastAsia="en-AU"/>
              </w:rPr>
              <w:drawing>
                <wp:inline distT="0" distB="0" distL="0" distR="0">
                  <wp:extent cx="2190750" cy="2105025"/>
                  <wp:effectExtent l="0" t="0" r="0" b="0"/>
                  <wp:docPr id="1008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7" cstate="screen"/>
                          <a:srcRect l="1817" t="8530" r="34465"/>
                          <a:stretch>
                            <a:fillRect/>
                          </a:stretch>
                        </pic:blipFill>
                        <pic:spPr bwMode="auto">
                          <a:xfrm>
                            <a:off x="0" y="0"/>
                            <a:ext cx="2190750" cy="2105025"/>
                          </a:xfrm>
                          <a:prstGeom prst="rect">
                            <a:avLst/>
                          </a:prstGeom>
                          <a:noFill/>
                          <a:ln w="9525">
                            <a:noFill/>
                            <a:miter lim="800000"/>
                            <a:headEnd/>
                            <a:tailEnd/>
                          </a:ln>
                        </pic:spPr>
                      </pic:pic>
                    </a:graphicData>
                  </a:graphic>
                </wp:inline>
              </w:drawing>
            </w:r>
          </w:p>
        </w:tc>
      </w:tr>
    </w:tbl>
    <w:p w:rsidR="00A4659C" w:rsidRDefault="00A4659C" w:rsidP="00A4659C">
      <w:pPr>
        <w:pStyle w:val="figurecaption"/>
      </w:pPr>
      <w:r w:rsidRPr="00905291">
        <w:rPr>
          <w:b/>
        </w:rPr>
        <w:t xml:space="preserve">Figure </w:t>
      </w:r>
      <w:r>
        <w:rPr>
          <w:b/>
        </w:rPr>
        <w:t>4</w:t>
      </w:r>
      <w:r>
        <w:t xml:space="preserve"> Score plots for bores (a) </w:t>
      </w:r>
      <w:r w:rsidRPr="00EF086E">
        <w:t>OB1A, RN9329, OB20</w:t>
      </w:r>
      <w:r>
        <w:t>,</w:t>
      </w:r>
      <w:r w:rsidRPr="00EF086E">
        <w:t xml:space="preserve"> OB21A</w:t>
      </w:r>
      <w:r>
        <w:t xml:space="preserve"> and OB23 (b) RN23551 and B11      (c) 83_1 and (d) OB30 and OB27.</w:t>
      </w:r>
    </w:p>
    <w:p w:rsidR="00A4659C" w:rsidRDefault="00A4659C" w:rsidP="00A4659C">
      <w:r>
        <w:t>Groundwater samples from two bores</w:t>
      </w:r>
      <w:r w:rsidRPr="00333A76">
        <w:t xml:space="preserve"> </w:t>
      </w:r>
      <w:r>
        <w:t>within the Corridor groundwater catchment have been collected over an extended period of time (OB 30: 1989-2012; OB27: 2003-2012). Bore OB30 targets aquifer 3 close to pit 1 and is dominated by Mg, OB27 targets aquifer 2 and 3</w:t>
      </w:r>
      <w:r w:rsidRPr="00D00AEF">
        <w:t xml:space="preserve"> </w:t>
      </w:r>
      <w:r>
        <w:t>on the western side of the confluence of Corridor Creek and Georgetown Creek and is dominated by Mg and Na+K. Metal and radionuclide activity concentrations in these two bores appear to be governed by redox chemistry, which explained almost 80% of the metal variability observed in the two bores, and groundwaters from OB27 are more reducing than those from OB30 (Figures 3d, 4d). No increases of metal or radionuclide activity concentrations over time were observed in these two bores. Uranium concentration however has declined in OB30 over the past decade.</w:t>
      </w:r>
    </w:p>
    <w:p w:rsidR="00A4659C" w:rsidRDefault="00A4659C" w:rsidP="007D4FDD">
      <w:pPr>
        <w:pStyle w:val="Heading2"/>
      </w:pPr>
      <w:r>
        <w:t>Conclusions</w:t>
      </w:r>
    </w:p>
    <w:p w:rsidR="00A4659C" w:rsidRDefault="00A4659C" w:rsidP="00A4659C">
      <w:r>
        <w:t xml:space="preserve">The </w:t>
      </w:r>
      <w:r w:rsidR="00326022" w:rsidRPr="00326022">
        <w:rPr>
          <w:rFonts w:ascii="Times New Roman" w:hAnsi="Times New Roman"/>
          <w:b/>
          <w:i/>
          <w:sz w:val="26"/>
          <w:szCs w:val="26"/>
        </w:rPr>
        <w:t>eriss</w:t>
      </w:r>
      <w:r w:rsidR="00326022">
        <w:t xml:space="preserve"> </w:t>
      </w:r>
      <w:r>
        <w:t>inter</w:t>
      </w:r>
      <w:r w:rsidR="00094B28">
        <w:t>nal report (Bollhöfer et al</w:t>
      </w:r>
      <w:r w:rsidR="00F72AD6">
        <w:t>.</w:t>
      </w:r>
      <w:r w:rsidR="00094B28">
        <w:t xml:space="preserve"> 2015</w:t>
      </w:r>
      <w:r>
        <w:t xml:space="preserve">) provides information about </w:t>
      </w:r>
      <w:r w:rsidR="00326022" w:rsidRPr="00326022">
        <w:rPr>
          <w:rFonts w:ascii="Times New Roman" w:hAnsi="Times New Roman"/>
          <w:b/>
          <w:i/>
          <w:sz w:val="26"/>
          <w:szCs w:val="26"/>
        </w:rPr>
        <w:t>eriss</w:t>
      </w:r>
      <w:r w:rsidR="00326022">
        <w:t xml:space="preserve"> </w:t>
      </w:r>
      <w:r>
        <w:t xml:space="preserve">data availability and type as well as general correlations and water chemistry of bore waters analysed by </w:t>
      </w:r>
      <w:r w:rsidR="00326022" w:rsidRPr="00326022">
        <w:rPr>
          <w:rFonts w:ascii="Times New Roman" w:hAnsi="Times New Roman"/>
          <w:b/>
          <w:i/>
          <w:sz w:val="26"/>
          <w:szCs w:val="26"/>
        </w:rPr>
        <w:t>eriss</w:t>
      </w:r>
      <w:r>
        <w:t xml:space="preserve">. It is important to note that it describes only one relatively small existing dataset, much larger databases have been developed by ERA and DME, who sample a large number of bores quarterly and biannually, respectively. The datasets from the three organisations should be combined and investigated in a groundwater GIS, taking into account QA/QC procedures which are in place for populating the various databases. </w:t>
      </w:r>
    </w:p>
    <w:p w:rsidR="00285297" w:rsidRDefault="00A4659C" w:rsidP="00A4659C">
      <w:r>
        <w:t>There is also the need to compare the results from water chemistry investigations for groundwaters in the vicinity of Ranger to the distribution of faults, hydraulic conductivities, the aquifers sampled, lithology, soil type or distance from potential seepage locations. It is recommended to include variables such as sampled aquifer, groundwater catchment and lithology in a PCA of all available data, to strengthen outputs and information that can be gleaned from the groundwater monitoring results. The data can then be used to test hydrodynamic models and assist in forward modelling of long-term closure impacts onto groundwater quality. Understanding the connectivity between pit 1 and Corridor Creek (and the effectiveness of the seepage barrier) and characterising the existing sand lens between pit 3 and Magela Creek will be important in any forward modelling of groundwater quality after closure.</w:t>
      </w:r>
    </w:p>
    <w:p w:rsidR="00A4659C" w:rsidRPr="007D4FDD" w:rsidRDefault="00A4659C" w:rsidP="007D4FDD">
      <w:pPr>
        <w:pStyle w:val="Heading2"/>
      </w:pPr>
      <w:r w:rsidRPr="007D4FDD">
        <w:t>References</w:t>
      </w:r>
    </w:p>
    <w:p w:rsidR="00A4659C" w:rsidRDefault="00326022" w:rsidP="00A4659C">
      <w:pPr>
        <w:pStyle w:val="referencelist1"/>
      </w:pPr>
      <w:proofErr w:type="gramStart"/>
      <w:r>
        <w:t xml:space="preserve">Ahmad M &amp; </w:t>
      </w:r>
      <w:r w:rsidR="00A4659C" w:rsidRPr="00BE2E15">
        <w:t>Green DC 1986.</w:t>
      </w:r>
      <w:proofErr w:type="gramEnd"/>
      <w:r w:rsidR="00A4659C" w:rsidRPr="00BE2E15">
        <w:t xml:space="preserve">  </w:t>
      </w:r>
      <w:proofErr w:type="gramStart"/>
      <w:r w:rsidR="00A4659C" w:rsidRPr="00BE2E15">
        <w:t xml:space="preserve">Groundwater Regimes and isotopic studies, Ranger mine area; Northern Territory, </w:t>
      </w:r>
      <w:r w:rsidR="00A4659C" w:rsidRPr="00326022">
        <w:rPr>
          <w:i/>
        </w:rPr>
        <w:t>Australian Jou</w:t>
      </w:r>
      <w:r w:rsidRPr="00326022">
        <w:rPr>
          <w:i/>
        </w:rPr>
        <w:t>rnal of Earth Sciences</w:t>
      </w:r>
      <w:r>
        <w:t xml:space="preserve"> 33, 391–</w:t>
      </w:r>
      <w:r w:rsidR="00A4659C" w:rsidRPr="00BE2E15">
        <w:t>399.</w:t>
      </w:r>
      <w:proofErr w:type="gramEnd"/>
    </w:p>
    <w:p w:rsidR="00094B28" w:rsidRDefault="00094B28" w:rsidP="00094B28">
      <w:pPr>
        <w:pStyle w:val="referencelist1"/>
      </w:pPr>
      <w:r>
        <w:t>Bollhöfer A, Medley P 2013.</w:t>
      </w:r>
      <w:r w:rsidRPr="00781631">
        <w:t xml:space="preserve"> Monitoring of radionuclides in </w:t>
      </w:r>
      <w:proofErr w:type="gramStart"/>
      <w:r w:rsidRPr="00781631">
        <w:t>groundwater  at</w:t>
      </w:r>
      <w:proofErr w:type="gramEnd"/>
      <w:r w:rsidRPr="00781631">
        <w:t xml:space="preserve"> Ranger</w:t>
      </w:r>
      <w:r>
        <w:t xml:space="preserve">. </w:t>
      </w:r>
      <w:proofErr w:type="gramStart"/>
      <w:r w:rsidRPr="00781631">
        <w:t xml:space="preserve">In </w:t>
      </w:r>
      <w:r w:rsidRPr="00F72AD6">
        <w:rPr>
          <w:rFonts w:ascii="Times New Roman" w:hAnsi="Times New Roman"/>
          <w:b/>
          <w:i/>
          <w:sz w:val="26"/>
          <w:szCs w:val="26"/>
        </w:rPr>
        <w:t>eriss</w:t>
      </w:r>
      <w:r w:rsidRPr="00F72AD6">
        <w:rPr>
          <w:rFonts w:ascii="Times New Roman" w:hAnsi="Times New Roman"/>
          <w:sz w:val="26"/>
          <w:szCs w:val="26"/>
        </w:rPr>
        <w:t xml:space="preserve"> </w:t>
      </w:r>
      <w:r w:rsidR="00594C7E" w:rsidRPr="00594C7E">
        <w:rPr>
          <w:i/>
        </w:rPr>
        <w:t>research summary 2011–2012</w:t>
      </w:r>
      <w:r w:rsidRPr="00781631">
        <w:t>.</w:t>
      </w:r>
      <w:proofErr w:type="gramEnd"/>
      <w:r w:rsidRPr="00781631">
        <w:t xml:space="preserve"> </w:t>
      </w:r>
      <w:proofErr w:type="gramStart"/>
      <w:r w:rsidRPr="00781631">
        <w:t>eds</w:t>
      </w:r>
      <w:proofErr w:type="gramEnd"/>
      <w:r w:rsidRPr="00781631">
        <w:t xml:space="preserve"> van Dam RA, Webb A &amp; Parker SM, Supervising Scientist Report 204, Supervising Scientist, Darwin NT, </w:t>
      </w:r>
      <w:r>
        <w:t>61</w:t>
      </w:r>
      <w:r w:rsidRPr="00781631">
        <w:t>–</w:t>
      </w:r>
      <w:r>
        <w:t>66</w:t>
      </w:r>
      <w:r w:rsidRPr="00781631">
        <w:t>.</w:t>
      </w:r>
    </w:p>
    <w:p w:rsidR="00A4659C" w:rsidRPr="00BE2E15" w:rsidRDefault="00326022" w:rsidP="00A4659C">
      <w:pPr>
        <w:pStyle w:val="referencelist1"/>
      </w:pPr>
      <w:r>
        <w:t xml:space="preserve">Bollhöfer A, </w:t>
      </w:r>
      <w:r w:rsidR="00094B28">
        <w:t>Medley P &amp; Marshall S 2015</w:t>
      </w:r>
      <w:r w:rsidR="00A4659C" w:rsidRPr="00BE2E15">
        <w:t xml:space="preserve">. A summary and review of </w:t>
      </w:r>
      <w:r w:rsidR="00A4659C" w:rsidRPr="004E6332">
        <w:rPr>
          <w:rFonts w:ascii="Times New Roman" w:hAnsi="Times New Roman"/>
          <w:b/>
          <w:i/>
          <w:iCs/>
          <w:sz w:val="26"/>
        </w:rPr>
        <w:t>eriss</w:t>
      </w:r>
      <w:r w:rsidR="00A4659C" w:rsidRPr="00BE2E15">
        <w:t xml:space="preserve">’ groundwater chemistry data at </w:t>
      </w:r>
      <w:proofErr w:type="gramStart"/>
      <w:r w:rsidR="00A4659C" w:rsidRPr="00BE2E15">
        <w:t>Ranger  uranium</w:t>
      </w:r>
      <w:proofErr w:type="gramEnd"/>
      <w:r w:rsidR="00A4659C" w:rsidRPr="00BE2E15">
        <w:t xml:space="preserve"> mine. </w:t>
      </w:r>
      <w:proofErr w:type="gramStart"/>
      <w:r w:rsidR="00A4659C" w:rsidRPr="00BE2E15">
        <w:t>Internal Report 631.</w:t>
      </w:r>
      <w:proofErr w:type="gramEnd"/>
      <w:r w:rsidR="00A4659C" w:rsidRPr="00BE2E15">
        <w:t xml:space="preserve"> </w:t>
      </w:r>
      <w:proofErr w:type="gramStart"/>
      <w:r w:rsidR="00A4659C" w:rsidRPr="00BE2E15">
        <w:t>Supervising Scientist, Darwin NT.</w:t>
      </w:r>
      <w:proofErr w:type="gramEnd"/>
    </w:p>
    <w:p w:rsidR="00A4659C" w:rsidRPr="00BE2E15" w:rsidRDefault="00326022" w:rsidP="00A4659C">
      <w:pPr>
        <w:pStyle w:val="referencelist1"/>
      </w:pPr>
      <w:proofErr w:type="gramStart"/>
      <w:r>
        <w:t>ERA 2012.</w:t>
      </w:r>
      <w:proofErr w:type="gramEnd"/>
      <w:r>
        <w:t xml:space="preserve"> </w:t>
      </w:r>
      <w:proofErr w:type="gramStart"/>
      <w:r>
        <w:t>2011–</w:t>
      </w:r>
      <w:r w:rsidR="00A4659C" w:rsidRPr="00BE2E15">
        <w:t>12 Ranger Wet Season Groundwater Report.</w:t>
      </w:r>
      <w:proofErr w:type="gramEnd"/>
      <w:r w:rsidR="00A4659C" w:rsidRPr="00BE2E15">
        <w:t xml:space="preserve"> </w:t>
      </w:r>
      <w:proofErr w:type="gramStart"/>
      <w:r w:rsidR="00A4659C" w:rsidRPr="00BE2E15">
        <w:t>Energy Resources of Australia Ltd.</w:t>
      </w:r>
      <w:proofErr w:type="gramEnd"/>
    </w:p>
    <w:p w:rsidR="00A4659C" w:rsidRPr="00BE2E15" w:rsidRDefault="00A4659C" w:rsidP="00A4659C">
      <w:pPr>
        <w:pStyle w:val="referencelist1"/>
      </w:pPr>
      <w:proofErr w:type="gramStart"/>
      <w:r w:rsidRPr="00BE2E15">
        <w:t>ERA 2013.</w:t>
      </w:r>
      <w:proofErr w:type="gramEnd"/>
      <w:r w:rsidRPr="00BE2E15">
        <w:t xml:space="preserve"> </w:t>
      </w:r>
      <w:proofErr w:type="gramStart"/>
      <w:r w:rsidRPr="00BE2E15">
        <w:t>ERA Ranger Water Management Plan.</w:t>
      </w:r>
      <w:proofErr w:type="gramEnd"/>
      <w:r w:rsidRPr="00BE2E15">
        <w:t xml:space="preserve"> RWMP001. </w:t>
      </w:r>
      <w:proofErr w:type="gramStart"/>
      <w:r w:rsidRPr="00BE2E15">
        <w:t>Energy Resources of Australia Ltd. Darwin NT.</w:t>
      </w:r>
      <w:proofErr w:type="gramEnd"/>
      <w:r w:rsidRPr="00BE2E15">
        <w:t xml:space="preserve"> </w:t>
      </w:r>
    </w:p>
    <w:p w:rsidR="00A4659C" w:rsidRPr="00BE2E15" w:rsidRDefault="00A4659C" w:rsidP="00A4659C">
      <w:pPr>
        <w:pStyle w:val="referencelist1"/>
      </w:pPr>
      <w:proofErr w:type="gramStart"/>
      <w:r w:rsidRPr="00BE2E15">
        <w:t>Ivanovich M &amp; Harmon RS 1994.</w:t>
      </w:r>
      <w:proofErr w:type="gramEnd"/>
      <w:r w:rsidRPr="00BE2E15">
        <w:t xml:space="preserve"> </w:t>
      </w:r>
      <w:proofErr w:type="gramStart"/>
      <w:r w:rsidRPr="00BE2E15">
        <w:t>Uranium Series Disequilibrium.</w:t>
      </w:r>
      <w:proofErr w:type="gramEnd"/>
      <w:r w:rsidRPr="00BE2E15">
        <w:t xml:space="preserve"> </w:t>
      </w:r>
      <w:proofErr w:type="gramStart"/>
      <w:r w:rsidRPr="00BE2E15">
        <w:t>Applications to Environmental Problems.</w:t>
      </w:r>
      <w:proofErr w:type="gramEnd"/>
      <w:r w:rsidRPr="00BE2E15">
        <w:t xml:space="preserve"> Clarendon Press, Oxford. </w:t>
      </w:r>
    </w:p>
    <w:p w:rsidR="00A4659C" w:rsidRPr="00BE2E15" w:rsidRDefault="00A4659C" w:rsidP="00A4659C">
      <w:pPr>
        <w:pStyle w:val="referencelist1"/>
      </w:pPr>
      <w:proofErr w:type="gramStart"/>
      <w:r w:rsidRPr="00BE2E15">
        <w:t>Johnston A &amp; Milnes AR 2007.</w:t>
      </w:r>
      <w:proofErr w:type="gramEnd"/>
      <w:r w:rsidRPr="00BE2E15">
        <w:t xml:space="preserve"> Review of mine-related research in the Alligator Rivers Region 1978–2002: Prepared for ARRTC9 meeting, 25–27 February 2002. Supervising Scientist Report 186, Supervising Scientist, Darwin NT.</w:t>
      </w:r>
    </w:p>
    <w:p w:rsidR="00A4659C" w:rsidRPr="00BE2E15" w:rsidRDefault="00A4659C" w:rsidP="00A4659C">
      <w:pPr>
        <w:pStyle w:val="referencelist1"/>
      </w:pPr>
      <w:proofErr w:type="gramStart"/>
      <w:r w:rsidRPr="00BE2E15">
        <w:t>Klessa DA 2001.</w:t>
      </w:r>
      <w:proofErr w:type="gramEnd"/>
      <w:r w:rsidRPr="00BE2E15">
        <w:t xml:space="preserve"> </w:t>
      </w:r>
      <w:proofErr w:type="gramStart"/>
      <w:r w:rsidRPr="00BE2E15">
        <w:t>A review of groundwater chemistry monitoring data at Ranger.</w:t>
      </w:r>
      <w:proofErr w:type="gramEnd"/>
      <w:r w:rsidRPr="00BE2E15">
        <w:t xml:space="preserve"> Internal Report 363, Supervising Scientist, Darwin. </w:t>
      </w:r>
      <w:proofErr w:type="gramStart"/>
      <w:r w:rsidRPr="00BE2E15">
        <w:t>Unpublished paper.</w:t>
      </w:r>
      <w:proofErr w:type="gramEnd"/>
    </w:p>
    <w:p w:rsidR="00A4659C" w:rsidRPr="00BE2E15" w:rsidRDefault="00A4659C" w:rsidP="00A4659C">
      <w:pPr>
        <w:pStyle w:val="referencelist1"/>
      </w:pPr>
      <w:proofErr w:type="gramStart"/>
      <w:r w:rsidRPr="00BE2E15">
        <w:t>Martin P &amp; Akber RA 1996.</w:t>
      </w:r>
      <w:proofErr w:type="gramEnd"/>
      <w:r w:rsidRPr="00BE2E15">
        <w:t xml:space="preserve"> Groundwater seepage from the Ranger uranium mine tailings dam: Radioisotopes of radium, thorium and actinium. Supervising Scientist Report 106, Supervising Scientist, Canberra.</w:t>
      </w:r>
    </w:p>
    <w:p w:rsidR="00A4659C" w:rsidRPr="00BE2E15" w:rsidRDefault="00F72007" w:rsidP="00A4659C">
      <w:pPr>
        <w:pStyle w:val="referencelist1"/>
      </w:pPr>
      <w:proofErr w:type="gramStart"/>
      <w:r>
        <w:t>Martin P &amp; Akber RA 1999.</w:t>
      </w:r>
      <w:proofErr w:type="gramEnd"/>
      <w:r>
        <w:t xml:space="preserve"> </w:t>
      </w:r>
      <w:r w:rsidR="00A4659C" w:rsidRPr="00BE2E15">
        <w:t>Radium isotopes as indicators of adsorption-desorption interactions and barite formation in groundwater.</w:t>
      </w:r>
      <w:r w:rsidR="00A4659C" w:rsidRPr="00326022">
        <w:rPr>
          <w:i/>
        </w:rPr>
        <w:t xml:space="preserve"> Journal of Environmental Radioactivity </w:t>
      </w:r>
      <w:r w:rsidR="00A4659C" w:rsidRPr="00BE2E15">
        <w:t>46, 271–286.</w:t>
      </w:r>
    </w:p>
    <w:p w:rsidR="00A4659C" w:rsidRPr="00BE2E15" w:rsidRDefault="00A4659C" w:rsidP="00A4659C">
      <w:pPr>
        <w:pStyle w:val="referencelist1"/>
      </w:pPr>
      <w:proofErr w:type="gramStart"/>
      <w:r w:rsidRPr="00BE2E15">
        <w:t>Salama R &amp; Foley GA 1997.</w:t>
      </w:r>
      <w:proofErr w:type="gramEnd"/>
      <w:r w:rsidRPr="00BE2E15">
        <w:t xml:space="preserve"> </w:t>
      </w:r>
      <w:proofErr w:type="gramStart"/>
      <w:r w:rsidRPr="00BE2E15">
        <w:t>Ranger regional hydrology conceptual model.</w:t>
      </w:r>
      <w:proofErr w:type="gramEnd"/>
      <w:r w:rsidRPr="00BE2E15">
        <w:t xml:space="preserve"> CSIRO Land &amp; Water, October 1997.</w:t>
      </w:r>
    </w:p>
    <w:p w:rsidR="00A4659C" w:rsidRPr="00BE2E15" w:rsidRDefault="00A4659C" w:rsidP="00A4659C">
      <w:pPr>
        <w:pStyle w:val="referencelist1"/>
      </w:pPr>
      <w:proofErr w:type="gramStart"/>
      <w:r w:rsidRPr="00BE2E15">
        <w:t>Timms W, Wasko C, Pells S &amp; Miller B 2010.</w:t>
      </w:r>
      <w:proofErr w:type="gramEnd"/>
      <w:r w:rsidRPr="00BE2E15">
        <w:t xml:space="preserve"> </w:t>
      </w:r>
      <w:proofErr w:type="gramStart"/>
      <w:r w:rsidRPr="00BE2E15">
        <w:t>Ranger Pit No.1 - Groundwater Flow Modelling of Post-Closure Conditions.</w:t>
      </w:r>
      <w:proofErr w:type="gramEnd"/>
      <w:r w:rsidRPr="00BE2E15">
        <w:t xml:space="preserve"> </w:t>
      </w:r>
      <w:proofErr w:type="gramStart"/>
      <w:r w:rsidRPr="00BE2E15">
        <w:t>Water Research Laboratory, University of New South Wales, Report 2010/15.</w:t>
      </w:r>
      <w:proofErr w:type="gramEnd"/>
    </w:p>
    <w:p w:rsidR="00285297" w:rsidRDefault="00A4659C" w:rsidP="00795D38">
      <w:pPr>
        <w:pStyle w:val="referencelist1"/>
        <w:sectPr w:rsidR="00285297" w:rsidSect="00D444BD">
          <w:headerReference w:type="even" r:id="rId148"/>
          <w:footerReference w:type="even" r:id="rId149"/>
          <w:footerReference w:type="default" r:id="rId150"/>
          <w:headerReference w:type="first" r:id="rId151"/>
          <w:footerReference w:type="first" r:id="rId152"/>
          <w:pgSz w:w="11906" w:h="16838" w:code="9"/>
          <w:pgMar w:top="1440" w:right="1800" w:bottom="1440" w:left="1800" w:header="1080" w:footer="835" w:gutter="0"/>
          <w:cols w:space="360"/>
          <w:noEndnote/>
        </w:sectPr>
      </w:pPr>
      <w:r w:rsidRPr="00BE2E15">
        <w:t xml:space="preserve">Zielinski RA, Chafin DT, Banta ER &amp; Szabo BJ </w:t>
      </w:r>
      <w:r w:rsidRPr="00795D38">
        <w:rPr>
          <w:spacing w:val="-2"/>
        </w:rPr>
        <w:t xml:space="preserve">1997. Use of </w:t>
      </w:r>
      <w:r w:rsidR="00BE1DA0" w:rsidRPr="00795D38">
        <w:rPr>
          <w:spacing w:val="-2"/>
        </w:rPr>
        <w:t>234U</w:t>
      </w:r>
      <w:r w:rsidRPr="00795D38">
        <w:rPr>
          <w:spacing w:val="-2"/>
        </w:rPr>
        <w:t xml:space="preserve"> and </w:t>
      </w:r>
      <w:r w:rsidR="00BE1DA0" w:rsidRPr="00795D38">
        <w:rPr>
          <w:spacing w:val="-2"/>
        </w:rPr>
        <w:t>238U</w:t>
      </w:r>
      <w:r w:rsidRPr="00795D38">
        <w:rPr>
          <w:spacing w:val="-2"/>
        </w:rPr>
        <w:t xml:space="preserve"> isotopes to evaluate contamination of near-surface groundwater with uranium-mill effluent: a case study in south-central Colorado, U.S.A. Environmental Geology</w:t>
      </w:r>
      <w:r w:rsidR="00F72007" w:rsidRPr="00795D38">
        <w:rPr>
          <w:spacing w:val="-2"/>
        </w:rPr>
        <w:t>, 32(</w:t>
      </w:r>
      <w:r w:rsidRPr="00795D38">
        <w:rPr>
          <w:spacing w:val="-2"/>
        </w:rPr>
        <w:t>2</w:t>
      </w:r>
      <w:r w:rsidR="00F72007" w:rsidRPr="00795D38">
        <w:rPr>
          <w:spacing w:val="-2"/>
        </w:rPr>
        <w:t>)</w:t>
      </w:r>
      <w:r w:rsidRPr="00795D38">
        <w:rPr>
          <w:spacing w:val="-2"/>
        </w:rPr>
        <w:t>, 124–136</w:t>
      </w:r>
      <w:r w:rsidRPr="00BE2E15">
        <w:t>.</w:t>
      </w:r>
    </w:p>
    <w:p w:rsidR="00572D79" w:rsidRDefault="00572D79" w:rsidP="00802A22">
      <w:pPr>
        <w:pStyle w:val="Heading1"/>
        <w:rPr>
          <w:lang w:val="en-US"/>
        </w:rPr>
      </w:pPr>
      <w:bookmarkStart w:id="190" w:name="_Toc401910175"/>
      <w:bookmarkStart w:id="191" w:name="_Toc409772794"/>
      <w:bookmarkStart w:id="192" w:name="_Toc418172708"/>
      <w:r w:rsidRPr="008036CC">
        <w:rPr>
          <w:lang w:val="en-US"/>
        </w:rPr>
        <w:t>Atmospheric radioactivity monitoring in the vicinity of the Ranger mine</w:t>
      </w:r>
      <w:bookmarkEnd w:id="190"/>
      <w:bookmarkEnd w:id="191"/>
      <w:bookmarkEnd w:id="192"/>
    </w:p>
    <w:p w:rsidR="000447FC" w:rsidRPr="00802A22" w:rsidRDefault="000447FC" w:rsidP="000447FC">
      <w:pPr>
        <w:pStyle w:val="Heading3"/>
        <w:spacing w:after="480"/>
        <w:jc w:val="center"/>
        <w:rPr>
          <w:lang w:val="en-US"/>
        </w:rPr>
      </w:pPr>
      <w:r>
        <w:rPr>
          <w:lang w:val="en-US"/>
        </w:rPr>
        <w:t xml:space="preserve">C Doering, </w:t>
      </w:r>
      <w:proofErr w:type="gramStart"/>
      <w:r>
        <w:rPr>
          <w:lang w:val="en-US"/>
        </w:rPr>
        <w:t>A</w:t>
      </w:r>
      <w:proofErr w:type="gramEnd"/>
      <w:r w:rsidRPr="00DC4B6A">
        <w:rPr>
          <w:lang w:val="en-US"/>
        </w:rPr>
        <w:t xml:space="preserve"> Bollhöfer</w:t>
      </w:r>
      <w:r>
        <w:rPr>
          <w:lang w:val="en-US"/>
        </w:rPr>
        <w:t xml:space="preserve"> &amp; M Fromholtz</w:t>
      </w:r>
    </w:p>
    <w:p w:rsidR="00572D79" w:rsidRDefault="00572D79" w:rsidP="004A78C3">
      <w:pPr>
        <w:pStyle w:val="Heading2"/>
        <w:rPr>
          <w:lang w:val="en-US"/>
        </w:rPr>
      </w:pPr>
      <w:r>
        <w:rPr>
          <w:lang w:val="en-US"/>
        </w:rPr>
        <w:t>Introduction</w:t>
      </w:r>
    </w:p>
    <w:p w:rsidR="00572D79" w:rsidRDefault="00572D79" w:rsidP="00572D79">
      <w:pPr>
        <w:rPr>
          <w:lang w:val="en-US"/>
        </w:rPr>
      </w:pPr>
      <w:r w:rsidRPr="00E135AF">
        <w:rPr>
          <w:lang w:val="en-US"/>
        </w:rPr>
        <w:t xml:space="preserve">Uranium mining has the potential to release radon (a radioactive </w:t>
      </w:r>
      <w:r>
        <w:rPr>
          <w:lang w:val="en-US"/>
        </w:rPr>
        <w:t xml:space="preserve">noble </w:t>
      </w:r>
      <w:r w:rsidRPr="00E135AF">
        <w:rPr>
          <w:lang w:val="en-US"/>
        </w:rPr>
        <w:t xml:space="preserve">gas) and </w:t>
      </w:r>
      <w:r>
        <w:rPr>
          <w:lang w:val="en-US"/>
        </w:rPr>
        <w:t>dust</w:t>
      </w:r>
      <w:r w:rsidRPr="00E135AF">
        <w:rPr>
          <w:lang w:val="en-US"/>
        </w:rPr>
        <w:t xml:space="preserve">-bound radionuclides to the atmosphere at levels above the natural background through ground disturbance and other activities. The inhalation of radon progeny in air and long-lived alpha activity (LLAA) radionuclides contained in or on dust can contribute to the </w:t>
      </w:r>
      <w:r>
        <w:rPr>
          <w:lang w:val="en-US"/>
        </w:rPr>
        <w:t xml:space="preserve">above background </w:t>
      </w:r>
      <w:r w:rsidRPr="00E135AF">
        <w:rPr>
          <w:lang w:val="en-US"/>
        </w:rPr>
        <w:t xml:space="preserve">radiation dose received by the public in the vicinity of </w:t>
      </w:r>
      <w:proofErr w:type="gramStart"/>
      <w:r w:rsidRPr="00E135AF">
        <w:rPr>
          <w:lang w:val="en-US"/>
        </w:rPr>
        <w:t>a uranium</w:t>
      </w:r>
      <w:proofErr w:type="gramEnd"/>
      <w:r w:rsidRPr="00E135AF">
        <w:rPr>
          <w:lang w:val="en-US"/>
        </w:rPr>
        <w:t xml:space="preserve"> mine.</w:t>
      </w:r>
    </w:p>
    <w:p w:rsidR="00572D79" w:rsidRDefault="00572D79" w:rsidP="00572D79">
      <w:pPr>
        <w:rPr>
          <w:lang w:val="en-US"/>
        </w:rPr>
      </w:pPr>
      <w:r w:rsidRPr="005F3148">
        <w:rPr>
          <w:lang w:val="en-US"/>
        </w:rPr>
        <w:t xml:space="preserve">National radiation protection standards </w:t>
      </w:r>
      <w:r>
        <w:rPr>
          <w:lang w:val="en-US"/>
        </w:rPr>
        <w:t>(</w:t>
      </w:r>
      <w:r w:rsidRPr="00176A84">
        <w:rPr>
          <w:lang w:val="en-US"/>
        </w:rPr>
        <w:t>ARPANSA</w:t>
      </w:r>
      <w:r>
        <w:rPr>
          <w:lang w:val="en-US"/>
        </w:rPr>
        <w:t xml:space="preserve"> 2005) </w:t>
      </w:r>
      <w:r w:rsidRPr="005F3148">
        <w:rPr>
          <w:lang w:val="en-US"/>
        </w:rPr>
        <w:t>require that the annual radiation dose received by a member of the public from practices such as uranium mining and milling must not exceed 1 millisievert (mSv)</w:t>
      </w:r>
      <w:r>
        <w:rPr>
          <w:lang w:val="en-US"/>
        </w:rPr>
        <w:t xml:space="preserve"> above the natural background. This dose limit applies to the sum of doses received via all exposure pathways that are traceable to the practice.</w:t>
      </w:r>
    </w:p>
    <w:p w:rsidR="00572D79" w:rsidRDefault="00572D79" w:rsidP="00572D79">
      <w:pPr>
        <w:rPr>
          <w:lang w:val="en-US"/>
        </w:rPr>
      </w:pPr>
      <w:r>
        <w:rPr>
          <w:lang w:val="en-US"/>
        </w:rPr>
        <w:t xml:space="preserve">The Ranger mine is currently the only operating uranium mine in the ARR and the main potential source of above background radiation dose to local communities. </w:t>
      </w:r>
      <w:r w:rsidRPr="00E135AF">
        <w:rPr>
          <w:lang w:val="en-US"/>
        </w:rPr>
        <w:t xml:space="preserve">The main areas of permanent habitation in the vicinity of </w:t>
      </w:r>
      <w:r>
        <w:rPr>
          <w:lang w:val="en-US"/>
        </w:rPr>
        <w:t>the mine</w:t>
      </w:r>
      <w:r w:rsidRPr="00E135AF">
        <w:rPr>
          <w:lang w:val="en-US"/>
        </w:rPr>
        <w:t xml:space="preserve"> are Jabiru town and Mudginberri commu</w:t>
      </w:r>
      <w:r>
        <w:rPr>
          <w:lang w:val="en-US"/>
        </w:rPr>
        <w:t xml:space="preserve">nity. </w:t>
      </w:r>
      <w:proofErr w:type="gramStart"/>
      <w:r w:rsidR="00F72007" w:rsidRPr="00326022">
        <w:rPr>
          <w:rFonts w:ascii="Times New Roman" w:hAnsi="Times New Roman"/>
          <w:b/>
          <w:i/>
          <w:sz w:val="26"/>
          <w:szCs w:val="26"/>
        </w:rPr>
        <w:t>eriss</w:t>
      </w:r>
      <w:proofErr w:type="gramEnd"/>
      <w:r w:rsidR="00F72007" w:rsidRPr="00E135AF">
        <w:rPr>
          <w:lang w:val="en-US"/>
        </w:rPr>
        <w:t xml:space="preserve"> </w:t>
      </w:r>
      <w:r w:rsidRPr="00E135AF">
        <w:rPr>
          <w:lang w:val="en-US"/>
        </w:rPr>
        <w:t>maintains atmospheric monitoring stations to measure radon progeny and dust-bound LLAA radionuclide concentrations at the Jabiru Water Tower (Jabiru town) and</w:t>
      </w:r>
      <w:r>
        <w:rPr>
          <w:lang w:val="en-US"/>
        </w:rPr>
        <w:t xml:space="preserve"> Four Gates Road (Mudginberri)</w:t>
      </w:r>
      <w:r w:rsidRPr="00E135AF">
        <w:rPr>
          <w:lang w:val="en-US"/>
        </w:rPr>
        <w:t xml:space="preserve">. The purpose of these measurements is twofold: (i) to provide an independent check of the values measured and reported by </w:t>
      </w:r>
      <w:r>
        <w:rPr>
          <w:lang w:val="en-US"/>
        </w:rPr>
        <w:t>ERA</w:t>
      </w:r>
      <w:r w:rsidRPr="00E135AF">
        <w:rPr>
          <w:lang w:val="en-US"/>
        </w:rPr>
        <w:t xml:space="preserve">; and (ii) to provide assurance that any dose to the public associated with mine-related radioactivity in air is low and does not pose any unacceptable </w:t>
      </w:r>
      <w:r>
        <w:rPr>
          <w:lang w:val="en-US"/>
        </w:rPr>
        <w:t>radiation</w:t>
      </w:r>
      <w:r w:rsidRPr="00E135AF">
        <w:rPr>
          <w:lang w:val="en-US"/>
        </w:rPr>
        <w:t xml:space="preserve"> risk.</w:t>
      </w:r>
    </w:p>
    <w:p w:rsidR="00572D79" w:rsidRDefault="00572D79" w:rsidP="00285297">
      <w:pPr>
        <w:pStyle w:val="Heading2"/>
        <w:spacing w:before="120" w:after="60"/>
        <w:rPr>
          <w:lang w:val="en-US"/>
        </w:rPr>
      </w:pPr>
      <w:r>
        <w:rPr>
          <w:lang w:val="en-US"/>
        </w:rPr>
        <w:t>Method</w:t>
      </w:r>
    </w:p>
    <w:p w:rsidR="00572D79" w:rsidRPr="00FC2BF6" w:rsidRDefault="00572D79" w:rsidP="00572D79">
      <w:pPr>
        <w:rPr>
          <w:lang w:val="en-US"/>
        </w:rPr>
      </w:pPr>
      <w:r w:rsidRPr="00FC2BF6">
        <w:rPr>
          <w:lang w:val="en-US"/>
        </w:rPr>
        <w:t xml:space="preserve">Environmental radon daughter monitors </w:t>
      </w:r>
      <w:r>
        <w:rPr>
          <w:lang w:val="en-US"/>
        </w:rPr>
        <w:t>manufactured by</w:t>
      </w:r>
      <w:r w:rsidRPr="00FC2BF6">
        <w:rPr>
          <w:lang w:val="en-US"/>
        </w:rPr>
        <w:t xml:space="preserve"> Radiation Detection Systems in Adelaide were used for continuous </w:t>
      </w:r>
      <w:r>
        <w:rPr>
          <w:lang w:val="en-US"/>
        </w:rPr>
        <w:t>radon progeny monitoring</w:t>
      </w:r>
      <w:r w:rsidRPr="00FC2BF6">
        <w:rPr>
          <w:lang w:val="en-US"/>
        </w:rPr>
        <w:t xml:space="preserve">. The monitors operated at a flow rate of 0.35 l/min drawing air through a Whatman GF/C filter positioned above an alpha counter. Hourly </w:t>
      </w:r>
      <w:r>
        <w:rPr>
          <w:lang w:val="en-US"/>
        </w:rPr>
        <w:t>potential alpha energy concentration (</w:t>
      </w:r>
      <w:r w:rsidRPr="00FC2BF6">
        <w:rPr>
          <w:lang w:val="en-US"/>
        </w:rPr>
        <w:t>PAEC</w:t>
      </w:r>
      <w:r>
        <w:rPr>
          <w:lang w:val="en-US"/>
        </w:rPr>
        <w:t>)</w:t>
      </w:r>
      <w:r w:rsidRPr="00FC2BF6">
        <w:rPr>
          <w:lang w:val="en-US"/>
        </w:rPr>
        <w:t xml:space="preserve"> data w</w:t>
      </w:r>
      <w:r>
        <w:rPr>
          <w:lang w:val="en-US"/>
        </w:rPr>
        <w:t>ere</w:t>
      </w:r>
      <w:r w:rsidRPr="00FC2BF6">
        <w:rPr>
          <w:lang w:val="en-US"/>
        </w:rPr>
        <w:t xml:space="preserve"> logged in the internal memory of the monitors, which were downloaded at approximately fortnightly intervals.</w:t>
      </w:r>
    </w:p>
    <w:p w:rsidR="00572D79" w:rsidRDefault="00572D79" w:rsidP="00572D79">
      <w:pPr>
        <w:rPr>
          <w:lang w:val="en-US"/>
        </w:rPr>
      </w:pPr>
      <w:r w:rsidRPr="00FC2BF6">
        <w:rPr>
          <w:lang w:val="en-US"/>
        </w:rPr>
        <w:t xml:space="preserve">EcoTech MicroVol-1100 low flow-rate (~3 l/min) air samplers fitted with Whatman GF/C filters were used for dust sampling. Filters were changed at approximately fortnightly intervals and analysed in </w:t>
      </w:r>
      <w:r w:rsidR="00F72007" w:rsidRPr="00326022">
        <w:rPr>
          <w:rFonts w:ascii="Times New Roman" w:hAnsi="Times New Roman"/>
          <w:b/>
          <w:i/>
          <w:sz w:val="26"/>
          <w:szCs w:val="26"/>
        </w:rPr>
        <w:t>eriss</w:t>
      </w:r>
      <w:r w:rsidRPr="00556850">
        <w:rPr>
          <w:lang w:val="en-US"/>
        </w:rPr>
        <w:t xml:space="preserve"> </w:t>
      </w:r>
      <w:r w:rsidRPr="00FC2BF6">
        <w:rPr>
          <w:lang w:val="en-US"/>
        </w:rPr>
        <w:t xml:space="preserve">laboratories for total alpha activity using Daybreak 582 alpha counters. Count times were typically three to four days to ensure reasonable counting statistics were achieved. Measurement of the background alpha activity of the counting system was made prior to analysis of each filter. The background count rate was subtracted from the filter count rate to determine the net count rate. A </w:t>
      </w:r>
      <w:r w:rsidR="000447FC">
        <w:rPr>
          <w:lang w:val="en-US"/>
        </w:rPr>
        <w:t>callibration</w:t>
      </w:r>
      <w:r w:rsidRPr="00FC2BF6">
        <w:rPr>
          <w:lang w:val="en-US"/>
        </w:rPr>
        <w:t xml:space="preserve"> factor for counter efficiency was then applied to determine the alpha activity on the filter.</w:t>
      </w:r>
    </w:p>
    <w:p w:rsidR="00572D79" w:rsidRDefault="00572D79" w:rsidP="00285297">
      <w:pPr>
        <w:pStyle w:val="Heading2"/>
        <w:spacing w:before="0" w:after="0"/>
        <w:rPr>
          <w:lang w:val="en-US"/>
        </w:rPr>
      </w:pPr>
      <w:r>
        <w:rPr>
          <w:lang w:val="en-US"/>
        </w:rPr>
        <w:t>Results</w:t>
      </w:r>
    </w:p>
    <w:p w:rsidR="00572D79" w:rsidRDefault="00572D79" w:rsidP="00285297">
      <w:pPr>
        <w:pStyle w:val="Heading3"/>
        <w:spacing w:before="120" w:after="60"/>
        <w:rPr>
          <w:lang w:val="en-US"/>
        </w:rPr>
      </w:pPr>
      <w:r>
        <w:rPr>
          <w:lang w:val="en-US"/>
        </w:rPr>
        <w:t>Radon progeny</w:t>
      </w:r>
    </w:p>
    <w:p w:rsidR="00572D79" w:rsidRPr="00285297" w:rsidRDefault="00572D79" w:rsidP="00F72AD6">
      <w:pPr>
        <w:rPr>
          <w:lang w:val="en-US"/>
        </w:rPr>
      </w:pPr>
      <w:proofErr w:type="gramStart"/>
      <w:r w:rsidRPr="00285297">
        <w:rPr>
          <w:lang w:val="en-US"/>
        </w:rPr>
        <w:t>Figures 1 and 2 show hourly and quarterly average radon progeny PAEC monitoring data from Jabiru town and Mudginberri, respectively, for the 2013 calendar year.</w:t>
      </w:r>
      <w:proofErr w:type="gramEnd"/>
      <w:r w:rsidRPr="00285297">
        <w:rPr>
          <w:lang w:val="en-US"/>
        </w:rPr>
        <w:t xml:space="preserve"> Gaps in the data are due to instrument maintenance and data quality issues.</w:t>
      </w:r>
    </w:p>
    <w:p w:rsidR="00572D79" w:rsidRPr="00285297" w:rsidRDefault="00572D79" w:rsidP="00F72AD6">
      <w:pPr>
        <w:rPr>
          <w:lang w:val="en-US"/>
        </w:rPr>
      </w:pPr>
      <w:r w:rsidRPr="00285297">
        <w:rPr>
          <w:lang w:val="en-US"/>
        </w:rPr>
        <w:t>The spikiness in the hourly PAEC data reflects the normal diurnal pattern in radon progeny concentrations in surface air. Higher concentrations typically occur in the early morning around sunrise when atmospheric conditions tend to be most stable. Thereafter the surface air becomes mixed by convection (solar heating) and advection (wind), which disperses the radon progeny into a larger atmospheric volume.</w:t>
      </w:r>
    </w:p>
    <w:p w:rsidR="00572D79" w:rsidRPr="00285297" w:rsidRDefault="00572D79" w:rsidP="00F72AD6">
      <w:pPr>
        <w:rPr>
          <w:lang w:val="en-US"/>
        </w:rPr>
      </w:pPr>
      <w:r w:rsidRPr="00285297">
        <w:rPr>
          <w:lang w:val="en-US"/>
        </w:rPr>
        <w:t>The quarterly average PAEC results show the typical wet-dry seasonal trend, with higher concentrations occurring in the second and third quarter of the year (dry season) and lower concentrations occurring in the first and fourth quarter of the year (wet season). The effect of rainfall is to suppress radon exhalation from the soil surface and thus decrease the radon progeny PAEC in air.</w:t>
      </w:r>
    </w:p>
    <w:p w:rsidR="00572D79" w:rsidRDefault="00572D79" w:rsidP="00572D79">
      <w:pPr>
        <w:jc w:val="center"/>
        <w:rPr>
          <w:lang w:val="en-US"/>
        </w:rPr>
      </w:pPr>
      <w:r w:rsidRPr="00AC31A5">
        <w:rPr>
          <w:noProof/>
          <w:lang w:eastAsia="en-AU"/>
        </w:rPr>
        <w:drawing>
          <wp:inline distT="0" distB="0" distL="0" distR="0">
            <wp:extent cx="4152900" cy="2250235"/>
            <wp:effectExtent l="19050" t="0" r="0" b="0"/>
            <wp:docPr id="1008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3" cstate="screen"/>
                    <a:srcRect/>
                    <a:stretch>
                      <a:fillRect/>
                    </a:stretch>
                  </pic:blipFill>
                  <pic:spPr bwMode="auto">
                    <a:xfrm>
                      <a:off x="0" y="0"/>
                      <a:ext cx="4155179" cy="2251470"/>
                    </a:xfrm>
                    <a:prstGeom prst="rect">
                      <a:avLst/>
                    </a:prstGeom>
                    <a:noFill/>
                    <a:ln w="9525">
                      <a:noFill/>
                      <a:miter lim="800000"/>
                      <a:headEnd/>
                      <a:tailEnd/>
                    </a:ln>
                  </pic:spPr>
                </pic:pic>
              </a:graphicData>
            </a:graphic>
          </wp:inline>
        </w:drawing>
      </w:r>
    </w:p>
    <w:p w:rsidR="00572D79" w:rsidRDefault="00572D79" w:rsidP="00572D79">
      <w:pPr>
        <w:pStyle w:val="figurecaption"/>
        <w:rPr>
          <w:lang w:val="en-US"/>
        </w:rPr>
      </w:pPr>
      <w:r w:rsidRPr="000477A9">
        <w:rPr>
          <w:b/>
          <w:lang w:val="en-US"/>
        </w:rPr>
        <w:t xml:space="preserve">Figure </w:t>
      </w:r>
      <w:proofErr w:type="gramStart"/>
      <w:r>
        <w:rPr>
          <w:b/>
          <w:lang w:val="en-US"/>
        </w:rPr>
        <w:t>1</w:t>
      </w:r>
      <w:r w:rsidRPr="000477A9">
        <w:rPr>
          <w:lang w:val="en-US"/>
        </w:rPr>
        <w:t xml:space="preserve">  Hourly</w:t>
      </w:r>
      <w:proofErr w:type="gramEnd"/>
      <w:r w:rsidRPr="000477A9">
        <w:rPr>
          <w:lang w:val="en-US"/>
        </w:rPr>
        <w:t xml:space="preserve"> (black crosses) and quarterly average (grey columns) radon progeny PAEC in air at Jabiru town in 201</w:t>
      </w:r>
      <w:r>
        <w:rPr>
          <w:lang w:val="en-US"/>
        </w:rPr>
        <w:t>3</w:t>
      </w:r>
      <w:r w:rsidR="00F72007">
        <w:rPr>
          <w:lang w:val="en-US"/>
        </w:rPr>
        <w:t>.</w:t>
      </w:r>
    </w:p>
    <w:p w:rsidR="00572D79" w:rsidRDefault="00572D79" w:rsidP="00572D79">
      <w:pPr>
        <w:jc w:val="center"/>
        <w:rPr>
          <w:lang w:val="en-US"/>
        </w:rPr>
      </w:pPr>
      <w:r w:rsidRPr="00AC31A5">
        <w:rPr>
          <w:noProof/>
          <w:lang w:eastAsia="en-AU"/>
        </w:rPr>
        <w:drawing>
          <wp:inline distT="0" distB="0" distL="0" distR="0">
            <wp:extent cx="4273987" cy="2315845"/>
            <wp:effectExtent l="19050" t="0" r="0" b="0"/>
            <wp:docPr id="1009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4" cstate="screen"/>
                    <a:srcRect/>
                    <a:stretch>
                      <a:fillRect/>
                    </a:stretch>
                  </pic:blipFill>
                  <pic:spPr bwMode="auto">
                    <a:xfrm>
                      <a:off x="0" y="0"/>
                      <a:ext cx="4273987" cy="2315845"/>
                    </a:xfrm>
                    <a:prstGeom prst="rect">
                      <a:avLst/>
                    </a:prstGeom>
                    <a:noFill/>
                    <a:ln w="9525">
                      <a:noFill/>
                      <a:miter lim="800000"/>
                      <a:headEnd/>
                      <a:tailEnd/>
                    </a:ln>
                  </pic:spPr>
                </pic:pic>
              </a:graphicData>
            </a:graphic>
          </wp:inline>
        </w:drawing>
      </w:r>
    </w:p>
    <w:p w:rsidR="00572D79" w:rsidRDefault="00572D79" w:rsidP="00572D79">
      <w:pPr>
        <w:pStyle w:val="figurecaption"/>
        <w:rPr>
          <w:lang w:val="en-US"/>
        </w:rPr>
      </w:pPr>
      <w:r w:rsidRPr="000477A9">
        <w:rPr>
          <w:b/>
          <w:lang w:val="en-US"/>
        </w:rPr>
        <w:t xml:space="preserve">Figure </w:t>
      </w:r>
      <w:proofErr w:type="gramStart"/>
      <w:r>
        <w:rPr>
          <w:b/>
          <w:lang w:val="en-US"/>
        </w:rPr>
        <w:t>2</w:t>
      </w:r>
      <w:r w:rsidRPr="000477A9">
        <w:rPr>
          <w:lang w:val="en-US"/>
        </w:rPr>
        <w:t xml:space="preserve">  Hourly</w:t>
      </w:r>
      <w:proofErr w:type="gramEnd"/>
      <w:r w:rsidRPr="000477A9">
        <w:rPr>
          <w:lang w:val="en-US"/>
        </w:rPr>
        <w:t xml:space="preserve"> (black crosses) and quarterly average (grey columns) radon progeny PAEC in air at Four Gates Road near Mudginberri community in 201</w:t>
      </w:r>
      <w:r>
        <w:rPr>
          <w:lang w:val="en-US"/>
        </w:rPr>
        <w:t>3</w:t>
      </w:r>
      <w:r w:rsidR="00F72007">
        <w:rPr>
          <w:lang w:val="en-US"/>
        </w:rPr>
        <w:t>.</w:t>
      </w:r>
    </w:p>
    <w:p w:rsidR="00572D79" w:rsidRDefault="00572D79" w:rsidP="00572D79">
      <w:pPr>
        <w:rPr>
          <w:lang w:val="en-US"/>
        </w:rPr>
      </w:pPr>
      <w:r w:rsidRPr="000477A9">
        <w:rPr>
          <w:lang w:val="en-US"/>
        </w:rPr>
        <w:t xml:space="preserve">Table </w:t>
      </w:r>
      <w:r>
        <w:rPr>
          <w:lang w:val="en-US"/>
        </w:rPr>
        <w:t>1</w:t>
      </w:r>
      <w:r w:rsidRPr="000477A9">
        <w:rPr>
          <w:lang w:val="en-US"/>
        </w:rPr>
        <w:t xml:space="preserve"> provides a summary of annual average radon progeny PAEC in air and estimated doses to the public, as well as comparison with values reported by </w:t>
      </w:r>
      <w:r>
        <w:rPr>
          <w:lang w:val="en-US"/>
        </w:rPr>
        <w:t>ERA</w:t>
      </w:r>
      <w:r w:rsidRPr="000477A9">
        <w:rPr>
          <w:lang w:val="en-US"/>
        </w:rPr>
        <w:t xml:space="preserve"> for Jabiru town</w:t>
      </w:r>
      <w:r>
        <w:rPr>
          <w:lang w:val="en-US"/>
        </w:rPr>
        <w:t xml:space="preserve">. </w:t>
      </w:r>
      <w:r w:rsidRPr="000477A9">
        <w:rPr>
          <w:lang w:val="en-US"/>
        </w:rPr>
        <w:t>The total annual effective dose from radon progeny in air, which includes contribution from natural background, has been estimated to be 0.</w:t>
      </w:r>
      <w:r>
        <w:rPr>
          <w:lang w:val="en-US"/>
        </w:rPr>
        <w:t>405</w:t>
      </w:r>
      <w:r w:rsidRPr="000477A9">
        <w:rPr>
          <w:lang w:val="en-US"/>
        </w:rPr>
        <w:t xml:space="preserve"> mSv at Jabiru town and 0.3</w:t>
      </w:r>
      <w:r>
        <w:rPr>
          <w:lang w:val="en-US"/>
        </w:rPr>
        <w:t>8</w:t>
      </w:r>
      <w:r w:rsidRPr="000477A9">
        <w:rPr>
          <w:lang w:val="en-US"/>
        </w:rPr>
        <w:t xml:space="preserve">2 mSv at Mudginberri. This total annual dose has been </w:t>
      </w:r>
      <w:r>
        <w:rPr>
          <w:lang w:val="en-US"/>
        </w:rPr>
        <w:t>calculat</w:t>
      </w:r>
      <w:r w:rsidRPr="000477A9">
        <w:rPr>
          <w:lang w:val="en-US"/>
        </w:rPr>
        <w:t>ed from the product of the annual average radon progeny PAEC in air</w:t>
      </w:r>
      <w:r>
        <w:rPr>
          <w:lang w:val="en-US"/>
        </w:rPr>
        <w:t>,</w:t>
      </w:r>
      <w:r w:rsidRPr="000477A9">
        <w:rPr>
          <w:lang w:val="en-US"/>
        </w:rPr>
        <w:t xml:space="preserve"> the radon progeny dose conversion factor of 0.0011 mSv per µJ∙h/m</w:t>
      </w:r>
      <w:r w:rsidRPr="00D11BA3">
        <w:rPr>
          <w:snapToGrid w:val="0"/>
          <w:color w:val="000000"/>
          <w:position w:val="5"/>
          <w:sz w:val="15"/>
          <w:szCs w:val="0"/>
          <w:u w:color="000000"/>
          <w:lang w:val="en-US"/>
        </w:rPr>
        <w:t>3</w:t>
      </w:r>
      <w:r w:rsidRPr="000477A9">
        <w:rPr>
          <w:lang w:val="en-US"/>
        </w:rPr>
        <w:t xml:space="preserve"> recommended by the International Commission on Radiological Protection </w:t>
      </w:r>
      <w:r>
        <w:rPr>
          <w:lang w:val="en-US"/>
        </w:rPr>
        <w:t xml:space="preserve">(ICRP) </w:t>
      </w:r>
      <w:r w:rsidRPr="000477A9">
        <w:rPr>
          <w:lang w:val="en-US"/>
        </w:rPr>
        <w:t>(ICRP</w:t>
      </w:r>
      <w:r>
        <w:rPr>
          <w:lang w:val="en-US"/>
        </w:rPr>
        <w:t xml:space="preserve"> 1993</w:t>
      </w:r>
      <w:r w:rsidRPr="000477A9">
        <w:rPr>
          <w:lang w:val="en-US"/>
        </w:rPr>
        <w:t>) and the assumed full year occupancy of 87</w:t>
      </w:r>
      <w:r>
        <w:rPr>
          <w:lang w:val="en-US"/>
        </w:rPr>
        <w:t>60</w:t>
      </w:r>
      <w:r w:rsidRPr="000477A9">
        <w:rPr>
          <w:lang w:val="en-US"/>
        </w:rPr>
        <w:t xml:space="preserve"> hours.</w:t>
      </w:r>
    </w:p>
    <w:p w:rsidR="001F56DF" w:rsidRDefault="001F56DF" w:rsidP="00572D79">
      <w:pPr>
        <w:rPr>
          <w:lang w:val="en-US"/>
        </w:rPr>
      </w:pPr>
    </w:p>
    <w:p w:rsidR="00572D79" w:rsidRDefault="00572D79" w:rsidP="00572D79">
      <w:pPr>
        <w:pStyle w:val="tablecaption"/>
      </w:pPr>
      <w:r w:rsidRPr="00951D50">
        <w:rPr>
          <w:b/>
        </w:rPr>
        <w:t xml:space="preserve">Table </w:t>
      </w:r>
      <w:proofErr w:type="gramStart"/>
      <w:r>
        <w:rPr>
          <w:b/>
        </w:rPr>
        <w:t>1</w:t>
      </w:r>
      <w:r w:rsidRPr="007D6F14">
        <w:t xml:space="preserve">  </w:t>
      </w:r>
      <w:r>
        <w:t>Radon</w:t>
      </w:r>
      <w:proofErr w:type="gramEnd"/>
      <w:r>
        <w:t xml:space="preserve"> progeny PAEC in air and estimated doses to the public at Jabiru town and Mudginberri in 2013*</w:t>
      </w:r>
    </w:p>
    <w:tbl>
      <w:tblPr>
        <w:tblW w:w="0" w:type="auto"/>
        <w:tblLook w:val="04A0"/>
      </w:tblPr>
      <w:tblGrid>
        <w:gridCol w:w="2840"/>
        <w:gridCol w:w="2841"/>
        <w:gridCol w:w="2841"/>
      </w:tblGrid>
      <w:tr w:rsidR="00572D79" w:rsidRPr="00CF1F0D" w:rsidTr="00224F8A">
        <w:tc>
          <w:tcPr>
            <w:tcW w:w="2840" w:type="dxa"/>
            <w:tcBorders>
              <w:top w:val="single" w:sz="4" w:space="0" w:color="auto"/>
              <w:bottom w:val="single" w:sz="4" w:space="0" w:color="auto"/>
            </w:tcBorders>
          </w:tcPr>
          <w:p w:rsidR="00572D79" w:rsidRPr="00F72007" w:rsidRDefault="00572D79" w:rsidP="00F72007">
            <w:pPr>
              <w:pStyle w:val="table1"/>
              <w:rPr>
                <w:color w:val="000000"/>
                <w:u w:color="000000"/>
              </w:rPr>
            </w:pPr>
          </w:p>
        </w:tc>
        <w:tc>
          <w:tcPr>
            <w:tcW w:w="2841" w:type="dxa"/>
            <w:tcBorders>
              <w:top w:val="single" w:sz="4" w:space="0" w:color="auto"/>
              <w:bottom w:val="single" w:sz="4" w:space="0" w:color="auto"/>
            </w:tcBorders>
          </w:tcPr>
          <w:p w:rsidR="00572D79" w:rsidRPr="00F72007" w:rsidRDefault="00572D79" w:rsidP="00F72007">
            <w:pPr>
              <w:pStyle w:val="table1"/>
              <w:rPr>
                <w:b/>
                <w:color w:val="000000"/>
                <w:u w:color="000000"/>
              </w:rPr>
            </w:pPr>
            <w:r w:rsidRPr="00F72007">
              <w:rPr>
                <w:b/>
                <w:color w:val="000000"/>
                <w:u w:color="000000"/>
              </w:rPr>
              <w:t>Jabiru town</w:t>
            </w:r>
          </w:p>
        </w:tc>
        <w:tc>
          <w:tcPr>
            <w:tcW w:w="2841" w:type="dxa"/>
            <w:tcBorders>
              <w:top w:val="single" w:sz="4" w:space="0" w:color="auto"/>
              <w:bottom w:val="single" w:sz="4" w:space="0" w:color="auto"/>
            </w:tcBorders>
          </w:tcPr>
          <w:p w:rsidR="00572D79" w:rsidRPr="00F72007" w:rsidRDefault="00572D79" w:rsidP="00F72007">
            <w:pPr>
              <w:pStyle w:val="table1"/>
              <w:rPr>
                <w:b/>
                <w:color w:val="000000"/>
                <w:u w:color="000000"/>
              </w:rPr>
            </w:pPr>
            <w:r w:rsidRPr="00F72007">
              <w:rPr>
                <w:b/>
                <w:color w:val="000000"/>
                <w:u w:color="000000"/>
              </w:rPr>
              <w:t>Mudginberri</w:t>
            </w:r>
          </w:p>
        </w:tc>
      </w:tr>
      <w:tr w:rsidR="00572D79" w:rsidTr="00224F8A">
        <w:tc>
          <w:tcPr>
            <w:tcW w:w="2840" w:type="dxa"/>
            <w:tcBorders>
              <w:top w:val="single" w:sz="4" w:space="0" w:color="auto"/>
            </w:tcBorders>
          </w:tcPr>
          <w:p w:rsidR="00572D79" w:rsidRPr="00F72007" w:rsidRDefault="00572D79" w:rsidP="00F72007">
            <w:pPr>
              <w:pStyle w:val="table1"/>
              <w:rPr>
                <w:color w:val="000000"/>
                <w:u w:color="000000"/>
              </w:rPr>
            </w:pPr>
            <w:r w:rsidRPr="00F72007">
              <w:rPr>
                <w:color w:val="000000"/>
                <w:u w:color="000000"/>
              </w:rPr>
              <w:t>Annual average P</w:t>
            </w:r>
            <w:r w:rsidR="00551302">
              <w:rPr>
                <w:color w:val="000000"/>
                <w:u w:color="000000"/>
              </w:rPr>
              <w:t>AEC (µJ/</w:t>
            </w:r>
            <w:r w:rsidR="00551302" w:rsidRPr="00F72007">
              <w:rPr>
                <w:color w:val="000000"/>
                <w:u w:color="000000"/>
              </w:rPr>
              <w:t xml:space="preserve"> m</w:t>
            </w:r>
            <w:r w:rsidR="00551302" w:rsidRPr="00F72007">
              <w:rPr>
                <w:color w:val="000000"/>
                <w:u w:color="000000"/>
                <w:vertAlign w:val="superscript"/>
              </w:rPr>
              <w:t>3</w:t>
            </w:r>
            <w:r w:rsidRPr="00F72007">
              <w:rPr>
                <w:color w:val="000000"/>
                <w:u w:color="000000"/>
              </w:rPr>
              <w:t>)</w:t>
            </w:r>
          </w:p>
        </w:tc>
        <w:tc>
          <w:tcPr>
            <w:tcW w:w="2841" w:type="dxa"/>
            <w:tcBorders>
              <w:top w:val="single" w:sz="4" w:space="0" w:color="auto"/>
            </w:tcBorders>
          </w:tcPr>
          <w:p w:rsidR="00572D79" w:rsidRPr="00F72007" w:rsidRDefault="00572D79" w:rsidP="00F72007">
            <w:pPr>
              <w:pStyle w:val="table1"/>
              <w:rPr>
                <w:color w:val="000000"/>
                <w:szCs w:val="16"/>
                <w:u w:color="000000"/>
              </w:rPr>
            </w:pPr>
            <w:r w:rsidRPr="00F72007">
              <w:rPr>
                <w:color w:val="000000"/>
                <w:u w:color="000000"/>
              </w:rPr>
              <w:t>0.042 (0.045)</w:t>
            </w:r>
          </w:p>
        </w:tc>
        <w:tc>
          <w:tcPr>
            <w:tcW w:w="2841" w:type="dxa"/>
            <w:tcBorders>
              <w:top w:val="single" w:sz="4" w:space="0" w:color="auto"/>
            </w:tcBorders>
          </w:tcPr>
          <w:p w:rsidR="00572D79" w:rsidRPr="00F72007" w:rsidRDefault="00572D79" w:rsidP="00F72007">
            <w:pPr>
              <w:pStyle w:val="table1"/>
              <w:rPr>
                <w:color w:val="000000"/>
                <w:szCs w:val="16"/>
                <w:u w:color="000000"/>
              </w:rPr>
            </w:pPr>
            <w:r w:rsidRPr="00F72007">
              <w:rPr>
                <w:color w:val="000000"/>
                <w:u w:color="000000"/>
              </w:rPr>
              <w:t>0.040</w:t>
            </w:r>
          </w:p>
        </w:tc>
      </w:tr>
      <w:tr w:rsidR="00572D79" w:rsidTr="00224F8A">
        <w:tc>
          <w:tcPr>
            <w:tcW w:w="2840" w:type="dxa"/>
          </w:tcPr>
          <w:p w:rsidR="00572D79" w:rsidRPr="00F72007" w:rsidRDefault="00572D79" w:rsidP="00F72007">
            <w:pPr>
              <w:pStyle w:val="table1"/>
              <w:rPr>
                <w:color w:val="000000"/>
                <w:u w:color="000000"/>
              </w:rPr>
            </w:pPr>
            <w:r w:rsidRPr="00F72007">
              <w:rPr>
                <w:color w:val="000000"/>
                <w:u w:color="000000"/>
              </w:rPr>
              <w:t>Total annual dose (mSv)</w:t>
            </w:r>
          </w:p>
        </w:tc>
        <w:tc>
          <w:tcPr>
            <w:tcW w:w="2841" w:type="dxa"/>
          </w:tcPr>
          <w:p w:rsidR="00572D79" w:rsidRPr="00F72007" w:rsidRDefault="00572D79" w:rsidP="00F72007">
            <w:pPr>
              <w:pStyle w:val="table1"/>
              <w:rPr>
                <w:color w:val="000000"/>
                <w:szCs w:val="16"/>
                <w:u w:color="000000"/>
              </w:rPr>
            </w:pPr>
            <w:r w:rsidRPr="00F72007">
              <w:rPr>
                <w:color w:val="000000"/>
                <w:u w:color="000000"/>
              </w:rPr>
              <w:t>0.405 (0.530)</w:t>
            </w:r>
          </w:p>
        </w:tc>
        <w:tc>
          <w:tcPr>
            <w:tcW w:w="2841" w:type="dxa"/>
          </w:tcPr>
          <w:p w:rsidR="00572D79" w:rsidRPr="00F72007" w:rsidRDefault="00572D79" w:rsidP="00F72007">
            <w:pPr>
              <w:pStyle w:val="table1"/>
              <w:rPr>
                <w:color w:val="000000"/>
                <w:szCs w:val="16"/>
                <w:u w:color="000000"/>
              </w:rPr>
            </w:pPr>
            <w:r w:rsidRPr="00F72007">
              <w:rPr>
                <w:color w:val="000000"/>
                <w:u w:color="000000"/>
              </w:rPr>
              <w:t>0.382</w:t>
            </w:r>
          </w:p>
        </w:tc>
      </w:tr>
      <w:tr w:rsidR="00572D79" w:rsidTr="00224F8A">
        <w:tc>
          <w:tcPr>
            <w:tcW w:w="2840" w:type="dxa"/>
            <w:tcBorders>
              <w:bottom w:val="single" w:sz="4" w:space="0" w:color="auto"/>
            </w:tcBorders>
          </w:tcPr>
          <w:p w:rsidR="00572D79" w:rsidRPr="00F72007" w:rsidRDefault="00572D79" w:rsidP="00F72007">
            <w:pPr>
              <w:pStyle w:val="table1"/>
              <w:rPr>
                <w:color w:val="000000"/>
                <w:u w:color="000000"/>
              </w:rPr>
            </w:pPr>
            <w:r w:rsidRPr="00F72007">
              <w:rPr>
                <w:color w:val="000000"/>
                <w:u w:color="000000"/>
              </w:rPr>
              <w:t>Mine-related dose** (mSv)</w:t>
            </w:r>
          </w:p>
        </w:tc>
        <w:tc>
          <w:tcPr>
            <w:tcW w:w="2841" w:type="dxa"/>
            <w:tcBorders>
              <w:bottom w:val="single" w:sz="4" w:space="0" w:color="auto"/>
            </w:tcBorders>
          </w:tcPr>
          <w:p w:rsidR="00572D79" w:rsidRPr="00F72007" w:rsidRDefault="00572D79" w:rsidP="00F72007">
            <w:pPr>
              <w:pStyle w:val="table1"/>
              <w:rPr>
                <w:color w:val="000000"/>
                <w:szCs w:val="16"/>
                <w:u w:color="000000"/>
              </w:rPr>
            </w:pPr>
            <w:r w:rsidRPr="00F72007">
              <w:rPr>
                <w:color w:val="000000"/>
                <w:u w:color="000000"/>
              </w:rPr>
              <w:t>0.055 (0.031)</w:t>
            </w:r>
          </w:p>
        </w:tc>
        <w:tc>
          <w:tcPr>
            <w:tcW w:w="2841" w:type="dxa"/>
            <w:tcBorders>
              <w:bottom w:val="single" w:sz="4" w:space="0" w:color="auto"/>
            </w:tcBorders>
          </w:tcPr>
          <w:p w:rsidR="00572D79" w:rsidRPr="00F72007" w:rsidRDefault="00572D79" w:rsidP="00F72007">
            <w:pPr>
              <w:pStyle w:val="table1"/>
              <w:rPr>
                <w:color w:val="000000"/>
                <w:szCs w:val="16"/>
                <w:u w:color="000000"/>
              </w:rPr>
            </w:pPr>
            <w:r w:rsidRPr="00F72007">
              <w:rPr>
                <w:color w:val="000000"/>
                <w:u w:color="000000"/>
              </w:rPr>
              <w:t>0.002</w:t>
            </w:r>
          </w:p>
        </w:tc>
      </w:tr>
    </w:tbl>
    <w:p w:rsidR="00572D79" w:rsidRPr="00CF1F0D" w:rsidRDefault="00572D79" w:rsidP="00572D79">
      <w:pPr>
        <w:pStyle w:val="tablenote"/>
        <w:rPr>
          <w:lang w:val="en-US"/>
        </w:rPr>
      </w:pPr>
      <w:r w:rsidRPr="00CF1F0D">
        <w:rPr>
          <w:lang w:val="en-US"/>
        </w:rPr>
        <w:t>*</w:t>
      </w:r>
      <w:r w:rsidRPr="00CF1F0D">
        <w:rPr>
          <w:lang w:val="en-US"/>
        </w:rPr>
        <w:tab/>
        <w:t>Values in brackets refer to data from the ERA Radiation Protection and Atmospheric Monitoring Program</w:t>
      </w:r>
      <w:r w:rsidR="00E16AC4">
        <w:rPr>
          <w:lang w:val="en-US"/>
        </w:rPr>
        <w:t>me</w:t>
      </w:r>
      <w:r w:rsidRPr="00CF1F0D">
        <w:rPr>
          <w:lang w:val="en-US"/>
        </w:rPr>
        <w:t xml:space="preserve"> Report for the Year Ending 31 December 201</w:t>
      </w:r>
      <w:r>
        <w:rPr>
          <w:lang w:val="en-US"/>
        </w:rPr>
        <w:t>3</w:t>
      </w:r>
      <w:r w:rsidRPr="00CF1F0D">
        <w:rPr>
          <w:lang w:val="en-US"/>
        </w:rPr>
        <w:t>.</w:t>
      </w:r>
    </w:p>
    <w:p w:rsidR="00572D79" w:rsidRDefault="00572D79" w:rsidP="00572D79">
      <w:pPr>
        <w:pStyle w:val="tablenote"/>
        <w:rPr>
          <w:lang w:val="en-US"/>
        </w:rPr>
      </w:pPr>
      <w:r w:rsidRPr="00CF1F0D">
        <w:rPr>
          <w:lang w:val="en-US"/>
        </w:rPr>
        <w:t>**</w:t>
      </w:r>
      <w:r w:rsidRPr="00CF1F0D">
        <w:rPr>
          <w:lang w:val="en-US"/>
        </w:rPr>
        <w:tab/>
      </w:r>
      <w:r w:rsidRPr="00A32743">
        <w:rPr>
          <w:lang w:val="en-US"/>
        </w:rPr>
        <w:t xml:space="preserve">The radon progeny PAEC difference used in the SSD mine-derived dose calculation was </w:t>
      </w:r>
      <w:proofErr w:type="gramStart"/>
      <w:r>
        <w:rPr>
          <w:lang w:val="en-US"/>
        </w:rPr>
        <w:t xml:space="preserve">0.024 </w:t>
      </w:r>
      <w:r>
        <w:rPr>
          <w:rFonts w:cs="Arial"/>
          <w:lang w:val="en-US"/>
        </w:rPr>
        <w:t>µ</w:t>
      </w:r>
      <w:r>
        <w:rPr>
          <w:lang w:val="en-US"/>
        </w:rPr>
        <w:t>J/m</w:t>
      </w:r>
      <w:r w:rsidRPr="00E95A76">
        <w:rPr>
          <w:snapToGrid w:val="0"/>
          <w:color w:val="000000"/>
          <w:position w:val="3"/>
          <w:sz w:val="9"/>
          <w:szCs w:val="0"/>
          <w:u w:color="000000"/>
          <w:lang w:val="en-US"/>
        </w:rPr>
        <w:t>3</w:t>
      </w:r>
      <w:r>
        <w:rPr>
          <w:lang w:val="en-US"/>
        </w:rPr>
        <w:t xml:space="preserve"> for Jabiru town</w:t>
      </w:r>
      <w:proofErr w:type="gramEnd"/>
      <w:r>
        <w:rPr>
          <w:lang w:val="en-US"/>
        </w:rPr>
        <w:t xml:space="preserve"> and 0.009 </w:t>
      </w:r>
      <w:r>
        <w:rPr>
          <w:rFonts w:cs="Arial"/>
          <w:lang w:val="en-US"/>
        </w:rPr>
        <w:t>µ</w:t>
      </w:r>
      <w:r>
        <w:rPr>
          <w:lang w:val="en-US"/>
        </w:rPr>
        <w:t>J/m</w:t>
      </w:r>
      <w:r w:rsidRPr="00E95A76">
        <w:rPr>
          <w:snapToGrid w:val="0"/>
          <w:color w:val="000000"/>
          <w:position w:val="3"/>
          <w:sz w:val="9"/>
          <w:szCs w:val="0"/>
          <w:u w:color="000000"/>
          <w:lang w:val="en-US"/>
        </w:rPr>
        <w:t>3</w:t>
      </w:r>
      <w:r>
        <w:rPr>
          <w:lang w:val="en-US"/>
        </w:rPr>
        <w:t xml:space="preserve"> for Mudginberri</w:t>
      </w:r>
      <w:r w:rsidRPr="00A32743">
        <w:rPr>
          <w:lang w:val="en-US"/>
        </w:rPr>
        <w:t>.</w:t>
      </w:r>
    </w:p>
    <w:p w:rsidR="001F56DF" w:rsidRDefault="001F56DF" w:rsidP="00572D79">
      <w:pPr>
        <w:rPr>
          <w:lang w:val="en-US"/>
        </w:rPr>
      </w:pPr>
    </w:p>
    <w:p w:rsidR="00572D79" w:rsidRDefault="00572D79" w:rsidP="00572D79">
      <w:pPr>
        <w:rPr>
          <w:lang w:val="en-US"/>
        </w:rPr>
      </w:pPr>
      <w:r w:rsidRPr="00CF1F0D">
        <w:rPr>
          <w:lang w:val="en-US"/>
        </w:rPr>
        <w:t xml:space="preserve">The </w:t>
      </w:r>
      <w:r>
        <w:rPr>
          <w:lang w:val="en-US"/>
        </w:rPr>
        <w:t>mine-related</w:t>
      </w:r>
      <w:r w:rsidRPr="00CF1F0D">
        <w:rPr>
          <w:lang w:val="en-US"/>
        </w:rPr>
        <w:t xml:space="preserve"> annual dose from radon progeny in air </w:t>
      </w:r>
      <w:r>
        <w:rPr>
          <w:lang w:val="en-US"/>
        </w:rPr>
        <w:t>has been</w:t>
      </w:r>
      <w:r w:rsidRPr="00CF1F0D">
        <w:rPr>
          <w:lang w:val="en-US"/>
        </w:rPr>
        <w:t xml:space="preserve"> estimated to be 0.0</w:t>
      </w:r>
      <w:r>
        <w:rPr>
          <w:lang w:val="en-US"/>
        </w:rPr>
        <w:t>55</w:t>
      </w:r>
      <w:r w:rsidRPr="00CF1F0D">
        <w:rPr>
          <w:lang w:val="en-US"/>
        </w:rPr>
        <w:t xml:space="preserve"> mSv</w:t>
      </w:r>
      <w:r>
        <w:rPr>
          <w:lang w:val="en-US"/>
        </w:rPr>
        <w:t xml:space="preserve"> at Jabiru town and 0.002 mSv at Mudginberri</w:t>
      </w:r>
      <w:r w:rsidRPr="00CF1F0D">
        <w:rPr>
          <w:lang w:val="en-US"/>
        </w:rPr>
        <w:t xml:space="preserve">. This </w:t>
      </w:r>
      <w:proofErr w:type="spellStart"/>
      <w:r w:rsidRPr="00CF1F0D">
        <w:rPr>
          <w:lang w:val="en-US"/>
        </w:rPr>
        <w:t>dose</w:t>
      </w:r>
      <w:proofErr w:type="spellEnd"/>
      <w:r w:rsidRPr="00CF1F0D">
        <w:rPr>
          <w:lang w:val="en-US"/>
        </w:rPr>
        <w:t xml:space="preserve"> is dependent on wind direction and</w:t>
      </w:r>
      <w:r>
        <w:rPr>
          <w:lang w:val="en-US"/>
        </w:rPr>
        <w:t xml:space="preserve"> has been calculat</w:t>
      </w:r>
      <w:r w:rsidRPr="00CF1F0D">
        <w:rPr>
          <w:lang w:val="en-US"/>
        </w:rPr>
        <w:t xml:space="preserve">ed from the difference in average radon progeny PAEC in air when the wind was from the direction of the mine and when the wind was from directions other than the mine, then multiplying this difference with the </w:t>
      </w:r>
      <w:r>
        <w:rPr>
          <w:lang w:val="en-US"/>
        </w:rPr>
        <w:t xml:space="preserve">ICRP </w:t>
      </w:r>
      <w:r w:rsidRPr="00CF1F0D">
        <w:rPr>
          <w:lang w:val="en-US"/>
        </w:rPr>
        <w:t>radon progeny dose conversion factor and the number of hours that the wind was from the direction of the mine. Hourly wind direction data for 201</w:t>
      </w:r>
      <w:r>
        <w:rPr>
          <w:lang w:val="en-US"/>
        </w:rPr>
        <w:t>3</w:t>
      </w:r>
      <w:r w:rsidRPr="00CF1F0D">
        <w:rPr>
          <w:lang w:val="en-US"/>
        </w:rPr>
        <w:t xml:space="preserve"> were obtained from the Bureau of Meteorology weather station at Jabiru Airport. Analysis of these data </w:t>
      </w:r>
      <w:r>
        <w:rPr>
          <w:lang w:val="en-US"/>
        </w:rPr>
        <w:t>(</w:t>
      </w:r>
      <w:r w:rsidRPr="00F92D01">
        <w:rPr>
          <w:lang w:val="en-US"/>
        </w:rPr>
        <w:t xml:space="preserve">Figure </w:t>
      </w:r>
      <w:r>
        <w:rPr>
          <w:lang w:val="en-US"/>
        </w:rPr>
        <w:t xml:space="preserve">3) </w:t>
      </w:r>
      <w:r w:rsidRPr="00CF1F0D">
        <w:rPr>
          <w:lang w:val="en-US"/>
        </w:rPr>
        <w:t xml:space="preserve">suggests that the wind was from the direction of the mine </w:t>
      </w:r>
      <w:r>
        <w:rPr>
          <w:lang w:val="en-US"/>
        </w:rPr>
        <w:t>for 2029 hours during the year at Jabiru town (90–110 degree sector) and 210 hours during the year at Mudginberri (140–160 degree sector).</w:t>
      </w:r>
    </w:p>
    <w:p w:rsidR="001A7E73" w:rsidRPr="00285297" w:rsidRDefault="001A7E73" w:rsidP="001A7E73">
      <w:pPr>
        <w:rPr>
          <w:spacing w:val="-4"/>
          <w:lang w:val="en-US"/>
        </w:rPr>
      </w:pPr>
      <w:r w:rsidRPr="00285297">
        <w:rPr>
          <w:spacing w:val="-4"/>
          <w:lang w:val="en-US"/>
        </w:rPr>
        <w:t xml:space="preserve">Differences between the </w:t>
      </w:r>
      <w:r w:rsidRPr="00285297">
        <w:rPr>
          <w:rFonts w:ascii="Times New Roman" w:hAnsi="Times New Roman"/>
          <w:b/>
          <w:i/>
          <w:spacing w:val="-4"/>
          <w:sz w:val="26"/>
          <w:szCs w:val="26"/>
        </w:rPr>
        <w:t>eriss</w:t>
      </w:r>
      <w:r w:rsidRPr="00285297">
        <w:rPr>
          <w:spacing w:val="-4"/>
          <w:lang w:val="en-US"/>
        </w:rPr>
        <w:t xml:space="preserve"> and ERA radon progeny PAEC results and public dose estimates for Jabiru town are most likely due to differences in monitoring regime. Whereas </w:t>
      </w:r>
      <w:r w:rsidRPr="00285297">
        <w:rPr>
          <w:rFonts w:ascii="Times New Roman" w:hAnsi="Times New Roman"/>
          <w:b/>
          <w:i/>
          <w:spacing w:val="-4"/>
          <w:sz w:val="26"/>
          <w:szCs w:val="26"/>
        </w:rPr>
        <w:t>eriss</w:t>
      </w:r>
      <w:r w:rsidRPr="00285297">
        <w:rPr>
          <w:spacing w:val="-4"/>
          <w:lang w:val="en-US"/>
        </w:rPr>
        <w:t xml:space="preserve"> aims to monitor continuous hourly radon progeny PAEC in air over the full year, the ERA regime is based on a minimum requirement of one week per month continuous monitoring.</w:t>
      </w:r>
    </w:p>
    <w:p w:rsidR="001A7E73" w:rsidRDefault="001A7E73" w:rsidP="00572D79">
      <w:pPr>
        <w:rPr>
          <w:lang w:val="en-US"/>
        </w:rPr>
      </w:pPr>
    </w:p>
    <w:p w:rsidR="00572D79" w:rsidRDefault="00572D79" w:rsidP="00572D79">
      <w:pPr>
        <w:jc w:val="center"/>
        <w:rPr>
          <w:lang w:val="en-US"/>
        </w:rPr>
      </w:pPr>
      <w:r w:rsidRPr="00077B50">
        <w:rPr>
          <w:noProof/>
          <w:lang w:eastAsia="en-AU"/>
        </w:rPr>
        <w:drawing>
          <wp:inline distT="0" distB="0" distL="0" distR="0">
            <wp:extent cx="3655800" cy="3531870"/>
            <wp:effectExtent l="19050" t="0" r="1800" b="0"/>
            <wp:docPr id="100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5" cstate="screen"/>
                    <a:srcRect/>
                    <a:stretch>
                      <a:fillRect/>
                    </a:stretch>
                  </pic:blipFill>
                  <pic:spPr bwMode="auto">
                    <a:xfrm>
                      <a:off x="0" y="0"/>
                      <a:ext cx="3655800" cy="3531870"/>
                    </a:xfrm>
                    <a:prstGeom prst="rect">
                      <a:avLst/>
                    </a:prstGeom>
                    <a:noFill/>
                    <a:ln w="9525">
                      <a:noFill/>
                      <a:miter lim="800000"/>
                      <a:headEnd/>
                      <a:tailEnd/>
                    </a:ln>
                  </pic:spPr>
                </pic:pic>
              </a:graphicData>
            </a:graphic>
          </wp:inline>
        </w:drawing>
      </w:r>
    </w:p>
    <w:p w:rsidR="00572D79" w:rsidRDefault="00572D79" w:rsidP="00572D79">
      <w:pPr>
        <w:pStyle w:val="figurecaption"/>
        <w:rPr>
          <w:lang w:val="en-US"/>
        </w:rPr>
      </w:pPr>
      <w:r w:rsidRPr="00F92D01">
        <w:rPr>
          <w:b/>
          <w:lang w:val="en-US"/>
        </w:rPr>
        <w:t xml:space="preserve">Figure </w:t>
      </w:r>
      <w:proofErr w:type="gramStart"/>
      <w:r w:rsidRPr="00F92D01">
        <w:rPr>
          <w:b/>
          <w:lang w:val="en-US"/>
        </w:rPr>
        <w:t>3</w:t>
      </w:r>
      <w:r w:rsidRPr="00F92D01">
        <w:rPr>
          <w:lang w:val="en-US"/>
        </w:rPr>
        <w:t xml:space="preserve">  Histogram</w:t>
      </w:r>
      <w:proofErr w:type="gramEnd"/>
      <w:r w:rsidRPr="00F92D01">
        <w:rPr>
          <w:lang w:val="en-US"/>
        </w:rPr>
        <w:t xml:space="preserve"> of hourly wind direction data at Jabiru airport for 201</w:t>
      </w:r>
      <w:r>
        <w:rPr>
          <w:lang w:val="en-US"/>
        </w:rPr>
        <w:t>3</w:t>
      </w:r>
      <w:r w:rsidRPr="00F92D01">
        <w:rPr>
          <w:lang w:val="en-US"/>
        </w:rPr>
        <w:t>. A wind direction of 0 indicates still conditions (</w:t>
      </w:r>
      <w:r w:rsidR="00674CAF" w:rsidRPr="00F92D01">
        <w:rPr>
          <w:lang w:val="en-US"/>
        </w:rPr>
        <w:t>i.e.</w:t>
      </w:r>
      <w:r w:rsidRPr="00F92D01">
        <w:rPr>
          <w:lang w:val="en-US"/>
        </w:rPr>
        <w:t xml:space="preserve"> no wind).</w:t>
      </w:r>
    </w:p>
    <w:p w:rsidR="00572D79" w:rsidRPr="00285297" w:rsidRDefault="00572D79" w:rsidP="00285297">
      <w:pPr>
        <w:pStyle w:val="Heading3"/>
        <w:spacing w:before="120" w:after="0"/>
        <w:rPr>
          <w:spacing w:val="-4"/>
          <w:lang w:val="en-US"/>
        </w:rPr>
      </w:pPr>
      <w:r w:rsidRPr="00285297">
        <w:rPr>
          <w:spacing w:val="-4"/>
          <w:lang w:val="en-US"/>
        </w:rPr>
        <w:t>Dust-bound LLAA concentrations</w:t>
      </w:r>
    </w:p>
    <w:p w:rsidR="00572D79" w:rsidRDefault="00572D79" w:rsidP="00572D79">
      <w:pPr>
        <w:rPr>
          <w:spacing w:val="-4"/>
          <w:lang w:val="en-US"/>
        </w:rPr>
      </w:pPr>
      <w:r w:rsidRPr="00285297">
        <w:rPr>
          <w:spacing w:val="-4"/>
          <w:lang w:val="en-US"/>
        </w:rPr>
        <w:t>Figures 4 and 5 show measured and quarterly average concentrations of dust-bound LLAA radionuclides in air at Jabiru town and near Mudginberri community, respectively, for 2013. Gaps in the data are due to instrument maintenance and data quality issues.</w:t>
      </w:r>
    </w:p>
    <w:p w:rsidR="001A7E73" w:rsidRPr="00285297" w:rsidRDefault="001A7E73" w:rsidP="00572D79">
      <w:pPr>
        <w:rPr>
          <w:spacing w:val="-4"/>
          <w:lang w:val="en-US"/>
        </w:rPr>
      </w:pPr>
    </w:p>
    <w:p w:rsidR="00572D79" w:rsidRDefault="00572D79" w:rsidP="00572D79">
      <w:pPr>
        <w:jc w:val="center"/>
        <w:rPr>
          <w:lang w:val="en-US"/>
        </w:rPr>
      </w:pPr>
      <w:r w:rsidRPr="000E4ABD">
        <w:rPr>
          <w:noProof/>
          <w:lang w:eastAsia="en-AU"/>
        </w:rPr>
        <w:drawing>
          <wp:inline distT="0" distB="0" distL="0" distR="0">
            <wp:extent cx="4558327" cy="2315845"/>
            <wp:effectExtent l="19050" t="0" r="0" b="0"/>
            <wp:docPr id="1009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6" cstate="screen"/>
                    <a:srcRect/>
                    <a:stretch>
                      <a:fillRect/>
                    </a:stretch>
                  </pic:blipFill>
                  <pic:spPr bwMode="auto">
                    <a:xfrm>
                      <a:off x="0" y="0"/>
                      <a:ext cx="4558327" cy="2315845"/>
                    </a:xfrm>
                    <a:prstGeom prst="rect">
                      <a:avLst/>
                    </a:prstGeom>
                    <a:noFill/>
                    <a:ln w="9525">
                      <a:noFill/>
                      <a:miter lim="800000"/>
                      <a:headEnd/>
                      <a:tailEnd/>
                    </a:ln>
                  </pic:spPr>
                </pic:pic>
              </a:graphicData>
            </a:graphic>
          </wp:inline>
        </w:drawing>
      </w:r>
    </w:p>
    <w:p w:rsidR="00572D79" w:rsidRDefault="00572D79" w:rsidP="00572D79">
      <w:pPr>
        <w:pStyle w:val="figurecaption"/>
        <w:rPr>
          <w:lang w:val="en-US"/>
        </w:rPr>
      </w:pPr>
      <w:r w:rsidRPr="00EC4528">
        <w:rPr>
          <w:b/>
          <w:lang w:val="en-US"/>
        </w:rPr>
        <w:t xml:space="preserve">Figure </w:t>
      </w:r>
      <w:proofErr w:type="gramStart"/>
      <w:r>
        <w:rPr>
          <w:b/>
          <w:lang w:val="en-US"/>
        </w:rPr>
        <w:t>4</w:t>
      </w:r>
      <w:r w:rsidRPr="00EC4528">
        <w:rPr>
          <w:lang w:val="en-US"/>
        </w:rPr>
        <w:t xml:space="preserve">  Measured</w:t>
      </w:r>
      <w:proofErr w:type="gramEnd"/>
      <w:r w:rsidRPr="00EC4528">
        <w:rPr>
          <w:lang w:val="en-US"/>
        </w:rPr>
        <w:t xml:space="preserve"> (black lines) and quarterly average (grey columns) concentrations of dust-bound LLAA radionuclides in air at Jabiru town in 201</w:t>
      </w:r>
      <w:r>
        <w:rPr>
          <w:lang w:val="en-US"/>
        </w:rPr>
        <w:t>3</w:t>
      </w:r>
      <w:r w:rsidR="00F72007">
        <w:rPr>
          <w:lang w:val="en-US"/>
        </w:rPr>
        <w:t>.</w:t>
      </w:r>
    </w:p>
    <w:p w:rsidR="00572D79" w:rsidRDefault="00572D79" w:rsidP="00572D79">
      <w:pPr>
        <w:jc w:val="center"/>
        <w:rPr>
          <w:lang w:val="en-US"/>
        </w:rPr>
      </w:pPr>
      <w:r w:rsidRPr="00AE150A">
        <w:rPr>
          <w:noProof/>
          <w:lang w:eastAsia="en-AU"/>
        </w:rPr>
        <w:drawing>
          <wp:inline distT="0" distB="0" distL="0" distR="0">
            <wp:extent cx="4558327" cy="2315845"/>
            <wp:effectExtent l="19050" t="0" r="0" b="0"/>
            <wp:docPr id="1009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7" cstate="screen"/>
                    <a:srcRect/>
                    <a:stretch>
                      <a:fillRect/>
                    </a:stretch>
                  </pic:blipFill>
                  <pic:spPr bwMode="auto">
                    <a:xfrm>
                      <a:off x="0" y="0"/>
                      <a:ext cx="4558327" cy="2315845"/>
                    </a:xfrm>
                    <a:prstGeom prst="rect">
                      <a:avLst/>
                    </a:prstGeom>
                    <a:noFill/>
                    <a:ln w="9525">
                      <a:noFill/>
                      <a:miter lim="800000"/>
                      <a:headEnd/>
                      <a:tailEnd/>
                    </a:ln>
                  </pic:spPr>
                </pic:pic>
              </a:graphicData>
            </a:graphic>
          </wp:inline>
        </w:drawing>
      </w:r>
    </w:p>
    <w:p w:rsidR="00572D79" w:rsidRDefault="00572D79" w:rsidP="00572D79">
      <w:pPr>
        <w:pStyle w:val="figurecaption"/>
        <w:rPr>
          <w:lang w:val="en-US"/>
        </w:rPr>
      </w:pPr>
      <w:r w:rsidRPr="00EC4528">
        <w:rPr>
          <w:b/>
          <w:lang w:val="en-US"/>
        </w:rPr>
        <w:t xml:space="preserve">Figure </w:t>
      </w:r>
      <w:proofErr w:type="gramStart"/>
      <w:r>
        <w:rPr>
          <w:b/>
          <w:lang w:val="en-US"/>
        </w:rPr>
        <w:t>5</w:t>
      </w:r>
      <w:r w:rsidRPr="00EC4528">
        <w:rPr>
          <w:lang w:val="en-US"/>
        </w:rPr>
        <w:t xml:space="preserve">  Measured</w:t>
      </w:r>
      <w:proofErr w:type="gramEnd"/>
      <w:r w:rsidRPr="00EC4528">
        <w:rPr>
          <w:lang w:val="en-US"/>
        </w:rPr>
        <w:t xml:space="preserve"> (black lines) and quarterly average (grey columns) concentrations of dust-bound LLAA radionuclides in air at Four Gates Road radon station near the Mudginberri community in 201</w:t>
      </w:r>
      <w:r>
        <w:rPr>
          <w:lang w:val="en-US"/>
        </w:rPr>
        <w:t>3</w:t>
      </w:r>
      <w:r w:rsidR="00F72007">
        <w:rPr>
          <w:lang w:val="en-US"/>
        </w:rPr>
        <w:t>.</w:t>
      </w:r>
    </w:p>
    <w:p w:rsidR="00572D79" w:rsidRDefault="00572D79" w:rsidP="00572D79">
      <w:pPr>
        <w:rPr>
          <w:lang w:val="en-US"/>
        </w:rPr>
      </w:pPr>
      <w:r w:rsidRPr="00EC4528">
        <w:rPr>
          <w:lang w:val="en-US"/>
        </w:rPr>
        <w:t xml:space="preserve">Table 2 provides a summary of </w:t>
      </w:r>
      <w:r>
        <w:rPr>
          <w:lang w:val="en-US"/>
        </w:rPr>
        <w:t xml:space="preserve">the </w:t>
      </w:r>
      <w:r w:rsidRPr="00EC4528">
        <w:rPr>
          <w:lang w:val="en-US"/>
        </w:rPr>
        <w:t>annual average LLAA radionuclide concentration and estimated total and mine-related doses to the public</w:t>
      </w:r>
      <w:r>
        <w:rPr>
          <w:lang w:val="en-US"/>
        </w:rPr>
        <w:t xml:space="preserve"> at Jabiru town and Mudginberri</w:t>
      </w:r>
      <w:r w:rsidRPr="00EC4528">
        <w:rPr>
          <w:lang w:val="en-US"/>
        </w:rPr>
        <w:t>.</w:t>
      </w:r>
      <w:r>
        <w:rPr>
          <w:lang w:val="en-US"/>
        </w:rPr>
        <w:t xml:space="preserve"> </w:t>
      </w:r>
      <w:r w:rsidRPr="00EC4528">
        <w:rPr>
          <w:lang w:val="en-US"/>
        </w:rPr>
        <w:t>The total annual effective dose from dust-bound LLAA radionuclides, which includes contribution from natural background, has been estimated to be 0.007 mSv at Jabiru town and 0.00</w:t>
      </w:r>
      <w:r>
        <w:rPr>
          <w:lang w:val="en-US"/>
        </w:rPr>
        <w:t>5</w:t>
      </w:r>
      <w:r w:rsidRPr="00EC4528">
        <w:rPr>
          <w:lang w:val="en-US"/>
        </w:rPr>
        <w:t xml:space="preserve"> mSv at Mudginberri. This total annual dose has been estimated by calculating the time weighted annual average LLAA concentration from the individual samples and then multiplying with a dose </w:t>
      </w:r>
      <w:r>
        <w:rPr>
          <w:lang w:val="en-US"/>
        </w:rPr>
        <w:t xml:space="preserve">conversion factor </w:t>
      </w:r>
      <w:proofErr w:type="gramStart"/>
      <w:r>
        <w:rPr>
          <w:lang w:val="en-US"/>
        </w:rPr>
        <w:t>of 0.0061 mSv/</w:t>
      </w:r>
      <w:r w:rsidRPr="00EC4528">
        <w:rPr>
          <w:lang w:val="en-US"/>
        </w:rPr>
        <w:t>Bq</w:t>
      </w:r>
      <w:r w:rsidRPr="00A407F8">
        <w:rPr>
          <w:snapToGrid w:val="0"/>
          <w:color w:val="000000"/>
          <w:position w:val="-5"/>
          <w:sz w:val="15"/>
          <w:szCs w:val="0"/>
          <w:u w:color="000000"/>
          <w:lang w:val="en-US"/>
        </w:rPr>
        <w:t>α</w:t>
      </w:r>
      <w:r w:rsidRPr="00EC4528">
        <w:rPr>
          <w:lang w:val="en-US"/>
        </w:rPr>
        <w:t>, breathing rate of 0.75 m</w:t>
      </w:r>
      <w:r w:rsidRPr="00A407F8">
        <w:rPr>
          <w:snapToGrid w:val="0"/>
          <w:color w:val="000000"/>
          <w:position w:val="5"/>
          <w:sz w:val="15"/>
          <w:szCs w:val="0"/>
          <w:u w:color="000000"/>
          <w:lang w:val="en-US"/>
        </w:rPr>
        <w:t>3</w:t>
      </w:r>
      <w:r>
        <w:rPr>
          <w:lang w:val="en-US"/>
        </w:rPr>
        <w:t>/</w:t>
      </w:r>
      <w:r w:rsidRPr="00EC4528">
        <w:rPr>
          <w:lang w:val="en-US"/>
        </w:rPr>
        <w:t>h and assumed full year occupancy of 87</w:t>
      </w:r>
      <w:r>
        <w:rPr>
          <w:lang w:val="en-US"/>
        </w:rPr>
        <w:t>60</w:t>
      </w:r>
      <w:r w:rsidRPr="00EC4528">
        <w:rPr>
          <w:lang w:val="en-US"/>
        </w:rPr>
        <w:t xml:space="preserve"> hours</w:t>
      </w:r>
      <w:proofErr w:type="gramEnd"/>
      <w:r w:rsidRPr="00EC4528">
        <w:rPr>
          <w:lang w:val="en-US"/>
        </w:rPr>
        <w:t>.</w:t>
      </w:r>
    </w:p>
    <w:p w:rsidR="000447FC" w:rsidRDefault="00572D79" w:rsidP="000447FC">
      <w:pPr>
        <w:pStyle w:val="tablecaption"/>
      </w:pPr>
      <w:r w:rsidRPr="00951D50">
        <w:rPr>
          <w:b/>
        </w:rPr>
        <w:t xml:space="preserve">Table </w:t>
      </w:r>
      <w:proofErr w:type="gramStart"/>
      <w:r>
        <w:rPr>
          <w:b/>
        </w:rPr>
        <w:t>2</w:t>
      </w:r>
      <w:r w:rsidRPr="007D6F14">
        <w:t xml:space="preserve">  </w:t>
      </w:r>
      <w:r>
        <w:t>LLAA</w:t>
      </w:r>
      <w:proofErr w:type="gramEnd"/>
      <w:r>
        <w:t xml:space="preserve"> radionuclide concentrations in air and estimated doses to the public at Jabiru town and Mudginberri in 2013</w:t>
      </w:r>
      <w:r w:rsidR="00F72007">
        <w:t>.</w:t>
      </w:r>
      <w:r w:rsidR="000447FC" w:rsidRPr="000447FC">
        <w:t xml:space="preserve"> </w:t>
      </w:r>
    </w:p>
    <w:tbl>
      <w:tblPr>
        <w:tblW w:w="0" w:type="auto"/>
        <w:tblLook w:val="04A0"/>
      </w:tblPr>
      <w:tblGrid>
        <w:gridCol w:w="2840"/>
        <w:gridCol w:w="2841"/>
        <w:gridCol w:w="2841"/>
      </w:tblGrid>
      <w:tr w:rsidR="000447FC" w:rsidRPr="00CF1F0D" w:rsidTr="000447FC">
        <w:tc>
          <w:tcPr>
            <w:tcW w:w="2840" w:type="dxa"/>
            <w:tcBorders>
              <w:top w:val="single" w:sz="4" w:space="0" w:color="auto"/>
              <w:bottom w:val="single" w:sz="4" w:space="0" w:color="auto"/>
            </w:tcBorders>
          </w:tcPr>
          <w:p w:rsidR="000447FC" w:rsidRPr="00F72007" w:rsidRDefault="000447FC" w:rsidP="000447FC">
            <w:pPr>
              <w:pStyle w:val="table1"/>
              <w:rPr>
                <w:color w:val="000000"/>
                <w:u w:color="000000"/>
              </w:rPr>
            </w:pPr>
          </w:p>
        </w:tc>
        <w:tc>
          <w:tcPr>
            <w:tcW w:w="2841" w:type="dxa"/>
            <w:tcBorders>
              <w:top w:val="single" w:sz="4" w:space="0" w:color="auto"/>
              <w:bottom w:val="single" w:sz="4" w:space="0" w:color="auto"/>
            </w:tcBorders>
          </w:tcPr>
          <w:p w:rsidR="000447FC" w:rsidRPr="00F72007" w:rsidRDefault="000447FC" w:rsidP="000447FC">
            <w:pPr>
              <w:pStyle w:val="table1"/>
              <w:rPr>
                <w:b/>
                <w:color w:val="000000"/>
                <w:u w:color="000000"/>
              </w:rPr>
            </w:pPr>
            <w:r w:rsidRPr="00F72007">
              <w:rPr>
                <w:b/>
                <w:color w:val="000000"/>
                <w:u w:color="000000"/>
              </w:rPr>
              <w:t>Jabiru town</w:t>
            </w:r>
          </w:p>
        </w:tc>
        <w:tc>
          <w:tcPr>
            <w:tcW w:w="2841" w:type="dxa"/>
            <w:tcBorders>
              <w:top w:val="single" w:sz="4" w:space="0" w:color="auto"/>
              <w:bottom w:val="single" w:sz="4" w:space="0" w:color="auto"/>
            </w:tcBorders>
          </w:tcPr>
          <w:p w:rsidR="000447FC" w:rsidRPr="00F72007" w:rsidRDefault="000447FC" w:rsidP="000447FC">
            <w:pPr>
              <w:pStyle w:val="table1"/>
              <w:rPr>
                <w:b/>
                <w:color w:val="000000"/>
                <w:u w:color="000000"/>
              </w:rPr>
            </w:pPr>
            <w:r w:rsidRPr="00F72007">
              <w:rPr>
                <w:b/>
                <w:color w:val="000000"/>
                <w:u w:color="000000"/>
              </w:rPr>
              <w:t>Mudginberri</w:t>
            </w:r>
          </w:p>
        </w:tc>
      </w:tr>
      <w:tr w:rsidR="000447FC" w:rsidTr="000447FC">
        <w:tc>
          <w:tcPr>
            <w:tcW w:w="2840" w:type="dxa"/>
            <w:tcBorders>
              <w:top w:val="single" w:sz="4" w:space="0" w:color="auto"/>
            </w:tcBorders>
          </w:tcPr>
          <w:p w:rsidR="000447FC" w:rsidRPr="00F72007" w:rsidRDefault="000447FC" w:rsidP="000447FC">
            <w:pPr>
              <w:pStyle w:val="table1"/>
              <w:rPr>
                <w:color w:val="000000"/>
                <w:u w:color="000000"/>
              </w:rPr>
            </w:pPr>
            <w:r w:rsidRPr="00F72007">
              <w:rPr>
                <w:color w:val="000000"/>
                <w:u w:color="000000"/>
              </w:rPr>
              <w:t>Annual average LLAA (Bqα/m</w:t>
            </w:r>
            <w:r w:rsidRPr="00F72007">
              <w:rPr>
                <w:color w:val="000000"/>
                <w:u w:color="000000"/>
                <w:vertAlign w:val="superscript"/>
              </w:rPr>
              <w:t>3</w:t>
            </w:r>
            <w:r w:rsidRPr="00F72007">
              <w:rPr>
                <w:color w:val="000000"/>
                <w:u w:color="000000"/>
              </w:rPr>
              <w:t>)</w:t>
            </w:r>
          </w:p>
        </w:tc>
        <w:tc>
          <w:tcPr>
            <w:tcW w:w="2841" w:type="dxa"/>
            <w:tcBorders>
              <w:top w:val="single" w:sz="4" w:space="0" w:color="auto"/>
            </w:tcBorders>
          </w:tcPr>
          <w:p w:rsidR="000447FC" w:rsidRPr="00F72007" w:rsidRDefault="000447FC" w:rsidP="000447FC">
            <w:pPr>
              <w:pStyle w:val="table1"/>
              <w:rPr>
                <w:color w:val="000000"/>
                <w:u w:color="000000"/>
              </w:rPr>
            </w:pPr>
            <w:r w:rsidRPr="00F72007">
              <w:rPr>
                <w:rFonts w:cs="Arial"/>
                <w:color w:val="000000"/>
                <w:u w:color="000000"/>
              </w:rPr>
              <w:t>1.7×</w:t>
            </w:r>
            <w:r w:rsidRPr="00F72007">
              <w:rPr>
                <w:color w:val="000000"/>
                <w:u w:color="000000"/>
              </w:rPr>
              <w:t>10</w:t>
            </w:r>
            <w:r w:rsidRPr="00AA3E24">
              <w:rPr>
                <w:snapToGrid w:val="0"/>
                <w:color w:val="000000"/>
                <w:position w:val="4"/>
                <w:sz w:val="11"/>
                <w:szCs w:val="0"/>
                <w:u w:color="000000"/>
              </w:rPr>
              <w:t>-4</w:t>
            </w:r>
          </w:p>
        </w:tc>
        <w:tc>
          <w:tcPr>
            <w:tcW w:w="2841" w:type="dxa"/>
            <w:tcBorders>
              <w:top w:val="single" w:sz="4" w:space="0" w:color="auto"/>
            </w:tcBorders>
          </w:tcPr>
          <w:p w:rsidR="000447FC" w:rsidRPr="00F72007" w:rsidRDefault="000447FC" w:rsidP="000447FC">
            <w:pPr>
              <w:pStyle w:val="table1"/>
              <w:rPr>
                <w:color w:val="000000"/>
                <w:u w:color="000000"/>
              </w:rPr>
            </w:pPr>
            <w:r w:rsidRPr="00F72007">
              <w:rPr>
                <w:rFonts w:cs="Arial"/>
                <w:color w:val="000000"/>
                <w:u w:color="000000"/>
              </w:rPr>
              <w:t>1.3×</w:t>
            </w:r>
            <w:r w:rsidRPr="00F72007">
              <w:rPr>
                <w:color w:val="000000"/>
                <w:u w:color="000000"/>
              </w:rPr>
              <w:t>10</w:t>
            </w:r>
            <w:r w:rsidRPr="00AA3E24">
              <w:rPr>
                <w:snapToGrid w:val="0"/>
                <w:color w:val="000000"/>
                <w:position w:val="4"/>
                <w:sz w:val="11"/>
                <w:szCs w:val="0"/>
                <w:u w:color="000000"/>
              </w:rPr>
              <w:t>-4</w:t>
            </w:r>
          </w:p>
        </w:tc>
      </w:tr>
      <w:tr w:rsidR="000447FC" w:rsidTr="000447FC">
        <w:tc>
          <w:tcPr>
            <w:tcW w:w="2840" w:type="dxa"/>
          </w:tcPr>
          <w:p w:rsidR="000447FC" w:rsidRPr="00F72007" w:rsidRDefault="000447FC" w:rsidP="000447FC">
            <w:pPr>
              <w:pStyle w:val="table1"/>
              <w:rPr>
                <w:color w:val="000000"/>
                <w:u w:color="000000"/>
              </w:rPr>
            </w:pPr>
            <w:r w:rsidRPr="00F72007">
              <w:rPr>
                <w:color w:val="000000"/>
                <w:u w:color="000000"/>
              </w:rPr>
              <w:t xml:space="preserve">Total annual dose (mSv) </w:t>
            </w:r>
          </w:p>
        </w:tc>
        <w:tc>
          <w:tcPr>
            <w:tcW w:w="2841" w:type="dxa"/>
          </w:tcPr>
          <w:p w:rsidR="000447FC" w:rsidRPr="00F72007" w:rsidRDefault="000447FC" w:rsidP="000447FC">
            <w:pPr>
              <w:pStyle w:val="table1"/>
              <w:rPr>
                <w:color w:val="000000"/>
                <w:u w:color="000000"/>
              </w:rPr>
            </w:pPr>
            <w:r w:rsidRPr="00F72007">
              <w:rPr>
                <w:color w:val="000000"/>
                <w:u w:color="000000"/>
              </w:rPr>
              <w:t>0.007</w:t>
            </w:r>
          </w:p>
        </w:tc>
        <w:tc>
          <w:tcPr>
            <w:tcW w:w="2841" w:type="dxa"/>
          </w:tcPr>
          <w:p w:rsidR="000447FC" w:rsidRPr="00F72007" w:rsidRDefault="000447FC" w:rsidP="000447FC">
            <w:pPr>
              <w:pStyle w:val="table1"/>
              <w:rPr>
                <w:color w:val="000000"/>
                <w:u w:color="000000"/>
              </w:rPr>
            </w:pPr>
            <w:r w:rsidRPr="00F72007">
              <w:rPr>
                <w:color w:val="000000"/>
                <w:u w:color="000000"/>
              </w:rPr>
              <w:t>0.005</w:t>
            </w:r>
          </w:p>
        </w:tc>
      </w:tr>
      <w:tr w:rsidR="000447FC" w:rsidTr="000447FC">
        <w:tc>
          <w:tcPr>
            <w:tcW w:w="2840" w:type="dxa"/>
            <w:tcBorders>
              <w:bottom w:val="single" w:sz="4" w:space="0" w:color="auto"/>
            </w:tcBorders>
          </w:tcPr>
          <w:p w:rsidR="000447FC" w:rsidRPr="00F72007" w:rsidRDefault="000447FC" w:rsidP="000447FC">
            <w:pPr>
              <w:pStyle w:val="table1"/>
              <w:rPr>
                <w:color w:val="000000"/>
                <w:u w:color="000000"/>
              </w:rPr>
            </w:pPr>
            <w:r w:rsidRPr="00F72007">
              <w:rPr>
                <w:color w:val="000000"/>
                <w:u w:color="000000"/>
              </w:rPr>
              <w:t>Mine-related dose* (mSv)</w:t>
            </w:r>
          </w:p>
        </w:tc>
        <w:tc>
          <w:tcPr>
            <w:tcW w:w="2841" w:type="dxa"/>
            <w:tcBorders>
              <w:bottom w:val="single" w:sz="4" w:space="0" w:color="auto"/>
            </w:tcBorders>
          </w:tcPr>
          <w:p w:rsidR="000447FC" w:rsidRPr="00F72007" w:rsidRDefault="000447FC" w:rsidP="000447FC">
            <w:pPr>
              <w:pStyle w:val="table1"/>
              <w:rPr>
                <w:color w:val="000000"/>
                <w:u w:color="000000"/>
              </w:rPr>
            </w:pPr>
            <w:r w:rsidRPr="00F72007">
              <w:rPr>
                <w:color w:val="000000"/>
                <w:u w:color="000000"/>
              </w:rPr>
              <w:t>1</w:t>
            </w:r>
            <w:r w:rsidRPr="00F72007">
              <w:rPr>
                <w:rFonts w:cs="Arial"/>
                <w:color w:val="000000"/>
                <w:u w:color="000000"/>
              </w:rPr>
              <w:t>×</w:t>
            </w:r>
            <w:r w:rsidRPr="00F72007">
              <w:rPr>
                <w:color w:val="000000"/>
                <w:u w:color="000000"/>
              </w:rPr>
              <w:t>10</w:t>
            </w:r>
            <w:r w:rsidRPr="00AA3E24">
              <w:rPr>
                <w:snapToGrid w:val="0"/>
                <w:color w:val="000000"/>
                <w:position w:val="4"/>
                <w:sz w:val="11"/>
                <w:szCs w:val="0"/>
                <w:u w:color="000000"/>
              </w:rPr>
              <w:t>-3</w:t>
            </w:r>
          </w:p>
        </w:tc>
        <w:tc>
          <w:tcPr>
            <w:tcW w:w="2841" w:type="dxa"/>
            <w:tcBorders>
              <w:bottom w:val="single" w:sz="4" w:space="0" w:color="auto"/>
            </w:tcBorders>
          </w:tcPr>
          <w:p w:rsidR="000447FC" w:rsidRPr="00F72007" w:rsidRDefault="000447FC" w:rsidP="000447FC">
            <w:pPr>
              <w:pStyle w:val="table1"/>
              <w:rPr>
                <w:color w:val="000000"/>
                <w:u w:color="000000"/>
              </w:rPr>
            </w:pPr>
            <w:r w:rsidRPr="00F72007">
              <w:rPr>
                <w:rFonts w:cs="Arial"/>
                <w:color w:val="000000"/>
                <w:u w:color="000000"/>
              </w:rPr>
              <w:t>3×</w:t>
            </w:r>
            <w:r w:rsidRPr="00F72007">
              <w:rPr>
                <w:color w:val="000000"/>
                <w:u w:color="000000"/>
              </w:rPr>
              <w:t>10</w:t>
            </w:r>
            <w:r w:rsidRPr="00AA3E24">
              <w:rPr>
                <w:snapToGrid w:val="0"/>
                <w:color w:val="000000"/>
                <w:position w:val="4"/>
                <w:sz w:val="11"/>
                <w:szCs w:val="0"/>
                <w:u w:color="000000"/>
              </w:rPr>
              <w:t>-5</w:t>
            </w:r>
          </w:p>
        </w:tc>
      </w:tr>
    </w:tbl>
    <w:p w:rsidR="000447FC" w:rsidRDefault="000447FC" w:rsidP="000447FC">
      <w:pPr>
        <w:pStyle w:val="tablenote"/>
        <w:rPr>
          <w:lang w:val="en-US"/>
        </w:rPr>
      </w:pPr>
      <w:r w:rsidRPr="00CF1F0D">
        <w:rPr>
          <w:lang w:val="en-US"/>
        </w:rPr>
        <w:t>*</w:t>
      </w:r>
      <w:r w:rsidRPr="00CF1F0D">
        <w:rPr>
          <w:lang w:val="en-US"/>
        </w:rPr>
        <w:tab/>
      </w:r>
      <w:r w:rsidRPr="0022789F">
        <w:rPr>
          <w:lang w:val="en-US"/>
        </w:rPr>
        <w:t>Calculated from the assumption that the ratio of mine-related to total annual dose from dust is the same as that for radon progeny.</w:t>
      </w:r>
    </w:p>
    <w:p w:rsidR="00572D79" w:rsidRDefault="00572D79" w:rsidP="000447FC">
      <w:pPr>
        <w:rPr>
          <w:lang w:val="en-US"/>
        </w:rPr>
      </w:pPr>
      <w:r w:rsidRPr="0022789F">
        <w:rPr>
          <w:lang w:val="en-US"/>
        </w:rPr>
        <w:t xml:space="preserve">The mine-related dose from dust-bound LLAA radionuclides has been estimated </w:t>
      </w:r>
      <w:r>
        <w:rPr>
          <w:lang w:val="en-US"/>
        </w:rPr>
        <w:t xml:space="preserve">to be 0.001 mSv or less at both Jabiru town and Mudginberri. This dose has been calculated by </w:t>
      </w:r>
      <w:r w:rsidRPr="0022789F">
        <w:rPr>
          <w:lang w:val="en-US"/>
        </w:rPr>
        <w:t>assuming that the ratio of mine-related to total annual dose from dust is the same as that for radon progeny. This assumption is likely to result in an overestimate of the mine-related dose via the dust inhalation pathway. This is because dust in air should settle out much quicker as a function of distance from the mine compared with gaseous radon, meaning that the mine-related to total dose ratio for dust should be less than that for radon progeny.</w:t>
      </w:r>
    </w:p>
    <w:p w:rsidR="00572D79" w:rsidRDefault="00572D79" w:rsidP="004A78C3">
      <w:pPr>
        <w:pStyle w:val="Heading2"/>
        <w:rPr>
          <w:lang w:val="en-US"/>
        </w:rPr>
      </w:pPr>
      <w:r>
        <w:rPr>
          <w:lang w:val="en-US"/>
        </w:rPr>
        <w:t>Conclusions</w:t>
      </w:r>
    </w:p>
    <w:p w:rsidR="00572D79" w:rsidRDefault="00572D79" w:rsidP="00572D79">
      <w:pPr>
        <w:rPr>
          <w:lang w:val="en-US"/>
        </w:rPr>
      </w:pPr>
      <w:r>
        <w:rPr>
          <w:lang w:val="en-US"/>
        </w:rPr>
        <w:t xml:space="preserve">The </w:t>
      </w:r>
      <w:r w:rsidR="00F72007" w:rsidRPr="00326022">
        <w:rPr>
          <w:rFonts w:ascii="Times New Roman" w:hAnsi="Times New Roman"/>
          <w:b/>
          <w:i/>
          <w:sz w:val="26"/>
          <w:szCs w:val="26"/>
        </w:rPr>
        <w:t>eriss</w:t>
      </w:r>
      <w:r w:rsidR="00F72007">
        <w:rPr>
          <w:lang w:val="en-US"/>
        </w:rPr>
        <w:t xml:space="preserve"> </w:t>
      </w:r>
      <w:r>
        <w:rPr>
          <w:lang w:val="en-US"/>
        </w:rPr>
        <w:t>atmospheric radioactivity monitoring results for 2013 indicate that potential inhalation doses to the public from mine-related sources of radon progeny and dust-bound radionuclides in air are low and do not pose any unacceptable radiation risk.</w:t>
      </w:r>
    </w:p>
    <w:p w:rsidR="00572D79" w:rsidRDefault="00572D79" w:rsidP="00572D79">
      <w:pPr>
        <w:rPr>
          <w:lang w:val="en-US"/>
        </w:rPr>
      </w:pPr>
      <w:r w:rsidRPr="00E74802">
        <w:rPr>
          <w:lang w:val="en-US"/>
        </w:rPr>
        <w:t>The total annual effective dose from radon progeny in air, which includes contribution from natural background</w:t>
      </w:r>
      <w:r>
        <w:rPr>
          <w:lang w:val="en-US"/>
        </w:rPr>
        <w:t>, was estimated to be 0.405 mSv at Jabiru town and 0.382 mSv at Mudginberri. The mine-related component of this dose was only 0.055 mSv at Jabiru town and 0.002 mSv at Mudginberri.</w:t>
      </w:r>
    </w:p>
    <w:p w:rsidR="00572D79" w:rsidRDefault="00572D79" w:rsidP="00572D79">
      <w:pPr>
        <w:rPr>
          <w:lang w:val="en-US"/>
        </w:rPr>
      </w:pPr>
      <w:r w:rsidRPr="00E74802">
        <w:rPr>
          <w:lang w:val="en-US"/>
        </w:rPr>
        <w:t xml:space="preserve">The total annual effective dose from </w:t>
      </w:r>
      <w:r>
        <w:rPr>
          <w:lang w:val="en-US"/>
        </w:rPr>
        <w:t xml:space="preserve">dust-bound LLAA radionuclides </w:t>
      </w:r>
      <w:r w:rsidRPr="00E74802">
        <w:rPr>
          <w:lang w:val="en-US"/>
        </w:rPr>
        <w:t>in air, which includes contribution from natural background</w:t>
      </w:r>
      <w:r>
        <w:rPr>
          <w:lang w:val="en-US"/>
        </w:rPr>
        <w:t>, was estimated to be 0.007 mSv at Jabiru town and 0.005 mSv at Mudginberri. The mine-related component of this dose was 0.001 mSv or less at both Jabiru town and Mudginberri.</w:t>
      </w:r>
    </w:p>
    <w:p w:rsidR="00572D79" w:rsidRDefault="00572D79" w:rsidP="004A78C3">
      <w:pPr>
        <w:pStyle w:val="Heading2"/>
      </w:pPr>
      <w:r>
        <w:t>References</w:t>
      </w:r>
    </w:p>
    <w:p w:rsidR="00572D79" w:rsidRDefault="00572D79" w:rsidP="00572D79">
      <w:pPr>
        <w:pStyle w:val="referencelist1"/>
      </w:pPr>
      <w:proofErr w:type="gramStart"/>
      <w:r>
        <w:t>Australian Radiation Protection and Nuclear Safety Agency (ARPANSA) 2005.</w:t>
      </w:r>
      <w:proofErr w:type="gramEnd"/>
      <w:r>
        <w:t xml:space="preserve"> </w:t>
      </w:r>
      <w:proofErr w:type="gramStart"/>
      <w:r w:rsidRPr="00350D38">
        <w:rPr>
          <w:i/>
        </w:rPr>
        <w:t>Code of Practice for Radiation Protection and Radioactive Waste Management in Mining and Mineral Processing.</w:t>
      </w:r>
      <w:proofErr w:type="gramEnd"/>
      <w:r>
        <w:t xml:space="preserve"> Radiation Protection Series No. 9, ARPANSA, Yallambie.</w:t>
      </w:r>
    </w:p>
    <w:p w:rsidR="005468A2" w:rsidRDefault="00572D79" w:rsidP="00572D79">
      <w:pPr>
        <w:pStyle w:val="referencelist1"/>
        <w:rPr>
          <w:lang w:eastAsia="en-AU"/>
        </w:rPr>
        <w:sectPr w:rsidR="005468A2" w:rsidSect="00D444BD">
          <w:headerReference w:type="even" r:id="rId158"/>
          <w:footerReference w:type="even" r:id="rId159"/>
          <w:footerReference w:type="default" r:id="rId160"/>
          <w:headerReference w:type="first" r:id="rId161"/>
          <w:footerReference w:type="first" r:id="rId162"/>
          <w:pgSz w:w="11906" w:h="16838" w:code="9"/>
          <w:pgMar w:top="1440" w:right="1800" w:bottom="1440" w:left="1800" w:header="1080" w:footer="835" w:gutter="0"/>
          <w:cols w:space="360"/>
          <w:noEndnote/>
        </w:sectPr>
      </w:pPr>
      <w:proofErr w:type="gramStart"/>
      <w:r w:rsidRPr="00D11BA3">
        <w:rPr>
          <w:lang w:eastAsia="en-AU"/>
        </w:rPr>
        <w:t>ICRP 1993.</w:t>
      </w:r>
      <w:proofErr w:type="gramEnd"/>
      <w:r w:rsidRPr="00D11BA3">
        <w:rPr>
          <w:lang w:eastAsia="en-AU"/>
        </w:rPr>
        <w:t xml:space="preserve"> </w:t>
      </w:r>
      <w:proofErr w:type="gramStart"/>
      <w:r w:rsidRPr="00F72007">
        <w:rPr>
          <w:lang w:eastAsia="en-AU"/>
        </w:rPr>
        <w:t>Protection against radon-222 at home and at work.</w:t>
      </w:r>
      <w:proofErr w:type="gramEnd"/>
      <w:r w:rsidRPr="00D11BA3">
        <w:rPr>
          <w:lang w:eastAsia="en-AU"/>
        </w:rPr>
        <w:t xml:space="preserve"> </w:t>
      </w:r>
      <w:proofErr w:type="gramStart"/>
      <w:r w:rsidRPr="00D11BA3">
        <w:rPr>
          <w:lang w:eastAsia="en-AU"/>
        </w:rPr>
        <w:t xml:space="preserve">ICRP Publication 65, </w:t>
      </w:r>
      <w:r w:rsidRPr="00F72007">
        <w:rPr>
          <w:i/>
          <w:lang w:eastAsia="en-AU"/>
        </w:rPr>
        <w:t xml:space="preserve">Annals of the ICRP </w:t>
      </w:r>
      <w:r>
        <w:rPr>
          <w:lang w:eastAsia="en-AU"/>
        </w:rPr>
        <w:t>23(2).</w:t>
      </w:r>
      <w:proofErr w:type="gramEnd"/>
    </w:p>
    <w:p w:rsidR="00687AE9" w:rsidRPr="00F3512C" w:rsidRDefault="00687AE9" w:rsidP="00687AE9">
      <w:pPr>
        <w:pStyle w:val="Heading1"/>
        <w:jc w:val="both"/>
      </w:pPr>
      <w:bookmarkStart w:id="193" w:name="_Toc418172709"/>
      <w:r w:rsidRPr="00F3512C">
        <w:t xml:space="preserve">Environmental factors </w:t>
      </w:r>
      <w:r w:rsidRPr="00115339">
        <w:t>associated</w:t>
      </w:r>
      <w:r w:rsidRPr="00F3512C">
        <w:t xml:space="preserve"> with toxicity monitoring in Magela and Gulungul Creeks</w:t>
      </w:r>
      <w:bookmarkEnd w:id="193"/>
    </w:p>
    <w:p w:rsidR="00687AE9" w:rsidRPr="009B5C62" w:rsidRDefault="00687AE9" w:rsidP="00687AE9">
      <w:pPr>
        <w:pStyle w:val="Heading3"/>
        <w:spacing w:after="480"/>
        <w:jc w:val="center"/>
      </w:pPr>
      <w:r>
        <w:t>C Humphrey &amp; M Ellis</w:t>
      </w:r>
    </w:p>
    <w:p w:rsidR="00687AE9" w:rsidRDefault="00687AE9" w:rsidP="00687AE9">
      <w:pPr>
        <w:pStyle w:val="Heading2"/>
      </w:pPr>
      <w:r w:rsidRPr="00F3512C">
        <w:t>Influences of different snail culturing conditions on the snail egg production response</w:t>
      </w:r>
    </w:p>
    <w:p w:rsidR="00687AE9" w:rsidRDefault="00687AE9" w:rsidP="00A0026F">
      <w:pPr>
        <w:pStyle w:val="Heading3"/>
      </w:pPr>
      <w:r w:rsidRPr="00F3512C">
        <w:t>Background</w:t>
      </w:r>
    </w:p>
    <w:p w:rsidR="00687AE9" w:rsidRPr="00F3512C" w:rsidRDefault="00687AE9" w:rsidP="00687AE9">
      <w:r w:rsidRPr="00F3512C">
        <w:t>The influence of culturing conditions under which snails are reared</w:t>
      </w:r>
      <w:r>
        <w:t xml:space="preserve"> for toxicity monitoring (Humphrey et al</w:t>
      </w:r>
      <w:r w:rsidR="00F72AD6">
        <w:t>.</w:t>
      </w:r>
      <w:r>
        <w:t xml:space="preserve"> 2015)</w:t>
      </w:r>
      <w:r w:rsidRPr="00F3512C">
        <w:t xml:space="preserve">, is a potential source of variability in egg production during wet season test exposures in the creeks. This was described </w:t>
      </w:r>
      <w:r>
        <w:t>previously by Humphrey &amp; Ellis (2014)</w:t>
      </w:r>
      <w:r w:rsidRPr="00F3512C">
        <w:t xml:space="preserve">. Since the 2011–12 wet </w:t>
      </w:r>
      <w:proofErr w:type="gramStart"/>
      <w:r w:rsidRPr="00F3512C">
        <w:t>season</w:t>
      </w:r>
      <w:proofErr w:type="gramEnd"/>
      <w:r w:rsidRPr="00F3512C">
        <w:t>, snail stocks for test exposures have been sourced from both shallow static shallow water containers and deep (~1.1 m) containers with a non-static Recirculating Aquaculture System (RAS). For the 2012–13 wet season testing, egg production was compared under routine creek testing conditions between snails cultured under the two culture-water regimes. ‘Age’ of the snail cohort, as measured by length of time from initial container seeding with egg masses to use of the snails in a toxicity monitoring test, was also examined. However continuous growth and recruitment of snails from the progeny of ensuing generations of snails held in each container was not strictly controlled and so this aspect could not be properly assessed.</w:t>
      </w:r>
    </w:p>
    <w:p w:rsidR="00687AE9" w:rsidRPr="00F3512C" w:rsidRDefault="00687AE9" w:rsidP="00687AE9">
      <w:r w:rsidRPr="00F3512C">
        <w:t>Container type (shallow/deep) was found to be a highly significant source of variation in snail egg counts in the tests: snails sourced from shallow static containers produced more eggs than those from the deep (RAS) containers (P = 0.0001). No ready explanation for this difference was provided at the time. However the more frequent dilution of RAS waters with reverse osmosis-filtered and tap (bore) waters may be removing nutrients and potential for algal food production in these containers.</w:t>
      </w:r>
    </w:p>
    <w:p w:rsidR="00687AE9" w:rsidRPr="00F3512C" w:rsidRDefault="00687AE9" w:rsidP="00687AE9">
      <w:r w:rsidRPr="00F3512C">
        <w:t>It was not always possible to attribute an egg count from each snail pair to a specific treatment type in the 2012–13 data analyses.  This is because snails were not necessarily sourced from the same culture-water regime when setting up replicate pairs of snails placed in each egg-laying chamber.</w:t>
      </w:r>
    </w:p>
    <w:p w:rsidR="00687AE9" w:rsidRDefault="00687AE9" w:rsidP="00A0026F">
      <w:pPr>
        <w:pStyle w:val="Heading3"/>
      </w:pPr>
      <w:r w:rsidRPr="00F3512C">
        <w:t>Methods</w:t>
      </w:r>
    </w:p>
    <w:p w:rsidR="00687AE9" w:rsidRPr="00F3512C" w:rsidRDefault="00687AE9" w:rsidP="00687AE9">
      <w:r w:rsidRPr="00F3512C">
        <w:t>With improvements to the design used in the previous wet season, the effect of snail culturing treatments was further examined in the 2013–14 wet. Two broad treatment classes were adopted:</w:t>
      </w:r>
    </w:p>
    <w:p w:rsidR="00687AE9" w:rsidRPr="00F3512C" w:rsidRDefault="00687AE9" w:rsidP="00687AE9">
      <w:pPr>
        <w:pStyle w:val="ListParagraph"/>
        <w:numPr>
          <w:ilvl w:val="0"/>
          <w:numId w:val="9"/>
        </w:numPr>
      </w:pPr>
      <w:r w:rsidRPr="00F3512C">
        <w:t>Deep recirculating aquaculture systems (RAS) (2500 L) versus shallow static containers (1000 L), as used in previous years; and</w:t>
      </w:r>
    </w:p>
    <w:p w:rsidR="00687AE9" w:rsidRPr="00F3512C" w:rsidRDefault="00687AE9" w:rsidP="00687AE9">
      <w:pPr>
        <w:pStyle w:val="ListParagraph"/>
        <w:numPr>
          <w:ilvl w:val="0"/>
          <w:numId w:val="9"/>
        </w:numPr>
      </w:pPr>
      <w:r w:rsidRPr="00F3512C">
        <w:t>Snail stocks established at the start of the wet season and self-replenishing throughout the ensuing wet season (‘established’) versus stocks re-established as new ‘cohorts’ at regular intervals. Established stocks developed mixed age classes over time, the oldest snails of which could span the entire wet season (230 days), while ‘cohort’ stocks contained snails between 53 and 112 days of age at the time of testing (Figure 1). Thus cohort snails were of known, and on average younger, age compared to established snails. Four consecutive cohorts were established for wet season testing. Upper numeric values in the 2nd horizontal axis of Figure 1 delineate, and indicate age of, cohorts used for testing.</w:t>
      </w:r>
    </w:p>
    <w:p w:rsidR="00687AE9" w:rsidRDefault="00687AE9" w:rsidP="00687AE9">
      <w:r w:rsidRPr="00F3512C">
        <w:t>It was possible to further compare egg production for snails held in shallow containers by positioning these either under a broad open awning (‘outside’) or inside a walled-in portion of the same facility (‘inside’). Shallow containers held ‘inside’ were subject to darker day-time conditions (albeit unquantified) while the water temperature outside reached slightly higher day-time but slightly lower night-time water temperatures (± 0.5°C) (data not shown). Differences in egg production between these treatments could thereby indicate light and/or water temperature effects upon egg production.</w:t>
      </w:r>
    </w:p>
    <w:p w:rsidR="00687AE9" w:rsidRDefault="00687AE9" w:rsidP="00687AE9">
      <w:r w:rsidRPr="00F3512C">
        <w:t xml:space="preserve">A total of six treatments were tested over the 2013–14 wet </w:t>
      </w:r>
      <w:proofErr w:type="gramStart"/>
      <w:r w:rsidRPr="00F3512C">
        <w:t>season</w:t>
      </w:r>
      <w:proofErr w:type="gramEnd"/>
      <w:r w:rsidRPr="00F3512C">
        <w:t>:</w:t>
      </w:r>
    </w:p>
    <w:tbl>
      <w:tblPr>
        <w:tblW w:w="0" w:type="auto"/>
        <w:tblLook w:val="04A0"/>
      </w:tblPr>
      <w:tblGrid>
        <w:gridCol w:w="2376"/>
        <w:gridCol w:w="1380"/>
        <w:gridCol w:w="2448"/>
      </w:tblGrid>
      <w:tr w:rsidR="00687AE9" w:rsidRPr="00F3512C" w:rsidTr="001751CC">
        <w:trPr>
          <w:trHeight w:val="283"/>
        </w:trPr>
        <w:tc>
          <w:tcPr>
            <w:tcW w:w="2376" w:type="dxa"/>
          </w:tcPr>
          <w:p w:rsidR="00687AE9" w:rsidRPr="00F3512C" w:rsidRDefault="00687AE9" w:rsidP="001751CC">
            <w:pPr>
              <w:numPr>
                <w:ilvl w:val="0"/>
                <w:numId w:val="10"/>
              </w:numPr>
              <w:spacing w:after="100" w:line="260" w:lineRule="atLeast"/>
              <w:ind w:left="426"/>
              <w:contextualSpacing/>
              <w:jc w:val="left"/>
              <w:rPr>
                <w:szCs w:val="24"/>
                <w:lang w:eastAsia="en-AU"/>
              </w:rPr>
            </w:pPr>
            <w:r w:rsidRPr="00F3512C">
              <w:rPr>
                <w:color w:val="000000"/>
                <w:szCs w:val="24"/>
              </w:rPr>
              <w:t>RAS - Deep</w:t>
            </w:r>
          </w:p>
        </w:tc>
        <w:tc>
          <w:tcPr>
            <w:tcW w:w="1380" w:type="dxa"/>
            <w:vAlign w:val="bottom"/>
          </w:tcPr>
          <w:p w:rsidR="00687AE9" w:rsidRPr="00F3512C" w:rsidRDefault="00687AE9" w:rsidP="001751CC">
            <w:pPr>
              <w:spacing w:line="260" w:lineRule="atLeast"/>
              <w:jc w:val="left"/>
              <w:rPr>
                <w:szCs w:val="24"/>
                <w:lang w:eastAsia="en-AU"/>
              </w:rPr>
            </w:pPr>
            <w:r w:rsidRPr="00F3512C">
              <w:rPr>
                <w:color w:val="000000"/>
                <w:szCs w:val="24"/>
              </w:rPr>
              <w:t>Outside</w:t>
            </w:r>
          </w:p>
        </w:tc>
        <w:tc>
          <w:tcPr>
            <w:tcW w:w="2448" w:type="dxa"/>
          </w:tcPr>
          <w:p w:rsidR="00687AE9" w:rsidRPr="00F3512C" w:rsidRDefault="00687AE9" w:rsidP="001751CC">
            <w:pPr>
              <w:spacing w:line="260" w:lineRule="atLeast"/>
              <w:ind w:left="72"/>
              <w:rPr>
                <w:szCs w:val="24"/>
                <w:lang w:eastAsia="en-AU"/>
              </w:rPr>
            </w:pPr>
            <w:r w:rsidRPr="00F3512C">
              <w:rPr>
                <w:color w:val="000000"/>
                <w:szCs w:val="24"/>
              </w:rPr>
              <w:t>Established at start</w:t>
            </w:r>
          </w:p>
        </w:tc>
      </w:tr>
      <w:tr w:rsidR="00687AE9" w:rsidRPr="00F3512C" w:rsidTr="001751CC">
        <w:trPr>
          <w:trHeight w:val="283"/>
        </w:trPr>
        <w:tc>
          <w:tcPr>
            <w:tcW w:w="2376" w:type="dxa"/>
          </w:tcPr>
          <w:p w:rsidR="00687AE9" w:rsidRPr="00F3512C" w:rsidRDefault="00687AE9" w:rsidP="001751CC">
            <w:pPr>
              <w:numPr>
                <w:ilvl w:val="0"/>
                <w:numId w:val="10"/>
              </w:numPr>
              <w:spacing w:after="100" w:line="260" w:lineRule="atLeast"/>
              <w:ind w:left="426"/>
              <w:contextualSpacing/>
              <w:jc w:val="left"/>
              <w:rPr>
                <w:szCs w:val="24"/>
                <w:lang w:eastAsia="en-AU"/>
              </w:rPr>
            </w:pPr>
            <w:r w:rsidRPr="00F3512C">
              <w:rPr>
                <w:color w:val="000000"/>
                <w:szCs w:val="24"/>
              </w:rPr>
              <w:t>RAS - Deep</w:t>
            </w:r>
          </w:p>
        </w:tc>
        <w:tc>
          <w:tcPr>
            <w:tcW w:w="1380" w:type="dxa"/>
            <w:vAlign w:val="bottom"/>
          </w:tcPr>
          <w:p w:rsidR="00687AE9" w:rsidRPr="00F3512C" w:rsidRDefault="00687AE9" w:rsidP="001751CC">
            <w:pPr>
              <w:spacing w:line="260" w:lineRule="atLeast"/>
              <w:jc w:val="left"/>
              <w:rPr>
                <w:szCs w:val="24"/>
                <w:lang w:eastAsia="en-AU"/>
              </w:rPr>
            </w:pPr>
            <w:r w:rsidRPr="00F3512C">
              <w:rPr>
                <w:color w:val="000000"/>
                <w:szCs w:val="24"/>
              </w:rPr>
              <w:t>Outside</w:t>
            </w:r>
          </w:p>
        </w:tc>
        <w:tc>
          <w:tcPr>
            <w:tcW w:w="2448" w:type="dxa"/>
          </w:tcPr>
          <w:p w:rsidR="00687AE9" w:rsidRPr="00F3512C" w:rsidRDefault="00687AE9" w:rsidP="001751CC">
            <w:pPr>
              <w:spacing w:line="260" w:lineRule="atLeast"/>
              <w:ind w:left="72"/>
              <w:rPr>
                <w:szCs w:val="24"/>
                <w:lang w:eastAsia="en-AU"/>
              </w:rPr>
            </w:pPr>
            <w:r w:rsidRPr="00F3512C">
              <w:rPr>
                <w:color w:val="000000"/>
                <w:szCs w:val="24"/>
              </w:rPr>
              <w:t>Cohorts</w:t>
            </w:r>
          </w:p>
        </w:tc>
      </w:tr>
      <w:tr w:rsidR="00687AE9" w:rsidRPr="00F3512C" w:rsidTr="001751CC">
        <w:trPr>
          <w:trHeight w:val="283"/>
        </w:trPr>
        <w:tc>
          <w:tcPr>
            <w:tcW w:w="2376" w:type="dxa"/>
          </w:tcPr>
          <w:p w:rsidR="00687AE9" w:rsidRPr="00F3512C" w:rsidRDefault="00687AE9" w:rsidP="001751CC">
            <w:pPr>
              <w:numPr>
                <w:ilvl w:val="0"/>
                <w:numId w:val="10"/>
              </w:numPr>
              <w:spacing w:after="100" w:line="260" w:lineRule="atLeast"/>
              <w:ind w:left="426"/>
              <w:contextualSpacing/>
              <w:jc w:val="left"/>
              <w:rPr>
                <w:szCs w:val="24"/>
                <w:lang w:eastAsia="en-AU"/>
              </w:rPr>
            </w:pPr>
            <w:r w:rsidRPr="00F3512C">
              <w:rPr>
                <w:color w:val="000000"/>
                <w:szCs w:val="24"/>
              </w:rPr>
              <w:t>Static shallow</w:t>
            </w:r>
          </w:p>
        </w:tc>
        <w:tc>
          <w:tcPr>
            <w:tcW w:w="1380" w:type="dxa"/>
            <w:vAlign w:val="bottom"/>
          </w:tcPr>
          <w:p w:rsidR="00687AE9" w:rsidRPr="00F3512C" w:rsidRDefault="00687AE9" w:rsidP="001751CC">
            <w:pPr>
              <w:spacing w:line="260" w:lineRule="atLeast"/>
              <w:jc w:val="left"/>
              <w:rPr>
                <w:szCs w:val="24"/>
                <w:lang w:eastAsia="en-AU"/>
              </w:rPr>
            </w:pPr>
            <w:r w:rsidRPr="00F3512C">
              <w:rPr>
                <w:color w:val="000000"/>
                <w:szCs w:val="24"/>
              </w:rPr>
              <w:t>Outside</w:t>
            </w:r>
          </w:p>
        </w:tc>
        <w:tc>
          <w:tcPr>
            <w:tcW w:w="2448" w:type="dxa"/>
          </w:tcPr>
          <w:p w:rsidR="00687AE9" w:rsidRPr="00F3512C" w:rsidRDefault="00687AE9" w:rsidP="001751CC">
            <w:pPr>
              <w:spacing w:line="260" w:lineRule="atLeast"/>
              <w:ind w:left="72"/>
              <w:rPr>
                <w:szCs w:val="24"/>
                <w:lang w:eastAsia="en-AU"/>
              </w:rPr>
            </w:pPr>
            <w:r w:rsidRPr="00F3512C">
              <w:rPr>
                <w:color w:val="000000"/>
                <w:szCs w:val="24"/>
              </w:rPr>
              <w:t>Established at start</w:t>
            </w:r>
          </w:p>
        </w:tc>
      </w:tr>
      <w:tr w:rsidR="00687AE9" w:rsidRPr="00F3512C" w:rsidTr="001751CC">
        <w:trPr>
          <w:trHeight w:val="283"/>
        </w:trPr>
        <w:tc>
          <w:tcPr>
            <w:tcW w:w="2376" w:type="dxa"/>
          </w:tcPr>
          <w:p w:rsidR="00687AE9" w:rsidRPr="00F3512C" w:rsidRDefault="00687AE9" w:rsidP="001751CC">
            <w:pPr>
              <w:numPr>
                <w:ilvl w:val="0"/>
                <w:numId w:val="10"/>
              </w:numPr>
              <w:spacing w:after="100" w:line="260" w:lineRule="atLeast"/>
              <w:ind w:left="426"/>
              <w:contextualSpacing/>
              <w:jc w:val="left"/>
              <w:rPr>
                <w:szCs w:val="24"/>
                <w:lang w:eastAsia="en-AU"/>
              </w:rPr>
            </w:pPr>
            <w:r w:rsidRPr="00F3512C">
              <w:rPr>
                <w:color w:val="000000"/>
                <w:szCs w:val="24"/>
              </w:rPr>
              <w:t>Static shallow</w:t>
            </w:r>
          </w:p>
        </w:tc>
        <w:tc>
          <w:tcPr>
            <w:tcW w:w="1380" w:type="dxa"/>
            <w:vAlign w:val="bottom"/>
          </w:tcPr>
          <w:p w:rsidR="00687AE9" w:rsidRPr="00F3512C" w:rsidRDefault="00687AE9" w:rsidP="001751CC">
            <w:pPr>
              <w:spacing w:line="260" w:lineRule="atLeast"/>
              <w:jc w:val="left"/>
              <w:rPr>
                <w:szCs w:val="24"/>
                <w:lang w:eastAsia="en-AU"/>
              </w:rPr>
            </w:pPr>
            <w:r w:rsidRPr="00F3512C">
              <w:rPr>
                <w:color w:val="000000"/>
                <w:szCs w:val="24"/>
              </w:rPr>
              <w:t>Outside</w:t>
            </w:r>
          </w:p>
        </w:tc>
        <w:tc>
          <w:tcPr>
            <w:tcW w:w="2448" w:type="dxa"/>
          </w:tcPr>
          <w:p w:rsidR="00687AE9" w:rsidRPr="00F3512C" w:rsidRDefault="00687AE9" w:rsidP="001751CC">
            <w:pPr>
              <w:spacing w:line="260" w:lineRule="atLeast"/>
              <w:ind w:left="72"/>
              <w:rPr>
                <w:szCs w:val="24"/>
                <w:lang w:eastAsia="en-AU"/>
              </w:rPr>
            </w:pPr>
            <w:r w:rsidRPr="00F3512C">
              <w:rPr>
                <w:color w:val="000000"/>
                <w:szCs w:val="24"/>
              </w:rPr>
              <w:t>Cohorts</w:t>
            </w:r>
          </w:p>
        </w:tc>
      </w:tr>
      <w:tr w:rsidR="00687AE9" w:rsidRPr="00F3512C" w:rsidTr="001751CC">
        <w:trPr>
          <w:trHeight w:val="283"/>
        </w:trPr>
        <w:tc>
          <w:tcPr>
            <w:tcW w:w="2376" w:type="dxa"/>
          </w:tcPr>
          <w:p w:rsidR="00687AE9" w:rsidRPr="00F3512C" w:rsidRDefault="00687AE9" w:rsidP="001751CC">
            <w:pPr>
              <w:numPr>
                <w:ilvl w:val="0"/>
                <w:numId w:val="10"/>
              </w:numPr>
              <w:spacing w:after="100" w:line="260" w:lineRule="atLeast"/>
              <w:ind w:left="426"/>
              <w:contextualSpacing/>
              <w:jc w:val="left"/>
              <w:rPr>
                <w:szCs w:val="24"/>
                <w:lang w:eastAsia="en-AU"/>
              </w:rPr>
            </w:pPr>
            <w:r w:rsidRPr="00F3512C">
              <w:rPr>
                <w:color w:val="000000"/>
                <w:szCs w:val="24"/>
              </w:rPr>
              <w:t>Static shallow</w:t>
            </w:r>
          </w:p>
        </w:tc>
        <w:tc>
          <w:tcPr>
            <w:tcW w:w="1380" w:type="dxa"/>
            <w:vAlign w:val="bottom"/>
          </w:tcPr>
          <w:p w:rsidR="00687AE9" w:rsidRPr="00F3512C" w:rsidRDefault="00687AE9" w:rsidP="001751CC">
            <w:pPr>
              <w:spacing w:line="260" w:lineRule="atLeast"/>
              <w:jc w:val="left"/>
              <w:rPr>
                <w:szCs w:val="24"/>
                <w:lang w:eastAsia="en-AU"/>
              </w:rPr>
            </w:pPr>
            <w:r w:rsidRPr="00F3512C">
              <w:rPr>
                <w:szCs w:val="24"/>
                <w:lang w:eastAsia="en-AU"/>
              </w:rPr>
              <w:t>Inside</w:t>
            </w:r>
          </w:p>
        </w:tc>
        <w:tc>
          <w:tcPr>
            <w:tcW w:w="2448" w:type="dxa"/>
          </w:tcPr>
          <w:p w:rsidR="00687AE9" w:rsidRPr="00F3512C" w:rsidRDefault="00687AE9" w:rsidP="001751CC">
            <w:pPr>
              <w:spacing w:line="260" w:lineRule="atLeast"/>
              <w:ind w:left="72"/>
              <w:rPr>
                <w:szCs w:val="24"/>
                <w:lang w:eastAsia="en-AU"/>
              </w:rPr>
            </w:pPr>
            <w:r w:rsidRPr="00F3512C">
              <w:rPr>
                <w:color w:val="000000"/>
                <w:szCs w:val="24"/>
              </w:rPr>
              <w:t>Established at start</w:t>
            </w:r>
          </w:p>
        </w:tc>
      </w:tr>
      <w:tr w:rsidR="00687AE9" w:rsidRPr="00F3512C" w:rsidTr="001751CC">
        <w:trPr>
          <w:trHeight w:val="283"/>
        </w:trPr>
        <w:tc>
          <w:tcPr>
            <w:tcW w:w="2376" w:type="dxa"/>
          </w:tcPr>
          <w:p w:rsidR="00687AE9" w:rsidRPr="00F3512C" w:rsidRDefault="00687AE9" w:rsidP="001751CC">
            <w:pPr>
              <w:numPr>
                <w:ilvl w:val="0"/>
                <w:numId w:val="10"/>
              </w:numPr>
              <w:spacing w:after="100" w:line="260" w:lineRule="atLeast"/>
              <w:ind w:left="426"/>
              <w:contextualSpacing/>
              <w:jc w:val="left"/>
              <w:rPr>
                <w:szCs w:val="24"/>
                <w:lang w:eastAsia="en-AU"/>
              </w:rPr>
            </w:pPr>
            <w:r w:rsidRPr="00F3512C">
              <w:rPr>
                <w:color w:val="000000"/>
                <w:szCs w:val="24"/>
              </w:rPr>
              <w:t>Static shallow</w:t>
            </w:r>
          </w:p>
        </w:tc>
        <w:tc>
          <w:tcPr>
            <w:tcW w:w="1380" w:type="dxa"/>
            <w:vAlign w:val="bottom"/>
          </w:tcPr>
          <w:p w:rsidR="00687AE9" w:rsidRPr="00F3512C" w:rsidRDefault="00687AE9" w:rsidP="001751CC">
            <w:pPr>
              <w:spacing w:line="260" w:lineRule="atLeast"/>
              <w:jc w:val="left"/>
              <w:rPr>
                <w:szCs w:val="24"/>
                <w:lang w:eastAsia="en-AU"/>
              </w:rPr>
            </w:pPr>
            <w:r w:rsidRPr="00F3512C">
              <w:rPr>
                <w:color w:val="000000"/>
                <w:szCs w:val="24"/>
              </w:rPr>
              <w:t>Inside</w:t>
            </w:r>
          </w:p>
        </w:tc>
        <w:tc>
          <w:tcPr>
            <w:tcW w:w="2448" w:type="dxa"/>
          </w:tcPr>
          <w:p w:rsidR="00687AE9" w:rsidRPr="00F3512C" w:rsidRDefault="00687AE9" w:rsidP="001751CC">
            <w:pPr>
              <w:spacing w:line="260" w:lineRule="atLeast"/>
              <w:ind w:left="72"/>
              <w:rPr>
                <w:szCs w:val="24"/>
                <w:lang w:eastAsia="en-AU"/>
              </w:rPr>
            </w:pPr>
            <w:r w:rsidRPr="00F3512C">
              <w:rPr>
                <w:color w:val="000000"/>
                <w:szCs w:val="24"/>
              </w:rPr>
              <w:t>Cohorts</w:t>
            </w:r>
          </w:p>
        </w:tc>
      </w:tr>
    </w:tbl>
    <w:p w:rsidR="00687AE9" w:rsidRPr="00F3512C" w:rsidRDefault="00687AE9" w:rsidP="00687AE9">
      <w:r w:rsidRPr="00F3512C">
        <w:t xml:space="preserve">For each toxicity monitoring test and each creek and site (upstream/downstream), replicate snail pairs were selected for testing in equal numbers from across the six treatments described above (i.e. 3 snail pairs per treatment, per site). Thus, and unlike the 2012–13 wet </w:t>
      </w:r>
      <w:proofErr w:type="gramStart"/>
      <w:r w:rsidRPr="00F3512C">
        <w:t>season</w:t>
      </w:r>
      <w:proofErr w:type="gramEnd"/>
      <w:r w:rsidRPr="00F3512C">
        <w:t xml:space="preserve">, each snail pair was sourced from the same treatment. The total egg count arising from each replicate snail pair was determined, with mean values for all replicate pairs from each of the six treatments plotted for each test in Figure 1. </w:t>
      </w:r>
    </w:p>
    <w:p w:rsidR="00687AE9" w:rsidRDefault="00687AE9" w:rsidP="00687AE9">
      <w:r w:rsidRPr="00F3512C">
        <w:t>Analysis of variance (ANOVA) testing was used to examine egg number differences amongst the six treatments (see above) for creeks combined and for separate creeks (from Figure 1). Container age varied with each test and so this factor was unevenly distributed amongst container types and could only be nested within this factor. In the previous year’s analysis (</w:t>
      </w:r>
      <w:r>
        <w:t>Humphrey &amp; Ellis 2014</w:t>
      </w:r>
      <w:r w:rsidRPr="00F3512C">
        <w:t xml:space="preserve">), snail size, snail weight, site (up/downstream) and test order were additional covariates or factors included in the analysis. For reasons outlined </w:t>
      </w:r>
      <w:r>
        <w:t>by Humphrey &amp; Ellis (2014)</w:t>
      </w:r>
      <w:r w:rsidRPr="00F3512C">
        <w:t xml:space="preserve"> these covariates and factors were not considered in the current ANOVA.</w:t>
      </w:r>
    </w:p>
    <w:p w:rsidR="00687AE9" w:rsidRDefault="00687AE9" w:rsidP="00A0026F">
      <w:pPr>
        <w:pStyle w:val="Heading3"/>
      </w:pPr>
      <w:r w:rsidRPr="00F3512C">
        <w:t>Results</w:t>
      </w:r>
    </w:p>
    <w:p w:rsidR="00687AE9" w:rsidRPr="00F3512C" w:rsidRDefault="00687AE9" w:rsidP="00687AE9">
      <w:r w:rsidRPr="00F3512C">
        <w:t>ANOVA testing showed:</w:t>
      </w:r>
    </w:p>
    <w:p w:rsidR="00687AE9" w:rsidRPr="00F3512C" w:rsidRDefault="00687AE9" w:rsidP="00A0026F">
      <w:pPr>
        <w:pStyle w:val="Normallist1"/>
        <w:numPr>
          <w:ilvl w:val="0"/>
          <w:numId w:val="49"/>
        </w:numPr>
        <w:ind w:left="364"/>
      </w:pPr>
      <w:r w:rsidRPr="00F3512C">
        <w:t>Snail egg number differed significantly amongst the three container-type treatments for creeks combined and creeks separate (P = 0.001). All (three) pairwise comparisons (including shallow inside versus shallow outside) showed highly significant differences for creeks combined and creeks separate (P = 0.001). Greater egg production followed the order shallow outside &gt; shallow inside &gt; deep (RAS), evident in the plotted data shown in Figure 1. This result supported the 2012–13 wet season analysis (</w:t>
      </w:r>
      <w:r>
        <w:t>Humphrey &amp; Ellis 2014</w:t>
      </w:r>
      <w:r w:rsidRPr="00F3512C">
        <w:t>) which showed, similarly, greater egg production for snail pairs reared in shallow static containers compared to deep RAS containers.</w:t>
      </w:r>
    </w:p>
    <w:p w:rsidR="00687AE9" w:rsidRPr="00F3512C" w:rsidRDefault="00687AE9" w:rsidP="00A0026F">
      <w:pPr>
        <w:pStyle w:val="Normallist1"/>
        <w:numPr>
          <w:ilvl w:val="0"/>
          <w:numId w:val="22"/>
        </w:numPr>
        <w:ind w:left="364" w:hanging="426"/>
      </w:pPr>
      <w:r w:rsidRPr="00F3512C">
        <w:t xml:space="preserve">Egg number differed significantly between established and cohort treatments for creeks combined and creeks separate (P &lt; 0.01). Cohort snails produced significantly greater numbers of eggs compared to established snails and this was most evident in the shallow outside treatment (Figure 1). </w:t>
      </w:r>
    </w:p>
    <w:p w:rsidR="00687AE9" w:rsidRPr="00BE5D7A" w:rsidRDefault="00687AE9" w:rsidP="00A0026F">
      <w:pPr>
        <w:pStyle w:val="Normallist1"/>
        <w:ind w:left="364" w:hanging="426"/>
      </w:pPr>
      <w:r w:rsidRPr="00BE5D7A">
        <w:t>Actual container age (or maximum age for ‘established’ treatment), nested within the container age factor, was significant for each creek examined separately (P = 0.001). When the ‘established’ treatment was removed from analysis, with container age for just the ‘cohort’ treatment now nested within container type, the factor held a similar significance for each creek (P = 0.001). Examining Figure 1, it is evident that the egg production for cohort snail age 77 days in both the 2nd and 3rd cohorts, was particularly high, probably explaining the significance of this factor. While fecundity increases generally with snail size (Supervising Scientist Annual Report for 2012–2013; Section 4.4), it is also possible that fecundity has an interaction with snail age with greatest egg production observed at an intermediate age of snails (~77 days). This requires further investigation.</w:t>
      </w:r>
    </w:p>
    <w:p w:rsidR="005468A2" w:rsidRDefault="00687AE9" w:rsidP="001751CC">
      <w:r w:rsidRPr="00F3512C">
        <w:t>The results of the 2013–14 husbandry investigation have practical implications that guide future snail culturing for routine toxicity monitoring in Magela and Gulungul creeks. Firstly, culturing snails in regular cohorts of known snail age appears to result in greater reproductive vigour. Moreover, the more resource-intensive recirculating aquaculture systems is not providing obvious benefit in terms of snail egg production and could be re-considered in terms of future application. Finally, the results highlight the importance of allocating snails from a particular culturing treatment evenly to each of the paired sites in a toxicity monitoring test. If this is not done, the upstream-downstream difference value for the test may reflect an artefact of culture type, as opposed to its proper representation of detecting changes in water quality.</w:t>
      </w:r>
    </w:p>
    <w:p w:rsidR="00687AE9" w:rsidRDefault="00687AE9" w:rsidP="005468A2">
      <w:pPr>
        <w:pStyle w:val="Heading2"/>
      </w:pPr>
      <w:r w:rsidRPr="00F3512C">
        <w:t>Influences of ambient water quality on the snail egg production response</w:t>
      </w:r>
    </w:p>
    <w:p w:rsidR="00687AE9" w:rsidRPr="00F3512C" w:rsidRDefault="00687AE9" w:rsidP="001751CC">
      <w:r w:rsidRPr="00F3512C">
        <w:t xml:space="preserve">As reported </w:t>
      </w:r>
      <w:r>
        <w:t xml:space="preserve">elsewhere in this </w:t>
      </w:r>
      <w:r w:rsidRPr="00247AA6">
        <w:t>Summary (Humphrey et al</w:t>
      </w:r>
      <w:r w:rsidR="00F72AD6">
        <w:t>.</w:t>
      </w:r>
      <w:r w:rsidRPr="00247AA6">
        <w:t xml:space="preserve"> 2015</w:t>
      </w:r>
      <w:proofErr w:type="gramStart"/>
      <w:r w:rsidRPr="00247AA6">
        <w:t>) ,</w:t>
      </w:r>
      <w:proofErr w:type="gramEnd"/>
      <w:r w:rsidRPr="00247AA6">
        <w:t xml:space="preserve"> water</w:t>
      </w:r>
      <w:r w:rsidRPr="00F3512C">
        <w:t xml:space="preserve"> temperature and electrical conductivity (EC) influence the snail egg laying response in Magela and Gulungul creeks. Continuous water quality data gathered from sondes at each of the monitoring sites since the 2006–07 wet season has enabled accurate and effective integration of water quality exposure conditions for each of the four-day toxicity monitoring tests. Measures of water temperature and EC used in data analyses represent the median of 10 minute continuous readings taken across the four-day exposure period at each of the creek sites. The collective water quality and egg production data gathered since the 2006–07 wet season are shown in Figure 2. An interacting effect between water temperature and EC has been observed, as EC increases (generally across the </w:t>
      </w:r>
      <w:r w:rsidR="00412869" w:rsidRPr="00F3512C">
        <w:t xml:space="preserve">range </w:t>
      </w:r>
      <w:r w:rsidR="00412869">
        <w:br/>
      </w:r>
      <w:r w:rsidR="00412869" w:rsidRPr="00F3512C">
        <w:t>~7–30 µ</w:t>
      </w:r>
      <w:r w:rsidRPr="00F3512C">
        <w:t>Scm</w:t>
      </w:r>
      <w:r w:rsidRPr="00F3512C">
        <w:rPr>
          <w:snapToGrid w:val="0"/>
          <w:color w:val="000000"/>
          <w:position w:val="6"/>
          <w:sz w:val="16"/>
          <w:szCs w:val="0"/>
          <w:u w:color="000000"/>
        </w:rPr>
        <w:t>-1</w:t>
      </w:r>
      <w:r w:rsidRPr="00F3512C">
        <w:t>), snail egg production:</w:t>
      </w:r>
    </w:p>
    <w:p w:rsidR="00687AE9" w:rsidRPr="00F3512C" w:rsidRDefault="00687AE9" w:rsidP="00687AE9">
      <w:r w:rsidRPr="00F3512C">
        <w:t>•</w:t>
      </w:r>
      <w:r w:rsidRPr="00F3512C">
        <w:tab/>
      </w:r>
      <w:proofErr w:type="gramStart"/>
      <w:r w:rsidRPr="00F3512C">
        <w:t>increases</w:t>
      </w:r>
      <w:proofErr w:type="gramEnd"/>
      <w:r w:rsidRPr="00F3512C">
        <w:t xml:space="preserve"> at lower water temperature ranges (27–30°C), and</w:t>
      </w:r>
    </w:p>
    <w:p w:rsidR="00687AE9" w:rsidRPr="00F3512C" w:rsidRDefault="00687AE9" w:rsidP="00687AE9">
      <w:r w:rsidRPr="00F3512C">
        <w:t>•</w:t>
      </w:r>
      <w:r w:rsidRPr="00F3512C">
        <w:tab/>
      </w:r>
      <w:proofErr w:type="gramStart"/>
      <w:r w:rsidRPr="00F3512C">
        <w:t>decreases</w:t>
      </w:r>
      <w:proofErr w:type="gramEnd"/>
      <w:r w:rsidRPr="00F3512C">
        <w:t xml:space="preserve"> (i.e. negative effect) at higher water temperatures (&gt; 30°C) (see Figure 2).</w:t>
      </w:r>
    </w:p>
    <w:p w:rsidR="00687AE9" w:rsidRDefault="00687AE9" w:rsidP="00687AE9">
      <w:r w:rsidRPr="00F3512C">
        <w:t>The increase in egg production with increasing EC at lower water temperature ranges (&lt;30°C) is highly significant and this relationship has generally strengthened in the past several years (cumulative results not provided). The decrease in egg production with increasing EC at higher water temperature ranges (30°C) is a weaker relationship that has fluctuated between significance (P &lt; 0.05) and non-significance after each wet season of accruing data gathered since 2011 (data also not provided).</w:t>
      </w:r>
    </w:p>
    <w:p w:rsidR="00687AE9" w:rsidRPr="00F3512C" w:rsidRDefault="00687AE9" w:rsidP="00687AE9">
      <w:pPr>
        <w:jc w:val="center"/>
      </w:pPr>
      <w:r w:rsidRPr="00F3512C">
        <w:rPr>
          <w:noProof/>
          <w:lang w:eastAsia="en-AU"/>
        </w:rPr>
        <w:drawing>
          <wp:inline distT="0" distB="0" distL="0" distR="0">
            <wp:extent cx="4162425" cy="5982324"/>
            <wp:effectExtent l="19050" t="0" r="9525" b="0"/>
            <wp:docPr id="2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3" cstate="screen"/>
                    <a:srcRect t="4191" r="5911"/>
                    <a:stretch>
                      <a:fillRect/>
                    </a:stretch>
                  </pic:blipFill>
                  <pic:spPr bwMode="auto">
                    <a:xfrm>
                      <a:off x="0" y="0"/>
                      <a:ext cx="4162425" cy="5982324"/>
                    </a:xfrm>
                    <a:prstGeom prst="rect">
                      <a:avLst/>
                    </a:prstGeom>
                    <a:noFill/>
                    <a:ln w="9525">
                      <a:noFill/>
                      <a:miter lim="800000"/>
                      <a:headEnd/>
                      <a:tailEnd/>
                    </a:ln>
                  </pic:spPr>
                </pic:pic>
              </a:graphicData>
            </a:graphic>
          </wp:inline>
        </w:drawing>
      </w:r>
    </w:p>
    <w:p w:rsidR="00687AE9" w:rsidRPr="00F3512C" w:rsidRDefault="00687AE9" w:rsidP="00687AE9">
      <w:pPr>
        <w:pStyle w:val="figurecaption"/>
        <w:rPr>
          <w:lang w:eastAsia="en-AU"/>
        </w:rPr>
      </w:pPr>
      <w:r w:rsidRPr="00F3512C">
        <w:rPr>
          <w:b/>
        </w:rPr>
        <w:t>Figure 1</w:t>
      </w:r>
      <w:r w:rsidRPr="00F3512C">
        <w:t xml:space="preserve"> M</w:t>
      </w:r>
      <w:r w:rsidRPr="00F3512C">
        <w:rPr>
          <w:lang w:eastAsia="en-AU"/>
        </w:rPr>
        <w:t>ean egg count for replicate snail pairs (</w:t>
      </w:r>
      <w:r w:rsidRPr="00F3512C">
        <w:rPr>
          <w:i/>
          <w:lang w:eastAsia="en-AU"/>
        </w:rPr>
        <w:t>n</w:t>
      </w:r>
      <w:r w:rsidRPr="00F3512C">
        <w:rPr>
          <w:lang w:eastAsia="en-AU"/>
        </w:rPr>
        <w:t>=3) sourced from shallow static and deep RAS culture container types, and according to culture age (established and cohorts), for Magela and Gulungul toxicity monitoring tests conducted in the 2013–14 wet season. Horizontal axis shows the test order over the wet season, with M and G referring to Magela and Gulungul Creeks, respectively. Upper and lower numeric values in the 2</w:t>
      </w:r>
      <w:r w:rsidRPr="00F3512C">
        <w:rPr>
          <w:vertAlign w:val="superscript"/>
          <w:lang w:eastAsia="en-AU"/>
        </w:rPr>
        <w:t>nd</w:t>
      </w:r>
      <w:r w:rsidRPr="00F3512C">
        <w:rPr>
          <w:lang w:eastAsia="en-AU"/>
        </w:rPr>
        <w:t xml:space="preserve"> horizontal axis indicate age of cohorts and time since establishment, for ‘culture age’ treatments, respectively.</w:t>
      </w:r>
    </w:p>
    <w:p w:rsidR="00687AE9" w:rsidRPr="00F3512C" w:rsidRDefault="00687AE9" w:rsidP="00687AE9"/>
    <w:p w:rsidR="00687AE9" w:rsidRPr="00F3512C" w:rsidRDefault="00687AE9" w:rsidP="00687AE9">
      <w:pPr>
        <w:jc w:val="center"/>
      </w:pPr>
      <w:r w:rsidRPr="00F3512C">
        <w:rPr>
          <w:noProof/>
          <w:lang w:eastAsia="en-AU"/>
        </w:rPr>
        <w:drawing>
          <wp:inline distT="0" distB="0" distL="0" distR="0">
            <wp:extent cx="4757351" cy="2891361"/>
            <wp:effectExtent l="0" t="0" r="5149" b="0"/>
            <wp:docPr id="2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4" cstate="screen"/>
                    <a:srcRect/>
                    <a:stretch>
                      <a:fillRect/>
                    </a:stretch>
                  </pic:blipFill>
                  <pic:spPr bwMode="auto">
                    <a:xfrm>
                      <a:off x="0" y="0"/>
                      <a:ext cx="4762698" cy="2894611"/>
                    </a:xfrm>
                    <a:prstGeom prst="rect">
                      <a:avLst/>
                    </a:prstGeom>
                    <a:noFill/>
                    <a:ln w="9525">
                      <a:noFill/>
                      <a:miter lim="800000"/>
                      <a:headEnd/>
                      <a:tailEnd/>
                    </a:ln>
                  </pic:spPr>
                </pic:pic>
              </a:graphicData>
            </a:graphic>
          </wp:inline>
        </w:drawing>
      </w:r>
    </w:p>
    <w:p w:rsidR="00687AE9" w:rsidRPr="00F3512C" w:rsidRDefault="00687AE9" w:rsidP="00687AE9">
      <w:pPr>
        <w:pStyle w:val="figurecaption"/>
      </w:pPr>
      <w:r w:rsidRPr="00F3512C">
        <w:rPr>
          <w:b/>
        </w:rPr>
        <w:t>Figure 2</w:t>
      </w:r>
      <w:r w:rsidRPr="00F3512C">
        <w:t xml:space="preserve"> Relationships between mean snail egg number for each site in Magela and Gulungul Creeks, and ambient electrical conductivity and water temperature over the four-day exposure test periods for wet seasons between 2006–07 and 2013–14.</w:t>
      </w:r>
    </w:p>
    <w:p w:rsidR="00687AE9" w:rsidRPr="00F3512C" w:rsidRDefault="00687AE9" w:rsidP="00687AE9">
      <w:r w:rsidRPr="00F3512C">
        <w:t xml:space="preserve">These water quality/egg production relationships as depicted in Figure </w:t>
      </w:r>
      <w:proofErr w:type="gramStart"/>
      <w:r w:rsidRPr="00F3512C">
        <w:t>2,</w:t>
      </w:r>
      <w:proofErr w:type="gramEnd"/>
      <w:r w:rsidRPr="00F3512C">
        <w:t xml:space="preserve"> can usefully be applied to interpreting annual toxicity monitoring results in Magela and Gulungul creeks (see </w:t>
      </w:r>
      <w:r>
        <w:t>Humphrey et al</w:t>
      </w:r>
      <w:r w:rsidR="00F72AD6">
        <w:t>.</w:t>
      </w:r>
      <w:r>
        <w:t xml:space="preserve"> (2015) elsewhere in this Summary</w:t>
      </w:r>
      <w:r w:rsidRPr="00F3512C">
        <w:t xml:space="preserve">). The relationships have limited use in explaining the magnitude of egg production at a site, but can generally explain the differences in egg production between the paired upstream and downstream sites. </w:t>
      </w:r>
    </w:p>
    <w:p w:rsidR="00687AE9" w:rsidRPr="00F3512C" w:rsidRDefault="00687AE9" w:rsidP="00687AE9">
      <w:r w:rsidRPr="00F3512C">
        <w:t>Of the 100 tests conducted from 2006–07 to the present, the difference in egg number between upstream and downstream sites can be successfully predicted in more than 75% of tests for median water temperature &lt;30°C and in more than 65% of tests for median water temperature &gt;30°C. A (4-day) downstream median EC in Magela and Gulungul creeks greater than 20 μS cm</w:t>
      </w:r>
      <w:r w:rsidRPr="00F3512C">
        <w:rPr>
          <w:snapToGrid w:val="0"/>
          <w:color w:val="000000"/>
          <w:position w:val="6"/>
          <w:sz w:val="16"/>
          <w:szCs w:val="0"/>
          <w:u w:color="000000"/>
        </w:rPr>
        <w:t>-</w:t>
      </w:r>
      <w:proofErr w:type="gramStart"/>
      <w:r w:rsidRPr="00F3512C">
        <w:rPr>
          <w:snapToGrid w:val="0"/>
          <w:color w:val="000000"/>
          <w:position w:val="6"/>
          <w:sz w:val="16"/>
          <w:szCs w:val="0"/>
          <w:u w:color="000000"/>
        </w:rPr>
        <w:t>1</w:t>
      </w:r>
      <w:r w:rsidRPr="00F3512C">
        <w:t>,</w:t>
      </w:r>
      <w:proofErr w:type="gramEnd"/>
      <w:r w:rsidRPr="00F3512C">
        <w:t xml:space="preserve"> represents a value typically associated with mine waste water discharges. Of the 100 tests conducted since 2006–07 to the present:</w:t>
      </w:r>
    </w:p>
    <w:p w:rsidR="00687AE9" w:rsidRPr="00F3512C" w:rsidRDefault="00687AE9" w:rsidP="00687AE9">
      <w:pPr>
        <w:pStyle w:val="bulletlist1"/>
        <w:numPr>
          <w:ilvl w:val="0"/>
          <w:numId w:val="1"/>
        </w:numPr>
      </w:pPr>
      <w:r w:rsidRPr="00F3512C">
        <w:t xml:space="preserve">Higher downstream egg production was observed in 15% of the (over 100) tests where median water temperature &lt;30ºC and downstream EC values </w:t>
      </w:r>
      <w:r>
        <w:br/>
      </w:r>
      <w:r w:rsidRPr="00F3512C">
        <w:t>&gt;20 µS cm</w:t>
      </w:r>
      <w:r w:rsidRPr="0010328E">
        <w:rPr>
          <w:snapToGrid w:val="0"/>
          <w:color w:val="000000"/>
          <w:position w:val="4"/>
          <w:sz w:val="16"/>
          <w:szCs w:val="0"/>
          <w:u w:color="000000"/>
        </w:rPr>
        <w:t>-1</w:t>
      </w:r>
      <w:r>
        <w:t xml:space="preserve"> were observed;</w:t>
      </w:r>
      <w:r w:rsidRPr="00F3512C">
        <w:t xml:space="preserve"> and</w:t>
      </w:r>
    </w:p>
    <w:p w:rsidR="00687AE9" w:rsidRPr="00F3512C" w:rsidRDefault="00687AE9" w:rsidP="00687AE9">
      <w:pPr>
        <w:pStyle w:val="bulletlist1"/>
        <w:numPr>
          <w:ilvl w:val="0"/>
          <w:numId w:val="1"/>
        </w:numPr>
      </w:pPr>
      <w:r w:rsidRPr="00F3512C">
        <w:t>Lower downstream egg production was observed in 9% of the (over 100) tests where median water temperature &gt;30ºC and downstream EC values &gt;20 µS cm</w:t>
      </w:r>
      <w:r w:rsidRPr="002D11F8">
        <w:t>-1</w:t>
      </w:r>
      <w:r w:rsidRPr="00F3512C">
        <w:t xml:space="preserve"> were observed. Seventy-five percent of these (high water temperature) tests were conducted in Magela Creek.</w:t>
      </w:r>
    </w:p>
    <w:p w:rsidR="00687AE9" w:rsidRPr="00F3512C" w:rsidRDefault="00687AE9" w:rsidP="00687AE9">
      <w:r w:rsidRPr="00F3512C">
        <w:t>At this stage these mine-related ‘effects’, representing enhancement in snail reproductive activity in most cases, are not regarded as constituting environmental concern.</w:t>
      </w:r>
    </w:p>
    <w:p w:rsidR="00687AE9" w:rsidRDefault="00687AE9" w:rsidP="00687AE9">
      <w:pPr>
        <w:pStyle w:val="Heading2"/>
      </w:pPr>
      <w:r w:rsidRPr="00F3512C">
        <w:t>Conclusions</w:t>
      </w:r>
    </w:p>
    <w:p w:rsidR="00687AE9" w:rsidRPr="00F3512C" w:rsidRDefault="00687AE9" w:rsidP="00687AE9">
      <w:r w:rsidRPr="00F3512C">
        <w:t xml:space="preserve">Toxicity monitoring results for the 2013–14 wet season supported the findings from the </w:t>
      </w:r>
      <w:r>
        <w:t>previous (</w:t>
      </w:r>
      <w:r w:rsidRPr="00F3512C">
        <w:t>2012–13</w:t>
      </w:r>
      <w:r>
        <w:t>)</w:t>
      </w:r>
      <w:r w:rsidRPr="00F3512C">
        <w:t xml:space="preserve"> wet season that snail culturing conditions have a significant influence upon the egg laying response in ensuing toxicity monitoring tests. </w:t>
      </w:r>
      <w:r>
        <w:t xml:space="preserve">For </w:t>
      </w:r>
      <w:r w:rsidRPr="00F3512C">
        <w:t xml:space="preserve">toxicity monitoring tests </w:t>
      </w:r>
      <w:r>
        <w:t>conducted in</w:t>
      </w:r>
      <w:r w:rsidRPr="00F3512C">
        <w:t xml:space="preserve"> 2012–2013</w:t>
      </w:r>
      <w:r>
        <w:t>,</w:t>
      </w:r>
      <w:r w:rsidRPr="00F3512C">
        <w:t xml:space="preserve"> </w:t>
      </w:r>
      <w:r>
        <w:t xml:space="preserve">Humphrey &amp; Ellis (2014) </w:t>
      </w:r>
      <w:r w:rsidRPr="00F3512C">
        <w:t xml:space="preserve">suggested that variation in snail egg counts was mostly ambient water quality-related compared to culture-related. This was based upon the proportion of the variation associated with treatments/factors from the ANOVA testing (described above). For the 2012–13 wet season, variation in snail egg counts accounted for by culture conditions was attributed to the factor container type and ambient creek water quality to test order. For these, variation associated with ambient water quality was about 2.5 times greater than culture-type variation. </w:t>
      </w:r>
    </w:p>
    <w:p w:rsidR="00687AE9" w:rsidRPr="00F3512C" w:rsidRDefault="00687AE9" w:rsidP="00687AE9">
      <w:r w:rsidRPr="00F3512C">
        <w:t xml:space="preserve">For the 2013–14 wet </w:t>
      </w:r>
      <w:proofErr w:type="gramStart"/>
      <w:r w:rsidRPr="00F3512C">
        <w:t>season</w:t>
      </w:r>
      <w:proofErr w:type="gramEnd"/>
      <w:r w:rsidRPr="00F3512C">
        <w:t>, factors associated with culture conditions included container type and container age. When variation within the ANOVA for these factors is combined and this value is compared to the variation associated with test order (data not provided here), variation associated with ‘a</w:t>
      </w:r>
      <w:r w:rsidR="00F72AD6">
        <w:t>mbient water quality’ is about two</w:t>
      </w:r>
      <w:r w:rsidRPr="00F3512C">
        <w:t xml:space="preserve"> times greater than culture-type variation for Gulungul Creek, but is the same order of variation and contribution as ambient water quality for Magela Creek. </w:t>
      </w:r>
    </w:p>
    <w:p w:rsidR="00687AE9" w:rsidRPr="00F3512C" w:rsidRDefault="00687AE9" w:rsidP="00687AE9">
      <w:r w:rsidRPr="00F3512C">
        <w:t xml:space="preserve">Such comparative assessments (culturing versus water quality) need to be considered carefully, because egg production measured and associated with the different culturing treatments is itself, a reflection of creek water exposures. Hence, culturing responses are not independent of the effects of exposure to creek water quality. The best evidence that creek water quality is the more important contributor to the egg laying response is the fact that the pattern of response in Magela and Gulungul creeks is each relatively independent of one another over the wet season for each of the culturing treatments </w:t>
      </w:r>
      <w:r w:rsidRPr="00AA7C6E">
        <w:t>(Figure 1).</w:t>
      </w:r>
      <w:r w:rsidRPr="00F3512C">
        <w:t xml:space="preserve"> An improved understanding of the relative influences of culturing versus water quality upon egg production would arise from a laboratory control, where water quality is held constant amongst consecutive tests, run in parallel with the toxicity monitoring tests.</w:t>
      </w:r>
    </w:p>
    <w:p w:rsidR="00687AE9" w:rsidRDefault="00687AE9" w:rsidP="00687AE9">
      <w:r w:rsidRPr="00F3512C">
        <w:t>If culturing conditions are contributing to the overall magnitude of egg production in the creeks over the wet season, then snails sourced from the ‘outside’ static shallow containers in both the 2012–13 wet season (</w:t>
      </w:r>
      <w:r w:rsidR="00F72AD6">
        <w:t>Humphrey &amp; Ellis 2014,</w:t>
      </w:r>
      <w:r>
        <w:t xml:space="preserve"> Fig 1</w:t>
      </w:r>
      <w:r w:rsidRPr="00F3512C">
        <w:t>) and 2013–14 wet season (</w:t>
      </w:r>
      <w:r w:rsidRPr="00247AA6">
        <w:t>Figure 1) may be responsible for the high egg production observed in both seasons (see Humphrey et al</w:t>
      </w:r>
      <w:r w:rsidR="00BD4830">
        <w:t>.</w:t>
      </w:r>
      <w:r w:rsidRPr="00247AA6">
        <w:t xml:space="preserve"> 2015 elsewhere in this Summary). Lower overall egg production in the 2013–14 wet season compared</w:t>
      </w:r>
      <w:r w:rsidRPr="00F3512C">
        <w:t xml:space="preserve"> to the previous wet season may be a consequence of the comparatively lower egg production in snails sourced from the deep RAS containers in this wet season (Figure 1) compared to the previous wet </w:t>
      </w:r>
      <w:r w:rsidRPr="00101C83">
        <w:t>season (</w:t>
      </w:r>
      <w:r w:rsidRPr="0010328E">
        <w:t>Figure 1, Humphrey &amp; Ellis 2014</w:t>
      </w:r>
      <w:r w:rsidRPr="00F3512C">
        <w:t>).</w:t>
      </w:r>
    </w:p>
    <w:p w:rsidR="00687AE9" w:rsidRDefault="00687AE9" w:rsidP="00687AE9">
      <w:pPr>
        <w:pStyle w:val="Heading2"/>
      </w:pPr>
      <w:r>
        <w:t xml:space="preserve">References </w:t>
      </w:r>
    </w:p>
    <w:p w:rsidR="00687AE9" w:rsidRDefault="00687AE9" w:rsidP="00687AE9">
      <w:pPr>
        <w:pStyle w:val="referencelist1"/>
      </w:pPr>
      <w:proofErr w:type="gramStart"/>
      <w:r>
        <w:t>Humphrey C &amp; Ellis M 2014.</w:t>
      </w:r>
      <w:proofErr w:type="gramEnd"/>
      <w:r>
        <w:t xml:space="preserve"> </w:t>
      </w:r>
      <w:r w:rsidRPr="001A0B7A">
        <w:t>Environmental factors associated with toxicity monitoring in Magela and Gulungul Creeks</w:t>
      </w:r>
      <w:r>
        <w:t xml:space="preserve">. </w:t>
      </w:r>
      <w:proofErr w:type="gramStart"/>
      <w:r w:rsidRPr="00141DEC">
        <w:t xml:space="preserve">In </w:t>
      </w:r>
      <w:r w:rsidR="004A3C4C" w:rsidRPr="004A3C4C">
        <w:rPr>
          <w:b/>
          <w:i/>
          <w:sz w:val="26"/>
        </w:rPr>
        <w:t>eriss</w:t>
      </w:r>
      <w:r w:rsidRPr="00141DEC">
        <w:t xml:space="preserve"> </w:t>
      </w:r>
      <w:r w:rsidR="00594C7E" w:rsidRPr="00594C7E">
        <w:rPr>
          <w:i/>
        </w:rPr>
        <w:t>research summary 2012–2013</w:t>
      </w:r>
      <w:r w:rsidRPr="00141DEC">
        <w:t>.</w:t>
      </w:r>
      <w:proofErr w:type="gramEnd"/>
      <w:r w:rsidRPr="00141DEC">
        <w:t xml:space="preserve"> Supervising Scientist Report 205, Supervising Scientist, Darwin NT, </w:t>
      </w:r>
      <w:r>
        <w:t>79–86</w:t>
      </w:r>
      <w:r w:rsidR="00247AA6">
        <w:t>.</w:t>
      </w:r>
      <w:r>
        <w:t xml:space="preserve"> </w:t>
      </w:r>
    </w:p>
    <w:p w:rsidR="00687AE9" w:rsidRDefault="00687AE9" w:rsidP="00687AE9">
      <w:pPr>
        <w:pStyle w:val="referencelist1"/>
        <w:rPr>
          <w:highlight w:val="yellow"/>
          <w:u w:color="000000"/>
        </w:rPr>
        <w:sectPr w:rsidR="00687AE9" w:rsidSect="00D444BD">
          <w:pgSz w:w="11906" w:h="16838" w:code="9"/>
          <w:pgMar w:top="1440" w:right="1800" w:bottom="1440" w:left="1800" w:header="1080" w:footer="835" w:gutter="0"/>
          <w:cols w:space="360"/>
          <w:noEndnote/>
        </w:sectPr>
      </w:pPr>
      <w:proofErr w:type="gramStart"/>
      <w:r>
        <w:t>Humphrey C, Ellis M &amp; Hanley</w:t>
      </w:r>
      <w:r w:rsidRPr="00551302">
        <w:rPr>
          <w:u w:color="000000"/>
        </w:rPr>
        <w:t xml:space="preserve"> </w:t>
      </w:r>
      <w:r>
        <w:rPr>
          <w:u w:color="000000"/>
        </w:rPr>
        <w:t>J 2015.</w:t>
      </w:r>
      <w:proofErr w:type="gramEnd"/>
      <w:r>
        <w:rPr>
          <w:u w:color="000000"/>
        </w:rPr>
        <w:t xml:space="preserve"> </w:t>
      </w:r>
      <w:proofErr w:type="gramStart"/>
      <w:r w:rsidRPr="00551302">
        <w:rPr>
          <w:u w:color="000000"/>
        </w:rPr>
        <w:t xml:space="preserve">In situ toxicity monitoring </w:t>
      </w:r>
      <w:r>
        <w:rPr>
          <w:u w:color="000000"/>
        </w:rPr>
        <w:t xml:space="preserve">in Magela and Gulungul Creeks </w:t>
      </w:r>
      <w:r w:rsidRPr="00551302">
        <w:rPr>
          <w:u w:color="000000"/>
        </w:rPr>
        <w:t xml:space="preserve">(routine </w:t>
      </w:r>
      <w:r w:rsidRPr="00551302">
        <w:t>monitoring</w:t>
      </w:r>
      <w:r w:rsidRPr="00551302">
        <w:rPr>
          <w:u w:color="000000"/>
        </w:rPr>
        <w:t>)</w:t>
      </w:r>
      <w:r>
        <w:rPr>
          <w:u w:color="000000"/>
        </w:rPr>
        <w:t>.</w:t>
      </w:r>
      <w:proofErr w:type="gramEnd"/>
      <w:r>
        <w:rPr>
          <w:u w:color="000000"/>
        </w:rPr>
        <w:t xml:space="preserve"> </w:t>
      </w:r>
      <w:proofErr w:type="gramStart"/>
      <w:r w:rsidR="00247AA6" w:rsidRPr="00141DEC">
        <w:t xml:space="preserve">In </w:t>
      </w:r>
      <w:r w:rsidR="004A3C4C" w:rsidRPr="004A3C4C">
        <w:rPr>
          <w:b/>
          <w:i/>
          <w:sz w:val="26"/>
        </w:rPr>
        <w:t>eriss</w:t>
      </w:r>
      <w:r w:rsidR="00247AA6" w:rsidRPr="00141DEC">
        <w:t xml:space="preserve"> </w:t>
      </w:r>
      <w:r w:rsidR="00594C7E" w:rsidRPr="00594C7E">
        <w:rPr>
          <w:i/>
        </w:rPr>
        <w:t>research summary 2013–2014</w:t>
      </w:r>
      <w:r w:rsidR="00247AA6" w:rsidRPr="00141DEC">
        <w:t>.</w:t>
      </w:r>
      <w:proofErr w:type="gramEnd"/>
      <w:r w:rsidR="00247AA6" w:rsidRPr="00141DEC">
        <w:t xml:space="preserve"> Supervising Scientist Report 20</w:t>
      </w:r>
      <w:r w:rsidR="00247AA6">
        <w:t>9</w:t>
      </w:r>
      <w:r w:rsidR="00247AA6" w:rsidRPr="00141DEC">
        <w:t xml:space="preserve">, Supervising Scientist, Darwin NT, </w:t>
      </w:r>
      <w:r w:rsidR="00247AA6">
        <w:t>92–95.</w:t>
      </w:r>
    </w:p>
    <w:p w:rsidR="009C2789" w:rsidRDefault="009C2789">
      <w:pPr>
        <w:spacing w:after="0" w:line="240" w:lineRule="auto"/>
        <w:jc w:val="left"/>
        <w:rPr>
          <w:rFonts w:ascii="Arial" w:hAnsi="Arial"/>
          <w:b/>
          <w:sz w:val="26"/>
        </w:rPr>
      </w:pPr>
    </w:p>
    <w:p w:rsidR="002C3C23" w:rsidRDefault="002C3C23" w:rsidP="002C3C23">
      <w:pPr>
        <w:pStyle w:val="Heading1"/>
        <w:rPr>
          <w:rFonts w:cs="Arial"/>
        </w:rPr>
      </w:pPr>
      <w:bookmarkStart w:id="194" w:name="_Toc370812583"/>
      <w:bookmarkStart w:id="195" w:name="_Toc372540200"/>
      <w:bookmarkStart w:id="196" w:name="_Toc370812578"/>
      <w:bookmarkStart w:id="197" w:name="_Toc372540195"/>
      <w:bookmarkStart w:id="198" w:name="_Toc401910182"/>
    </w:p>
    <w:p w:rsidR="002C3C23" w:rsidRDefault="002C3C23" w:rsidP="002C3C23">
      <w:pPr>
        <w:pStyle w:val="Heading1"/>
        <w:rPr>
          <w:rFonts w:cs="Arial"/>
        </w:rPr>
      </w:pPr>
    </w:p>
    <w:p w:rsidR="002C3C23" w:rsidRDefault="002C3C23" w:rsidP="002C3C23">
      <w:pPr>
        <w:pStyle w:val="Heading1"/>
        <w:rPr>
          <w:rFonts w:cs="Arial"/>
        </w:rPr>
      </w:pPr>
    </w:p>
    <w:p w:rsidR="002C3C23" w:rsidRDefault="002C3C23" w:rsidP="002C3C23">
      <w:pPr>
        <w:pStyle w:val="Heading1"/>
        <w:rPr>
          <w:rFonts w:cs="Arial"/>
        </w:rPr>
      </w:pPr>
    </w:p>
    <w:p w:rsidR="002C3C23" w:rsidRDefault="002C3C23" w:rsidP="002C3C23">
      <w:pPr>
        <w:pStyle w:val="Heading1"/>
        <w:rPr>
          <w:rFonts w:cs="Arial"/>
        </w:rPr>
      </w:pPr>
      <w:bookmarkStart w:id="199" w:name="_Toc409772807"/>
      <w:bookmarkStart w:id="200" w:name="_Toc418172710"/>
      <w:r>
        <w:rPr>
          <w:rFonts w:cs="Arial"/>
        </w:rPr>
        <w:t xml:space="preserve">Part 2: </w:t>
      </w:r>
      <w:r w:rsidRPr="009E3B44">
        <w:rPr>
          <w:rFonts w:cs="Arial"/>
        </w:rPr>
        <w:t xml:space="preserve">Ranger – </w:t>
      </w:r>
      <w:r>
        <w:rPr>
          <w:rFonts w:cs="Arial"/>
        </w:rPr>
        <w:t>Rehabilitation</w:t>
      </w:r>
      <w:bookmarkEnd w:id="199"/>
      <w:bookmarkEnd w:id="200"/>
    </w:p>
    <w:p w:rsidR="0089555F" w:rsidRDefault="0089555F" w:rsidP="002C3C23">
      <w:pPr>
        <w:spacing w:after="0" w:line="240" w:lineRule="auto"/>
        <w:jc w:val="left"/>
        <w:sectPr w:rsidR="0089555F" w:rsidSect="00DE14FB">
          <w:headerReference w:type="default" r:id="rId165"/>
          <w:pgSz w:w="11906" w:h="16838" w:code="9"/>
          <w:pgMar w:top="1440" w:right="1797" w:bottom="1440" w:left="1797" w:header="1077" w:footer="833" w:gutter="0"/>
          <w:cols w:space="360"/>
          <w:noEndnote/>
          <w:docGrid w:linePitch="299"/>
        </w:sectPr>
      </w:pPr>
    </w:p>
    <w:p w:rsidR="00906180" w:rsidRDefault="00906180" w:rsidP="00906180">
      <w:pPr>
        <w:pStyle w:val="Heading1"/>
      </w:pPr>
    </w:p>
    <w:p w:rsidR="00906180" w:rsidRDefault="00906180" w:rsidP="00906180">
      <w:pPr>
        <w:pStyle w:val="Heading1"/>
      </w:pPr>
    </w:p>
    <w:p w:rsidR="00906180" w:rsidRDefault="00906180" w:rsidP="00906180">
      <w:pPr>
        <w:pStyle w:val="Heading1"/>
      </w:pPr>
    </w:p>
    <w:p w:rsidR="00906180" w:rsidRDefault="00906180" w:rsidP="00906180">
      <w:pPr>
        <w:pStyle w:val="Heading1"/>
      </w:pPr>
    </w:p>
    <w:p w:rsidR="00906180" w:rsidRDefault="00906180" w:rsidP="00906180">
      <w:pPr>
        <w:pStyle w:val="Heading1"/>
      </w:pPr>
    </w:p>
    <w:p w:rsidR="00906180" w:rsidRDefault="0042639C" w:rsidP="003D35F3">
      <w:pPr>
        <w:pStyle w:val="Heading1"/>
      </w:pPr>
      <w:bookmarkStart w:id="201" w:name="_Toc409772808"/>
      <w:bookmarkStart w:id="202" w:name="_Toc418172711"/>
      <w:r>
        <w:t xml:space="preserve">Key Knowledge Need </w:t>
      </w:r>
      <w:r w:rsidR="000D71CB">
        <w:t>2.2</w:t>
      </w:r>
      <w:r>
        <w:t>:</w:t>
      </w:r>
      <w:r w:rsidR="000D71CB">
        <w:t xml:space="preserve"> </w:t>
      </w:r>
      <w:r w:rsidR="00906180">
        <w:t>Landform design</w:t>
      </w:r>
      <w:bookmarkEnd w:id="201"/>
      <w:bookmarkEnd w:id="202"/>
    </w:p>
    <w:p w:rsidR="006E191A" w:rsidRDefault="006E191A" w:rsidP="003D35F3">
      <w:pPr>
        <w:pStyle w:val="Heading1"/>
        <w:sectPr w:rsidR="006E191A" w:rsidSect="00DE14FB">
          <w:pgSz w:w="11906" w:h="16838" w:code="9"/>
          <w:pgMar w:top="1440" w:right="1797" w:bottom="1440" w:left="1797" w:header="1077" w:footer="833" w:gutter="0"/>
          <w:cols w:space="360"/>
          <w:noEndnote/>
          <w:docGrid w:linePitch="299"/>
        </w:sectPr>
      </w:pPr>
    </w:p>
    <w:p w:rsidR="00906180" w:rsidRDefault="00906180">
      <w:pPr>
        <w:spacing w:after="0" w:line="240" w:lineRule="auto"/>
        <w:jc w:val="left"/>
      </w:pPr>
    </w:p>
    <w:p w:rsidR="00F351F0" w:rsidRDefault="00F351F0" w:rsidP="006E191A">
      <w:pPr>
        <w:pStyle w:val="Heading1"/>
        <w:rPr>
          <w:lang w:val="en-US"/>
        </w:rPr>
      </w:pPr>
      <w:bookmarkStart w:id="203" w:name="_Toc309215781"/>
      <w:bookmarkStart w:id="204" w:name="_Toc372540202"/>
      <w:bookmarkStart w:id="205" w:name="_Toc401910185"/>
      <w:bookmarkStart w:id="206" w:name="_Toc409772809"/>
      <w:bookmarkStart w:id="207" w:name="_Toc418172712"/>
      <w:bookmarkEnd w:id="194"/>
      <w:bookmarkEnd w:id="195"/>
      <w:bookmarkEnd w:id="196"/>
      <w:bookmarkEnd w:id="197"/>
      <w:bookmarkEnd w:id="198"/>
      <w:r>
        <w:rPr>
          <w:lang w:val="en-US"/>
        </w:rPr>
        <w:t>Sediment losses from the trial landform</w:t>
      </w:r>
      <w:bookmarkEnd w:id="203"/>
      <w:bookmarkEnd w:id="204"/>
      <w:bookmarkEnd w:id="205"/>
      <w:bookmarkEnd w:id="206"/>
      <w:bookmarkEnd w:id="207"/>
    </w:p>
    <w:p w:rsidR="006E191A" w:rsidRPr="006E191A" w:rsidRDefault="005141DA" w:rsidP="006E191A">
      <w:pPr>
        <w:pStyle w:val="Heading3"/>
        <w:spacing w:after="480"/>
        <w:jc w:val="center"/>
        <w:rPr>
          <w:lang w:val="en-US"/>
        </w:rPr>
      </w:pPr>
      <w:r>
        <w:rPr>
          <w:lang w:val="en-US"/>
        </w:rPr>
        <w:t>M Saynor, W Erskine</w:t>
      </w:r>
      <w:r w:rsidR="00C64B2D">
        <w:rPr>
          <w:rStyle w:val="FootnoteReference"/>
          <w:lang w:val="en-US"/>
        </w:rPr>
        <w:footnoteReference w:id="7"/>
      </w:r>
      <w:r w:rsidR="00514D8E" w:rsidRPr="00514D8E">
        <w:rPr>
          <w:snapToGrid w:val="0"/>
          <w:color w:val="000000"/>
          <w:position w:val="6"/>
          <w:sz w:val="17"/>
          <w:szCs w:val="0"/>
          <w:u w:color="000000"/>
          <w:lang w:val="en-US"/>
        </w:rPr>
        <w:t>,</w:t>
      </w:r>
      <w:r w:rsidR="00C64B2D">
        <w:rPr>
          <w:rStyle w:val="FootnoteReference"/>
          <w:lang w:val="en-US"/>
        </w:rPr>
        <w:footnoteReference w:id="8"/>
      </w:r>
      <w:r>
        <w:rPr>
          <w:lang w:val="en-US"/>
        </w:rPr>
        <w:t xml:space="preserve"> J Boyden, R Houghton &amp; K Turner</w:t>
      </w:r>
    </w:p>
    <w:p w:rsidR="00F351F0" w:rsidRPr="00931820" w:rsidRDefault="00F351F0" w:rsidP="00397360">
      <w:pPr>
        <w:pStyle w:val="Heading2"/>
      </w:pPr>
      <w:r w:rsidRPr="00931820">
        <w:t>Introduction</w:t>
      </w:r>
    </w:p>
    <w:p w:rsidR="00F351F0" w:rsidRDefault="00F351F0" w:rsidP="00F351F0">
      <w:r>
        <w:t>With the current mine lease at Energy Resources Australia Pty Ltd’s (ERA) Ranger mine due to expire in 2021, there is an increasing focus on key aspects of progressive rehabilitation on the mine-site.</w:t>
      </w:r>
      <w:r w:rsidRPr="0065046D">
        <w:rPr>
          <w:szCs w:val="22"/>
        </w:rPr>
        <w:t xml:space="preserve"> </w:t>
      </w:r>
      <w:r>
        <w:t>ERA is establishing</w:t>
      </w:r>
      <w:r w:rsidRPr="00031C72">
        <w:t xml:space="preserve"> </w:t>
      </w:r>
      <w:r>
        <w:t>a mine closure plan with a key focus on r</w:t>
      </w:r>
      <w:r w:rsidRPr="00031C72">
        <w:t>eshaping and revegetating the</w:t>
      </w:r>
      <w:r>
        <w:t xml:space="preserve"> final</w:t>
      </w:r>
      <w:r w:rsidRPr="00031C72">
        <w:t xml:space="preserve"> </w:t>
      </w:r>
      <w:r>
        <w:t xml:space="preserve">mine </w:t>
      </w:r>
      <w:r w:rsidRPr="00031C72">
        <w:t xml:space="preserve">landform </w:t>
      </w:r>
      <w:r>
        <w:t xml:space="preserve">so that it may </w:t>
      </w:r>
      <w:r w:rsidRPr="00031C72">
        <w:t xml:space="preserve">be </w:t>
      </w:r>
      <w:r>
        <w:t xml:space="preserve">handed back to the traditional owners for </w:t>
      </w:r>
      <w:r w:rsidRPr="00031C72">
        <w:t>incorporat</w:t>
      </w:r>
      <w:r>
        <w:t>ion</w:t>
      </w:r>
      <w:r w:rsidRPr="00031C72">
        <w:t xml:space="preserve"> into Kakadu National Park</w:t>
      </w:r>
      <w:r>
        <w:t>. In order to meet legislated Environmental Requirements for closure, the final landform must resemble the surrounding landscape, be radiologically stable, exhibit erosion characteristics similar to the surrounding environment, and act as a functional containment structure for the mine tailings, which must be physically isolated from the environment for 10,000 years post-closure.</w:t>
      </w:r>
    </w:p>
    <w:p w:rsidR="00F351F0" w:rsidRPr="009D0772" w:rsidRDefault="00F351F0" w:rsidP="00F351F0">
      <w:pPr>
        <w:rPr>
          <w:szCs w:val="22"/>
        </w:rPr>
      </w:pPr>
      <w:r>
        <w:t xml:space="preserve">A further challenge for rehabilitation will be to ensure that the Ranger Project Area does not become a significant future source of elevated sediments and solutes to surrounding areas. Pits 1 and 3 are designated containment areas for mine tailings as well as the brine residue from the brine concentrator. While the final landform will include various engineered solutions to prevent expression of contaminated waters from Pit 3, the potential for mobilisation of sediments and solutes via surface water runoff and seepage through the landform remains. </w:t>
      </w:r>
      <w:r>
        <w:rPr>
          <w:szCs w:val="22"/>
        </w:rPr>
        <w:t>Further</w:t>
      </w:r>
      <w:r w:rsidRPr="009D0772">
        <w:rPr>
          <w:szCs w:val="22"/>
        </w:rPr>
        <w:t xml:space="preserve"> work </w:t>
      </w:r>
      <w:r>
        <w:rPr>
          <w:szCs w:val="22"/>
        </w:rPr>
        <w:t xml:space="preserve">is required to understand the processes associated with sediment and </w:t>
      </w:r>
      <w:r w:rsidRPr="009D0772">
        <w:rPr>
          <w:szCs w:val="22"/>
        </w:rPr>
        <w:t>solute generation and transport.</w:t>
      </w:r>
    </w:p>
    <w:p w:rsidR="00F351F0" w:rsidRDefault="00F351F0" w:rsidP="00F351F0">
      <w:proofErr w:type="gramStart"/>
      <w:r w:rsidRPr="005A6AE3">
        <w:rPr>
          <w:rFonts w:ascii="Times New Roman" w:hAnsi="Times New Roman"/>
          <w:b/>
          <w:i/>
          <w:sz w:val="26"/>
          <w:szCs w:val="22"/>
        </w:rPr>
        <w:t>eriss</w:t>
      </w:r>
      <w:proofErr w:type="gramEnd"/>
      <w:r w:rsidRPr="005A6AE3">
        <w:rPr>
          <w:rFonts w:ascii="Times New Roman" w:hAnsi="Times New Roman"/>
          <w:szCs w:val="22"/>
        </w:rPr>
        <w:t xml:space="preserve"> </w:t>
      </w:r>
      <w:r>
        <w:rPr>
          <w:szCs w:val="22"/>
        </w:rPr>
        <w:t>and ERA are collaboratively</w:t>
      </w:r>
      <w:r w:rsidRPr="009D0772">
        <w:rPr>
          <w:szCs w:val="22"/>
        </w:rPr>
        <w:t xml:space="preserve"> undertaking research to determine the optimal design of the final, rehabilitated landform for the Ranger </w:t>
      </w:r>
      <w:r>
        <w:rPr>
          <w:szCs w:val="22"/>
        </w:rPr>
        <w:t>mine</w:t>
      </w:r>
      <w:r w:rsidRPr="009D0772">
        <w:rPr>
          <w:szCs w:val="22"/>
        </w:rPr>
        <w:t xml:space="preserve">. </w:t>
      </w:r>
      <w:r>
        <w:t>This work includes measurement of solute and sediment loads generated and transported from the landform during rainfall events (Saynor et al</w:t>
      </w:r>
      <w:r w:rsidR="00C12474">
        <w:t>.</w:t>
      </w:r>
      <w:r>
        <w:t xml:space="preserve"> 2011). These </w:t>
      </w:r>
      <w:r w:rsidRPr="00B5392B">
        <w:t xml:space="preserve">data </w:t>
      </w:r>
      <w:r>
        <w:t xml:space="preserve">are also used </w:t>
      </w:r>
      <w:r w:rsidRPr="00B5392B">
        <w:t>for</w:t>
      </w:r>
      <w:r>
        <w:t xml:space="preserve"> validation of</w:t>
      </w:r>
      <w:r w:rsidRPr="00B5392B">
        <w:t xml:space="preserve"> predictive computer modelling of the long</w:t>
      </w:r>
      <w:r>
        <w:t>-</w:t>
      </w:r>
      <w:r w:rsidRPr="00B5392B">
        <w:t>term geomorphic</w:t>
      </w:r>
      <w:r>
        <w:t xml:space="preserve"> </w:t>
      </w:r>
      <w:r w:rsidRPr="00675785">
        <w:t>behaviour of the proposed landform designs for the Ranger mine, also carried out by</w:t>
      </w:r>
      <w:r>
        <w:t xml:space="preserve"> </w:t>
      </w:r>
      <w:r w:rsidR="005A6AE3" w:rsidRPr="005A6AE3">
        <w:rPr>
          <w:rFonts w:ascii="Times New Roman" w:hAnsi="Times New Roman"/>
          <w:b/>
          <w:i/>
          <w:sz w:val="26"/>
          <w:szCs w:val="22"/>
        </w:rPr>
        <w:t>eriss</w:t>
      </w:r>
      <w:r w:rsidRPr="00675785">
        <w:t xml:space="preserve"> (Lowry </w:t>
      </w:r>
      <w:r>
        <w:t>et al</w:t>
      </w:r>
      <w:r w:rsidR="005A6AE3">
        <w:t>.</w:t>
      </w:r>
      <w:r>
        <w:t xml:space="preserve"> </w:t>
      </w:r>
      <w:r w:rsidRPr="00675785">
        <w:t>2013).</w:t>
      </w:r>
    </w:p>
    <w:p w:rsidR="00F351F0" w:rsidRDefault="00F351F0" w:rsidP="00F351F0">
      <w:pPr>
        <w:rPr>
          <w:szCs w:val="22"/>
        </w:rPr>
      </w:pPr>
      <w:r w:rsidRPr="009D0772">
        <w:rPr>
          <w:szCs w:val="22"/>
        </w:rPr>
        <w:t>A tr</w:t>
      </w:r>
      <w:r>
        <w:rPr>
          <w:szCs w:val="22"/>
        </w:rPr>
        <w:t>ial landform (TLF) of approximately 8 ha</w:t>
      </w:r>
      <w:r w:rsidRPr="009D0772">
        <w:rPr>
          <w:szCs w:val="22"/>
        </w:rPr>
        <w:t xml:space="preserve"> was constructed </w:t>
      </w:r>
      <w:r>
        <w:rPr>
          <w:szCs w:val="22"/>
        </w:rPr>
        <w:t>in</w:t>
      </w:r>
      <w:r w:rsidRPr="009D0772">
        <w:rPr>
          <w:szCs w:val="22"/>
        </w:rPr>
        <w:t xml:space="preserve"> late 2008 and early 2009 adjacent to the north-western wall of the tailings storage facility (TSF) at Ranger mine (</w:t>
      </w:r>
      <w:r w:rsidRPr="00AB21E7">
        <w:rPr>
          <w:szCs w:val="22"/>
        </w:rPr>
        <w:t xml:space="preserve">Figure </w:t>
      </w:r>
      <w:r>
        <w:rPr>
          <w:szCs w:val="22"/>
        </w:rPr>
        <w:t>1</w:t>
      </w:r>
      <w:r w:rsidRPr="009D0772">
        <w:rPr>
          <w:szCs w:val="22"/>
        </w:rPr>
        <w:t xml:space="preserve">). The trial landform </w:t>
      </w:r>
      <w:r>
        <w:rPr>
          <w:szCs w:val="22"/>
        </w:rPr>
        <w:t xml:space="preserve">was </w:t>
      </w:r>
      <w:r w:rsidRPr="00B5392B">
        <w:t xml:space="preserve">designed </w:t>
      </w:r>
      <w:r w:rsidRPr="009D0772">
        <w:rPr>
          <w:szCs w:val="22"/>
        </w:rPr>
        <w:t xml:space="preserve">to </w:t>
      </w:r>
      <w:r>
        <w:rPr>
          <w:szCs w:val="22"/>
        </w:rPr>
        <w:t xml:space="preserve">assess: </w:t>
      </w:r>
    </w:p>
    <w:p w:rsidR="00F351F0" w:rsidRPr="005A6AE3" w:rsidRDefault="00F351F0" w:rsidP="00932A96">
      <w:pPr>
        <w:pStyle w:val="Normallist1"/>
        <w:numPr>
          <w:ilvl w:val="0"/>
          <w:numId w:val="24"/>
        </w:numPr>
        <w:ind w:left="426" w:hanging="426"/>
      </w:pPr>
      <w:r w:rsidRPr="005A6AE3">
        <w:t xml:space="preserve">two types of potential capping material: (i) waste rock, and (ii) waste rock blended with approximately 30% fine-grained weathered horizon material (lateritic material) </w:t>
      </w:r>
    </w:p>
    <w:p w:rsidR="00F351F0" w:rsidRPr="005A6AE3" w:rsidRDefault="00F351F0" w:rsidP="00932A96">
      <w:pPr>
        <w:pStyle w:val="Normallist1"/>
        <w:numPr>
          <w:ilvl w:val="0"/>
          <w:numId w:val="24"/>
        </w:numPr>
        <w:ind w:left="426" w:hanging="426"/>
      </w:pPr>
      <w:proofErr w:type="gramStart"/>
      <w:r w:rsidRPr="005A6AE3">
        <w:t>two</w:t>
      </w:r>
      <w:proofErr w:type="gramEnd"/>
      <w:r w:rsidRPr="005A6AE3">
        <w:t xml:space="preserve"> types of potential planting methods: i) direct seeding and ii) tube-stock. </w:t>
      </w:r>
    </w:p>
    <w:p w:rsidR="00F351F0" w:rsidRDefault="00F351F0" w:rsidP="00F351F0">
      <w:r>
        <w:rPr>
          <w:szCs w:val="22"/>
        </w:rPr>
        <w:t>The</w:t>
      </w:r>
      <w:r>
        <w:t xml:space="preserve"> TLF was segmented into four main treatment areas and the surface was ripped on the contour before planting was carried out (Saynor et al</w:t>
      </w:r>
      <w:r w:rsidR="005A6AE3">
        <w:t>.</w:t>
      </w:r>
      <w:r>
        <w:t xml:space="preserve"> 2009). </w:t>
      </w:r>
    </w:p>
    <w:p w:rsidR="00F351F0" w:rsidRDefault="00F351F0" w:rsidP="00F351F0">
      <w:r>
        <w:rPr>
          <w:szCs w:val="22"/>
        </w:rPr>
        <w:t>Since construction, m</w:t>
      </w:r>
      <w:r>
        <w:t>easurements have been carried out to assess the generation and transport of sediments and solutes, and ability to achieve and sustain growth of plant species native to the regio</w:t>
      </w:r>
      <w:r w:rsidR="005141DA">
        <w:t>n. U</w:t>
      </w:r>
      <w:r>
        <w:t>pdates of the generation and transport of solutes, plus hydrology and bedload yields, have been reported annually (Saynor et al</w:t>
      </w:r>
      <w:r w:rsidR="005A6AE3">
        <w:t>.</w:t>
      </w:r>
      <w:r>
        <w:t xml:space="preserve"> 2011, Saynor et al</w:t>
      </w:r>
      <w:r w:rsidR="005A6AE3">
        <w:t>.</w:t>
      </w:r>
      <w:r>
        <w:t xml:space="preserve"> 2012, Saynor &amp; Erskine 2013, </w:t>
      </w:r>
      <w:proofErr w:type="gramStart"/>
      <w:r>
        <w:t>Saynor</w:t>
      </w:r>
      <w:proofErr w:type="gramEnd"/>
      <w:r>
        <w:t xml:space="preserve"> et al</w:t>
      </w:r>
      <w:r w:rsidR="005A6AE3">
        <w:t>.</w:t>
      </w:r>
      <w:r>
        <w:t xml:space="preserve"> 2013). This report pr</w:t>
      </w:r>
      <w:r w:rsidR="005A6AE3">
        <w:t>ovides the update of the 2013–</w:t>
      </w:r>
      <w:r>
        <w:t xml:space="preserve">2014 wet </w:t>
      </w:r>
      <w:proofErr w:type="gramStart"/>
      <w:r>
        <w:t>season</w:t>
      </w:r>
      <w:proofErr w:type="gramEnd"/>
      <w:r>
        <w:t xml:space="preserve">. </w:t>
      </w:r>
    </w:p>
    <w:p w:rsidR="00F351F0" w:rsidRDefault="00F351F0" w:rsidP="00397360">
      <w:pPr>
        <w:pStyle w:val="Heading2"/>
      </w:pPr>
      <w:bookmarkStart w:id="208" w:name="_Toc365635532"/>
      <w:r>
        <w:t>Methods</w:t>
      </w:r>
      <w:bookmarkEnd w:id="208"/>
    </w:p>
    <w:p w:rsidR="00F351F0" w:rsidRDefault="00F351F0" w:rsidP="00F351F0">
      <w:r>
        <w:t>Erosion plots were installed during the 2009 dry season (Saynor et al</w:t>
      </w:r>
      <w:r w:rsidR="007801D4">
        <w:t>.</w:t>
      </w:r>
      <w:r>
        <w:t xml:space="preserve"> 2009) on each of the four main treatment areas by </w:t>
      </w:r>
      <w:r w:rsidRPr="00CB6F89">
        <w:t xml:space="preserve">physically </w:t>
      </w:r>
      <w:r>
        <w:t>isolating approximately 30 x 30 m area (</w:t>
      </w:r>
      <w:r>
        <w:rPr>
          <w:szCs w:val="22"/>
        </w:rPr>
        <w:t xml:space="preserve">Figure 1) </w:t>
      </w:r>
      <w:r>
        <w:t>from the surrounding landform surface by raised damp course and concrete borders on three sides and an open PVC drain on the down-slope side</w:t>
      </w:r>
      <w:r>
        <w:rPr>
          <w:szCs w:val="22"/>
        </w:rPr>
        <w:t>.</w:t>
      </w:r>
      <w:r>
        <w:t xml:space="preserve"> Plots 1 and 4 were planted with tube-stock in March 2009 with infill planting to replace dead specimens in January 2010 (Daws &amp; Gellert 2011). Plots 2 and 3 were direct seeded in July 2009. However, because of poor germination, these plots were infill planted with tube stock in January 2011 (Gellert 2012). For 2013 vegetation results, tubestock has a superior performance over direct seeding for plant height, density, and diversity, with the survival of the tubestock higher on the waste rock th</w:t>
      </w:r>
      <w:r w:rsidR="007801D4">
        <w:t>an on the laterite mix (Gellert</w:t>
      </w:r>
      <w:r>
        <w:t xml:space="preserve"> 2014).</w:t>
      </w:r>
    </w:p>
    <w:p w:rsidR="00F351F0" w:rsidRDefault="00F351F0" w:rsidP="00F351F0">
      <w:pPr>
        <w:jc w:val="center"/>
      </w:pPr>
      <w:r>
        <w:rPr>
          <w:noProof/>
          <w:lang w:eastAsia="en-AU"/>
        </w:rPr>
        <w:drawing>
          <wp:inline distT="0" distB="0" distL="0" distR="0">
            <wp:extent cx="5680723" cy="3741362"/>
            <wp:effectExtent l="19050" t="0" r="0" b="0"/>
            <wp:docPr id="10103" name="Picture 4" descr="TrialLandForm_an-report2013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ialLandForm_an-report2013 (2).jpg"/>
                    <pic:cNvPicPr/>
                  </pic:nvPicPr>
                  <pic:blipFill>
                    <a:blip r:embed="rId166" cstate="screen"/>
                    <a:srcRect/>
                    <a:stretch>
                      <a:fillRect/>
                    </a:stretch>
                  </pic:blipFill>
                  <pic:spPr>
                    <a:xfrm>
                      <a:off x="0" y="0"/>
                      <a:ext cx="5683144" cy="3742957"/>
                    </a:xfrm>
                    <a:prstGeom prst="rect">
                      <a:avLst/>
                    </a:prstGeom>
                  </pic:spPr>
                </pic:pic>
              </a:graphicData>
            </a:graphic>
          </wp:inline>
        </w:drawing>
      </w:r>
    </w:p>
    <w:p w:rsidR="00F351F0" w:rsidRDefault="00F351F0" w:rsidP="00F351F0">
      <w:pPr>
        <w:pStyle w:val="figurecaption"/>
      </w:pPr>
      <w:r>
        <w:rPr>
          <w:b/>
        </w:rPr>
        <w:t xml:space="preserve">Figure </w:t>
      </w:r>
      <w:proofErr w:type="gramStart"/>
      <w:r>
        <w:rPr>
          <w:b/>
        </w:rPr>
        <w:t xml:space="preserve">1  </w:t>
      </w:r>
      <w:r>
        <w:t>Layout</w:t>
      </w:r>
      <w:proofErr w:type="gramEnd"/>
      <w:r>
        <w:t xml:space="preserve"> of the erosion plots on the trial landform</w:t>
      </w:r>
      <w:r w:rsidR="007801D4">
        <w:t>.</w:t>
      </w:r>
    </w:p>
    <w:p w:rsidR="00F351F0" w:rsidRDefault="00F351F0" w:rsidP="00F351F0">
      <w:r>
        <w:t>Each plot was</w:t>
      </w:r>
      <w:r w:rsidRPr="00B5392B">
        <w:t xml:space="preserve"> instrumented with a range of sensors</w:t>
      </w:r>
      <w:r>
        <w:t xml:space="preserve"> that were described in detail in Saynor et al</w:t>
      </w:r>
      <w:r w:rsidR="007801D4">
        <w:t>.</w:t>
      </w:r>
      <w:r>
        <w:t xml:space="preserve"> (2012). In summary, t</w:t>
      </w:r>
      <w:r w:rsidRPr="00B5392B">
        <w:t>hese includ</w:t>
      </w:r>
      <w:r>
        <w:t>ed:</w:t>
      </w:r>
      <w:r w:rsidRPr="008117B1">
        <w:t xml:space="preserve"> </w:t>
      </w:r>
      <w:r>
        <w:t>rectangular broad-crested (RBC) flume to accurately determine discharge;</w:t>
      </w:r>
      <w:r w:rsidRPr="00B5392B">
        <w:t xml:space="preserve"> </w:t>
      </w:r>
      <w:r>
        <w:t xml:space="preserve">a tipping bucket rain gauge, </w:t>
      </w:r>
      <w:r w:rsidRPr="00B5392B">
        <w:t xml:space="preserve">a </w:t>
      </w:r>
      <w:r>
        <w:t xml:space="preserve">primary shaft encoder with a secondary </w:t>
      </w:r>
      <w:r w:rsidRPr="00B5392B">
        <w:t>press</w:t>
      </w:r>
      <w:r>
        <w:t>ure transducer</w:t>
      </w:r>
      <w:r w:rsidRPr="00B5392B">
        <w:t xml:space="preserve"> to measure stage height; a turbidity probe</w:t>
      </w:r>
      <w:r>
        <w:t xml:space="preserve"> from which suspended sediment concentration could be determined</w:t>
      </w:r>
      <w:r w:rsidRPr="00B5392B">
        <w:t xml:space="preserve">; electrical conductivity </w:t>
      </w:r>
      <w:r>
        <w:t xml:space="preserve">(EC) </w:t>
      </w:r>
      <w:r w:rsidRPr="00B5392B">
        <w:t>probes located a</w:t>
      </w:r>
      <w:r>
        <w:t>t the inlet to the stilling basin and at</w:t>
      </w:r>
      <w:r w:rsidRPr="00B5392B">
        <w:t xml:space="preserve"> the entry to the flume to provide</w:t>
      </w:r>
      <w:r>
        <w:t xml:space="preserve"> a measure of the concentration</w:t>
      </w:r>
      <w:r w:rsidRPr="00B5392B">
        <w:t xml:space="preserve"> of dissolved s</w:t>
      </w:r>
      <w:r>
        <w:t>olute</w:t>
      </w:r>
      <w:r w:rsidRPr="00B5392B">
        <w:t xml:space="preserve">s in the runoff; an automatic </w:t>
      </w:r>
      <w:r>
        <w:t>pump</w:t>
      </w:r>
      <w:r w:rsidRPr="00B5392B">
        <w:t xml:space="preserve"> sampler to collect event b</w:t>
      </w:r>
      <w:r>
        <w:t xml:space="preserve">ased water samples triggered by predetermined changes in EC and turbidity readings; and </w:t>
      </w:r>
      <w:r w:rsidRPr="00B5392B">
        <w:t>a data logger with mobile phone telemetry connection</w:t>
      </w:r>
      <w:r>
        <w:t xml:space="preserve"> </w:t>
      </w:r>
      <w:r w:rsidRPr="009E5D78">
        <w:rPr>
          <w:szCs w:val="22"/>
        </w:rPr>
        <w:t xml:space="preserve">(Figure </w:t>
      </w:r>
      <w:r>
        <w:rPr>
          <w:szCs w:val="22"/>
        </w:rPr>
        <w:t>2</w:t>
      </w:r>
      <w:r w:rsidRPr="009E5D78">
        <w:rPr>
          <w:szCs w:val="22"/>
        </w:rPr>
        <w:t>)</w:t>
      </w:r>
      <w:r>
        <w:t>.</w:t>
      </w:r>
    </w:p>
    <w:p w:rsidR="00F351F0" w:rsidRDefault="00F351F0" w:rsidP="00F351F0">
      <w:r>
        <w:t xml:space="preserve">The samples triggered by EC changes were analysed in the laboratory for general water quality (EC and pH) as well as concentrations of dissolved </w:t>
      </w:r>
      <w:r>
        <w:rPr>
          <w:szCs w:val="22"/>
        </w:rPr>
        <w:t xml:space="preserve">(&lt;0.45 µm) </w:t>
      </w:r>
      <w:r>
        <w:t>trace metals (</w:t>
      </w:r>
      <w:r>
        <w:rPr>
          <w:szCs w:val="22"/>
        </w:rPr>
        <w:t>uranium, manganese, aluminium, iron, zinc, copper, barium, nickel, silica and lead)</w:t>
      </w:r>
      <w:r>
        <w:t xml:space="preserve"> and major ions (</w:t>
      </w:r>
      <w:r>
        <w:rPr>
          <w:szCs w:val="22"/>
        </w:rPr>
        <w:t>magnesium, sodium, potassium, calcium, chloride, sulfate)</w:t>
      </w:r>
      <w:r>
        <w:t>. These analyses were unde</w:t>
      </w:r>
      <w:r w:rsidR="007801D4">
        <w:t>rtaken for the wet seasons 2009–10 to 2012–</w:t>
      </w:r>
      <w:r>
        <w:t>13. Samples</w:t>
      </w:r>
      <w:r w:rsidR="007801D4">
        <w:t xml:space="preserve"> were collected during the 2013–</w:t>
      </w:r>
      <w:r>
        <w:t xml:space="preserve">14 wet season but were not sent for analysis. The suspended sediment concentration was measured by filtering a standard volume of sample through a 0.45 </w:t>
      </w:r>
      <w:r>
        <w:rPr>
          <w:szCs w:val="22"/>
        </w:rPr>
        <w:t>µm</w:t>
      </w:r>
      <w:r>
        <w:t xml:space="preserve"> filter of known weight and then determining the oven dry weight of the sediment. </w:t>
      </w:r>
    </w:p>
    <w:p w:rsidR="00F351F0" w:rsidRPr="00A84D3C" w:rsidRDefault="00F351F0" w:rsidP="00F351F0">
      <w:pPr>
        <w:rPr>
          <w:lang w:val="en-US"/>
        </w:rPr>
      </w:pPr>
      <w:r w:rsidRPr="00A84D3C">
        <w:t xml:space="preserve">Bedload samples were collected at weekly to monthly intervals during </w:t>
      </w:r>
      <w:r>
        <w:t xml:space="preserve">each </w:t>
      </w:r>
      <w:r w:rsidRPr="00A84D3C">
        <w:t xml:space="preserve">wet season, depending on the magnitude of runoff events and staff availability. The samples were processed in the laboratory by weighing </w:t>
      </w:r>
      <w:r>
        <w:t xml:space="preserve">(after oven drying) </w:t>
      </w:r>
      <w:r w:rsidRPr="00A84D3C">
        <w:t xml:space="preserve">as well </w:t>
      </w:r>
      <w:r>
        <w:t xml:space="preserve">as </w:t>
      </w:r>
      <w:r w:rsidRPr="00A84D3C">
        <w:t>measuring the particle size</w:t>
      </w:r>
      <w:r w:rsidRPr="00A84D3C">
        <w:rPr>
          <w:lang w:val="en-US"/>
        </w:rPr>
        <w:t xml:space="preserve"> </w:t>
      </w:r>
      <w:r>
        <w:rPr>
          <w:lang w:val="en-US"/>
        </w:rPr>
        <w:t xml:space="preserve">distribution </w:t>
      </w:r>
      <w:r w:rsidRPr="00A84D3C">
        <w:rPr>
          <w:lang w:val="en-US"/>
        </w:rPr>
        <w:t xml:space="preserve">using the Wentworth size fractions of gravel (&gt; 2 mm), sand (63 µm to 2 mm) and silt and clay (&lt; 63 µm). Each sample was sieved to determine the </w:t>
      </w:r>
      <w:r>
        <w:rPr>
          <w:lang w:val="en-US"/>
        </w:rPr>
        <w:t xml:space="preserve">sediment </w:t>
      </w:r>
      <w:r w:rsidRPr="00A84D3C">
        <w:rPr>
          <w:lang w:val="en-US"/>
        </w:rPr>
        <w:t>fractions</w:t>
      </w:r>
      <w:r>
        <w:rPr>
          <w:lang w:val="en-US"/>
        </w:rPr>
        <w:t>.</w:t>
      </w:r>
    </w:p>
    <w:tbl>
      <w:tblPr>
        <w:tblW w:w="4503" w:type="dxa"/>
        <w:jc w:val="center"/>
        <w:tblLook w:val="04A0"/>
      </w:tblPr>
      <w:tblGrid>
        <w:gridCol w:w="5466"/>
      </w:tblGrid>
      <w:tr w:rsidR="00F351F0" w:rsidTr="00224F8A">
        <w:trPr>
          <w:jc w:val="center"/>
        </w:trPr>
        <w:tc>
          <w:tcPr>
            <w:tcW w:w="4503" w:type="dxa"/>
          </w:tcPr>
          <w:p w:rsidR="00F351F0" w:rsidRDefault="00F351F0" w:rsidP="00224F8A">
            <w:pPr>
              <w:rPr>
                <w:lang w:val="en-US"/>
              </w:rPr>
            </w:pPr>
            <w:r w:rsidRPr="00B41648">
              <w:rPr>
                <w:noProof/>
                <w:lang w:eastAsia="en-AU"/>
              </w:rPr>
              <w:drawing>
                <wp:inline distT="0" distB="0" distL="0" distR="0">
                  <wp:extent cx="3226217" cy="4399387"/>
                  <wp:effectExtent l="76200" t="38100" r="31333" b="1163"/>
                  <wp:docPr id="10104" name="Picture 3" descr="2010 annual report flume et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2010 annual report flume etc"/>
                          <pic:cNvPicPr>
                            <a:picLocks noChangeAspect="1" noChangeArrowheads="1"/>
                          </pic:cNvPicPr>
                        </pic:nvPicPr>
                        <pic:blipFill>
                          <a:blip r:embed="rId167" cstate="screen"/>
                          <a:srcRect/>
                          <a:stretch>
                            <a:fillRect/>
                          </a:stretch>
                        </pic:blipFill>
                        <pic:spPr bwMode="auto">
                          <a:xfrm>
                            <a:off x="0" y="0"/>
                            <a:ext cx="3224272" cy="4396734"/>
                          </a:xfrm>
                          <a:prstGeom prst="rect">
                            <a:avLst/>
                          </a:prstGeom>
                          <a:noFill/>
                          <a:ln w="9525" cmpd="sng">
                            <a:solidFill>
                              <a:srgbClr val="000000"/>
                            </a:solidFill>
                            <a:miter lim="800000"/>
                            <a:headEnd/>
                            <a:tailEnd/>
                          </a:ln>
                          <a:effectLst/>
                          <a:scene3d>
                            <a:camera prst="orthographicFront"/>
                            <a:lightRig rig="threePt" dir="t"/>
                          </a:scene3d>
                          <a:sp3d contourW="12700">
                            <a:contourClr>
                              <a:schemeClr val="bg1"/>
                            </a:contourClr>
                          </a:sp3d>
                        </pic:spPr>
                      </pic:pic>
                    </a:graphicData>
                  </a:graphic>
                </wp:inline>
              </w:drawing>
            </w:r>
          </w:p>
        </w:tc>
      </w:tr>
    </w:tbl>
    <w:p w:rsidR="00F351F0" w:rsidRDefault="00F351F0" w:rsidP="00F351F0">
      <w:pPr>
        <w:pStyle w:val="figurecaption"/>
      </w:pPr>
      <w:r>
        <w:rPr>
          <w:b/>
        </w:rPr>
        <w:t xml:space="preserve">Figure </w:t>
      </w:r>
      <w:proofErr w:type="gramStart"/>
      <w:r>
        <w:rPr>
          <w:b/>
        </w:rPr>
        <w:t xml:space="preserve">2  </w:t>
      </w:r>
      <w:r w:rsidRPr="00CB6F89">
        <w:t>Runoff</w:t>
      </w:r>
      <w:proofErr w:type="gramEnd"/>
      <w:r w:rsidRPr="00CB6F89">
        <w:t xml:space="preserve"> through </w:t>
      </w:r>
      <w:r>
        <w:t xml:space="preserve">the </w:t>
      </w:r>
      <w:r w:rsidRPr="00CB6F89">
        <w:t xml:space="preserve">flume on </w:t>
      </w:r>
      <w:r>
        <w:t xml:space="preserve">the </w:t>
      </w:r>
      <w:r w:rsidRPr="00CB6F89">
        <w:t xml:space="preserve">trial landform erosion </w:t>
      </w:r>
      <w:r>
        <w:t>plot</w:t>
      </w:r>
      <w:r w:rsidRPr="00CB6F89">
        <w:t xml:space="preserve"> 3 during a storm event</w:t>
      </w:r>
      <w:r w:rsidR="007801D4">
        <w:t>.</w:t>
      </w:r>
    </w:p>
    <w:p w:rsidR="00F351F0" w:rsidRDefault="00F351F0" w:rsidP="003D35F3">
      <w:pPr>
        <w:pStyle w:val="Heading2"/>
      </w:pPr>
      <w:bookmarkStart w:id="209" w:name="_Toc365635533"/>
      <w:r>
        <w:t>Rainfall and runoff</w:t>
      </w:r>
      <w:bookmarkEnd w:id="209"/>
      <w:r>
        <w:t xml:space="preserve"> results and discussion </w:t>
      </w:r>
    </w:p>
    <w:p w:rsidR="00F351F0" w:rsidRDefault="00F351F0" w:rsidP="003D35F3">
      <w:pPr>
        <w:pStyle w:val="Heading3"/>
      </w:pPr>
      <w:r>
        <w:t>Overview</w:t>
      </w:r>
    </w:p>
    <w:p w:rsidR="00F351F0" w:rsidRPr="001A7E73" w:rsidRDefault="00F351F0" w:rsidP="00F351F0">
      <w:pPr>
        <w:rPr>
          <w:spacing w:val="-2"/>
        </w:rPr>
      </w:pPr>
      <w:r>
        <w:t>Data are presented for a ‘water-year’, from September to August. Preliminary sediment and solute losses from the four</w:t>
      </w:r>
      <w:r w:rsidDel="005C4611">
        <w:t xml:space="preserve"> </w:t>
      </w:r>
      <w:r>
        <w:t xml:space="preserve">erosion plots were presented for the first wet season of </w:t>
      </w:r>
      <w:r w:rsidRPr="001A7E73">
        <w:rPr>
          <w:spacing w:val="-2"/>
        </w:rPr>
        <w:t>monitoring, in Saynor et al</w:t>
      </w:r>
      <w:r w:rsidR="00BE6580" w:rsidRPr="001A7E73">
        <w:rPr>
          <w:spacing w:val="-2"/>
        </w:rPr>
        <w:t>.</w:t>
      </w:r>
      <w:r w:rsidRPr="001A7E73">
        <w:rPr>
          <w:spacing w:val="-2"/>
        </w:rPr>
        <w:t xml:space="preserve"> (2011). Rainfall for all four plots and runoff from erosion Plots 1 &amp; 2 are reported here for five wet seasons. We are currently investigating some issues with the runoff data from the plots (that mainly affect the larger runoff events), but have reported the current results here. Resolution of the issues will be reported later and will result in a slight change in the volume of water for each event but will not impact on the number of events</w:t>
      </w:r>
      <w:r w:rsidR="007801D4" w:rsidRPr="001A7E73">
        <w:rPr>
          <w:spacing w:val="-2"/>
        </w:rPr>
        <w:t>.</w:t>
      </w:r>
    </w:p>
    <w:p w:rsidR="00F351F0" w:rsidRPr="001A7E73" w:rsidRDefault="00F351F0" w:rsidP="003D35F3">
      <w:pPr>
        <w:pStyle w:val="Heading3"/>
        <w:rPr>
          <w:spacing w:val="-2"/>
        </w:rPr>
      </w:pPr>
      <w:r w:rsidRPr="001A7E73">
        <w:rPr>
          <w:spacing w:val="-2"/>
        </w:rPr>
        <w:t>Rainfall and runoff results and discussion</w:t>
      </w:r>
    </w:p>
    <w:p w:rsidR="00F351F0" w:rsidRPr="001A7E73" w:rsidRDefault="00F351F0" w:rsidP="00F351F0">
      <w:pPr>
        <w:rPr>
          <w:spacing w:val="-2"/>
        </w:rPr>
      </w:pPr>
      <w:r w:rsidRPr="001A7E73">
        <w:rPr>
          <w:spacing w:val="-2"/>
        </w:rPr>
        <w:t>Mean annual rainfall at Jabiru Airport (Station No. 014198, located 2.3 km from the trial landform) is 1584 mm (Bureau</w:t>
      </w:r>
      <w:r w:rsidR="007801D4" w:rsidRPr="001A7E73">
        <w:rPr>
          <w:spacing w:val="-2"/>
        </w:rPr>
        <w:t xml:space="preserve"> of Meteorology 2014). The 2013–</w:t>
      </w:r>
      <w:r w:rsidRPr="001A7E73">
        <w:rPr>
          <w:spacing w:val="-2"/>
        </w:rPr>
        <w:t xml:space="preserve">14 wet </w:t>
      </w:r>
      <w:proofErr w:type="gramStart"/>
      <w:r w:rsidRPr="001A7E73">
        <w:rPr>
          <w:spacing w:val="-2"/>
        </w:rPr>
        <w:t>season</w:t>
      </w:r>
      <w:proofErr w:type="gramEnd"/>
      <w:r w:rsidRPr="001A7E73">
        <w:rPr>
          <w:spacing w:val="-2"/>
        </w:rPr>
        <w:t xml:space="preserve"> was above average, having the second highest rainfall for the five years. The annual rainfall for the 2012–13 water </w:t>
      </w:r>
      <w:proofErr w:type="gramStart"/>
      <w:r w:rsidRPr="001A7E73">
        <w:rPr>
          <w:spacing w:val="-2"/>
        </w:rPr>
        <w:t>year</w:t>
      </w:r>
      <w:proofErr w:type="gramEnd"/>
      <w:r w:rsidRPr="001A7E73">
        <w:rPr>
          <w:spacing w:val="-2"/>
        </w:rPr>
        <w:t xml:space="preserve"> on the trial landform was the lowest for the five years of study with</w:t>
      </w:r>
      <w:r w:rsidR="007801D4" w:rsidRPr="001A7E73">
        <w:rPr>
          <w:spacing w:val="-2"/>
        </w:rPr>
        <w:t xml:space="preserve"> 1274 mm (Table 1) and was 19.6</w:t>
      </w:r>
      <w:r w:rsidRPr="001A7E73">
        <w:rPr>
          <w:spacing w:val="-2"/>
        </w:rPr>
        <w:t>% lower than the mean annual rainfall at Jabiru airport.</w:t>
      </w:r>
    </w:p>
    <w:p w:rsidR="00F351F0" w:rsidRDefault="00F351F0" w:rsidP="00F351F0">
      <w:pPr>
        <w:pStyle w:val="tablecaption"/>
      </w:pPr>
      <w:r w:rsidRPr="00F74F92">
        <w:rPr>
          <w:b/>
        </w:rPr>
        <w:t xml:space="preserve">Table </w:t>
      </w:r>
      <w:proofErr w:type="gramStart"/>
      <w:r w:rsidRPr="00F74F92">
        <w:rPr>
          <w:b/>
        </w:rPr>
        <w:t>1</w:t>
      </w:r>
      <w:r w:rsidRPr="00E632F9">
        <w:t xml:space="preserve">  </w:t>
      </w:r>
      <w:r>
        <w:t>R</w:t>
      </w:r>
      <w:r w:rsidRPr="00E632F9">
        <w:t>ainfall</w:t>
      </w:r>
      <w:proofErr w:type="gramEnd"/>
      <w:r w:rsidRPr="00E632F9">
        <w:t xml:space="preserve"> data for the four erosion plots on</w:t>
      </w:r>
      <w:r>
        <w:t xml:space="preserve"> the trial landform for the five</w:t>
      </w:r>
      <w:r w:rsidRPr="00E632F9">
        <w:t xml:space="preserve"> years of measurement</w:t>
      </w:r>
      <w:r w:rsidR="007801D4">
        <w:t>.</w:t>
      </w:r>
    </w:p>
    <w:tbl>
      <w:tblPr>
        <w:tblW w:w="0" w:type="auto"/>
        <w:tblLook w:val="04A0"/>
      </w:tblPr>
      <w:tblGrid>
        <w:gridCol w:w="1420"/>
        <w:gridCol w:w="1420"/>
        <w:gridCol w:w="1420"/>
        <w:gridCol w:w="1420"/>
        <w:gridCol w:w="1421"/>
        <w:gridCol w:w="1421"/>
      </w:tblGrid>
      <w:tr w:rsidR="00F351F0" w:rsidRPr="007801D4" w:rsidTr="00224F8A">
        <w:tc>
          <w:tcPr>
            <w:tcW w:w="1420" w:type="dxa"/>
            <w:tcBorders>
              <w:top w:val="single" w:sz="4" w:space="0" w:color="auto"/>
              <w:bottom w:val="single" w:sz="4" w:space="0" w:color="auto"/>
            </w:tcBorders>
          </w:tcPr>
          <w:p w:rsidR="00F351F0" w:rsidRPr="007801D4" w:rsidRDefault="00F351F0" w:rsidP="007801D4">
            <w:pPr>
              <w:pStyle w:val="table1"/>
              <w:rPr>
                <w:b/>
                <w:color w:val="000000"/>
                <w:u w:color="000000"/>
              </w:rPr>
            </w:pPr>
            <w:r w:rsidRPr="007801D4">
              <w:rPr>
                <w:b/>
                <w:color w:val="000000"/>
                <w:u w:color="000000"/>
              </w:rPr>
              <w:t>Water year</w:t>
            </w:r>
          </w:p>
        </w:tc>
        <w:tc>
          <w:tcPr>
            <w:tcW w:w="1420" w:type="dxa"/>
            <w:tcBorders>
              <w:top w:val="single" w:sz="4" w:space="0" w:color="auto"/>
              <w:bottom w:val="single" w:sz="4" w:space="0" w:color="auto"/>
            </w:tcBorders>
          </w:tcPr>
          <w:p w:rsidR="00F351F0" w:rsidRPr="007801D4" w:rsidRDefault="00F351F0" w:rsidP="007801D4">
            <w:pPr>
              <w:pStyle w:val="table1"/>
              <w:rPr>
                <w:b/>
                <w:color w:val="000000"/>
                <w:u w:color="000000"/>
              </w:rPr>
            </w:pPr>
            <w:r w:rsidRPr="007801D4">
              <w:rPr>
                <w:b/>
                <w:color w:val="000000"/>
                <w:u w:color="000000"/>
              </w:rPr>
              <w:t>Erosion Plot 1 Rainfall</w:t>
            </w:r>
            <w:r w:rsidRPr="007801D4">
              <w:rPr>
                <w:b/>
                <w:color w:val="000000"/>
                <w:u w:color="000000"/>
              </w:rPr>
              <w:br/>
              <w:t>(mm)</w:t>
            </w:r>
          </w:p>
        </w:tc>
        <w:tc>
          <w:tcPr>
            <w:tcW w:w="1420" w:type="dxa"/>
            <w:tcBorders>
              <w:top w:val="single" w:sz="4" w:space="0" w:color="auto"/>
              <w:bottom w:val="single" w:sz="4" w:space="0" w:color="auto"/>
            </w:tcBorders>
          </w:tcPr>
          <w:p w:rsidR="00F351F0" w:rsidRPr="007801D4" w:rsidRDefault="00F351F0" w:rsidP="007801D4">
            <w:pPr>
              <w:pStyle w:val="table1"/>
              <w:rPr>
                <w:b/>
                <w:color w:val="000000"/>
                <w:u w:color="000000"/>
              </w:rPr>
            </w:pPr>
            <w:r w:rsidRPr="007801D4">
              <w:rPr>
                <w:b/>
                <w:color w:val="000000"/>
                <w:u w:color="000000"/>
              </w:rPr>
              <w:t>Erosion Plot 2 Rainfall</w:t>
            </w:r>
            <w:r w:rsidRPr="007801D4">
              <w:rPr>
                <w:b/>
                <w:color w:val="000000"/>
                <w:u w:color="000000"/>
              </w:rPr>
              <w:br/>
              <w:t>(mm)</w:t>
            </w:r>
          </w:p>
        </w:tc>
        <w:tc>
          <w:tcPr>
            <w:tcW w:w="1420" w:type="dxa"/>
            <w:tcBorders>
              <w:top w:val="single" w:sz="4" w:space="0" w:color="auto"/>
              <w:bottom w:val="single" w:sz="4" w:space="0" w:color="auto"/>
            </w:tcBorders>
          </w:tcPr>
          <w:p w:rsidR="00F351F0" w:rsidRPr="007801D4" w:rsidRDefault="00F351F0" w:rsidP="007801D4">
            <w:pPr>
              <w:pStyle w:val="table1"/>
              <w:rPr>
                <w:b/>
                <w:color w:val="000000"/>
                <w:u w:color="000000"/>
              </w:rPr>
            </w:pPr>
            <w:r w:rsidRPr="007801D4">
              <w:rPr>
                <w:b/>
                <w:color w:val="000000"/>
                <w:u w:color="000000"/>
              </w:rPr>
              <w:t>Erosion Plot 3 Rainfall</w:t>
            </w:r>
            <w:r w:rsidRPr="007801D4">
              <w:rPr>
                <w:b/>
                <w:color w:val="000000"/>
                <w:u w:color="000000"/>
              </w:rPr>
              <w:br/>
              <w:t>(mm)</w:t>
            </w:r>
          </w:p>
        </w:tc>
        <w:tc>
          <w:tcPr>
            <w:tcW w:w="1421" w:type="dxa"/>
            <w:tcBorders>
              <w:top w:val="single" w:sz="4" w:space="0" w:color="auto"/>
              <w:bottom w:val="single" w:sz="4" w:space="0" w:color="auto"/>
            </w:tcBorders>
          </w:tcPr>
          <w:p w:rsidR="00F351F0" w:rsidRPr="007801D4" w:rsidRDefault="00F351F0" w:rsidP="007801D4">
            <w:pPr>
              <w:pStyle w:val="table1"/>
              <w:rPr>
                <w:b/>
                <w:color w:val="000000"/>
                <w:u w:color="000000"/>
              </w:rPr>
            </w:pPr>
            <w:r w:rsidRPr="007801D4">
              <w:rPr>
                <w:b/>
                <w:color w:val="000000"/>
                <w:u w:color="000000"/>
              </w:rPr>
              <w:t>Erosion Plot 4 Rainfall</w:t>
            </w:r>
            <w:r w:rsidRPr="007801D4">
              <w:rPr>
                <w:b/>
                <w:color w:val="000000"/>
                <w:u w:color="000000"/>
              </w:rPr>
              <w:br/>
              <w:t>(mm)</w:t>
            </w:r>
          </w:p>
        </w:tc>
        <w:tc>
          <w:tcPr>
            <w:tcW w:w="1421" w:type="dxa"/>
            <w:tcBorders>
              <w:top w:val="single" w:sz="4" w:space="0" w:color="auto"/>
              <w:bottom w:val="single" w:sz="4" w:space="0" w:color="auto"/>
            </w:tcBorders>
          </w:tcPr>
          <w:p w:rsidR="00F351F0" w:rsidRPr="007801D4" w:rsidRDefault="00F351F0" w:rsidP="007801D4">
            <w:pPr>
              <w:pStyle w:val="table1"/>
              <w:rPr>
                <w:b/>
                <w:color w:val="000000"/>
                <w:u w:color="000000"/>
              </w:rPr>
            </w:pPr>
            <w:r w:rsidRPr="007801D4">
              <w:rPr>
                <w:b/>
                <w:color w:val="000000"/>
                <w:u w:color="000000"/>
              </w:rPr>
              <w:t xml:space="preserve">Mean Annual Rainfall </w:t>
            </w:r>
            <w:r w:rsidRPr="007801D4">
              <w:rPr>
                <w:rFonts w:cs="Arial"/>
                <w:b/>
                <w:color w:val="000000"/>
                <w:u w:color="000000"/>
              </w:rPr>
              <w:t>±</w:t>
            </w:r>
            <w:r w:rsidRPr="007801D4">
              <w:rPr>
                <w:b/>
                <w:color w:val="000000"/>
                <w:u w:color="000000"/>
              </w:rPr>
              <w:t xml:space="preserve"> Standard Error</w:t>
            </w:r>
            <w:r w:rsidRPr="007801D4">
              <w:rPr>
                <w:b/>
                <w:color w:val="000000"/>
                <w:u w:color="000000"/>
              </w:rPr>
              <w:br/>
              <w:t>(mm)</w:t>
            </w:r>
          </w:p>
        </w:tc>
      </w:tr>
      <w:tr w:rsidR="00F351F0" w:rsidRPr="007801D4" w:rsidTr="00224F8A">
        <w:tc>
          <w:tcPr>
            <w:tcW w:w="1420" w:type="dxa"/>
            <w:tcBorders>
              <w:top w:val="single" w:sz="4" w:space="0" w:color="auto"/>
            </w:tcBorders>
          </w:tcPr>
          <w:p w:rsidR="00F351F0" w:rsidRPr="007801D4" w:rsidRDefault="00F351F0" w:rsidP="007801D4">
            <w:pPr>
              <w:pStyle w:val="table1"/>
              <w:rPr>
                <w:color w:val="000000"/>
                <w:u w:color="000000"/>
              </w:rPr>
            </w:pPr>
            <w:r w:rsidRPr="007801D4">
              <w:rPr>
                <w:color w:val="000000"/>
                <w:u w:color="000000"/>
              </w:rPr>
              <w:t>2009–10</w:t>
            </w:r>
          </w:p>
        </w:tc>
        <w:tc>
          <w:tcPr>
            <w:tcW w:w="1420" w:type="dxa"/>
            <w:tcBorders>
              <w:top w:val="single" w:sz="4" w:space="0" w:color="auto"/>
            </w:tcBorders>
          </w:tcPr>
          <w:p w:rsidR="00F351F0" w:rsidRPr="007801D4" w:rsidRDefault="00F351F0" w:rsidP="007801D4">
            <w:pPr>
              <w:pStyle w:val="table1"/>
              <w:rPr>
                <w:color w:val="000000"/>
                <w:u w:color="000000"/>
              </w:rPr>
            </w:pPr>
            <w:r w:rsidRPr="007801D4">
              <w:rPr>
                <w:color w:val="000000"/>
                <w:u w:color="000000"/>
              </w:rPr>
              <w:t>1533</w:t>
            </w:r>
          </w:p>
        </w:tc>
        <w:tc>
          <w:tcPr>
            <w:tcW w:w="1420" w:type="dxa"/>
            <w:tcBorders>
              <w:top w:val="single" w:sz="4" w:space="0" w:color="auto"/>
            </w:tcBorders>
          </w:tcPr>
          <w:p w:rsidR="00F351F0" w:rsidRPr="007801D4" w:rsidRDefault="00F351F0" w:rsidP="007801D4">
            <w:pPr>
              <w:pStyle w:val="table1"/>
              <w:rPr>
                <w:color w:val="000000"/>
                <w:u w:color="000000"/>
              </w:rPr>
            </w:pPr>
            <w:r w:rsidRPr="007801D4">
              <w:rPr>
                <w:color w:val="000000"/>
                <w:u w:color="000000"/>
              </w:rPr>
              <w:t>1531</w:t>
            </w:r>
          </w:p>
        </w:tc>
        <w:tc>
          <w:tcPr>
            <w:tcW w:w="1420" w:type="dxa"/>
            <w:tcBorders>
              <w:top w:val="single" w:sz="4" w:space="0" w:color="auto"/>
            </w:tcBorders>
          </w:tcPr>
          <w:p w:rsidR="00F351F0" w:rsidRPr="007801D4" w:rsidRDefault="00F351F0" w:rsidP="007801D4">
            <w:pPr>
              <w:pStyle w:val="table1"/>
              <w:rPr>
                <w:color w:val="000000"/>
                <w:u w:color="000000"/>
              </w:rPr>
            </w:pPr>
            <w:r w:rsidRPr="007801D4">
              <w:rPr>
                <w:color w:val="000000"/>
                <w:u w:color="000000"/>
              </w:rPr>
              <w:t>1480</w:t>
            </w:r>
          </w:p>
        </w:tc>
        <w:tc>
          <w:tcPr>
            <w:tcW w:w="1421" w:type="dxa"/>
            <w:tcBorders>
              <w:top w:val="single" w:sz="4" w:space="0" w:color="auto"/>
            </w:tcBorders>
          </w:tcPr>
          <w:p w:rsidR="00F351F0" w:rsidRPr="007801D4" w:rsidRDefault="00F351F0" w:rsidP="007801D4">
            <w:pPr>
              <w:pStyle w:val="table1"/>
              <w:rPr>
                <w:color w:val="000000"/>
                <w:u w:color="000000"/>
              </w:rPr>
            </w:pPr>
            <w:r w:rsidRPr="007801D4">
              <w:rPr>
                <w:color w:val="000000"/>
                <w:u w:color="000000"/>
              </w:rPr>
              <w:t>1528</w:t>
            </w:r>
          </w:p>
        </w:tc>
        <w:tc>
          <w:tcPr>
            <w:tcW w:w="1421" w:type="dxa"/>
            <w:tcBorders>
              <w:top w:val="single" w:sz="4" w:space="0" w:color="auto"/>
            </w:tcBorders>
          </w:tcPr>
          <w:p w:rsidR="00F351F0" w:rsidRPr="007801D4" w:rsidRDefault="00F351F0" w:rsidP="007801D4">
            <w:pPr>
              <w:pStyle w:val="table1"/>
              <w:rPr>
                <w:color w:val="000000"/>
                <w:u w:color="000000"/>
              </w:rPr>
            </w:pPr>
            <w:r w:rsidRPr="007801D4">
              <w:rPr>
                <w:color w:val="000000"/>
                <w:u w:color="000000"/>
              </w:rPr>
              <w:t xml:space="preserve">1518 </w:t>
            </w:r>
            <w:r w:rsidRPr="007801D4">
              <w:rPr>
                <w:rFonts w:cs="Arial"/>
                <w:color w:val="000000"/>
                <w:u w:color="000000"/>
              </w:rPr>
              <w:t>± 13</w:t>
            </w:r>
          </w:p>
        </w:tc>
      </w:tr>
      <w:tr w:rsidR="00F351F0" w:rsidRPr="007801D4" w:rsidTr="00224F8A">
        <w:tc>
          <w:tcPr>
            <w:tcW w:w="1420" w:type="dxa"/>
          </w:tcPr>
          <w:p w:rsidR="00F351F0" w:rsidRPr="007801D4" w:rsidRDefault="00F351F0" w:rsidP="007801D4">
            <w:pPr>
              <w:pStyle w:val="table1"/>
              <w:rPr>
                <w:color w:val="000000"/>
                <w:u w:color="000000"/>
              </w:rPr>
            </w:pPr>
            <w:r w:rsidRPr="007801D4">
              <w:rPr>
                <w:color w:val="000000"/>
                <w:u w:color="000000"/>
              </w:rPr>
              <w:t>2010–11</w:t>
            </w:r>
          </w:p>
        </w:tc>
        <w:tc>
          <w:tcPr>
            <w:tcW w:w="1420" w:type="dxa"/>
          </w:tcPr>
          <w:p w:rsidR="00F351F0" w:rsidRPr="007801D4" w:rsidRDefault="00F351F0" w:rsidP="007801D4">
            <w:pPr>
              <w:pStyle w:val="table1"/>
              <w:rPr>
                <w:color w:val="000000"/>
                <w:u w:color="000000"/>
              </w:rPr>
            </w:pPr>
            <w:r w:rsidRPr="007801D4">
              <w:rPr>
                <w:color w:val="000000"/>
                <w:u w:color="000000"/>
              </w:rPr>
              <w:t>2227</w:t>
            </w:r>
          </w:p>
        </w:tc>
        <w:tc>
          <w:tcPr>
            <w:tcW w:w="1420" w:type="dxa"/>
          </w:tcPr>
          <w:p w:rsidR="00F351F0" w:rsidRPr="007801D4" w:rsidRDefault="00F351F0" w:rsidP="007801D4">
            <w:pPr>
              <w:pStyle w:val="table1"/>
              <w:rPr>
                <w:color w:val="000000"/>
                <w:u w:color="000000"/>
              </w:rPr>
            </w:pPr>
            <w:r w:rsidRPr="007801D4">
              <w:rPr>
                <w:color w:val="000000"/>
                <w:u w:color="000000"/>
              </w:rPr>
              <w:t>2290</w:t>
            </w:r>
          </w:p>
        </w:tc>
        <w:tc>
          <w:tcPr>
            <w:tcW w:w="1420" w:type="dxa"/>
          </w:tcPr>
          <w:p w:rsidR="00F351F0" w:rsidRPr="007801D4" w:rsidRDefault="00F351F0" w:rsidP="007801D4">
            <w:pPr>
              <w:pStyle w:val="table1"/>
              <w:rPr>
                <w:color w:val="000000"/>
                <w:u w:color="000000"/>
              </w:rPr>
            </w:pPr>
            <w:r w:rsidRPr="007801D4">
              <w:rPr>
                <w:color w:val="000000"/>
                <w:u w:color="000000"/>
              </w:rPr>
              <w:t>2205</w:t>
            </w:r>
          </w:p>
        </w:tc>
        <w:tc>
          <w:tcPr>
            <w:tcW w:w="1421" w:type="dxa"/>
          </w:tcPr>
          <w:p w:rsidR="00F351F0" w:rsidRPr="007801D4" w:rsidRDefault="00F351F0" w:rsidP="007801D4">
            <w:pPr>
              <w:pStyle w:val="table1"/>
              <w:rPr>
                <w:color w:val="000000"/>
                <w:u w:color="000000"/>
              </w:rPr>
            </w:pPr>
            <w:r w:rsidRPr="007801D4">
              <w:rPr>
                <w:color w:val="000000"/>
                <w:u w:color="000000"/>
              </w:rPr>
              <w:t>2296</w:t>
            </w:r>
          </w:p>
        </w:tc>
        <w:tc>
          <w:tcPr>
            <w:tcW w:w="1421" w:type="dxa"/>
          </w:tcPr>
          <w:p w:rsidR="00F351F0" w:rsidRPr="007801D4" w:rsidRDefault="00F351F0" w:rsidP="007801D4">
            <w:pPr>
              <w:pStyle w:val="table1"/>
              <w:rPr>
                <w:color w:val="000000"/>
                <w:u w:color="000000"/>
              </w:rPr>
            </w:pPr>
            <w:r w:rsidRPr="007801D4">
              <w:rPr>
                <w:color w:val="000000"/>
                <w:u w:color="000000"/>
              </w:rPr>
              <w:t xml:space="preserve">2255 </w:t>
            </w:r>
            <w:r w:rsidRPr="007801D4">
              <w:rPr>
                <w:rFonts w:cs="Arial"/>
                <w:color w:val="000000"/>
                <w:u w:color="000000"/>
              </w:rPr>
              <w:t>± 23</w:t>
            </w:r>
          </w:p>
        </w:tc>
      </w:tr>
      <w:tr w:rsidR="00F351F0" w:rsidRPr="007801D4" w:rsidTr="00224F8A">
        <w:tc>
          <w:tcPr>
            <w:tcW w:w="1420" w:type="dxa"/>
          </w:tcPr>
          <w:p w:rsidR="00F351F0" w:rsidRPr="007801D4" w:rsidRDefault="00F351F0" w:rsidP="007801D4">
            <w:pPr>
              <w:pStyle w:val="table1"/>
              <w:rPr>
                <w:color w:val="000000"/>
                <w:u w:color="000000"/>
              </w:rPr>
            </w:pPr>
            <w:r w:rsidRPr="007801D4">
              <w:rPr>
                <w:color w:val="000000"/>
                <w:u w:color="000000"/>
              </w:rPr>
              <w:t>2011–12</w:t>
            </w:r>
          </w:p>
        </w:tc>
        <w:tc>
          <w:tcPr>
            <w:tcW w:w="1420" w:type="dxa"/>
          </w:tcPr>
          <w:p w:rsidR="00F351F0" w:rsidRPr="007801D4" w:rsidRDefault="00F351F0" w:rsidP="007801D4">
            <w:pPr>
              <w:pStyle w:val="table1"/>
              <w:rPr>
                <w:color w:val="000000"/>
                <w:u w:color="000000"/>
              </w:rPr>
            </w:pPr>
            <w:r w:rsidRPr="007801D4">
              <w:rPr>
                <w:color w:val="000000"/>
                <w:u w:color="000000"/>
              </w:rPr>
              <w:t>1508</w:t>
            </w:r>
          </w:p>
        </w:tc>
        <w:tc>
          <w:tcPr>
            <w:tcW w:w="1420" w:type="dxa"/>
          </w:tcPr>
          <w:p w:rsidR="00F351F0" w:rsidRPr="007801D4" w:rsidRDefault="00F351F0" w:rsidP="007801D4">
            <w:pPr>
              <w:pStyle w:val="table1"/>
              <w:rPr>
                <w:color w:val="000000"/>
                <w:u w:color="000000"/>
              </w:rPr>
            </w:pPr>
            <w:r w:rsidRPr="007801D4">
              <w:rPr>
                <w:color w:val="000000"/>
                <w:u w:color="000000"/>
              </w:rPr>
              <w:t>1531</w:t>
            </w:r>
          </w:p>
        </w:tc>
        <w:tc>
          <w:tcPr>
            <w:tcW w:w="1420" w:type="dxa"/>
          </w:tcPr>
          <w:p w:rsidR="00F351F0" w:rsidRPr="007801D4" w:rsidRDefault="00F351F0" w:rsidP="007801D4">
            <w:pPr>
              <w:pStyle w:val="table1"/>
              <w:rPr>
                <w:color w:val="000000"/>
                <w:u w:color="000000"/>
              </w:rPr>
            </w:pPr>
            <w:r w:rsidRPr="007801D4">
              <w:rPr>
                <w:color w:val="000000"/>
                <w:u w:color="000000"/>
              </w:rPr>
              <w:t>1456</w:t>
            </w:r>
          </w:p>
        </w:tc>
        <w:tc>
          <w:tcPr>
            <w:tcW w:w="1421" w:type="dxa"/>
          </w:tcPr>
          <w:p w:rsidR="00F351F0" w:rsidRPr="007801D4" w:rsidRDefault="00F351F0" w:rsidP="007801D4">
            <w:pPr>
              <w:pStyle w:val="table1"/>
              <w:rPr>
                <w:color w:val="000000"/>
                <w:u w:color="000000"/>
              </w:rPr>
            </w:pPr>
            <w:r w:rsidRPr="007801D4">
              <w:rPr>
                <w:color w:val="000000"/>
                <w:u w:color="000000"/>
              </w:rPr>
              <w:t>1489</w:t>
            </w:r>
          </w:p>
        </w:tc>
        <w:tc>
          <w:tcPr>
            <w:tcW w:w="1421" w:type="dxa"/>
          </w:tcPr>
          <w:p w:rsidR="00F351F0" w:rsidRPr="007801D4" w:rsidRDefault="00F351F0" w:rsidP="007801D4">
            <w:pPr>
              <w:pStyle w:val="table1"/>
              <w:rPr>
                <w:color w:val="000000"/>
                <w:u w:color="000000"/>
              </w:rPr>
            </w:pPr>
            <w:r w:rsidRPr="007801D4">
              <w:rPr>
                <w:color w:val="000000"/>
                <w:u w:color="000000"/>
              </w:rPr>
              <w:t xml:space="preserve">1496 </w:t>
            </w:r>
            <w:r w:rsidRPr="007801D4">
              <w:rPr>
                <w:rFonts w:cs="Arial"/>
                <w:color w:val="000000"/>
                <w:u w:color="000000"/>
              </w:rPr>
              <w:t>± 16</w:t>
            </w:r>
          </w:p>
        </w:tc>
      </w:tr>
      <w:tr w:rsidR="00F351F0" w:rsidRPr="007801D4" w:rsidTr="00224F8A">
        <w:tc>
          <w:tcPr>
            <w:tcW w:w="1420" w:type="dxa"/>
          </w:tcPr>
          <w:p w:rsidR="00F351F0" w:rsidRPr="007801D4" w:rsidRDefault="00F351F0" w:rsidP="007801D4">
            <w:pPr>
              <w:pStyle w:val="table1"/>
              <w:rPr>
                <w:color w:val="000000"/>
                <w:u w:color="000000"/>
              </w:rPr>
            </w:pPr>
            <w:r w:rsidRPr="007801D4">
              <w:rPr>
                <w:color w:val="000000"/>
                <w:u w:color="000000"/>
              </w:rPr>
              <w:t>2012–13</w:t>
            </w:r>
          </w:p>
        </w:tc>
        <w:tc>
          <w:tcPr>
            <w:tcW w:w="1420" w:type="dxa"/>
          </w:tcPr>
          <w:p w:rsidR="00F351F0" w:rsidRPr="007801D4" w:rsidRDefault="00F351F0" w:rsidP="007801D4">
            <w:pPr>
              <w:pStyle w:val="table1"/>
              <w:rPr>
                <w:color w:val="000000"/>
                <w:u w:color="000000"/>
              </w:rPr>
            </w:pPr>
            <w:r w:rsidRPr="007801D4">
              <w:rPr>
                <w:color w:val="000000"/>
                <w:u w:color="000000"/>
              </w:rPr>
              <w:t>1283</w:t>
            </w:r>
          </w:p>
        </w:tc>
        <w:tc>
          <w:tcPr>
            <w:tcW w:w="1420" w:type="dxa"/>
          </w:tcPr>
          <w:p w:rsidR="00F351F0" w:rsidRPr="007801D4" w:rsidRDefault="00F351F0" w:rsidP="007801D4">
            <w:pPr>
              <w:pStyle w:val="table1"/>
              <w:rPr>
                <w:color w:val="000000"/>
                <w:u w:color="000000"/>
              </w:rPr>
            </w:pPr>
            <w:r w:rsidRPr="007801D4">
              <w:rPr>
                <w:color w:val="000000"/>
                <w:u w:color="000000"/>
              </w:rPr>
              <w:t>1274</w:t>
            </w:r>
          </w:p>
        </w:tc>
        <w:tc>
          <w:tcPr>
            <w:tcW w:w="1420" w:type="dxa"/>
          </w:tcPr>
          <w:p w:rsidR="00F351F0" w:rsidRPr="007801D4" w:rsidRDefault="00F351F0" w:rsidP="007801D4">
            <w:pPr>
              <w:pStyle w:val="table1"/>
              <w:rPr>
                <w:color w:val="000000"/>
                <w:u w:color="000000"/>
              </w:rPr>
            </w:pPr>
            <w:r w:rsidRPr="007801D4">
              <w:rPr>
                <w:color w:val="000000"/>
                <w:u w:color="000000"/>
              </w:rPr>
              <w:t>1260</w:t>
            </w:r>
          </w:p>
        </w:tc>
        <w:tc>
          <w:tcPr>
            <w:tcW w:w="1421" w:type="dxa"/>
          </w:tcPr>
          <w:p w:rsidR="00F351F0" w:rsidRPr="007801D4" w:rsidRDefault="00F351F0" w:rsidP="007801D4">
            <w:pPr>
              <w:pStyle w:val="table1"/>
              <w:rPr>
                <w:color w:val="000000"/>
                <w:u w:color="000000"/>
              </w:rPr>
            </w:pPr>
            <w:r w:rsidRPr="007801D4">
              <w:rPr>
                <w:color w:val="000000"/>
                <w:u w:color="000000"/>
              </w:rPr>
              <w:t>1264</w:t>
            </w:r>
          </w:p>
        </w:tc>
        <w:tc>
          <w:tcPr>
            <w:tcW w:w="1421" w:type="dxa"/>
          </w:tcPr>
          <w:p w:rsidR="00F351F0" w:rsidRPr="007801D4" w:rsidRDefault="00F351F0" w:rsidP="007801D4">
            <w:pPr>
              <w:pStyle w:val="table1"/>
              <w:rPr>
                <w:color w:val="000000"/>
                <w:u w:color="000000"/>
              </w:rPr>
            </w:pPr>
            <w:r w:rsidRPr="007801D4">
              <w:rPr>
                <w:color w:val="000000"/>
                <w:u w:color="000000"/>
              </w:rPr>
              <w:t xml:space="preserve">1274 </w:t>
            </w:r>
            <w:r w:rsidRPr="007801D4">
              <w:rPr>
                <w:rFonts w:cs="Arial"/>
                <w:color w:val="000000"/>
                <w:u w:color="000000"/>
              </w:rPr>
              <w:t>± 5</w:t>
            </w:r>
          </w:p>
        </w:tc>
      </w:tr>
      <w:tr w:rsidR="00F351F0" w:rsidRPr="007801D4" w:rsidTr="00224F8A">
        <w:tc>
          <w:tcPr>
            <w:tcW w:w="1420" w:type="dxa"/>
            <w:tcBorders>
              <w:bottom w:val="single" w:sz="4" w:space="0" w:color="auto"/>
            </w:tcBorders>
          </w:tcPr>
          <w:p w:rsidR="00F351F0" w:rsidRPr="007801D4" w:rsidRDefault="00F351F0" w:rsidP="007801D4">
            <w:pPr>
              <w:pStyle w:val="table1"/>
              <w:rPr>
                <w:color w:val="000000"/>
                <w:u w:color="000000"/>
              </w:rPr>
            </w:pPr>
            <w:r w:rsidRPr="007801D4">
              <w:rPr>
                <w:color w:val="000000"/>
                <w:u w:color="000000"/>
              </w:rPr>
              <w:t>2013-14</w:t>
            </w:r>
          </w:p>
        </w:tc>
        <w:tc>
          <w:tcPr>
            <w:tcW w:w="1420" w:type="dxa"/>
            <w:tcBorders>
              <w:bottom w:val="single" w:sz="4" w:space="0" w:color="auto"/>
            </w:tcBorders>
          </w:tcPr>
          <w:p w:rsidR="00F351F0" w:rsidRPr="007801D4" w:rsidRDefault="00F351F0" w:rsidP="007801D4">
            <w:pPr>
              <w:pStyle w:val="table1"/>
              <w:rPr>
                <w:color w:val="000000"/>
                <w:u w:color="000000"/>
              </w:rPr>
            </w:pPr>
            <w:r w:rsidRPr="007801D4">
              <w:rPr>
                <w:color w:val="000000"/>
                <w:u w:color="000000"/>
              </w:rPr>
              <w:t>1961</w:t>
            </w:r>
          </w:p>
        </w:tc>
        <w:tc>
          <w:tcPr>
            <w:tcW w:w="1420" w:type="dxa"/>
            <w:tcBorders>
              <w:bottom w:val="single" w:sz="4" w:space="0" w:color="auto"/>
            </w:tcBorders>
          </w:tcPr>
          <w:p w:rsidR="00F351F0" w:rsidRPr="007801D4" w:rsidRDefault="00F351F0" w:rsidP="007801D4">
            <w:pPr>
              <w:pStyle w:val="table1"/>
              <w:rPr>
                <w:color w:val="000000"/>
                <w:u w:color="000000"/>
              </w:rPr>
            </w:pPr>
            <w:r w:rsidRPr="007801D4">
              <w:rPr>
                <w:color w:val="000000"/>
                <w:u w:color="000000"/>
              </w:rPr>
              <w:t>1962</w:t>
            </w:r>
          </w:p>
        </w:tc>
        <w:tc>
          <w:tcPr>
            <w:tcW w:w="1420" w:type="dxa"/>
            <w:tcBorders>
              <w:bottom w:val="single" w:sz="4" w:space="0" w:color="auto"/>
            </w:tcBorders>
          </w:tcPr>
          <w:p w:rsidR="00F351F0" w:rsidRPr="007801D4" w:rsidRDefault="00F351F0" w:rsidP="007801D4">
            <w:pPr>
              <w:pStyle w:val="table1"/>
              <w:rPr>
                <w:color w:val="000000"/>
                <w:u w:color="000000"/>
              </w:rPr>
            </w:pPr>
            <w:r w:rsidRPr="007801D4">
              <w:rPr>
                <w:color w:val="000000"/>
                <w:u w:color="000000"/>
              </w:rPr>
              <w:t>1950</w:t>
            </w:r>
          </w:p>
        </w:tc>
        <w:tc>
          <w:tcPr>
            <w:tcW w:w="1421" w:type="dxa"/>
            <w:tcBorders>
              <w:bottom w:val="single" w:sz="4" w:space="0" w:color="auto"/>
            </w:tcBorders>
          </w:tcPr>
          <w:p w:rsidR="00F351F0" w:rsidRPr="007801D4" w:rsidRDefault="00F351F0" w:rsidP="007801D4">
            <w:pPr>
              <w:pStyle w:val="table1"/>
              <w:rPr>
                <w:color w:val="000000"/>
                <w:u w:color="000000"/>
              </w:rPr>
            </w:pPr>
            <w:r w:rsidRPr="007801D4">
              <w:rPr>
                <w:color w:val="000000"/>
                <w:u w:color="000000"/>
              </w:rPr>
              <w:t>1991</w:t>
            </w:r>
          </w:p>
        </w:tc>
        <w:tc>
          <w:tcPr>
            <w:tcW w:w="1421" w:type="dxa"/>
            <w:tcBorders>
              <w:bottom w:val="single" w:sz="4" w:space="0" w:color="auto"/>
            </w:tcBorders>
          </w:tcPr>
          <w:p w:rsidR="00F351F0" w:rsidRPr="007801D4" w:rsidRDefault="00F351F0" w:rsidP="007801D4">
            <w:pPr>
              <w:pStyle w:val="table1"/>
              <w:rPr>
                <w:color w:val="000000"/>
                <w:u w:color="000000"/>
              </w:rPr>
            </w:pPr>
            <w:r w:rsidRPr="007801D4">
              <w:rPr>
                <w:color w:val="000000"/>
                <w:u w:color="000000"/>
              </w:rPr>
              <w:t xml:space="preserve">1966 </w:t>
            </w:r>
            <w:r w:rsidRPr="007801D4">
              <w:rPr>
                <w:rFonts w:cs="Arial"/>
                <w:color w:val="000000"/>
                <w:u w:color="000000"/>
              </w:rPr>
              <w:t>± 5</w:t>
            </w:r>
          </w:p>
        </w:tc>
      </w:tr>
    </w:tbl>
    <w:p w:rsidR="00F351F0" w:rsidRPr="001A7E73" w:rsidRDefault="007801D4" w:rsidP="00F351F0">
      <w:pPr>
        <w:rPr>
          <w:spacing w:val="-2"/>
        </w:rPr>
      </w:pPr>
      <w:r>
        <w:br/>
      </w:r>
      <w:r w:rsidR="00F351F0" w:rsidRPr="001A7E73">
        <w:rPr>
          <w:spacing w:val="-2"/>
        </w:rPr>
        <w:t>Surface runoff from the erosion plots occurs as a number of discrete events. Some of the smaller rainfall events result in water flow off the plots into the reservoir upstream of the flume (Figure 2), without water flow over the flume. The runoff data for plots 1 and 2 are shown in different tables because there are subtle differences in plot area, and the topography created by the rips lines is different, creating slightly different runoff characteristics.</w:t>
      </w:r>
    </w:p>
    <w:p w:rsidR="001A7E73" w:rsidRPr="001A7E73" w:rsidRDefault="00F351F0" w:rsidP="001A7E73">
      <w:pPr>
        <w:spacing w:line="240" w:lineRule="auto"/>
        <w:jc w:val="left"/>
        <w:rPr>
          <w:spacing w:val="-2"/>
        </w:rPr>
      </w:pPr>
      <w:r w:rsidRPr="001A7E73">
        <w:rPr>
          <w:spacing w:val="-2"/>
        </w:rPr>
        <w:t>For the discussion below only those flows over the flume have been included</w:t>
      </w:r>
    </w:p>
    <w:p w:rsidR="001A7E73" w:rsidRPr="001A7E73" w:rsidRDefault="001A7E73" w:rsidP="001A7E73">
      <w:pPr>
        <w:rPr>
          <w:spacing w:val="-2"/>
        </w:rPr>
      </w:pPr>
      <w:r w:rsidRPr="001A7E73">
        <w:rPr>
          <w:spacing w:val="-2"/>
        </w:rPr>
        <w:t xml:space="preserve">The lowest number of discrete runoff events for both plots for the five wet seasons was for 2012–13. The number of runoff events that produced discharge over the crest of the flume was lowest in the driest water year (2012–13), with 92 events on plot 1 and 114 events on plot 2, and was greatest in the wettest water year (2010–11), with 213 events on plot 1 and 221 events on plot 2. Unusually, annual runoff was lowest in the 2009–10 water-year (rainfall 5.2% below average) than in both the drier 2011–12 water-year (rainfall 5.6% below average) and the much drier 2012–13 water-year (rainfall 19.6% below average) (Table 2). The lowest runoff occurred in the 2009–2010 water-year on both plots 1 &amp; 2, and is likely the result of the infilling with water of the initially empty pore space in the waste rock and laterite from which the trial landform was constructed. </w:t>
      </w:r>
    </w:p>
    <w:p w:rsidR="001A7E73" w:rsidRDefault="001A7E73" w:rsidP="001A7E73">
      <w:pPr>
        <w:rPr>
          <w:spacing w:val="-2"/>
        </w:rPr>
        <w:sectPr w:rsidR="001A7E73" w:rsidSect="00DE14FB">
          <w:headerReference w:type="default" r:id="rId168"/>
          <w:footnotePr>
            <w:numRestart w:val="eachPage"/>
          </w:footnotePr>
          <w:pgSz w:w="11906" w:h="16838" w:code="9"/>
          <w:pgMar w:top="1440" w:right="1797" w:bottom="1440" w:left="1797" w:header="1077" w:footer="833" w:gutter="0"/>
          <w:cols w:space="360"/>
          <w:noEndnote/>
          <w:docGrid w:linePitch="299"/>
        </w:sectPr>
      </w:pPr>
      <w:r w:rsidRPr="001A7E73">
        <w:rPr>
          <w:spacing w:val="-2"/>
        </w:rPr>
        <w:t xml:space="preserve">Annual runoff on plot 1 was greatest in the wettest year (2010–11) when 13.5% rainfall was converted to runoff, and was least in 2009–10 when the trial landform was ‘wetting up’ (Table 2). On plot 2 annual runoff was always higher than for plot 1, with the wettest year (2010–11) having 14.8% of rainfall converted to runoff. Interestingly the 2012–13 wet </w:t>
      </w:r>
      <w:proofErr w:type="gramStart"/>
      <w:r w:rsidRPr="001A7E73">
        <w:rPr>
          <w:spacing w:val="-2"/>
        </w:rPr>
        <w:t>season</w:t>
      </w:r>
      <w:proofErr w:type="gramEnd"/>
      <w:r w:rsidRPr="001A7E73">
        <w:rPr>
          <w:spacing w:val="-2"/>
        </w:rPr>
        <w:t xml:space="preserve"> had the greatest runoff coefficient of 15.9%, a result that requires further investigation.</w:t>
      </w:r>
    </w:p>
    <w:p w:rsidR="001A7E73" w:rsidRPr="001A7E73" w:rsidRDefault="001A7E73" w:rsidP="001A7E73">
      <w:pPr>
        <w:rPr>
          <w:spacing w:val="-2"/>
        </w:rPr>
      </w:pPr>
    </w:p>
    <w:p w:rsidR="00F351F0" w:rsidRPr="00C70840" w:rsidRDefault="00F351F0" w:rsidP="00F351F0">
      <w:pPr>
        <w:pStyle w:val="tablecaption"/>
      </w:pPr>
      <w:r w:rsidRPr="00F74F92">
        <w:rPr>
          <w:b/>
        </w:rPr>
        <w:t xml:space="preserve">Table </w:t>
      </w:r>
      <w:proofErr w:type="gramStart"/>
      <w:r w:rsidRPr="00F74F92">
        <w:rPr>
          <w:b/>
        </w:rPr>
        <w:t>2</w:t>
      </w:r>
      <w:r w:rsidRPr="00874BD7">
        <w:t xml:space="preserve">  </w:t>
      </w:r>
      <w:r>
        <w:t>R</w:t>
      </w:r>
      <w:r w:rsidRPr="00874BD7">
        <w:t>ainfall</w:t>
      </w:r>
      <w:proofErr w:type="gramEnd"/>
      <w:r w:rsidRPr="00874BD7">
        <w:t xml:space="preserve"> and runoff data for erosion plot 1</w:t>
      </w:r>
      <w:r>
        <w:t xml:space="preserve"> </w:t>
      </w:r>
      <w:r w:rsidRPr="00874BD7">
        <w:t xml:space="preserve">on the trial landform for the </w:t>
      </w:r>
      <w:r>
        <w:t>five</w:t>
      </w:r>
      <w:r w:rsidRPr="00874BD7">
        <w:t xml:space="preserve"> years of measurement</w:t>
      </w:r>
      <w:r w:rsidR="007801D4">
        <w:t>.</w:t>
      </w:r>
    </w:p>
    <w:tbl>
      <w:tblPr>
        <w:tblW w:w="0" w:type="auto"/>
        <w:tblLayout w:type="fixed"/>
        <w:tblLook w:val="04A0"/>
      </w:tblPr>
      <w:tblGrid>
        <w:gridCol w:w="1526"/>
        <w:gridCol w:w="1018"/>
        <w:gridCol w:w="1216"/>
        <w:gridCol w:w="1168"/>
        <w:gridCol w:w="1100"/>
        <w:gridCol w:w="1211"/>
        <w:gridCol w:w="1283"/>
      </w:tblGrid>
      <w:tr w:rsidR="00F351F0" w:rsidTr="00224F8A">
        <w:tc>
          <w:tcPr>
            <w:tcW w:w="1526" w:type="dxa"/>
            <w:tcBorders>
              <w:top w:val="single" w:sz="4" w:space="0" w:color="auto"/>
              <w:bottom w:val="single" w:sz="4" w:space="0" w:color="auto"/>
            </w:tcBorders>
          </w:tcPr>
          <w:p w:rsidR="00F351F0" w:rsidRPr="007801D4" w:rsidRDefault="00F351F0" w:rsidP="007801D4">
            <w:pPr>
              <w:pStyle w:val="table1"/>
              <w:rPr>
                <w:b/>
                <w:color w:val="000000"/>
                <w:u w:color="000000"/>
              </w:rPr>
            </w:pPr>
            <w:r w:rsidRPr="007801D4">
              <w:rPr>
                <w:b/>
                <w:color w:val="000000"/>
                <w:u w:color="000000"/>
              </w:rPr>
              <w:t>Water year</w:t>
            </w:r>
          </w:p>
        </w:tc>
        <w:tc>
          <w:tcPr>
            <w:tcW w:w="1018" w:type="dxa"/>
            <w:tcBorders>
              <w:top w:val="single" w:sz="4" w:space="0" w:color="auto"/>
              <w:bottom w:val="single" w:sz="4" w:space="0" w:color="auto"/>
            </w:tcBorders>
          </w:tcPr>
          <w:p w:rsidR="00F351F0" w:rsidRPr="007801D4" w:rsidRDefault="00F351F0" w:rsidP="007801D4">
            <w:pPr>
              <w:pStyle w:val="table1"/>
              <w:rPr>
                <w:b/>
                <w:color w:val="000000"/>
                <w:u w:color="000000"/>
              </w:rPr>
            </w:pPr>
            <w:r w:rsidRPr="007801D4">
              <w:rPr>
                <w:b/>
                <w:color w:val="000000"/>
                <w:u w:color="000000"/>
              </w:rPr>
              <w:t>Maximum event rainfall</w:t>
            </w:r>
            <w:r w:rsidRPr="007801D4">
              <w:rPr>
                <w:b/>
                <w:color w:val="000000"/>
                <w:u w:color="000000"/>
              </w:rPr>
              <w:br/>
              <w:t>(mm)</w:t>
            </w:r>
          </w:p>
        </w:tc>
        <w:tc>
          <w:tcPr>
            <w:tcW w:w="1216" w:type="dxa"/>
            <w:tcBorders>
              <w:top w:val="single" w:sz="4" w:space="0" w:color="auto"/>
              <w:bottom w:val="single" w:sz="4" w:space="0" w:color="auto"/>
            </w:tcBorders>
          </w:tcPr>
          <w:p w:rsidR="00F351F0" w:rsidRPr="007801D4" w:rsidRDefault="00F351F0" w:rsidP="007801D4">
            <w:pPr>
              <w:pStyle w:val="table1"/>
              <w:rPr>
                <w:b/>
                <w:color w:val="000000"/>
                <w:u w:color="000000"/>
              </w:rPr>
            </w:pPr>
            <w:r w:rsidRPr="007801D4">
              <w:rPr>
                <w:b/>
                <w:color w:val="000000"/>
                <w:u w:color="000000"/>
              </w:rPr>
              <w:t>Total Number of runoff events</w:t>
            </w:r>
          </w:p>
        </w:tc>
        <w:tc>
          <w:tcPr>
            <w:tcW w:w="1168" w:type="dxa"/>
            <w:tcBorders>
              <w:top w:val="single" w:sz="4" w:space="0" w:color="auto"/>
              <w:bottom w:val="single" w:sz="4" w:space="0" w:color="auto"/>
            </w:tcBorders>
          </w:tcPr>
          <w:p w:rsidR="00F351F0" w:rsidRPr="007801D4" w:rsidRDefault="00F351F0" w:rsidP="007801D4">
            <w:pPr>
              <w:pStyle w:val="table1"/>
              <w:rPr>
                <w:b/>
                <w:color w:val="000000"/>
                <w:u w:color="000000"/>
              </w:rPr>
            </w:pPr>
            <w:r w:rsidRPr="007801D4">
              <w:rPr>
                <w:b/>
                <w:color w:val="000000"/>
                <w:u w:color="000000"/>
              </w:rPr>
              <w:t>Number of runoff events over the flume</w:t>
            </w:r>
          </w:p>
        </w:tc>
        <w:tc>
          <w:tcPr>
            <w:tcW w:w="1100" w:type="dxa"/>
            <w:tcBorders>
              <w:top w:val="single" w:sz="4" w:space="0" w:color="auto"/>
              <w:bottom w:val="single" w:sz="4" w:space="0" w:color="auto"/>
            </w:tcBorders>
          </w:tcPr>
          <w:p w:rsidR="00F351F0" w:rsidRPr="007801D4" w:rsidRDefault="00F351F0" w:rsidP="007801D4">
            <w:pPr>
              <w:pStyle w:val="table1"/>
              <w:rPr>
                <w:b/>
                <w:color w:val="000000"/>
                <w:u w:color="000000"/>
              </w:rPr>
            </w:pPr>
            <w:r w:rsidRPr="007801D4">
              <w:rPr>
                <w:b/>
                <w:color w:val="000000"/>
                <w:u w:color="000000"/>
              </w:rPr>
              <w:t>Annual Runoff</w:t>
            </w:r>
            <w:r w:rsidRPr="007801D4">
              <w:rPr>
                <w:b/>
                <w:color w:val="000000"/>
                <w:u w:color="000000"/>
              </w:rPr>
              <w:br/>
              <w:t>(L)</w:t>
            </w:r>
          </w:p>
        </w:tc>
        <w:tc>
          <w:tcPr>
            <w:tcW w:w="1211" w:type="dxa"/>
            <w:tcBorders>
              <w:top w:val="single" w:sz="4" w:space="0" w:color="auto"/>
              <w:bottom w:val="single" w:sz="4" w:space="0" w:color="auto"/>
            </w:tcBorders>
          </w:tcPr>
          <w:p w:rsidR="00F351F0" w:rsidRPr="007801D4" w:rsidRDefault="00F351F0" w:rsidP="007801D4">
            <w:pPr>
              <w:pStyle w:val="table1"/>
              <w:rPr>
                <w:b/>
                <w:color w:val="000000"/>
                <w:u w:color="000000"/>
              </w:rPr>
            </w:pPr>
            <w:r w:rsidRPr="007801D4">
              <w:rPr>
                <w:b/>
                <w:color w:val="000000"/>
                <w:u w:color="000000"/>
              </w:rPr>
              <w:t>Runoff</w:t>
            </w:r>
            <w:r w:rsidRPr="007801D4">
              <w:rPr>
                <w:b/>
                <w:color w:val="000000"/>
                <w:u w:color="000000"/>
              </w:rPr>
              <w:br/>
              <w:t>(mm)</w:t>
            </w:r>
          </w:p>
        </w:tc>
        <w:tc>
          <w:tcPr>
            <w:tcW w:w="1283" w:type="dxa"/>
            <w:tcBorders>
              <w:top w:val="single" w:sz="4" w:space="0" w:color="auto"/>
              <w:bottom w:val="single" w:sz="4" w:space="0" w:color="auto"/>
            </w:tcBorders>
          </w:tcPr>
          <w:p w:rsidR="00F351F0" w:rsidRPr="007801D4" w:rsidRDefault="00F351F0" w:rsidP="007801D4">
            <w:pPr>
              <w:pStyle w:val="table1"/>
              <w:rPr>
                <w:b/>
                <w:color w:val="000000"/>
                <w:u w:color="000000"/>
              </w:rPr>
            </w:pPr>
            <w:r w:rsidRPr="007801D4">
              <w:rPr>
                <w:b/>
                <w:color w:val="000000"/>
                <w:u w:color="000000"/>
              </w:rPr>
              <w:t xml:space="preserve">Runoff </w:t>
            </w:r>
            <w:proofErr w:type="gramStart"/>
            <w:r w:rsidRPr="007801D4">
              <w:rPr>
                <w:b/>
                <w:color w:val="000000"/>
                <w:u w:color="000000"/>
              </w:rPr>
              <w:t>coefficient</w:t>
            </w:r>
            <w:proofErr w:type="gramEnd"/>
            <w:r w:rsidRPr="007801D4">
              <w:rPr>
                <w:b/>
                <w:color w:val="000000"/>
                <w:u w:color="000000"/>
              </w:rPr>
              <w:br/>
              <w:t>(%)</w:t>
            </w:r>
          </w:p>
        </w:tc>
      </w:tr>
      <w:tr w:rsidR="00F351F0" w:rsidRPr="005958F4" w:rsidTr="00224F8A">
        <w:tc>
          <w:tcPr>
            <w:tcW w:w="1526" w:type="dxa"/>
            <w:tcBorders>
              <w:top w:val="single" w:sz="4" w:space="0" w:color="auto"/>
            </w:tcBorders>
          </w:tcPr>
          <w:p w:rsidR="00F351F0" w:rsidRPr="007801D4" w:rsidRDefault="00F351F0" w:rsidP="007801D4">
            <w:pPr>
              <w:pStyle w:val="table1"/>
              <w:rPr>
                <w:color w:val="000000"/>
                <w:u w:color="000000"/>
              </w:rPr>
            </w:pPr>
            <w:r w:rsidRPr="007801D4">
              <w:rPr>
                <w:color w:val="000000"/>
                <w:u w:color="000000"/>
              </w:rPr>
              <w:t>2009–10 – plot 1</w:t>
            </w:r>
          </w:p>
        </w:tc>
        <w:tc>
          <w:tcPr>
            <w:tcW w:w="1018" w:type="dxa"/>
            <w:tcBorders>
              <w:top w:val="single" w:sz="4" w:space="0" w:color="auto"/>
            </w:tcBorders>
          </w:tcPr>
          <w:p w:rsidR="00F351F0" w:rsidRPr="007801D4" w:rsidRDefault="00F351F0" w:rsidP="007801D4">
            <w:pPr>
              <w:pStyle w:val="table1"/>
              <w:rPr>
                <w:color w:val="000000"/>
                <w:u w:color="000000"/>
              </w:rPr>
            </w:pPr>
            <w:r w:rsidRPr="007801D4">
              <w:rPr>
                <w:color w:val="000000"/>
                <w:u w:color="000000"/>
              </w:rPr>
              <w:t>76.6</w:t>
            </w:r>
          </w:p>
        </w:tc>
        <w:tc>
          <w:tcPr>
            <w:tcW w:w="1216" w:type="dxa"/>
            <w:tcBorders>
              <w:top w:val="single" w:sz="4" w:space="0" w:color="auto"/>
            </w:tcBorders>
          </w:tcPr>
          <w:p w:rsidR="00F351F0" w:rsidRPr="007801D4" w:rsidRDefault="00F351F0" w:rsidP="007801D4">
            <w:pPr>
              <w:pStyle w:val="table1"/>
              <w:rPr>
                <w:color w:val="000000"/>
                <w:u w:color="000000"/>
              </w:rPr>
            </w:pPr>
            <w:r w:rsidRPr="007801D4">
              <w:rPr>
                <w:color w:val="000000"/>
                <w:u w:color="000000"/>
              </w:rPr>
              <w:t>165</w:t>
            </w:r>
          </w:p>
        </w:tc>
        <w:tc>
          <w:tcPr>
            <w:tcW w:w="1168" w:type="dxa"/>
            <w:tcBorders>
              <w:top w:val="single" w:sz="4" w:space="0" w:color="auto"/>
            </w:tcBorders>
          </w:tcPr>
          <w:p w:rsidR="00F351F0" w:rsidRPr="007801D4" w:rsidRDefault="00F351F0" w:rsidP="007801D4">
            <w:pPr>
              <w:pStyle w:val="table1"/>
              <w:rPr>
                <w:color w:val="000000"/>
                <w:u w:color="000000"/>
              </w:rPr>
            </w:pPr>
            <w:r w:rsidRPr="007801D4">
              <w:rPr>
                <w:color w:val="000000"/>
                <w:u w:color="000000"/>
              </w:rPr>
              <w:t>131</w:t>
            </w:r>
          </w:p>
        </w:tc>
        <w:tc>
          <w:tcPr>
            <w:tcW w:w="1100" w:type="dxa"/>
            <w:tcBorders>
              <w:top w:val="single" w:sz="4" w:space="0" w:color="auto"/>
            </w:tcBorders>
          </w:tcPr>
          <w:p w:rsidR="00F351F0" w:rsidRPr="007801D4" w:rsidRDefault="00F351F0" w:rsidP="007801D4">
            <w:pPr>
              <w:pStyle w:val="table1"/>
              <w:rPr>
                <w:color w:val="000000"/>
                <w:u w:color="000000"/>
              </w:rPr>
            </w:pPr>
            <w:r w:rsidRPr="007801D4">
              <w:rPr>
                <w:color w:val="000000"/>
                <w:u w:color="000000"/>
              </w:rPr>
              <w:t>74886</w:t>
            </w:r>
          </w:p>
        </w:tc>
        <w:tc>
          <w:tcPr>
            <w:tcW w:w="1211" w:type="dxa"/>
            <w:tcBorders>
              <w:top w:val="single" w:sz="4" w:space="0" w:color="auto"/>
            </w:tcBorders>
          </w:tcPr>
          <w:p w:rsidR="00F351F0" w:rsidRPr="007801D4" w:rsidRDefault="00F351F0" w:rsidP="007801D4">
            <w:pPr>
              <w:pStyle w:val="table1"/>
              <w:rPr>
                <w:color w:val="000000"/>
                <w:u w:color="000000"/>
              </w:rPr>
            </w:pPr>
            <w:r w:rsidRPr="007801D4">
              <w:rPr>
                <w:color w:val="000000"/>
                <w:u w:color="000000"/>
              </w:rPr>
              <w:t>81</w:t>
            </w:r>
          </w:p>
        </w:tc>
        <w:tc>
          <w:tcPr>
            <w:tcW w:w="1283" w:type="dxa"/>
            <w:tcBorders>
              <w:top w:val="single" w:sz="4" w:space="0" w:color="auto"/>
            </w:tcBorders>
          </w:tcPr>
          <w:p w:rsidR="00F351F0" w:rsidRPr="007801D4" w:rsidRDefault="00F351F0" w:rsidP="007801D4">
            <w:pPr>
              <w:pStyle w:val="table1"/>
              <w:rPr>
                <w:color w:val="000000"/>
                <w:u w:color="000000"/>
              </w:rPr>
            </w:pPr>
            <w:r w:rsidRPr="007801D4">
              <w:rPr>
                <w:color w:val="000000"/>
                <w:u w:color="000000"/>
              </w:rPr>
              <w:t>5.3</w:t>
            </w:r>
          </w:p>
        </w:tc>
      </w:tr>
      <w:tr w:rsidR="00F351F0" w:rsidRPr="005958F4" w:rsidTr="00224F8A">
        <w:tc>
          <w:tcPr>
            <w:tcW w:w="1526" w:type="dxa"/>
          </w:tcPr>
          <w:p w:rsidR="00F351F0" w:rsidRPr="007801D4" w:rsidRDefault="00F351F0" w:rsidP="007801D4">
            <w:pPr>
              <w:pStyle w:val="table1"/>
              <w:rPr>
                <w:color w:val="000000"/>
                <w:u w:color="000000"/>
              </w:rPr>
            </w:pPr>
            <w:r w:rsidRPr="007801D4">
              <w:rPr>
                <w:color w:val="000000"/>
                <w:u w:color="000000"/>
              </w:rPr>
              <w:t>2010–11 – plot 1</w:t>
            </w:r>
          </w:p>
        </w:tc>
        <w:tc>
          <w:tcPr>
            <w:tcW w:w="1018" w:type="dxa"/>
          </w:tcPr>
          <w:p w:rsidR="00F351F0" w:rsidRPr="007801D4" w:rsidRDefault="00F351F0" w:rsidP="007801D4">
            <w:pPr>
              <w:pStyle w:val="table1"/>
              <w:rPr>
                <w:color w:val="000000"/>
                <w:u w:color="000000"/>
              </w:rPr>
            </w:pPr>
            <w:r w:rsidRPr="007801D4">
              <w:rPr>
                <w:color w:val="000000"/>
                <w:u w:color="000000"/>
              </w:rPr>
              <w:t>189.4</w:t>
            </w:r>
          </w:p>
        </w:tc>
        <w:tc>
          <w:tcPr>
            <w:tcW w:w="1216" w:type="dxa"/>
          </w:tcPr>
          <w:p w:rsidR="00F351F0" w:rsidRPr="007801D4" w:rsidRDefault="00F351F0" w:rsidP="007801D4">
            <w:pPr>
              <w:pStyle w:val="table1"/>
              <w:rPr>
                <w:color w:val="000000"/>
                <w:u w:color="000000"/>
              </w:rPr>
            </w:pPr>
            <w:r w:rsidRPr="007801D4">
              <w:rPr>
                <w:color w:val="000000"/>
                <w:u w:color="000000"/>
              </w:rPr>
              <w:t>249</w:t>
            </w:r>
          </w:p>
        </w:tc>
        <w:tc>
          <w:tcPr>
            <w:tcW w:w="1168" w:type="dxa"/>
          </w:tcPr>
          <w:p w:rsidR="00F351F0" w:rsidRPr="007801D4" w:rsidRDefault="00F351F0" w:rsidP="007801D4">
            <w:pPr>
              <w:pStyle w:val="table1"/>
              <w:rPr>
                <w:color w:val="000000"/>
                <w:u w:color="000000"/>
              </w:rPr>
            </w:pPr>
            <w:r w:rsidRPr="007801D4">
              <w:rPr>
                <w:color w:val="000000"/>
                <w:u w:color="000000"/>
              </w:rPr>
              <w:t>213</w:t>
            </w:r>
          </w:p>
        </w:tc>
        <w:tc>
          <w:tcPr>
            <w:tcW w:w="1100" w:type="dxa"/>
          </w:tcPr>
          <w:p w:rsidR="00F351F0" w:rsidRPr="007801D4" w:rsidRDefault="00F351F0" w:rsidP="007801D4">
            <w:pPr>
              <w:pStyle w:val="table1"/>
              <w:rPr>
                <w:color w:val="000000"/>
                <w:u w:color="000000"/>
              </w:rPr>
            </w:pPr>
            <w:r w:rsidRPr="007801D4">
              <w:rPr>
                <w:color w:val="000000"/>
                <w:u w:color="000000"/>
              </w:rPr>
              <w:t>275650</w:t>
            </w:r>
          </w:p>
        </w:tc>
        <w:tc>
          <w:tcPr>
            <w:tcW w:w="1211" w:type="dxa"/>
          </w:tcPr>
          <w:p w:rsidR="00F351F0" w:rsidRPr="007801D4" w:rsidRDefault="00F351F0" w:rsidP="007801D4">
            <w:pPr>
              <w:pStyle w:val="table1"/>
              <w:rPr>
                <w:color w:val="000000"/>
                <w:u w:color="000000"/>
              </w:rPr>
            </w:pPr>
            <w:r w:rsidRPr="007801D4">
              <w:rPr>
                <w:color w:val="000000"/>
                <w:u w:color="000000"/>
              </w:rPr>
              <w:t>300</w:t>
            </w:r>
          </w:p>
        </w:tc>
        <w:tc>
          <w:tcPr>
            <w:tcW w:w="1283" w:type="dxa"/>
          </w:tcPr>
          <w:p w:rsidR="00F351F0" w:rsidRPr="007801D4" w:rsidRDefault="00F351F0" w:rsidP="007801D4">
            <w:pPr>
              <w:pStyle w:val="table1"/>
              <w:rPr>
                <w:color w:val="000000"/>
                <w:u w:color="000000"/>
              </w:rPr>
            </w:pPr>
            <w:r w:rsidRPr="007801D4">
              <w:rPr>
                <w:color w:val="000000"/>
                <w:u w:color="000000"/>
              </w:rPr>
              <w:t>13.5</w:t>
            </w:r>
          </w:p>
        </w:tc>
      </w:tr>
      <w:tr w:rsidR="00F351F0" w:rsidRPr="005958F4" w:rsidTr="00224F8A">
        <w:tc>
          <w:tcPr>
            <w:tcW w:w="1526" w:type="dxa"/>
          </w:tcPr>
          <w:p w:rsidR="00F351F0" w:rsidRPr="007801D4" w:rsidRDefault="00F351F0" w:rsidP="007801D4">
            <w:pPr>
              <w:pStyle w:val="table1"/>
              <w:rPr>
                <w:color w:val="000000"/>
                <w:u w:color="000000"/>
              </w:rPr>
            </w:pPr>
            <w:r w:rsidRPr="007801D4">
              <w:rPr>
                <w:color w:val="000000"/>
                <w:u w:color="000000"/>
              </w:rPr>
              <w:t>2011–12 – plot 1</w:t>
            </w:r>
          </w:p>
        </w:tc>
        <w:tc>
          <w:tcPr>
            <w:tcW w:w="1018" w:type="dxa"/>
          </w:tcPr>
          <w:p w:rsidR="00F351F0" w:rsidRPr="007801D4" w:rsidRDefault="00F351F0" w:rsidP="007801D4">
            <w:pPr>
              <w:pStyle w:val="table1"/>
              <w:rPr>
                <w:color w:val="000000"/>
                <w:u w:color="000000"/>
              </w:rPr>
            </w:pPr>
            <w:r w:rsidRPr="007801D4">
              <w:rPr>
                <w:color w:val="000000"/>
                <w:u w:color="000000"/>
              </w:rPr>
              <w:t>85.0</w:t>
            </w:r>
          </w:p>
        </w:tc>
        <w:tc>
          <w:tcPr>
            <w:tcW w:w="1216" w:type="dxa"/>
          </w:tcPr>
          <w:p w:rsidR="00F351F0" w:rsidRPr="007801D4" w:rsidRDefault="00F351F0" w:rsidP="007801D4">
            <w:pPr>
              <w:pStyle w:val="table1"/>
              <w:rPr>
                <w:color w:val="000000"/>
                <w:u w:color="000000"/>
              </w:rPr>
            </w:pPr>
            <w:r w:rsidRPr="007801D4">
              <w:rPr>
                <w:color w:val="000000"/>
                <w:u w:color="000000"/>
              </w:rPr>
              <w:t>174</w:t>
            </w:r>
          </w:p>
        </w:tc>
        <w:tc>
          <w:tcPr>
            <w:tcW w:w="1168" w:type="dxa"/>
          </w:tcPr>
          <w:p w:rsidR="00F351F0" w:rsidRPr="007801D4" w:rsidRDefault="00F351F0" w:rsidP="007801D4">
            <w:pPr>
              <w:pStyle w:val="table1"/>
              <w:rPr>
                <w:color w:val="000000"/>
                <w:u w:color="000000"/>
              </w:rPr>
            </w:pPr>
            <w:r w:rsidRPr="007801D4">
              <w:rPr>
                <w:color w:val="000000"/>
                <w:u w:color="000000"/>
              </w:rPr>
              <w:t>129</w:t>
            </w:r>
          </w:p>
        </w:tc>
        <w:tc>
          <w:tcPr>
            <w:tcW w:w="1100" w:type="dxa"/>
          </w:tcPr>
          <w:p w:rsidR="00F351F0" w:rsidRPr="007801D4" w:rsidRDefault="00F351F0" w:rsidP="007801D4">
            <w:pPr>
              <w:pStyle w:val="table1"/>
              <w:rPr>
                <w:color w:val="000000"/>
                <w:u w:color="000000"/>
              </w:rPr>
            </w:pPr>
            <w:r w:rsidRPr="007801D4">
              <w:rPr>
                <w:color w:val="000000"/>
                <w:u w:color="000000"/>
              </w:rPr>
              <w:t>97366</w:t>
            </w:r>
          </w:p>
        </w:tc>
        <w:tc>
          <w:tcPr>
            <w:tcW w:w="1211" w:type="dxa"/>
          </w:tcPr>
          <w:p w:rsidR="00F351F0" w:rsidRPr="007801D4" w:rsidRDefault="00F351F0" w:rsidP="007801D4">
            <w:pPr>
              <w:pStyle w:val="table1"/>
              <w:rPr>
                <w:color w:val="000000"/>
                <w:u w:color="000000"/>
              </w:rPr>
            </w:pPr>
            <w:r w:rsidRPr="007801D4">
              <w:rPr>
                <w:color w:val="000000"/>
                <w:u w:color="000000"/>
              </w:rPr>
              <w:t>106</w:t>
            </w:r>
          </w:p>
        </w:tc>
        <w:tc>
          <w:tcPr>
            <w:tcW w:w="1283" w:type="dxa"/>
          </w:tcPr>
          <w:p w:rsidR="00F351F0" w:rsidRPr="007801D4" w:rsidRDefault="00F351F0" w:rsidP="007801D4">
            <w:pPr>
              <w:pStyle w:val="table1"/>
              <w:rPr>
                <w:color w:val="000000"/>
                <w:u w:color="000000"/>
              </w:rPr>
            </w:pPr>
            <w:r w:rsidRPr="007801D4">
              <w:rPr>
                <w:color w:val="000000"/>
                <w:u w:color="000000"/>
              </w:rPr>
              <w:t>7.0</w:t>
            </w:r>
          </w:p>
        </w:tc>
      </w:tr>
      <w:tr w:rsidR="00F351F0" w:rsidRPr="005958F4" w:rsidTr="00224F8A">
        <w:tc>
          <w:tcPr>
            <w:tcW w:w="1526" w:type="dxa"/>
          </w:tcPr>
          <w:p w:rsidR="00F351F0" w:rsidRPr="007801D4" w:rsidRDefault="00F351F0" w:rsidP="007801D4">
            <w:pPr>
              <w:pStyle w:val="table1"/>
              <w:rPr>
                <w:color w:val="000000"/>
                <w:u w:color="000000"/>
              </w:rPr>
            </w:pPr>
            <w:r w:rsidRPr="007801D4">
              <w:rPr>
                <w:color w:val="000000"/>
                <w:u w:color="000000"/>
              </w:rPr>
              <w:t xml:space="preserve">2012–13 – plot1 </w:t>
            </w:r>
          </w:p>
        </w:tc>
        <w:tc>
          <w:tcPr>
            <w:tcW w:w="1018" w:type="dxa"/>
          </w:tcPr>
          <w:p w:rsidR="00F351F0" w:rsidRPr="007801D4" w:rsidRDefault="00F351F0" w:rsidP="007801D4">
            <w:pPr>
              <w:pStyle w:val="table1"/>
              <w:rPr>
                <w:color w:val="000000"/>
                <w:u w:color="000000"/>
              </w:rPr>
            </w:pPr>
            <w:r w:rsidRPr="007801D4">
              <w:rPr>
                <w:color w:val="000000"/>
                <w:u w:color="000000"/>
              </w:rPr>
              <w:t>72.8</w:t>
            </w:r>
          </w:p>
        </w:tc>
        <w:tc>
          <w:tcPr>
            <w:tcW w:w="1216" w:type="dxa"/>
          </w:tcPr>
          <w:p w:rsidR="00F351F0" w:rsidRPr="007801D4" w:rsidRDefault="00F351F0" w:rsidP="007801D4">
            <w:pPr>
              <w:pStyle w:val="table1"/>
              <w:rPr>
                <w:color w:val="000000"/>
                <w:u w:color="000000"/>
              </w:rPr>
            </w:pPr>
            <w:r w:rsidRPr="007801D4">
              <w:rPr>
                <w:color w:val="000000"/>
                <w:u w:color="000000"/>
              </w:rPr>
              <w:t>129</w:t>
            </w:r>
          </w:p>
        </w:tc>
        <w:tc>
          <w:tcPr>
            <w:tcW w:w="1168" w:type="dxa"/>
          </w:tcPr>
          <w:p w:rsidR="00F351F0" w:rsidRPr="007801D4" w:rsidRDefault="00F351F0" w:rsidP="007801D4">
            <w:pPr>
              <w:pStyle w:val="table1"/>
              <w:rPr>
                <w:color w:val="000000"/>
                <w:u w:color="000000"/>
              </w:rPr>
            </w:pPr>
            <w:r w:rsidRPr="007801D4">
              <w:rPr>
                <w:color w:val="000000"/>
                <w:u w:color="000000"/>
              </w:rPr>
              <w:t>92</w:t>
            </w:r>
          </w:p>
        </w:tc>
        <w:tc>
          <w:tcPr>
            <w:tcW w:w="1100" w:type="dxa"/>
          </w:tcPr>
          <w:p w:rsidR="00F351F0" w:rsidRPr="007801D4" w:rsidRDefault="00F351F0" w:rsidP="007801D4">
            <w:pPr>
              <w:pStyle w:val="table1"/>
              <w:rPr>
                <w:color w:val="000000"/>
                <w:u w:color="000000"/>
              </w:rPr>
            </w:pPr>
            <w:r w:rsidRPr="007801D4">
              <w:rPr>
                <w:color w:val="000000"/>
                <w:u w:color="000000"/>
              </w:rPr>
              <w:t>111603</w:t>
            </w:r>
          </w:p>
        </w:tc>
        <w:tc>
          <w:tcPr>
            <w:tcW w:w="1211" w:type="dxa"/>
          </w:tcPr>
          <w:p w:rsidR="00F351F0" w:rsidRPr="007801D4" w:rsidRDefault="00F351F0" w:rsidP="007801D4">
            <w:pPr>
              <w:pStyle w:val="table1"/>
              <w:rPr>
                <w:color w:val="000000"/>
                <w:u w:color="000000"/>
              </w:rPr>
            </w:pPr>
            <w:r w:rsidRPr="007801D4">
              <w:rPr>
                <w:color w:val="000000"/>
                <w:u w:color="000000"/>
              </w:rPr>
              <w:t>121</w:t>
            </w:r>
          </w:p>
        </w:tc>
        <w:tc>
          <w:tcPr>
            <w:tcW w:w="1283" w:type="dxa"/>
          </w:tcPr>
          <w:p w:rsidR="00F351F0" w:rsidRPr="007801D4" w:rsidRDefault="00F351F0" w:rsidP="007801D4">
            <w:pPr>
              <w:pStyle w:val="table1"/>
              <w:rPr>
                <w:color w:val="000000"/>
                <w:u w:color="000000"/>
              </w:rPr>
            </w:pPr>
            <w:r w:rsidRPr="007801D4">
              <w:rPr>
                <w:color w:val="000000"/>
                <w:u w:color="000000"/>
              </w:rPr>
              <w:t>9.5</w:t>
            </w:r>
          </w:p>
        </w:tc>
      </w:tr>
      <w:tr w:rsidR="00F351F0" w:rsidRPr="005958F4" w:rsidTr="00224F8A">
        <w:tc>
          <w:tcPr>
            <w:tcW w:w="1526" w:type="dxa"/>
            <w:tcBorders>
              <w:bottom w:val="single" w:sz="4" w:space="0" w:color="auto"/>
            </w:tcBorders>
          </w:tcPr>
          <w:p w:rsidR="00F351F0" w:rsidRPr="007801D4" w:rsidRDefault="00F351F0" w:rsidP="007801D4">
            <w:pPr>
              <w:pStyle w:val="table1"/>
              <w:rPr>
                <w:color w:val="000000"/>
                <w:u w:color="000000"/>
              </w:rPr>
            </w:pPr>
            <w:r w:rsidRPr="007801D4">
              <w:rPr>
                <w:color w:val="000000"/>
                <w:u w:color="000000"/>
              </w:rPr>
              <w:t>2013–14 – plot 1</w:t>
            </w:r>
          </w:p>
        </w:tc>
        <w:tc>
          <w:tcPr>
            <w:tcW w:w="1018" w:type="dxa"/>
            <w:tcBorders>
              <w:bottom w:val="single" w:sz="4" w:space="0" w:color="auto"/>
            </w:tcBorders>
          </w:tcPr>
          <w:p w:rsidR="00F351F0" w:rsidRPr="007801D4" w:rsidRDefault="00F351F0" w:rsidP="007801D4">
            <w:pPr>
              <w:pStyle w:val="table1"/>
              <w:rPr>
                <w:color w:val="000000"/>
                <w:u w:color="000000"/>
              </w:rPr>
            </w:pPr>
            <w:r w:rsidRPr="007801D4">
              <w:rPr>
                <w:color w:val="000000"/>
                <w:u w:color="000000"/>
              </w:rPr>
              <w:t>72.6</w:t>
            </w:r>
          </w:p>
        </w:tc>
        <w:tc>
          <w:tcPr>
            <w:tcW w:w="1216" w:type="dxa"/>
            <w:tcBorders>
              <w:bottom w:val="single" w:sz="4" w:space="0" w:color="auto"/>
            </w:tcBorders>
          </w:tcPr>
          <w:p w:rsidR="00F351F0" w:rsidRPr="007801D4" w:rsidRDefault="00F351F0" w:rsidP="007801D4">
            <w:pPr>
              <w:pStyle w:val="table1"/>
              <w:rPr>
                <w:color w:val="000000"/>
                <w:u w:color="000000"/>
              </w:rPr>
            </w:pPr>
            <w:r w:rsidRPr="007801D4">
              <w:rPr>
                <w:color w:val="000000"/>
                <w:u w:color="000000"/>
              </w:rPr>
              <w:t>183</w:t>
            </w:r>
          </w:p>
        </w:tc>
        <w:tc>
          <w:tcPr>
            <w:tcW w:w="1168" w:type="dxa"/>
            <w:tcBorders>
              <w:bottom w:val="single" w:sz="4" w:space="0" w:color="auto"/>
            </w:tcBorders>
          </w:tcPr>
          <w:p w:rsidR="00F351F0" w:rsidRPr="007801D4" w:rsidRDefault="00F351F0" w:rsidP="007801D4">
            <w:pPr>
              <w:pStyle w:val="table1"/>
              <w:rPr>
                <w:color w:val="000000"/>
                <w:u w:color="000000"/>
              </w:rPr>
            </w:pPr>
            <w:r w:rsidRPr="007801D4">
              <w:rPr>
                <w:color w:val="000000"/>
                <w:u w:color="000000"/>
              </w:rPr>
              <w:t>156</w:t>
            </w:r>
          </w:p>
        </w:tc>
        <w:tc>
          <w:tcPr>
            <w:tcW w:w="1100" w:type="dxa"/>
            <w:tcBorders>
              <w:bottom w:val="single" w:sz="4" w:space="0" w:color="auto"/>
            </w:tcBorders>
          </w:tcPr>
          <w:p w:rsidR="00F351F0" w:rsidRPr="007801D4" w:rsidRDefault="00F351F0" w:rsidP="007801D4">
            <w:pPr>
              <w:pStyle w:val="table1"/>
              <w:rPr>
                <w:color w:val="000000"/>
                <w:u w:color="000000"/>
              </w:rPr>
            </w:pPr>
            <w:r w:rsidRPr="007801D4">
              <w:rPr>
                <w:color w:val="000000"/>
                <w:u w:color="000000"/>
              </w:rPr>
              <w:t>138228</w:t>
            </w:r>
          </w:p>
        </w:tc>
        <w:tc>
          <w:tcPr>
            <w:tcW w:w="1211" w:type="dxa"/>
            <w:tcBorders>
              <w:bottom w:val="single" w:sz="4" w:space="0" w:color="auto"/>
            </w:tcBorders>
          </w:tcPr>
          <w:p w:rsidR="00F351F0" w:rsidRPr="007801D4" w:rsidRDefault="00F351F0" w:rsidP="007801D4">
            <w:pPr>
              <w:pStyle w:val="table1"/>
              <w:rPr>
                <w:color w:val="000000"/>
                <w:u w:color="000000"/>
              </w:rPr>
            </w:pPr>
            <w:r w:rsidRPr="007801D4">
              <w:rPr>
                <w:color w:val="000000"/>
                <w:u w:color="000000"/>
              </w:rPr>
              <w:t>150</w:t>
            </w:r>
          </w:p>
        </w:tc>
        <w:tc>
          <w:tcPr>
            <w:tcW w:w="1283" w:type="dxa"/>
            <w:tcBorders>
              <w:bottom w:val="single" w:sz="4" w:space="0" w:color="auto"/>
            </w:tcBorders>
          </w:tcPr>
          <w:p w:rsidR="00F351F0" w:rsidRPr="007801D4" w:rsidRDefault="00F351F0" w:rsidP="007801D4">
            <w:pPr>
              <w:pStyle w:val="table1"/>
              <w:rPr>
                <w:color w:val="000000"/>
                <w:u w:color="000000"/>
              </w:rPr>
            </w:pPr>
            <w:r w:rsidRPr="007801D4">
              <w:rPr>
                <w:color w:val="000000"/>
                <w:u w:color="000000"/>
              </w:rPr>
              <w:t>7.7</w:t>
            </w:r>
          </w:p>
        </w:tc>
      </w:tr>
    </w:tbl>
    <w:p w:rsidR="00F351F0" w:rsidRPr="00C70840" w:rsidRDefault="00F351F0" w:rsidP="00F351F0">
      <w:pPr>
        <w:pStyle w:val="tablecaption"/>
      </w:pPr>
      <w:r w:rsidRPr="00F74F92">
        <w:rPr>
          <w:b/>
        </w:rPr>
        <w:t xml:space="preserve">Table </w:t>
      </w:r>
      <w:proofErr w:type="gramStart"/>
      <w:r>
        <w:rPr>
          <w:b/>
        </w:rPr>
        <w:t>3</w:t>
      </w:r>
      <w:r w:rsidRPr="00874BD7">
        <w:t xml:space="preserve">  </w:t>
      </w:r>
      <w:r>
        <w:t>R</w:t>
      </w:r>
      <w:r w:rsidRPr="00874BD7">
        <w:t>ainfall</w:t>
      </w:r>
      <w:proofErr w:type="gramEnd"/>
      <w:r w:rsidRPr="00874BD7">
        <w:t xml:space="preserve"> and runoff data for erosion plot</w:t>
      </w:r>
      <w:r>
        <w:t xml:space="preserve"> 2 </w:t>
      </w:r>
      <w:r w:rsidRPr="00874BD7">
        <w:t xml:space="preserve">on the trial landform for the </w:t>
      </w:r>
      <w:r>
        <w:t>five</w:t>
      </w:r>
      <w:r w:rsidRPr="00874BD7">
        <w:t xml:space="preserve"> years of measurement</w:t>
      </w:r>
      <w:r w:rsidR="007801D4">
        <w:t>.</w:t>
      </w:r>
    </w:p>
    <w:tbl>
      <w:tblPr>
        <w:tblW w:w="0" w:type="auto"/>
        <w:tblLayout w:type="fixed"/>
        <w:tblLook w:val="04A0"/>
      </w:tblPr>
      <w:tblGrid>
        <w:gridCol w:w="1526"/>
        <w:gridCol w:w="1018"/>
        <w:gridCol w:w="1216"/>
        <w:gridCol w:w="1168"/>
        <w:gridCol w:w="1100"/>
        <w:gridCol w:w="1211"/>
        <w:gridCol w:w="1283"/>
      </w:tblGrid>
      <w:tr w:rsidR="00F351F0" w:rsidTr="00224F8A">
        <w:tc>
          <w:tcPr>
            <w:tcW w:w="1526" w:type="dxa"/>
            <w:tcBorders>
              <w:top w:val="single" w:sz="4" w:space="0" w:color="auto"/>
              <w:bottom w:val="single" w:sz="4" w:space="0" w:color="auto"/>
            </w:tcBorders>
          </w:tcPr>
          <w:p w:rsidR="00F351F0" w:rsidRPr="007801D4" w:rsidRDefault="00F351F0" w:rsidP="007801D4">
            <w:pPr>
              <w:pStyle w:val="table1"/>
              <w:rPr>
                <w:b/>
                <w:color w:val="000000"/>
                <w:u w:color="000000"/>
              </w:rPr>
            </w:pPr>
            <w:r w:rsidRPr="007801D4">
              <w:rPr>
                <w:b/>
                <w:color w:val="000000"/>
                <w:u w:color="000000"/>
              </w:rPr>
              <w:t>Water year</w:t>
            </w:r>
          </w:p>
        </w:tc>
        <w:tc>
          <w:tcPr>
            <w:tcW w:w="1018" w:type="dxa"/>
            <w:tcBorders>
              <w:top w:val="single" w:sz="4" w:space="0" w:color="auto"/>
              <w:bottom w:val="single" w:sz="4" w:space="0" w:color="auto"/>
            </w:tcBorders>
          </w:tcPr>
          <w:p w:rsidR="00F351F0" w:rsidRPr="007801D4" w:rsidRDefault="00F351F0" w:rsidP="007801D4">
            <w:pPr>
              <w:pStyle w:val="table1"/>
              <w:rPr>
                <w:b/>
                <w:color w:val="000000"/>
                <w:u w:color="000000"/>
              </w:rPr>
            </w:pPr>
            <w:r w:rsidRPr="007801D4">
              <w:rPr>
                <w:b/>
                <w:color w:val="000000"/>
                <w:u w:color="000000"/>
              </w:rPr>
              <w:t>Maximum event rainfall</w:t>
            </w:r>
            <w:r w:rsidRPr="007801D4">
              <w:rPr>
                <w:b/>
                <w:color w:val="000000"/>
                <w:u w:color="000000"/>
              </w:rPr>
              <w:br/>
              <w:t>(mm)</w:t>
            </w:r>
          </w:p>
        </w:tc>
        <w:tc>
          <w:tcPr>
            <w:tcW w:w="1216" w:type="dxa"/>
            <w:tcBorders>
              <w:top w:val="single" w:sz="4" w:space="0" w:color="auto"/>
              <w:bottom w:val="single" w:sz="4" w:space="0" w:color="auto"/>
            </w:tcBorders>
          </w:tcPr>
          <w:p w:rsidR="00F351F0" w:rsidRPr="007801D4" w:rsidRDefault="00F351F0" w:rsidP="007801D4">
            <w:pPr>
              <w:pStyle w:val="table1"/>
              <w:rPr>
                <w:b/>
                <w:color w:val="000000"/>
                <w:u w:color="000000"/>
              </w:rPr>
            </w:pPr>
            <w:r w:rsidRPr="007801D4">
              <w:rPr>
                <w:b/>
                <w:color w:val="000000"/>
                <w:u w:color="000000"/>
              </w:rPr>
              <w:t>Total Number of runoff events</w:t>
            </w:r>
          </w:p>
        </w:tc>
        <w:tc>
          <w:tcPr>
            <w:tcW w:w="1168" w:type="dxa"/>
            <w:tcBorders>
              <w:top w:val="single" w:sz="4" w:space="0" w:color="auto"/>
              <w:bottom w:val="single" w:sz="4" w:space="0" w:color="auto"/>
            </w:tcBorders>
          </w:tcPr>
          <w:p w:rsidR="00F351F0" w:rsidRPr="007801D4" w:rsidRDefault="00F351F0" w:rsidP="007801D4">
            <w:pPr>
              <w:pStyle w:val="table1"/>
              <w:rPr>
                <w:b/>
                <w:color w:val="000000"/>
                <w:u w:color="000000"/>
              </w:rPr>
            </w:pPr>
            <w:r w:rsidRPr="007801D4">
              <w:rPr>
                <w:b/>
                <w:color w:val="000000"/>
                <w:u w:color="000000"/>
              </w:rPr>
              <w:t>Number of runoff events over the flume</w:t>
            </w:r>
          </w:p>
        </w:tc>
        <w:tc>
          <w:tcPr>
            <w:tcW w:w="1100" w:type="dxa"/>
            <w:tcBorders>
              <w:top w:val="single" w:sz="4" w:space="0" w:color="auto"/>
              <w:bottom w:val="single" w:sz="4" w:space="0" w:color="auto"/>
            </w:tcBorders>
          </w:tcPr>
          <w:p w:rsidR="00F351F0" w:rsidRPr="007801D4" w:rsidRDefault="00F351F0" w:rsidP="007801D4">
            <w:pPr>
              <w:pStyle w:val="table1"/>
              <w:rPr>
                <w:b/>
                <w:color w:val="000000"/>
                <w:u w:color="000000"/>
              </w:rPr>
            </w:pPr>
            <w:r w:rsidRPr="007801D4">
              <w:rPr>
                <w:b/>
                <w:color w:val="000000"/>
                <w:u w:color="000000"/>
              </w:rPr>
              <w:t>Annual Runoff</w:t>
            </w:r>
            <w:r w:rsidRPr="007801D4">
              <w:rPr>
                <w:b/>
                <w:color w:val="000000"/>
                <w:u w:color="000000"/>
              </w:rPr>
              <w:br/>
              <w:t>(L)</w:t>
            </w:r>
          </w:p>
        </w:tc>
        <w:tc>
          <w:tcPr>
            <w:tcW w:w="1211" w:type="dxa"/>
            <w:tcBorders>
              <w:top w:val="single" w:sz="4" w:space="0" w:color="auto"/>
              <w:bottom w:val="single" w:sz="4" w:space="0" w:color="auto"/>
            </w:tcBorders>
          </w:tcPr>
          <w:p w:rsidR="00F351F0" w:rsidRPr="007801D4" w:rsidRDefault="00F351F0" w:rsidP="007801D4">
            <w:pPr>
              <w:pStyle w:val="table1"/>
              <w:rPr>
                <w:b/>
                <w:color w:val="000000"/>
                <w:u w:color="000000"/>
              </w:rPr>
            </w:pPr>
            <w:r w:rsidRPr="007801D4">
              <w:rPr>
                <w:b/>
                <w:color w:val="000000"/>
                <w:u w:color="000000"/>
              </w:rPr>
              <w:t>Runoff</w:t>
            </w:r>
            <w:r w:rsidRPr="007801D4">
              <w:rPr>
                <w:b/>
                <w:color w:val="000000"/>
                <w:u w:color="000000"/>
              </w:rPr>
              <w:br/>
              <w:t>(mm)</w:t>
            </w:r>
          </w:p>
        </w:tc>
        <w:tc>
          <w:tcPr>
            <w:tcW w:w="1283" w:type="dxa"/>
            <w:tcBorders>
              <w:top w:val="single" w:sz="4" w:space="0" w:color="auto"/>
              <w:bottom w:val="single" w:sz="4" w:space="0" w:color="auto"/>
            </w:tcBorders>
          </w:tcPr>
          <w:p w:rsidR="00F351F0" w:rsidRPr="007801D4" w:rsidRDefault="00F351F0" w:rsidP="007801D4">
            <w:pPr>
              <w:pStyle w:val="table1"/>
              <w:rPr>
                <w:b/>
                <w:color w:val="000000"/>
                <w:u w:color="000000"/>
              </w:rPr>
            </w:pPr>
            <w:r w:rsidRPr="007801D4">
              <w:rPr>
                <w:b/>
                <w:color w:val="000000"/>
                <w:u w:color="000000"/>
              </w:rPr>
              <w:t xml:space="preserve">Runoff </w:t>
            </w:r>
            <w:proofErr w:type="gramStart"/>
            <w:r w:rsidRPr="007801D4">
              <w:rPr>
                <w:b/>
                <w:color w:val="000000"/>
                <w:u w:color="000000"/>
              </w:rPr>
              <w:t>coefficient</w:t>
            </w:r>
            <w:proofErr w:type="gramEnd"/>
            <w:r w:rsidRPr="007801D4">
              <w:rPr>
                <w:b/>
                <w:color w:val="000000"/>
                <w:u w:color="000000"/>
              </w:rPr>
              <w:br/>
              <w:t>(%)</w:t>
            </w:r>
          </w:p>
        </w:tc>
      </w:tr>
      <w:tr w:rsidR="00F351F0" w:rsidTr="00224F8A">
        <w:tc>
          <w:tcPr>
            <w:tcW w:w="1526" w:type="dxa"/>
            <w:tcBorders>
              <w:top w:val="single" w:sz="4" w:space="0" w:color="auto"/>
            </w:tcBorders>
          </w:tcPr>
          <w:p w:rsidR="00F351F0" w:rsidRPr="007801D4" w:rsidRDefault="00F351F0" w:rsidP="007801D4">
            <w:pPr>
              <w:pStyle w:val="table1"/>
              <w:rPr>
                <w:color w:val="000000"/>
                <w:u w:color="000000"/>
              </w:rPr>
            </w:pPr>
            <w:r w:rsidRPr="007801D4">
              <w:rPr>
                <w:color w:val="000000"/>
                <w:u w:color="000000"/>
              </w:rPr>
              <w:t>2009–10 – plot 2</w:t>
            </w:r>
          </w:p>
        </w:tc>
        <w:tc>
          <w:tcPr>
            <w:tcW w:w="1018" w:type="dxa"/>
            <w:tcBorders>
              <w:top w:val="single" w:sz="4" w:space="0" w:color="auto"/>
            </w:tcBorders>
          </w:tcPr>
          <w:p w:rsidR="00F351F0" w:rsidRPr="007801D4" w:rsidRDefault="00F351F0" w:rsidP="007801D4">
            <w:pPr>
              <w:pStyle w:val="table1"/>
              <w:rPr>
                <w:color w:val="000000"/>
                <w:u w:color="000000"/>
              </w:rPr>
            </w:pPr>
            <w:r w:rsidRPr="007801D4">
              <w:rPr>
                <w:color w:val="000000"/>
                <w:u w:color="000000"/>
              </w:rPr>
              <w:t>77.4</w:t>
            </w:r>
          </w:p>
        </w:tc>
        <w:tc>
          <w:tcPr>
            <w:tcW w:w="1216" w:type="dxa"/>
            <w:tcBorders>
              <w:top w:val="single" w:sz="4" w:space="0" w:color="auto"/>
            </w:tcBorders>
          </w:tcPr>
          <w:p w:rsidR="00F351F0" w:rsidRPr="007801D4" w:rsidRDefault="00F351F0" w:rsidP="007801D4">
            <w:pPr>
              <w:pStyle w:val="table1"/>
              <w:rPr>
                <w:color w:val="000000"/>
                <w:u w:color="000000"/>
              </w:rPr>
            </w:pPr>
            <w:r w:rsidRPr="007801D4">
              <w:rPr>
                <w:color w:val="000000"/>
                <w:u w:color="000000"/>
              </w:rPr>
              <w:t>166</w:t>
            </w:r>
          </w:p>
        </w:tc>
        <w:tc>
          <w:tcPr>
            <w:tcW w:w="1168" w:type="dxa"/>
            <w:tcBorders>
              <w:top w:val="single" w:sz="4" w:space="0" w:color="auto"/>
            </w:tcBorders>
          </w:tcPr>
          <w:p w:rsidR="00F351F0" w:rsidRPr="007801D4" w:rsidRDefault="00F351F0" w:rsidP="007801D4">
            <w:pPr>
              <w:pStyle w:val="table1"/>
              <w:rPr>
                <w:color w:val="000000"/>
                <w:u w:color="000000"/>
              </w:rPr>
            </w:pPr>
            <w:r w:rsidRPr="007801D4">
              <w:rPr>
                <w:color w:val="000000"/>
                <w:u w:color="000000"/>
              </w:rPr>
              <w:t>125</w:t>
            </w:r>
          </w:p>
        </w:tc>
        <w:tc>
          <w:tcPr>
            <w:tcW w:w="1100" w:type="dxa"/>
            <w:tcBorders>
              <w:top w:val="single" w:sz="4" w:space="0" w:color="auto"/>
            </w:tcBorders>
          </w:tcPr>
          <w:p w:rsidR="00F351F0" w:rsidRPr="007801D4" w:rsidRDefault="00F351F0" w:rsidP="007801D4">
            <w:pPr>
              <w:pStyle w:val="table1"/>
              <w:rPr>
                <w:color w:val="000000"/>
                <w:u w:color="000000"/>
              </w:rPr>
            </w:pPr>
            <w:r w:rsidRPr="007801D4">
              <w:rPr>
                <w:color w:val="000000"/>
                <w:u w:color="000000"/>
              </w:rPr>
              <w:t>121794</w:t>
            </w:r>
          </w:p>
        </w:tc>
        <w:tc>
          <w:tcPr>
            <w:tcW w:w="1211" w:type="dxa"/>
            <w:tcBorders>
              <w:top w:val="single" w:sz="4" w:space="0" w:color="auto"/>
            </w:tcBorders>
          </w:tcPr>
          <w:p w:rsidR="00F351F0" w:rsidRPr="007801D4" w:rsidRDefault="00F351F0" w:rsidP="007801D4">
            <w:pPr>
              <w:pStyle w:val="table1"/>
              <w:rPr>
                <w:color w:val="000000"/>
                <w:u w:color="000000"/>
              </w:rPr>
            </w:pPr>
            <w:r w:rsidRPr="007801D4">
              <w:rPr>
                <w:color w:val="000000"/>
                <w:u w:color="000000"/>
              </w:rPr>
              <w:t>139</w:t>
            </w:r>
          </w:p>
        </w:tc>
        <w:tc>
          <w:tcPr>
            <w:tcW w:w="1283" w:type="dxa"/>
            <w:tcBorders>
              <w:top w:val="single" w:sz="4" w:space="0" w:color="auto"/>
            </w:tcBorders>
          </w:tcPr>
          <w:p w:rsidR="00F351F0" w:rsidRPr="007801D4" w:rsidRDefault="00F351F0" w:rsidP="007801D4">
            <w:pPr>
              <w:pStyle w:val="table1"/>
              <w:rPr>
                <w:color w:val="000000"/>
                <w:u w:color="000000"/>
              </w:rPr>
            </w:pPr>
            <w:r w:rsidRPr="007801D4">
              <w:rPr>
                <w:color w:val="000000"/>
                <w:u w:color="000000"/>
              </w:rPr>
              <w:t>9.1</w:t>
            </w:r>
          </w:p>
        </w:tc>
      </w:tr>
      <w:tr w:rsidR="00F351F0" w:rsidTr="00224F8A">
        <w:tc>
          <w:tcPr>
            <w:tcW w:w="1526" w:type="dxa"/>
          </w:tcPr>
          <w:p w:rsidR="00F351F0" w:rsidRPr="007801D4" w:rsidRDefault="00F351F0" w:rsidP="007801D4">
            <w:pPr>
              <w:pStyle w:val="table1"/>
              <w:rPr>
                <w:color w:val="000000"/>
                <w:u w:color="000000"/>
              </w:rPr>
            </w:pPr>
            <w:r w:rsidRPr="007801D4">
              <w:rPr>
                <w:color w:val="000000"/>
                <w:u w:color="000000"/>
              </w:rPr>
              <w:t>2010–11 – plot 2</w:t>
            </w:r>
          </w:p>
        </w:tc>
        <w:tc>
          <w:tcPr>
            <w:tcW w:w="1018" w:type="dxa"/>
          </w:tcPr>
          <w:p w:rsidR="00F351F0" w:rsidRPr="007801D4" w:rsidRDefault="00F351F0" w:rsidP="007801D4">
            <w:pPr>
              <w:pStyle w:val="table1"/>
              <w:rPr>
                <w:color w:val="000000"/>
                <w:u w:color="000000"/>
              </w:rPr>
            </w:pPr>
            <w:r w:rsidRPr="007801D4">
              <w:rPr>
                <w:color w:val="000000"/>
                <w:u w:color="000000"/>
              </w:rPr>
              <w:t>180.0</w:t>
            </w:r>
          </w:p>
        </w:tc>
        <w:tc>
          <w:tcPr>
            <w:tcW w:w="1216" w:type="dxa"/>
          </w:tcPr>
          <w:p w:rsidR="00F351F0" w:rsidRPr="007801D4" w:rsidRDefault="00F351F0" w:rsidP="007801D4">
            <w:pPr>
              <w:pStyle w:val="table1"/>
              <w:rPr>
                <w:color w:val="000000"/>
                <w:u w:color="000000"/>
              </w:rPr>
            </w:pPr>
            <w:r w:rsidRPr="007801D4">
              <w:rPr>
                <w:color w:val="000000"/>
                <w:u w:color="000000"/>
              </w:rPr>
              <w:t>258</w:t>
            </w:r>
          </w:p>
        </w:tc>
        <w:tc>
          <w:tcPr>
            <w:tcW w:w="1168" w:type="dxa"/>
          </w:tcPr>
          <w:p w:rsidR="00F351F0" w:rsidRPr="007801D4" w:rsidRDefault="00F351F0" w:rsidP="007801D4">
            <w:pPr>
              <w:pStyle w:val="table1"/>
              <w:rPr>
                <w:color w:val="000000"/>
                <w:u w:color="000000"/>
              </w:rPr>
            </w:pPr>
            <w:r w:rsidRPr="007801D4">
              <w:rPr>
                <w:color w:val="000000"/>
                <w:u w:color="000000"/>
              </w:rPr>
              <w:t>221</w:t>
            </w:r>
          </w:p>
        </w:tc>
        <w:tc>
          <w:tcPr>
            <w:tcW w:w="1100" w:type="dxa"/>
          </w:tcPr>
          <w:p w:rsidR="00F351F0" w:rsidRPr="007801D4" w:rsidRDefault="00F351F0" w:rsidP="007801D4">
            <w:pPr>
              <w:pStyle w:val="table1"/>
              <w:rPr>
                <w:color w:val="000000"/>
                <w:u w:color="000000"/>
              </w:rPr>
            </w:pPr>
            <w:r w:rsidRPr="007801D4">
              <w:rPr>
                <w:color w:val="000000"/>
                <w:u w:color="000000"/>
              </w:rPr>
              <w:t>298294</w:t>
            </w:r>
          </w:p>
        </w:tc>
        <w:tc>
          <w:tcPr>
            <w:tcW w:w="1211" w:type="dxa"/>
          </w:tcPr>
          <w:p w:rsidR="00F351F0" w:rsidRPr="007801D4" w:rsidRDefault="00F351F0" w:rsidP="007801D4">
            <w:pPr>
              <w:pStyle w:val="table1"/>
              <w:rPr>
                <w:color w:val="000000"/>
                <w:u w:color="000000"/>
              </w:rPr>
            </w:pPr>
            <w:r w:rsidRPr="007801D4">
              <w:rPr>
                <w:color w:val="000000"/>
                <w:u w:color="000000"/>
              </w:rPr>
              <w:t>341</w:t>
            </w:r>
          </w:p>
        </w:tc>
        <w:tc>
          <w:tcPr>
            <w:tcW w:w="1283" w:type="dxa"/>
          </w:tcPr>
          <w:p w:rsidR="00F351F0" w:rsidRPr="007801D4" w:rsidRDefault="00F351F0" w:rsidP="007801D4">
            <w:pPr>
              <w:pStyle w:val="table1"/>
              <w:rPr>
                <w:color w:val="000000"/>
                <w:u w:color="000000"/>
              </w:rPr>
            </w:pPr>
            <w:r w:rsidRPr="007801D4">
              <w:rPr>
                <w:color w:val="000000"/>
                <w:u w:color="000000"/>
              </w:rPr>
              <w:t>14.8</w:t>
            </w:r>
          </w:p>
        </w:tc>
      </w:tr>
      <w:tr w:rsidR="00F351F0" w:rsidTr="00224F8A">
        <w:tc>
          <w:tcPr>
            <w:tcW w:w="1526" w:type="dxa"/>
          </w:tcPr>
          <w:p w:rsidR="00F351F0" w:rsidRPr="007801D4" w:rsidRDefault="00F351F0" w:rsidP="007801D4">
            <w:pPr>
              <w:pStyle w:val="table1"/>
              <w:rPr>
                <w:color w:val="000000"/>
                <w:u w:color="000000"/>
              </w:rPr>
            </w:pPr>
            <w:r w:rsidRPr="007801D4">
              <w:rPr>
                <w:color w:val="000000"/>
                <w:u w:color="000000"/>
              </w:rPr>
              <w:t>2011–12 – plot 2</w:t>
            </w:r>
          </w:p>
        </w:tc>
        <w:tc>
          <w:tcPr>
            <w:tcW w:w="1018" w:type="dxa"/>
          </w:tcPr>
          <w:p w:rsidR="00F351F0" w:rsidRPr="007801D4" w:rsidRDefault="00F351F0" w:rsidP="007801D4">
            <w:pPr>
              <w:pStyle w:val="table1"/>
              <w:rPr>
                <w:color w:val="000000"/>
                <w:u w:color="000000"/>
              </w:rPr>
            </w:pPr>
            <w:r w:rsidRPr="007801D4">
              <w:rPr>
                <w:color w:val="000000"/>
                <w:u w:color="000000"/>
              </w:rPr>
              <w:t>85.0</w:t>
            </w:r>
          </w:p>
        </w:tc>
        <w:tc>
          <w:tcPr>
            <w:tcW w:w="1216" w:type="dxa"/>
          </w:tcPr>
          <w:p w:rsidR="00F351F0" w:rsidRPr="007801D4" w:rsidRDefault="00F351F0" w:rsidP="007801D4">
            <w:pPr>
              <w:pStyle w:val="table1"/>
              <w:rPr>
                <w:color w:val="000000"/>
                <w:u w:color="000000"/>
              </w:rPr>
            </w:pPr>
            <w:r w:rsidRPr="007801D4">
              <w:rPr>
                <w:color w:val="000000"/>
                <w:u w:color="000000"/>
              </w:rPr>
              <w:t>174</w:t>
            </w:r>
          </w:p>
        </w:tc>
        <w:tc>
          <w:tcPr>
            <w:tcW w:w="1168" w:type="dxa"/>
          </w:tcPr>
          <w:p w:rsidR="00F351F0" w:rsidRPr="007801D4" w:rsidRDefault="00F351F0" w:rsidP="007801D4">
            <w:pPr>
              <w:pStyle w:val="table1"/>
              <w:rPr>
                <w:color w:val="000000"/>
                <w:u w:color="000000"/>
              </w:rPr>
            </w:pPr>
            <w:r w:rsidRPr="007801D4">
              <w:rPr>
                <w:color w:val="000000"/>
                <w:u w:color="000000"/>
              </w:rPr>
              <w:t>150</w:t>
            </w:r>
          </w:p>
        </w:tc>
        <w:tc>
          <w:tcPr>
            <w:tcW w:w="1100" w:type="dxa"/>
          </w:tcPr>
          <w:p w:rsidR="00F351F0" w:rsidRPr="007801D4" w:rsidRDefault="00F351F0" w:rsidP="007801D4">
            <w:pPr>
              <w:pStyle w:val="table1"/>
              <w:rPr>
                <w:color w:val="000000"/>
                <w:u w:color="000000"/>
              </w:rPr>
            </w:pPr>
            <w:r w:rsidRPr="007801D4">
              <w:rPr>
                <w:color w:val="000000"/>
                <w:u w:color="000000"/>
              </w:rPr>
              <w:t>151853</w:t>
            </w:r>
          </w:p>
        </w:tc>
        <w:tc>
          <w:tcPr>
            <w:tcW w:w="1211" w:type="dxa"/>
          </w:tcPr>
          <w:p w:rsidR="00F351F0" w:rsidRPr="007801D4" w:rsidRDefault="00F351F0" w:rsidP="007801D4">
            <w:pPr>
              <w:pStyle w:val="table1"/>
              <w:rPr>
                <w:color w:val="000000"/>
                <w:u w:color="000000"/>
              </w:rPr>
            </w:pPr>
            <w:r w:rsidRPr="007801D4">
              <w:rPr>
                <w:color w:val="000000"/>
                <w:u w:color="000000"/>
              </w:rPr>
              <w:t>173</w:t>
            </w:r>
          </w:p>
        </w:tc>
        <w:tc>
          <w:tcPr>
            <w:tcW w:w="1283" w:type="dxa"/>
          </w:tcPr>
          <w:p w:rsidR="00F351F0" w:rsidRPr="007801D4" w:rsidRDefault="00F351F0" w:rsidP="007801D4">
            <w:pPr>
              <w:pStyle w:val="table1"/>
              <w:rPr>
                <w:color w:val="000000"/>
                <w:u w:color="000000"/>
              </w:rPr>
            </w:pPr>
            <w:r w:rsidRPr="007801D4">
              <w:rPr>
                <w:color w:val="000000"/>
                <w:u w:color="000000"/>
              </w:rPr>
              <w:t>11.3</w:t>
            </w:r>
          </w:p>
        </w:tc>
      </w:tr>
      <w:tr w:rsidR="00F351F0" w:rsidTr="00224F8A">
        <w:tc>
          <w:tcPr>
            <w:tcW w:w="1526" w:type="dxa"/>
          </w:tcPr>
          <w:p w:rsidR="00F351F0" w:rsidRPr="007801D4" w:rsidRDefault="00F351F0" w:rsidP="007801D4">
            <w:pPr>
              <w:pStyle w:val="table1"/>
              <w:rPr>
                <w:color w:val="000000"/>
                <w:u w:color="000000"/>
              </w:rPr>
            </w:pPr>
            <w:r w:rsidRPr="007801D4">
              <w:rPr>
                <w:color w:val="000000"/>
                <w:u w:color="000000"/>
              </w:rPr>
              <w:t>2012–13 – plot 2</w:t>
            </w:r>
          </w:p>
        </w:tc>
        <w:tc>
          <w:tcPr>
            <w:tcW w:w="1018" w:type="dxa"/>
          </w:tcPr>
          <w:p w:rsidR="00F351F0" w:rsidRPr="007801D4" w:rsidRDefault="00F351F0" w:rsidP="007801D4">
            <w:pPr>
              <w:pStyle w:val="table1"/>
              <w:rPr>
                <w:color w:val="000000"/>
                <w:u w:color="000000"/>
              </w:rPr>
            </w:pPr>
            <w:r w:rsidRPr="007801D4">
              <w:rPr>
                <w:color w:val="000000"/>
                <w:u w:color="000000"/>
              </w:rPr>
              <w:t>56.4</w:t>
            </w:r>
          </w:p>
        </w:tc>
        <w:tc>
          <w:tcPr>
            <w:tcW w:w="1216" w:type="dxa"/>
          </w:tcPr>
          <w:p w:rsidR="00F351F0" w:rsidRPr="007801D4" w:rsidRDefault="00F351F0" w:rsidP="007801D4">
            <w:pPr>
              <w:pStyle w:val="table1"/>
              <w:rPr>
                <w:color w:val="000000"/>
                <w:u w:color="000000"/>
              </w:rPr>
            </w:pPr>
            <w:r w:rsidRPr="007801D4">
              <w:rPr>
                <w:color w:val="000000"/>
                <w:u w:color="000000"/>
              </w:rPr>
              <w:t>143</w:t>
            </w:r>
          </w:p>
        </w:tc>
        <w:tc>
          <w:tcPr>
            <w:tcW w:w="1168" w:type="dxa"/>
          </w:tcPr>
          <w:p w:rsidR="00F351F0" w:rsidRPr="007801D4" w:rsidRDefault="00F351F0" w:rsidP="007801D4">
            <w:pPr>
              <w:pStyle w:val="table1"/>
              <w:rPr>
                <w:color w:val="000000"/>
                <w:u w:color="000000"/>
              </w:rPr>
            </w:pPr>
            <w:r w:rsidRPr="007801D4">
              <w:rPr>
                <w:color w:val="000000"/>
                <w:u w:color="000000"/>
              </w:rPr>
              <w:t>114</w:t>
            </w:r>
          </w:p>
        </w:tc>
        <w:tc>
          <w:tcPr>
            <w:tcW w:w="1100" w:type="dxa"/>
          </w:tcPr>
          <w:p w:rsidR="00F351F0" w:rsidRPr="007801D4" w:rsidRDefault="00F351F0" w:rsidP="007801D4">
            <w:pPr>
              <w:pStyle w:val="table1"/>
              <w:rPr>
                <w:color w:val="000000"/>
                <w:u w:color="000000"/>
              </w:rPr>
            </w:pPr>
            <w:r w:rsidRPr="007801D4">
              <w:rPr>
                <w:color w:val="000000"/>
                <w:u w:color="000000"/>
              </w:rPr>
              <w:t>177534</w:t>
            </w:r>
          </w:p>
        </w:tc>
        <w:tc>
          <w:tcPr>
            <w:tcW w:w="1211" w:type="dxa"/>
          </w:tcPr>
          <w:p w:rsidR="00F351F0" w:rsidRPr="007801D4" w:rsidRDefault="00F351F0" w:rsidP="007801D4">
            <w:pPr>
              <w:pStyle w:val="table1"/>
              <w:rPr>
                <w:color w:val="000000"/>
                <w:u w:color="000000"/>
              </w:rPr>
            </w:pPr>
            <w:r w:rsidRPr="007801D4">
              <w:rPr>
                <w:color w:val="000000"/>
                <w:u w:color="000000"/>
              </w:rPr>
              <w:t>203</w:t>
            </w:r>
          </w:p>
        </w:tc>
        <w:tc>
          <w:tcPr>
            <w:tcW w:w="1283" w:type="dxa"/>
          </w:tcPr>
          <w:p w:rsidR="00F351F0" w:rsidRPr="007801D4" w:rsidRDefault="00F351F0" w:rsidP="007801D4">
            <w:pPr>
              <w:pStyle w:val="table1"/>
              <w:rPr>
                <w:color w:val="000000"/>
                <w:u w:color="000000"/>
              </w:rPr>
            </w:pPr>
            <w:r w:rsidRPr="007801D4">
              <w:rPr>
                <w:color w:val="000000"/>
                <w:u w:color="000000"/>
              </w:rPr>
              <w:t>15.9</w:t>
            </w:r>
          </w:p>
        </w:tc>
      </w:tr>
      <w:tr w:rsidR="00F351F0" w:rsidTr="00224F8A">
        <w:tc>
          <w:tcPr>
            <w:tcW w:w="1526" w:type="dxa"/>
            <w:tcBorders>
              <w:bottom w:val="single" w:sz="4" w:space="0" w:color="auto"/>
            </w:tcBorders>
          </w:tcPr>
          <w:p w:rsidR="00F351F0" w:rsidRPr="007801D4" w:rsidRDefault="00F351F0" w:rsidP="007801D4">
            <w:pPr>
              <w:pStyle w:val="table1"/>
              <w:rPr>
                <w:color w:val="000000"/>
                <w:u w:color="000000"/>
              </w:rPr>
            </w:pPr>
            <w:r w:rsidRPr="007801D4">
              <w:rPr>
                <w:color w:val="000000"/>
                <w:u w:color="000000"/>
              </w:rPr>
              <w:t>2013–14 – plot 2</w:t>
            </w:r>
          </w:p>
        </w:tc>
        <w:tc>
          <w:tcPr>
            <w:tcW w:w="1018" w:type="dxa"/>
            <w:tcBorders>
              <w:bottom w:val="single" w:sz="4" w:space="0" w:color="auto"/>
            </w:tcBorders>
          </w:tcPr>
          <w:p w:rsidR="00F351F0" w:rsidRPr="007801D4" w:rsidRDefault="00F351F0" w:rsidP="007801D4">
            <w:pPr>
              <w:pStyle w:val="table1"/>
              <w:rPr>
                <w:color w:val="000000"/>
                <w:u w:color="000000"/>
              </w:rPr>
            </w:pPr>
            <w:r w:rsidRPr="007801D4">
              <w:rPr>
                <w:color w:val="000000"/>
                <w:u w:color="000000"/>
              </w:rPr>
              <w:t>73</w:t>
            </w:r>
          </w:p>
        </w:tc>
        <w:tc>
          <w:tcPr>
            <w:tcW w:w="1216" w:type="dxa"/>
            <w:tcBorders>
              <w:bottom w:val="single" w:sz="4" w:space="0" w:color="auto"/>
            </w:tcBorders>
          </w:tcPr>
          <w:p w:rsidR="00F351F0" w:rsidRPr="007801D4" w:rsidRDefault="00F351F0" w:rsidP="007801D4">
            <w:pPr>
              <w:pStyle w:val="table1"/>
              <w:rPr>
                <w:color w:val="000000"/>
                <w:u w:color="000000"/>
              </w:rPr>
            </w:pPr>
            <w:r w:rsidRPr="007801D4">
              <w:rPr>
                <w:color w:val="000000"/>
                <w:u w:color="000000"/>
              </w:rPr>
              <w:t>171</w:t>
            </w:r>
          </w:p>
        </w:tc>
        <w:tc>
          <w:tcPr>
            <w:tcW w:w="1168" w:type="dxa"/>
            <w:tcBorders>
              <w:bottom w:val="single" w:sz="4" w:space="0" w:color="auto"/>
            </w:tcBorders>
          </w:tcPr>
          <w:p w:rsidR="00F351F0" w:rsidRPr="007801D4" w:rsidRDefault="00F351F0" w:rsidP="007801D4">
            <w:pPr>
              <w:pStyle w:val="table1"/>
              <w:rPr>
                <w:color w:val="000000"/>
                <w:u w:color="000000"/>
              </w:rPr>
            </w:pPr>
            <w:r w:rsidRPr="007801D4">
              <w:rPr>
                <w:color w:val="000000"/>
                <w:u w:color="000000"/>
              </w:rPr>
              <w:t>151</w:t>
            </w:r>
          </w:p>
        </w:tc>
        <w:tc>
          <w:tcPr>
            <w:tcW w:w="1100" w:type="dxa"/>
            <w:tcBorders>
              <w:bottom w:val="single" w:sz="4" w:space="0" w:color="auto"/>
            </w:tcBorders>
          </w:tcPr>
          <w:p w:rsidR="00F351F0" w:rsidRPr="007801D4" w:rsidRDefault="00F351F0" w:rsidP="007801D4">
            <w:pPr>
              <w:pStyle w:val="table1"/>
              <w:rPr>
                <w:color w:val="000000"/>
                <w:u w:color="000000"/>
              </w:rPr>
            </w:pPr>
            <w:r w:rsidRPr="007801D4">
              <w:rPr>
                <w:color w:val="000000"/>
                <w:u w:color="000000"/>
              </w:rPr>
              <w:t>236416</w:t>
            </w:r>
          </w:p>
        </w:tc>
        <w:tc>
          <w:tcPr>
            <w:tcW w:w="1211" w:type="dxa"/>
            <w:tcBorders>
              <w:bottom w:val="single" w:sz="4" w:space="0" w:color="auto"/>
            </w:tcBorders>
          </w:tcPr>
          <w:p w:rsidR="00F351F0" w:rsidRPr="007801D4" w:rsidRDefault="00F351F0" w:rsidP="007801D4">
            <w:pPr>
              <w:pStyle w:val="table1"/>
              <w:rPr>
                <w:color w:val="000000"/>
                <w:u w:color="000000"/>
              </w:rPr>
            </w:pPr>
            <w:r w:rsidRPr="007801D4">
              <w:rPr>
                <w:color w:val="000000"/>
                <w:u w:color="000000"/>
              </w:rPr>
              <w:t>246</w:t>
            </w:r>
          </w:p>
        </w:tc>
        <w:tc>
          <w:tcPr>
            <w:tcW w:w="1283" w:type="dxa"/>
            <w:tcBorders>
              <w:bottom w:val="single" w:sz="4" w:space="0" w:color="auto"/>
            </w:tcBorders>
          </w:tcPr>
          <w:p w:rsidR="00F351F0" w:rsidRPr="007801D4" w:rsidRDefault="00F351F0" w:rsidP="007801D4">
            <w:pPr>
              <w:pStyle w:val="table1"/>
              <w:rPr>
                <w:color w:val="000000"/>
                <w:u w:color="000000"/>
              </w:rPr>
            </w:pPr>
            <w:r w:rsidRPr="007801D4">
              <w:rPr>
                <w:color w:val="000000"/>
                <w:u w:color="000000"/>
              </w:rPr>
              <w:t>12.5</w:t>
            </w:r>
          </w:p>
        </w:tc>
      </w:tr>
    </w:tbl>
    <w:p w:rsidR="003A3F09" w:rsidRDefault="003A3F09" w:rsidP="00F351F0"/>
    <w:p w:rsidR="00BE6580" w:rsidRDefault="00F351F0" w:rsidP="00F351F0">
      <w:r>
        <w:t>There looks to be an exponential relationship between event rainfall and event runoff over the full range of rainfall for all five years for plot 1 (</w:t>
      </w:r>
      <w:r w:rsidRPr="00B34D55">
        <w:t xml:space="preserve">Figure </w:t>
      </w:r>
      <w:r>
        <w:t>3) although due to the issues with large events this has not yet been tested statistically.</w:t>
      </w:r>
      <w:r w:rsidRPr="00067C22">
        <w:t xml:space="preserve"> </w:t>
      </w:r>
      <w:r>
        <w:t xml:space="preserve">It is hypothesised that when event rainfall exceeds a value (in this case 30 mm) there is proportionally greater runoff than for smaller </w:t>
      </w:r>
      <w:r w:rsidRPr="00B34D55">
        <w:t>events (Figure 3).</w:t>
      </w:r>
      <w:r>
        <w:t xml:space="preserve"> These smaller events do not totally infill the rip lines with water and so runoff is only produced from a small part of the plot near the down slope border. Event rainfall greater than 30 mm can totally infill the surface storage, hence generates runoff from the whole plot surface. </w:t>
      </w:r>
    </w:p>
    <w:p w:rsidR="001A7E73" w:rsidRDefault="001A7E73" w:rsidP="001A7E73">
      <w:pPr>
        <w:pStyle w:val="Heading2"/>
      </w:pPr>
      <w:r>
        <w:t xml:space="preserve">Sediment results and discussion </w:t>
      </w:r>
    </w:p>
    <w:p w:rsidR="001A7E73" w:rsidRDefault="001A7E73" w:rsidP="001A7E73">
      <w:pPr>
        <w:pStyle w:val="Heading3"/>
      </w:pPr>
      <w:r>
        <w:rPr>
          <w:lang w:eastAsia="en-AU"/>
        </w:rPr>
        <w:t>Suspended sediment</w:t>
      </w:r>
    </w:p>
    <w:p w:rsidR="001A7E73" w:rsidRPr="00B34D55" w:rsidRDefault="001A7E73" w:rsidP="001A7E73">
      <w:pPr>
        <w:rPr>
          <w:spacing w:val="-2"/>
        </w:rPr>
      </w:pPr>
      <w:r w:rsidRPr="00B34D55">
        <w:rPr>
          <w:spacing w:val="-2"/>
        </w:rPr>
        <w:t>Since monitoring of the trial landform commenced, a large number of water samples have been collected based on turbidity reading increases measured in the flume of each plot. These samples have been analysed for turbidity and suspended sediment concentration</w:t>
      </w:r>
      <w:r>
        <w:rPr>
          <w:spacing w:val="-2"/>
        </w:rPr>
        <w:t>s</w:t>
      </w:r>
      <w:r w:rsidRPr="00B34D55">
        <w:rPr>
          <w:spacing w:val="-2"/>
        </w:rPr>
        <w:t xml:space="preserve">. The associated data have not yet been analysed and </w:t>
      </w:r>
      <w:r>
        <w:rPr>
          <w:spacing w:val="-2"/>
        </w:rPr>
        <w:t>are not</w:t>
      </w:r>
      <w:r w:rsidRPr="00B34D55">
        <w:rPr>
          <w:spacing w:val="-2"/>
        </w:rPr>
        <w:t xml:space="preserve"> reported here. </w:t>
      </w:r>
    </w:p>
    <w:p w:rsidR="003A3F09" w:rsidRDefault="003A3F09" w:rsidP="00F351F0"/>
    <w:p w:rsidR="00F351F0" w:rsidRDefault="00F351F0" w:rsidP="00BE6580">
      <w:pPr>
        <w:jc w:val="center"/>
      </w:pPr>
      <w:r w:rsidRPr="00396C2F">
        <w:rPr>
          <w:noProof/>
          <w:lang w:eastAsia="en-AU"/>
        </w:rPr>
        <w:drawing>
          <wp:inline distT="0" distB="0" distL="0" distR="0">
            <wp:extent cx="5274310" cy="3453863"/>
            <wp:effectExtent l="19050" t="0" r="2540" b="0"/>
            <wp:docPr id="101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9" cstate="screen"/>
                    <a:srcRect/>
                    <a:stretch>
                      <a:fillRect/>
                    </a:stretch>
                  </pic:blipFill>
                  <pic:spPr bwMode="auto">
                    <a:xfrm>
                      <a:off x="0" y="0"/>
                      <a:ext cx="5274310" cy="3453863"/>
                    </a:xfrm>
                    <a:prstGeom prst="rect">
                      <a:avLst/>
                    </a:prstGeom>
                    <a:noFill/>
                    <a:ln w="9525">
                      <a:noFill/>
                      <a:miter lim="800000"/>
                      <a:headEnd/>
                      <a:tailEnd/>
                    </a:ln>
                  </pic:spPr>
                </pic:pic>
              </a:graphicData>
            </a:graphic>
          </wp:inline>
        </w:drawing>
      </w:r>
    </w:p>
    <w:p w:rsidR="00F351F0" w:rsidRDefault="00F351F0" w:rsidP="00F351F0">
      <w:pPr>
        <w:pStyle w:val="figurecaption"/>
      </w:pPr>
      <w:bookmarkStart w:id="210" w:name="_Toc365635534"/>
      <w:r w:rsidRPr="00CD61D4">
        <w:rPr>
          <w:b/>
        </w:rPr>
        <w:t xml:space="preserve">Figure </w:t>
      </w:r>
      <w:proofErr w:type="gramStart"/>
      <w:r>
        <w:rPr>
          <w:b/>
        </w:rPr>
        <w:t>3</w:t>
      </w:r>
      <w:r>
        <w:t xml:space="preserve">  Relationship</w:t>
      </w:r>
      <w:proofErr w:type="gramEnd"/>
      <w:r>
        <w:t xml:space="preserve"> between total event rainfall and runoff for erosion plot 1 for 156 runoff events in </w:t>
      </w:r>
      <w:r w:rsidR="00BE6580">
        <w:br/>
      </w:r>
      <w:r>
        <w:t>the 2013–14 water-year</w:t>
      </w:r>
      <w:r w:rsidR="00BE6580">
        <w:t>.</w:t>
      </w:r>
    </w:p>
    <w:bookmarkEnd w:id="210"/>
    <w:p w:rsidR="00F351F0" w:rsidRDefault="00F351F0" w:rsidP="003D35F3">
      <w:pPr>
        <w:pStyle w:val="Heading3"/>
        <w:rPr>
          <w:lang w:eastAsia="en-AU"/>
        </w:rPr>
      </w:pPr>
      <w:r>
        <w:rPr>
          <w:lang w:eastAsia="en-AU"/>
        </w:rPr>
        <w:t xml:space="preserve">Bedload </w:t>
      </w:r>
    </w:p>
    <w:p w:rsidR="00D40EB1" w:rsidRDefault="00F351F0" w:rsidP="003A3F09">
      <w:pPr>
        <w:jc w:val="left"/>
        <w:rPr>
          <w:spacing w:val="-2"/>
        </w:rPr>
      </w:pPr>
      <w:r w:rsidRPr="003A3F09">
        <w:rPr>
          <w:spacing w:val="-2"/>
        </w:rPr>
        <w:t xml:space="preserve">The annual bedload yield for each plot has clearly declined progressively since construction (Table 3). Time since construction of the TLF and increasing vegetation have impacted on annual bedload yields as yields have declined progressively over time on all plots, except </w:t>
      </w:r>
      <w:r w:rsidR="00BE6580" w:rsidRPr="003A3F09">
        <w:rPr>
          <w:spacing w:val="-2"/>
        </w:rPr>
        <w:t>for plot 2 for 2012–13 and 2013–</w:t>
      </w:r>
      <w:r w:rsidRPr="003A3F09">
        <w:rPr>
          <w:spacing w:val="-2"/>
        </w:rPr>
        <w:t>14, (observations and photographs of plot 2 suggest that this plot has the least amount of vegetation growth). Sediment yields for major land disturbances, such as construction or landslides, are usually characterised by an initial pulse followed by a rapid decline (Duggan 1994). This is true for the TLF annual bedload yield, which is characterised by an exponential decline in annual bedload yield over the five years since construction (Figure 4).</w:t>
      </w:r>
    </w:p>
    <w:p w:rsidR="00F351F0" w:rsidRDefault="00F351F0" w:rsidP="00BE6580">
      <w:pPr>
        <w:pStyle w:val="tablecaption"/>
        <w:rPr>
          <w:lang w:val="en-US"/>
        </w:rPr>
      </w:pPr>
      <w:r w:rsidRPr="00F74F92">
        <w:rPr>
          <w:b/>
          <w:lang w:eastAsia="en-AU"/>
        </w:rPr>
        <w:t xml:space="preserve">Table </w:t>
      </w:r>
      <w:proofErr w:type="gramStart"/>
      <w:r w:rsidRPr="00F74F92">
        <w:rPr>
          <w:b/>
          <w:lang w:eastAsia="en-AU"/>
        </w:rPr>
        <w:t>3</w:t>
      </w:r>
      <w:r>
        <w:rPr>
          <w:lang w:eastAsia="en-AU"/>
        </w:rPr>
        <w:t xml:space="preserve">  </w:t>
      </w:r>
      <w:r>
        <w:t>A</w:t>
      </w:r>
      <w:r w:rsidRPr="00B11A78">
        <w:t>nnual</w:t>
      </w:r>
      <w:proofErr w:type="gramEnd"/>
      <w:r w:rsidRPr="00B11A78">
        <w:t xml:space="preserve"> bedload yields (t/km</w:t>
      </w:r>
      <w:r w:rsidRPr="00C81C07">
        <w:rPr>
          <w:vertAlign w:val="superscript"/>
        </w:rPr>
        <w:t>2</w:t>
      </w:r>
      <w:r w:rsidRPr="00B11A78">
        <w:t>.yr) for each plot for each year of measurement</w:t>
      </w:r>
      <w:r w:rsidR="00BE6580">
        <w:t>.</w:t>
      </w:r>
    </w:p>
    <w:tbl>
      <w:tblPr>
        <w:tblW w:w="0" w:type="auto"/>
        <w:tblLook w:val="0000"/>
      </w:tblPr>
      <w:tblGrid>
        <w:gridCol w:w="1526"/>
        <w:gridCol w:w="1134"/>
        <w:gridCol w:w="1134"/>
        <w:gridCol w:w="1134"/>
        <w:gridCol w:w="1134"/>
        <w:gridCol w:w="1417"/>
      </w:tblGrid>
      <w:tr w:rsidR="00F351F0" w:rsidTr="00BE6580">
        <w:tc>
          <w:tcPr>
            <w:tcW w:w="1526" w:type="dxa"/>
            <w:tcBorders>
              <w:top w:val="single" w:sz="4" w:space="0" w:color="auto"/>
              <w:bottom w:val="single" w:sz="4" w:space="0" w:color="auto"/>
            </w:tcBorders>
          </w:tcPr>
          <w:p w:rsidR="00F351F0" w:rsidRPr="005D7F2C" w:rsidRDefault="00F351F0" w:rsidP="00224F8A">
            <w:pPr>
              <w:pStyle w:val="table1"/>
              <w:rPr>
                <w:b/>
              </w:rPr>
            </w:pPr>
            <w:r w:rsidRPr="005D7F2C">
              <w:rPr>
                <w:b/>
              </w:rPr>
              <w:t>Water</w:t>
            </w:r>
            <w:r>
              <w:rPr>
                <w:b/>
              </w:rPr>
              <w:t>-</w:t>
            </w:r>
            <w:r w:rsidRPr="005D7F2C">
              <w:rPr>
                <w:b/>
              </w:rPr>
              <w:t>year</w:t>
            </w:r>
          </w:p>
        </w:tc>
        <w:tc>
          <w:tcPr>
            <w:tcW w:w="1134" w:type="dxa"/>
            <w:tcBorders>
              <w:top w:val="single" w:sz="4" w:space="0" w:color="auto"/>
              <w:bottom w:val="single" w:sz="4" w:space="0" w:color="auto"/>
            </w:tcBorders>
          </w:tcPr>
          <w:p w:rsidR="00F351F0" w:rsidRPr="005D7F2C" w:rsidRDefault="00F351F0" w:rsidP="00224F8A">
            <w:pPr>
              <w:pStyle w:val="table1"/>
              <w:rPr>
                <w:b/>
              </w:rPr>
            </w:pPr>
            <w:r>
              <w:rPr>
                <w:b/>
              </w:rPr>
              <w:t>P</w:t>
            </w:r>
            <w:r w:rsidRPr="005D7F2C">
              <w:rPr>
                <w:b/>
              </w:rPr>
              <w:t xml:space="preserve">lot 1 </w:t>
            </w:r>
          </w:p>
        </w:tc>
        <w:tc>
          <w:tcPr>
            <w:tcW w:w="1134" w:type="dxa"/>
            <w:tcBorders>
              <w:top w:val="single" w:sz="4" w:space="0" w:color="auto"/>
              <w:bottom w:val="single" w:sz="4" w:space="0" w:color="auto"/>
            </w:tcBorders>
          </w:tcPr>
          <w:p w:rsidR="00F351F0" w:rsidRPr="005D7F2C" w:rsidRDefault="00F351F0" w:rsidP="00224F8A">
            <w:pPr>
              <w:pStyle w:val="table1"/>
              <w:rPr>
                <w:b/>
              </w:rPr>
            </w:pPr>
            <w:r>
              <w:rPr>
                <w:b/>
              </w:rPr>
              <w:t>P</w:t>
            </w:r>
            <w:r w:rsidRPr="005D7F2C">
              <w:rPr>
                <w:b/>
              </w:rPr>
              <w:t>lot 2</w:t>
            </w:r>
          </w:p>
        </w:tc>
        <w:tc>
          <w:tcPr>
            <w:tcW w:w="1134" w:type="dxa"/>
            <w:tcBorders>
              <w:top w:val="single" w:sz="4" w:space="0" w:color="auto"/>
              <w:bottom w:val="single" w:sz="4" w:space="0" w:color="auto"/>
            </w:tcBorders>
          </w:tcPr>
          <w:p w:rsidR="00F351F0" w:rsidRPr="005D7F2C" w:rsidRDefault="00F351F0" w:rsidP="00224F8A">
            <w:pPr>
              <w:pStyle w:val="table1"/>
              <w:rPr>
                <w:b/>
              </w:rPr>
            </w:pPr>
            <w:r>
              <w:rPr>
                <w:b/>
              </w:rPr>
              <w:t>P</w:t>
            </w:r>
            <w:r w:rsidRPr="005D7F2C">
              <w:rPr>
                <w:b/>
              </w:rPr>
              <w:t>lot 3</w:t>
            </w:r>
          </w:p>
        </w:tc>
        <w:tc>
          <w:tcPr>
            <w:tcW w:w="1134" w:type="dxa"/>
            <w:tcBorders>
              <w:top w:val="single" w:sz="4" w:space="0" w:color="auto"/>
              <w:bottom w:val="single" w:sz="4" w:space="0" w:color="auto"/>
            </w:tcBorders>
          </w:tcPr>
          <w:p w:rsidR="00F351F0" w:rsidRPr="005D7F2C" w:rsidRDefault="00F351F0" w:rsidP="00224F8A">
            <w:pPr>
              <w:pStyle w:val="table1"/>
              <w:rPr>
                <w:b/>
              </w:rPr>
            </w:pPr>
            <w:r>
              <w:rPr>
                <w:b/>
              </w:rPr>
              <w:t>P</w:t>
            </w:r>
            <w:r w:rsidRPr="005D7F2C">
              <w:rPr>
                <w:b/>
              </w:rPr>
              <w:t>lot 4</w:t>
            </w:r>
          </w:p>
        </w:tc>
        <w:tc>
          <w:tcPr>
            <w:tcW w:w="1417" w:type="dxa"/>
            <w:tcBorders>
              <w:top w:val="single" w:sz="4" w:space="0" w:color="auto"/>
              <w:bottom w:val="single" w:sz="4" w:space="0" w:color="auto"/>
            </w:tcBorders>
          </w:tcPr>
          <w:p w:rsidR="00F351F0" w:rsidRPr="005D7F2C" w:rsidRDefault="00F351F0" w:rsidP="00224F8A">
            <w:pPr>
              <w:pStyle w:val="table1"/>
              <w:rPr>
                <w:b/>
              </w:rPr>
            </w:pPr>
            <w:r w:rsidRPr="005D7F2C">
              <w:rPr>
                <w:b/>
              </w:rPr>
              <w:t>Mean Annual Bedload Yield ± Standard Error</w:t>
            </w:r>
          </w:p>
        </w:tc>
      </w:tr>
      <w:tr w:rsidR="00F351F0" w:rsidTr="00BE6580">
        <w:tc>
          <w:tcPr>
            <w:tcW w:w="1526" w:type="dxa"/>
            <w:tcBorders>
              <w:top w:val="single" w:sz="4" w:space="0" w:color="auto"/>
            </w:tcBorders>
          </w:tcPr>
          <w:p w:rsidR="00F351F0" w:rsidRPr="005D7F2C" w:rsidRDefault="00F351F0" w:rsidP="00224F8A">
            <w:pPr>
              <w:pStyle w:val="table1"/>
            </w:pPr>
            <w:r w:rsidRPr="005D7F2C">
              <w:t>2009–10</w:t>
            </w:r>
          </w:p>
        </w:tc>
        <w:tc>
          <w:tcPr>
            <w:tcW w:w="1134" w:type="dxa"/>
            <w:tcBorders>
              <w:top w:val="single" w:sz="4" w:space="0" w:color="auto"/>
            </w:tcBorders>
          </w:tcPr>
          <w:p w:rsidR="00F351F0" w:rsidRPr="005D7F2C" w:rsidRDefault="00F351F0" w:rsidP="00224F8A">
            <w:pPr>
              <w:pStyle w:val="table1"/>
              <w:jc w:val="center"/>
            </w:pPr>
            <w:r w:rsidRPr="005D7F2C">
              <w:t>106</w:t>
            </w:r>
          </w:p>
        </w:tc>
        <w:tc>
          <w:tcPr>
            <w:tcW w:w="1134" w:type="dxa"/>
            <w:tcBorders>
              <w:top w:val="single" w:sz="4" w:space="0" w:color="auto"/>
            </w:tcBorders>
          </w:tcPr>
          <w:p w:rsidR="00F351F0" w:rsidRPr="005D7F2C" w:rsidRDefault="00F351F0" w:rsidP="00224F8A">
            <w:pPr>
              <w:pStyle w:val="table1"/>
              <w:jc w:val="center"/>
            </w:pPr>
            <w:r w:rsidRPr="005D7F2C">
              <w:t>147</w:t>
            </w:r>
          </w:p>
        </w:tc>
        <w:tc>
          <w:tcPr>
            <w:tcW w:w="1134" w:type="dxa"/>
            <w:tcBorders>
              <w:top w:val="single" w:sz="4" w:space="0" w:color="auto"/>
            </w:tcBorders>
          </w:tcPr>
          <w:p w:rsidR="00F351F0" w:rsidRPr="005D7F2C" w:rsidRDefault="00F351F0" w:rsidP="00224F8A">
            <w:pPr>
              <w:pStyle w:val="table1"/>
              <w:jc w:val="center"/>
            </w:pPr>
            <w:r w:rsidRPr="005D7F2C">
              <w:t>111</w:t>
            </w:r>
          </w:p>
        </w:tc>
        <w:tc>
          <w:tcPr>
            <w:tcW w:w="1134" w:type="dxa"/>
            <w:tcBorders>
              <w:top w:val="single" w:sz="4" w:space="0" w:color="auto"/>
            </w:tcBorders>
          </w:tcPr>
          <w:p w:rsidR="00F351F0" w:rsidRPr="005D7F2C" w:rsidRDefault="00F351F0" w:rsidP="00224F8A">
            <w:pPr>
              <w:pStyle w:val="table1"/>
              <w:jc w:val="center"/>
            </w:pPr>
            <w:r w:rsidRPr="005D7F2C">
              <w:t>143</w:t>
            </w:r>
          </w:p>
        </w:tc>
        <w:tc>
          <w:tcPr>
            <w:tcW w:w="1417" w:type="dxa"/>
            <w:tcBorders>
              <w:top w:val="single" w:sz="4" w:space="0" w:color="auto"/>
            </w:tcBorders>
          </w:tcPr>
          <w:p w:rsidR="00F351F0" w:rsidRPr="005D7F2C" w:rsidRDefault="00F351F0" w:rsidP="00224F8A">
            <w:pPr>
              <w:pStyle w:val="table1"/>
              <w:jc w:val="center"/>
            </w:pPr>
            <w:r w:rsidRPr="005D7F2C">
              <w:t>127 ± 11</w:t>
            </w:r>
          </w:p>
        </w:tc>
      </w:tr>
      <w:tr w:rsidR="00F351F0" w:rsidTr="00BE6580">
        <w:tc>
          <w:tcPr>
            <w:tcW w:w="1526" w:type="dxa"/>
          </w:tcPr>
          <w:p w:rsidR="00F351F0" w:rsidRPr="005D7F2C" w:rsidRDefault="00F351F0" w:rsidP="00224F8A">
            <w:pPr>
              <w:pStyle w:val="table1"/>
            </w:pPr>
            <w:r w:rsidRPr="005D7F2C">
              <w:t>2010–11</w:t>
            </w:r>
          </w:p>
        </w:tc>
        <w:tc>
          <w:tcPr>
            <w:tcW w:w="1134" w:type="dxa"/>
          </w:tcPr>
          <w:p w:rsidR="00F351F0" w:rsidRPr="005D7F2C" w:rsidRDefault="00F351F0" w:rsidP="00224F8A">
            <w:pPr>
              <w:pStyle w:val="table1"/>
              <w:jc w:val="center"/>
            </w:pPr>
            <w:r w:rsidRPr="005D7F2C">
              <w:t>59</w:t>
            </w:r>
          </w:p>
        </w:tc>
        <w:tc>
          <w:tcPr>
            <w:tcW w:w="1134" w:type="dxa"/>
          </w:tcPr>
          <w:p w:rsidR="00F351F0" w:rsidRPr="005D7F2C" w:rsidRDefault="00F351F0" w:rsidP="00224F8A">
            <w:pPr>
              <w:pStyle w:val="table1"/>
              <w:jc w:val="center"/>
            </w:pPr>
            <w:r w:rsidRPr="005D7F2C">
              <w:t>113</w:t>
            </w:r>
          </w:p>
        </w:tc>
        <w:tc>
          <w:tcPr>
            <w:tcW w:w="1134" w:type="dxa"/>
          </w:tcPr>
          <w:p w:rsidR="00F351F0" w:rsidRPr="005D7F2C" w:rsidRDefault="00F351F0" w:rsidP="00224F8A">
            <w:pPr>
              <w:pStyle w:val="table1"/>
              <w:jc w:val="center"/>
            </w:pPr>
            <w:r w:rsidRPr="005D7F2C">
              <w:t>54</w:t>
            </w:r>
          </w:p>
        </w:tc>
        <w:tc>
          <w:tcPr>
            <w:tcW w:w="1134" w:type="dxa"/>
          </w:tcPr>
          <w:p w:rsidR="00F351F0" w:rsidRPr="005D7F2C" w:rsidRDefault="00F351F0" w:rsidP="00224F8A">
            <w:pPr>
              <w:pStyle w:val="table1"/>
              <w:jc w:val="center"/>
            </w:pPr>
            <w:r w:rsidRPr="005D7F2C">
              <w:t>56</w:t>
            </w:r>
          </w:p>
        </w:tc>
        <w:tc>
          <w:tcPr>
            <w:tcW w:w="1417" w:type="dxa"/>
          </w:tcPr>
          <w:p w:rsidR="00F351F0" w:rsidRPr="005D7F2C" w:rsidRDefault="00F351F0" w:rsidP="00224F8A">
            <w:pPr>
              <w:pStyle w:val="table1"/>
              <w:jc w:val="center"/>
            </w:pPr>
            <w:r w:rsidRPr="005D7F2C">
              <w:t>71 ± 14</w:t>
            </w:r>
          </w:p>
        </w:tc>
      </w:tr>
      <w:tr w:rsidR="00F351F0" w:rsidTr="00BE6580">
        <w:tc>
          <w:tcPr>
            <w:tcW w:w="1526" w:type="dxa"/>
          </w:tcPr>
          <w:p w:rsidR="00F351F0" w:rsidRPr="005D7F2C" w:rsidRDefault="00F351F0" w:rsidP="00224F8A">
            <w:pPr>
              <w:pStyle w:val="table1"/>
            </w:pPr>
            <w:r w:rsidRPr="005D7F2C">
              <w:t>2011–12</w:t>
            </w:r>
          </w:p>
        </w:tc>
        <w:tc>
          <w:tcPr>
            <w:tcW w:w="1134" w:type="dxa"/>
          </w:tcPr>
          <w:p w:rsidR="00F351F0" w:rsidRPr="005D7F2C" w:rsidRDefault="00F351F0" w:rsidP="00224F8A">
            <w:pPr>
              <w:pStyle w:val="table1"/>
              <w:jc w:val="center"/>
            </w:pPr>
            <w:r w:rsidRPr="005D7F2C">
              <w:t>34</w:t>
            </w:r>
          </w:p>
        </w:tc>
        <w:tc>
          <w:tcPr>
            <w:tcW w:w="1134" w:type="dxa"/>
          </w:tcPr>
          <w:p w:rsidR="00F351F0" w:rsidRPr="005D7F2C" w:rsidRDefault="00F351F0" w:rsidP="00224F8A">
            <w:pPr>
              <w:pStyle w:val="table1"/>
              <w:jc w:val="center"/>
            </w:pPr>
            <w:r w:rsidRPr="005D7F2C">
              <w:t>48</w:t>
            </w:r>
          </w:p>
        </w:tc>
        <w:tc>
          <w:tcPr>
            <w:tcW w:w="1134" w:type="dxa"/>
          </w:tcPr>
          <w:p w:rsidR="00F351F0" w:rsidRPr="005D7F2C" w:rsidRDefault="00F351F0" w:rsidP="00224F8A">
            <w:pPr>
              <w:pStyle w:val="table1"/>
              <w:jc w:val="center"/>
            </w:pPr>
            <w:r w:rsidRPr="005D7F2C">
              <w:t>38</w:t>
            </w:r>
          </w:p>
        </w:tc>
        <w:tc>
          <w:tcPr>
            <w:tcW w:w="1134" w:type="dxa"/>
          </w:tcPr>
          <w:p w:rsidR="00F351F0" w:rsidRPr="005D7F2C" w:rsidRDefault="00F351F0" w:rsidP="00224F8A">
            <w:pPr>
              <w:pStyle w:val="table1"/>
              <w:jc w:val="center"/>
            </w:pPr>
            <w:r w:rsidRPr="005D7F2C">
              <w:t>15</w:t>
            </w:r>
          </w:p>
        </w:tc>
        <w:tc>
          <w:tcPr>
            <w:tcW w:w="1417" w:type="dxa"/>
          </w:tcPr>
          <w:p w:rsidR="00F351F0" w:rsidRPr="005D7F2C" w:rsidRDefault="00F351F0" w:rsidP="00224F8A">
            <w:pPr>
              <w:pStyle w:val="table1"/>
              <w:jc w:val="center"/>
            </w:pPr>
            <w:r w:rsidRPr="005D7F2C">
              <w:t>34 ± 7</w:t>
            </w:r>
          </w:p>
        </w:tc>
      </w:tr>
      <w:tr w:rsidR="00F351F0" w:rsidTr="00BE6580">
        <w:tc>
          <w:tcPr>
            <w:tcW w:w="1526" w:type="dxa"/>
          </w:tcPr>
          <w:p w:rsidR="00F351F0" w:rsidRPr="005D7F2C" w:rsidRDefault="00F351F0" w:rsidP="00224F8A">
            <w:pPr>
              <w:pStyle w:val="table1"/>
            </w:pPr>
            <w:r w:rsidRPr="005D7F2C">
              <w:t>2012–13</w:t>
            </w:r>
          </w:p>
        </w:tc>
        <w:tc>
          <w:tcPr>
            <w:tcW w:w="1134" w:type="dxa"/>
          </w:tcPr>
          <w:p w:rsidR="00F351F0" w:rsidRPr="005D7F2C" w:rsidRDefault="00F351F0" w:rsidP="00224F8A">
            <w:pPr>
              <w:pStyle w:val="table1"/>
              <w:jc w:val="center"/>
            </w:pPr>
            <w:r w:rsidRPr="005D7F2C">
              <w:t>28</w:t>
            </w:r>
          </w:p>
        </w:tc>
        <w:tc>
          <w:tcPr>
            <w:tcW w:w="1134" w:type="dxa"/>
          </w:tcPr>
          <w:p w:rsidR="00F351F0" w:rsidRPr="005D7F2C" w:rsidRDefault="00F351F0" w:rsidP="00224F8A">
            <w:pPr>
              <w:pStyle w:val="table1"/>
              <w:jc w:val="center"/>
            </w:pPr>
            <w:r w:rsidRPr="005D7F2C">
              <w:t>50</w:t>
            </w:r>
          </w:p>
        </w:tc>
        <w:tc>
          <w:tcPr>
            <w:tcW w:w="1134" w:type="dxa"/>
          </w:tcPr>
          <w:p w:rsidR="00F351F0" w:rsidRPr="005D7F2C" w:rsidRDefault="00F351F0" w:rsidP="00224F8A">
            <w:pPr>
              <w:pStyle w:val="table1"/>
              <w:jc w:val="center"/>
            </w:pPr>
            <w:r w:rsidRPr="005D7F2C">
              <w:t>14</w:t>
            </w:r>
          </w:p>
        </w:tc>
        <w:tc>
          <w:tcPr>
            <w:tcW w:w="1134" w:type="dxa"/>
          </w:tcPr>
          <w:p w:rsidR="00F351F0" w:rsidRPr="005D7F2C" w:rsidRDefault="00F351F0" w:rsidP="00224F8A">
            <w:pPr>
              <w:pStyle w:val="table1"/>
              <w:jc w:val="center"/>
            </w:pPr>
            <w:r w:rsidRPr="005D7F2C">
              <w:t>14</w:t>
            </w:r>
          </w:p>
        </w:tc>
        <w:tc>
          <w:tcPr>
            <w:tcW w:w="1417" w:type="dxa"/>
          </w:tcPr>
          <w:p w:rsidR="00F351F0" w:rsidRPr="005D7F2C" w:rsidRDefault="00F351F0" w:rsidP="00224F8A">
            <w:pPr>
              <w:pStyle w:val="table1"/>
              <w:jc w:val="center"/>
            </w:pPr>
            <w:r w:rsidRPr="005D7F2C">
              <w:t>26 ± 9</w:t>
            </w:r>
          </w:p>
        </w:tc>
      </w:tr>
      <w:tr w:rsidR="00F351F0" w:rsidTr="00BE6580">
        <w:tc>
          <w:tcPr>
            <w:tcW w:w="1526" w:type="dxa"/>
            <w:tcBorders>
              <w:bottom w:val="single" w:sz="4" w:space="0" w:color="auto"/>
            </w:tcBorders>
          </w:tcPr>
          <w:p w:rsidR="00F351F0" w:rsidRPr="005D7F2C" w:rsidRDefault="00F351F0" w:rsidP="00224F8A">
            <w:pPr>
              <w:pStyle w:val="table1"/>
            </w:pPr>
            <w:r w:rsidRPr="005D7F2C">
              <w:t>2013-14</w:t>
            </w:r>
          </w:p>
        </w:tc>
        <w:tc>
          <w:tcPr>
            <w:tcW w:w="1134" w:type="dxa"/>
            <w:tcBorders>
              <w:bottom w:val="single" w:sz="4" w:space="0" w:color="auto"/>
            </w:tcBorders>
          </w:tcPr>
          <w:p w:rsidR="00F351F0" w:rsidRPr="005D7F2C" w:rsidRDefault="00F351F0" w:rsidP="00224F8A">
            <w:pPr>
              <w:pStyle w:val="table1"/>
              <w:jc w:val="center"/>
            </w:pPr>
            <w:r w:rsidRPr="005D7F2C">
              <w:t>24</w:t>
            </w:r>
          </w:p>
        </w:tc>
        <w:tc>
          <w:tcPr>
            <w:tcW w:w="1134" w:type="dxa"/>
            <w:tcBorders>
              <w:bottom w:val="single" w:sz="4" w:space="0" w:color="auto"/>
            </w:tcBorders>
          </w:tcPr>
          <w:p w:rsidR="00F351F0" w:rsidRPr="005D7F2C" w:rsidRDefault="00F351F0" w:rsidP="00224F8A">
            <w:pPr>
              <w:pStyle w:val="table1"/>
              <w:jc w:val="center"/>
            </w:pPr>
            <w:r w:rsidRPr="005D7F2C">
              <w:t>53</w:t>
            </w:r>
          </w:p>
        </w:tc>
        <w:tc>
          <w:tcPr>
            <w:tcW w:w="1134" w:type="dxa"/>
            <w:tcBorders>
              <w:bottom w:val="single" w:sz="4" w:space="0" w:color="auto"/>
            </w:tcBorders>
          </w:tcPr>
          <w:p w:rsidR="00F351F0" w:rsidRPr="005D7F2C" w:rsidRDefault="00F351F0" w:rsidP="00224F8A">
            <w:pPr>
              <w:pStyle w:val="table1"/>
              <w:jc w:val="center"/>
            </w:pPr>
            <w:r w:rsidRPr="005D7F2C">
              <w:t>10</w:t>
            </w:r>
          </w:p>
        </w:tc>
        <w:tc>
          <w:tcPr>
            <w:tcW w:w="1134" w:type="dxa"/>
            <w:tcBorders>
              <w:bottom w:val="single" w:sz="4" w:space="0" w:color="auto"/>
            </w:tcBorders>
          </w:tcPr>
          <w:p w:rsidR="00F351F0" w:rsidRPr="005D7F2C" w:rsidRDefault="00F351F0" w:rsidP="00224F8A">
            <w:pPr>
              <w:pStyle w:val="table1"/>
              <w:jc w:val="center"/>
            </w:pPr>
            <w:r w:rsidRPr="005D7F2C">
              <w:t>14</w:t>
            </w:r>
          </w:p>
        </w:tc>
        <w:tc>
          <w:tcPr>
            <w:tcW w:w="1417" w:type="dxa"/>
            <w:tcBorders>
              <w:bottom w:val="single" w:sz="4" w:space="0" w:color="auto"/>
            </w:tcBorders>
          </w:tcPr>
          <w:p w:rsidR="00F351F0" w:rsidRPr="005D7F2C" w:rsidRDefault="00F351F0" w:rsidP="00224F8A">
            <w:pPr>
              <w:pStyle w:val="table1"/>
              <w:jc w:val="center"/>
            </w:pPr>
            <w:r w:rsidRPr="005D7F2C">
              <w:t>25 ± 10</w:t>
            </w:r>
          </w:p>
        </w:tc>
      </w:tr>
    </w:tbl>
    <w:p w:rsidR="00F351F0" w:rsidRDefault="00F351F0" w:rsidP="00F351F0"/>
    <w:p w:rsidR="00F351F0" w:rsidRPr="007F5F79" w:rsidRDefault="00F351F0" w:rsidP="00F351F0">
      <w:pPr>
        <w:rPr>
          <w:spacing w:val="-2"/>
        </w:rPr>
      </w:pPr>
      <w:r w:rsidRPr="007F5F79">
        <w:rPr>
          <w:spacing w:val="-2"/>
        </w:rPr>
        <w:t xml:space="preserve">Previous research in the </w:t>
      </w:r>
      <w:r>
        <w:rPr>
          <w:spacing w:val="-2"/>
        </w:rPr>
        <w:t>Alligator Rivers Region</w:t>
      </w:r>
      <w:r w:rsidRPr="007F5F79">
        <w:rPr>
          <w:spacing w:val="-2"/>
        </w:rPr>
        <w:t xml:space="preserve"> has shown that sediment yields decline progressively over at least the first three years following a major surface disturbance, as a result of initial washout of fine sediment and the subsequent formation of a gravel-armoured surface</w:t>
      </w:r>
      <w:r>
        <w:rPr>
          <w:spacing w:val="-2"/>
        </w:rPr>
        <w:t xml:space="preserve"> (Duggan 1994)</w:t>
      </w:r>
      <w:r w:rsidRPr="007F5F79">
        <w:rPr>
          <w:spacing w:val="-2"/>
        </w:rPr>
        <w:t xml:space="preserve">. Clearly, time since construction, rather than rainfall, is the dominant driver of bedload yield as the greatest rainfall occurred in the second year (Table </w:t>
      </w:r>
      <w:r>
        <w:rPr>
          <w:spacing w:val="-2"/>
        </w:rPr>
        <w:t>3</w:t>
      </w:r>
      <w:r w:rsidRPr="007F5F79">
        <w:rPr>
          <w:spacing w:val="-2"/>
        </w:rPr>
        <w:t>). Using the average rainfall per rain day as an index of rainfall intensity, the values for the four years were 1</w:t>
      </w:r>
      <w:r>
        <w:rPr>
          <w:spacing w:val="-2"/>
        </w:rPr>
        <w:t>3</w:t>
      </w:r>
      <w:r w:rsidRPr="007F5F79">
        <w:rPr>
          <w:spacing w:val="-2"/>
        </w:rPr>
        <w:t>, 15, 1</w:t>
      </w:r>
      <w:r>
        <w:rPr>
          <w:spacing w:val="-2"/>
        </w:rPr>
        <w:t>1, 10</w:t>
      </w:r>
      <w:r w:rsidRPr="007F5F79">
        <w:rPr>
          <w:spacing w:val="-2"/>
        </w:rPr>
        <w:t xml:space="preserve"> and 1</w:t>
      </w:r>
      <w:r>
        <w:rPr>
          <w:spacing w:val="-2"/>
        </w:rPr>
        <w:t>5</w:t>
      </w:r>
      <w:r w:rsidRPr="007F5F79">
        <w:rPr>
          <w:spacing w:val="-2"/>
        </w:rPr>
        <w:t xml:space="preserve"> mm</w:t>
      </w:r>
      <w:r>
        <w:rPr>
          <w:spacing w:val="-2"/>
        </w:rPr>
        <w:t xml:space="preserve"> </w:t>
      </w:r>
      <w:r w:rsidRPr="007F5F79">
        <w:rPr>
          <w:spacing w:val="-2"/>
        </w:rPr>
        <w:t>d</w:t>
      </w:r>
      <w:r w:rsidRPr="000614C6">
        <w:rPr>
          <w:snapToGrid w:val="0"/>
          <w:color w:val="000000"/>
          <w:spacing w:val="-10"/>
          <w:position w:val="5"/>
          <w:sz w:val="15"/>
          <w:szCs w:val="0"/>
          <w:u w:color="000000"/>
        </w:rPr>
        <w:t>-1</w:t>
      </w:r>
      <w:r w:rsidRPr="007F5F79">
        <w:rPr>
          <w:spacing w:val="-2"/>
        </w:rPr>
        <w:t xml:space="preserve"> for the 2009–10, 2010–11, 2011–12</w:t>
      </w:r>
      <w:r>
        <w:rPr>
          <w:spacing w:val="-2"/>
        </w:rPr>
        <w:t>,</w:t>
      </w:r>
      <w:r w:rsidRPr="007F5F79">
        <w:rPr>
          <w:spacing w:val="-2"/>
        </w:rPr>
        <w:t xml:space="preserve"> 2012–13 </w:t>
      </w:r>
      <w:r w:rsidR="00BE6580">
        <w:rPr>
          <w:spacing w:val="-2"/>
        </w:rPr>
        <w:t>and 2013–</w:t>
      </w:r>
      <w:r>
        <w:rPr>
          <w:spacing w:val="-2"/>
        </w:rPr>
        <w:t xml:space="preserve">14 </w:t>
      </w:r>
      <w:r w:rsidRPr="007F5F79">
        <w:rPr>
          <w:spacing w:val="-2"/>
        </w:rPr>
        <w:t xml:space="preserve">water years, respectively. The 2010–11 </w:t>
      </w:r>
      <w:r w:rsidR="00BE6580">
        <w:rPr>
          <w:spacing w:val="-2"/>
        </w:rPr>
        <w:t>and the 2013–</w:t>
      </w:r>
      <w:r>
        <w:rPr>
          <w:spacing w:val="-2"/>
        </w:rPr>
        <w:t xml:space="preserve">14 </w:t>
      </w:r>
      <w:r w:rsidRPr="007F5F79">
        <w:rPr>
          <w:spacing w:val="-2"/>
        </w:rPr>
        <w:t>wet season</w:t>
      </w:r>
      <w:r>
        <w:rPr>
          <w:spacing w:val="-2"/>
        </w:rPr>
        <w:t>s</w:t>
      </w:r>
      <w:r w:rsidRPr="007F5F79">
        <w:rPr>
          <w:spacing w:val="-2"/>
        </w:rPr>
        <w:t xml:space="preserve"> w</w:t>
      </w:r>
      <w:r>
        <w:rPr>
          <w:spacing w:val="-2"/>
        </w:rPr>
        <w:t xml:space="preserve">ere the </w:t>
      </w:r>
      <w:r w:rsidRPr="007F5F79">
        <w:rPr>
          <w:spacing w:val="-2"/>
        </w:rPr>
        <w:t>wettest season</w:t>
      </w:r>
      <w:r>
        <w:rPr>
          <w:spacing w:val="-2"/>
        </w:rPr>
        <w:t>s</w:t>
      </w:r>
      <w:r w:rsidRPr="007F5F79">
        <w:rPr>
          <w:spacing w:val="-2"/>
        </w:rPr>
        <w:t xml:space="preserve"> </w:t>
      </w:r>
      <w:r>
        <w:rPr>
          <w:spacing w:val="-2"/>
        </w:rPr>
        <w:t xml:space="preserve">and </w:t>
      </w:r>
      <w:r w:rsidRPr="007F5F79">
        <w:rPr>
          <w:spacing w:val="-2"/>
        </w:rPr>
        <w:t>also had the most intense rainfall, further supporting the fact that rainfall is not a key driver for annual bedload yield on the trial landform.</w:t>
      </w:r>
    </w:p>
    <w:p w:rsidR="00F351F0" w:rsidRDefault="00F351F0" w:rsidP="00F351F0">
      <w:r w:rsidRPr="004D0890">
        <w:t xml:space="preserve">The highest </w:t>
      </w:r>
      <w:r>
        <w:t xml:space="preserve">annual </w:t>
      </w:r>
      <w:r w:rsidRPr="004D0890">
        <w:t xml:space="preserve">bedload yields were </w:t>
      </w:r>
      <w:r>
        <w:t xml:space="preserve">always </w:t>
      </w:r>
      <w:r w:rsidRPr="004D0890">
        <w:t xml:space="preserve">generated from </w:t>
      </w:r>
      <w:r>
        <w:t>plot</w:t>
      </w:r>
      <w:r w:rsidRPr="004D0890">
        <w:t xml:space="preserve"> 2 </w:t>
      </w:r>
      <w:r w:rsidRPr="004D0890">
        <w:rPr>
          <w:lang w:val="en-US"/>
        </w:rPr>
        <w:t>(Table </w:t>
      </w:r>
      <w:r>
        <w:rPr>
          <w:lang w:val="en-US"/>
        </w:rPr>
        <w:t>3</w:t>
      </w:r>
      <w:r w:rsidRPr="004D0890">
        <w:rPr>
          <w:lang w:val="en-US"/>
        </w:rPr>
        <w:t>)</w:t>
      </w:r>
      <w:r w:rsidRPr="004D0890">
        <w:t xml:space="preserve">. While it is still not clear why this happens, shallow rip lines dominate the lower part of </w:t>
      </w:r>
      <w:r>
        <w:t>p</w:t>
      </w:r>
      <w:r w:rsidRPr="004D0890">
        <w:t>lot 2, resulting in direct connection of diffuse overland flow with the down slope plot drain</w:t>
      </w:r>
      <w:r>
        <w:t xml:space="preserve"> and poorer vegetation establishment.</w:t>
      </w:r>
    </w:p>
    <w:p w:rsidR="00F351F0" w:rsidRDefault="00F351F0" w:rsidP="00F351F0">
      <w:pPr>
        <w:rPr>
          <w:lang w:val="en-US"/>
        </w:rPr>
      </w:pPr>
      <w:r>
        <w:rPr>
          <w:lang w:val="en-US"/>
        </w:rPr>
        <w:t>In the fourth year after construction, a clear signature of the effect of vegetation establishment is evident in the annual bedload yields which continue in the fifth year. The two plots (1 and 4), originally planted with tube stock, now have the greatest average tube stock heights (3.14 m for plot 1 and 2.74 m for plot 4) and both show lower bedload yields than the plots (2 and 3) initially planted by direct seeding followed a year later by infill planting with tube stock (1.90 m for Plot 2 and 1.53 m for plot 3</w:t>
      </w:r>
      <w:proofErr w:type="gramStart"/>
      <w:r>
        <w:rPr>
          <w:lang w:val="en-US"/>
        </w:rPr>
        <w:t>)(</w:t>
      </w:r>
      <w:proofErr w:type="gramEnd"/>
      <w:r>
        <w:rPr>
          <w:lang w:val="en-US"/>
        </w:rPr>
        <w:t xml:space="preserve">Gellert 2014). Plots 3 and 4 have the lowest yield because they have also been invaded by weeds, which densely cover about half of the plot and </w:t>
      </w:r>
      <w:proofErr w:type="gramStart"/>
      <w:r>
        <w:rPr>
          <w:lang w:val="en-US"/>
        </w:rPr>
        <w:t>mitigate</w:t>
      </w:r>
      <w:proofErr w:type="gramEnd"/>
      <w:r>
        <w:rPr>
          <w:lang w:val="en-US"/>
        </w:rPr>
        <w:t xml:space="preserve"> against erosion.</w:t>
      </w:r>
    </w:p>
    <w:p w:rsidR="003A3F09" w:rsidRDefault="003A3F09" w:rsidP="003A3F09">
      <w:pPr>
        <w:pStyle w:val="Heading3"/>
        <w:rPr>
          <w:lang w:eastAsia="en-AU"/>
        </w:rPr>
      </w:pPr>
      <w:r>
        <w:rPr>
          <w:lang w:eastAsia="en-AU"/>
        </w:rPr>
        <w:t>Particle size analysis</w:t>
      </w:r>
    </w:p>
    <w:p w:rsidR="003A3F09" w:rsidRDefault="003A3F09" w:rsidP="00493492">
      <w:pPr>
        <w:spacing w:after="0" w:line="240" w:lineRule="auto"/>
        <w:rPr>
          <w:lang w:val="en-US"/>
        </w:rPr>
      </w:pPr>
      <w:r>
        <w:rPr>
          <w:lang w:val="en-US"/>
        </w:rPr>
        <w:t>For plots 1, 2 and 3, analysis showed that the sand fraction has the highest percentage (all over 50%, Table 4). On plot 4, the sand fraction was higher for years 2009</w:t>
      </w:r>
      <w:r>
        <w:t>–</w:t>
      </w:r>
      <w:r>
        <w:rPr>
          <w:lang w:val="en-US"/>
        </w:rPr>
        <w:t xml:space="preserve">10 and </w:t>
      </w:r>
      <w:r>
        <w:rPr>
          <w:lang w:val="en-US"/>
        </w:rPr>
        <w:br/>
        <w:t>2012</w:t>
      </w:r>
      <w:r>
        <w:t>–</w:t>
      </w:r>
      <w:r>
        <w:rPr>
          <w:lang w:val="en-US"/>
        </w:rPr>
        <w:t xml:space="preserve">13 and was essentially the same for the other three years. This indicates the importance of the sand fraction and shows that it is the main erosion product in the early years after construction of a rehabilitated landform. The gravel fraction constitutes the next highest percentage with little silt and clay contained in the bedload. Surface armouring of coarse gravel has occurred by the washing out of silt and clay from the ground surface. </w:t>
      </w:r>
    </w:p>
    <w:p w:rsidR="001A7E73" w:rsidRDefault="001A7E73" w:rsidP="001A7E73">
      <w:pPr>
        <w:pStyle w:val="Heading3"/>
      </w:pPr>
      <w:bookmarkStart w:id="211" w:name="_Toc365635535"/>
      <w:r>
        <w:t>Solute generation and transport</w:t>
      </w:r>
      <w:bookmarkEnd w:id="211"/>
      <w:r>
        <w:t xml:space="preserve"> </w:t>
      </w:r>
    </w:p>
    <w:p w:rsidR="001A7E73" w:rsidRDefault="001A7E73" w:rsidP="001A7E73">
      <w:pPr>
        <w:rPr>
          <w:szCs w:val="22"/>
        </w:rPr>
      </w:pPr>
      <w:r>
        <w:t>The waste rock used to construct the trial landform originates from Ranger Pit 3 (</w:t>
      </w:r>
      <w:r w:rsidRPr="009B6899">
        <w:t>Map</w:t>
      </w:r>
      <w:r>
        <w:t> </w:t>
      </w:r>
      <w:r w:rsidRPr="009B6899">
        <w:t>2</w:t>
      </w:r>
      <w:r>
        <w:t>). Waste rock is the most abundant substrate for capping the final landform. Previous work on the chemical characterisation of Ranger mine waste rock has shown its potential to generate soluble manganese, magnesium, sulfate, uranium, calcium, aluminium, iron and potassium (East et al. 1994, Taylor et al. 1996</w:t>
      </w:r>
      <w:r w:rsidRPr="00FA4AA3">
        <w:t xml:space="preserve"> </w:t>
      </w:r>
      <w:r>
        <w:t>Hollingsworth et al. 2003). These solutes are mobilised during rainfall events and are transported via both the surface runoff and seepage pathways.</w:t>
      </w:r>
    </w:p>
    <w:p w:rsidR="001A7E73" w:rsidRDefault="001A7E73" w:rsidP="001A7E73">
      <w:pPr>
        <w:rPr>
          <w:spacing w:val="-2"/>
        </w:rPr>
      </w:pPr>
      <w:r w:rsidRPr="006A6B40">
        <w:rPr>
          <w:spacing w:val="-2"/>
        </w:rPr>
        <w:t>Typically, the rate of solute generation from waste rock declines over a period of years as the source becomes exhausted, and eventually stable, with inert end-products remaining</w:t>
      </w:r>
      <w:r>
        <w:rPr>
          <w:spacing w:val="-2"/>
        </w:rPr>
        <w:t xml:space="preserve"> </w:t>
      </w:r>
      <w:r w:rsidRPr="005C52A9">
        <w:rPr>
          <w:spacing w:val="-2"/>
        </w:rPr>
        <w:t>(Hollin</w:t>
      </w:r>
      <w:r>
        <w:rPr>
          <w:spacing w:val="-2"/>
        </w:rPr>
        <w:t>g</w:t>
      </w:r>
      <w:r w:rsidRPr="005C52A9">
        <w:rPr>
          <w:spacing w:val="-2"/>
        </w:rPr>
        <w:t xml:space="preserve">sworth </w:t>
      </w:r>
      <w:r>
        <w:rPr>
          <w:spacing w:val="-2"/>
        </w:rPr>
        <w:t>et al.</w:t>
      </w:r>
      <w:r w:rsidRPr="005C52A9">
        <w:rPr>
          <w:spacing w:val="-2"/>
        </w:rPr>
        <w:t xml:space="preserve"> 2003). An intra-seasonal decline is also observed, with high solute</w:t>
      </w:r>
      <w:r w:rsidRPr="006A6B40">
        <w:rPr>
          <w:spacing w:val="-2"/>
        </w:rPr>
        <w:t xml:space="preserve"> concentrations causing a ‘first flush’ effect at the commencement of the wet season followed by a subsequent decline in concentration towards the end of the wet season. The first flush effect is attributed partly to the fact that rainwater in the region has a lower pH during the early wet season (compared to the late wet season) and is more effective at remobilising solutes and also to the fact that epsomite (MgSO</w:t>
      </w:r>
      <w:r w:rsidRPr="006A6B40">
        <w:rPr>
          <w:spacing w:val="-2"/>
          <w:vertAlign w:val="subscript"/>
        </w:rPr>
        <w:t>4</w:t>
      </w:r>
      <w:r w:rsidRPr="006A6B40">
        <w:rPr>
          <w:spacing w:val="-2"/>
        </w:rPr>
        <w:t>.7H</w:t>
      </w:r>
      <w:r w:rsidRPr="006A6B40">
        <w:rPr>
          <w:spacing w:val="-2"/>
          <w:vertAlign w:val="subscript"/>
        </w:rPr>
        <w:t>2</w:t>
      </w:r>
      <w:r w:rsidRPr="006A6B40">
        <w:rPr>
          <w:spacing w:val="-2"/>
        </w:rPr>
        <w:t xml:space="preserve">O), which is the dominant soluble salt formed as a result of weathering of Ranger waste rock, accumulates at the surface during dry periods and is flushed away during the first </w:t>
      </w:r>
      <w:r w:rsidRPr="005C52A9">
        <w:rPr>
          <w:spacing w:val="-2"/>
        </w:rPr>
        <w:t xml:space="preserve">rains (Noller </w:t>
      </w:r>
      <w:r>
        <w:rPr>
          <w:spacing w:val="-2"/>
        </w:rPr>
        <w:t>et al.</w:t>
      </w:r>
      <w:r w:rsidRPr="005C52A9">
        <w:rPr>
          <w:spacing w:val="-2"/>
        </w:rPr>
        <w:t xml:space="preserve"> 1990</w:t>
      </w:r>
      <w:r>
        <w:rPr>
          <w:spacing w:val="-2"/>
        </w:rPr>
        <w:t>, East et al. 1994</w:t>
      </w:r>
      <w:r w:rsidRPr="005C52A9">
        <w:rPr>
          <w:spacing w:val="-2"/>
        </w:rPr>
        <w:t>). This behaviour would be true for other major salts present.</w:t>
      </w:r>
      <w:r w:rsidRPr="006A6B40">
        <w:rPr>
          <w:spacing w:val="-2"/>
        </w:rPr>
        <w:t xml:space="preserve"> </w:t>
      </w:r>
    </w:p>
    <w:p w:rsidR="001A7E73" w:rsidRDefault="001A7E73" w:rsidP="00493492">
      <w:pPr>
        <w:spacing w:after="0" w:line="240" w:lineRule="auto"/>
        <w:rPr>
          <w:lang w:val="en-US"/>
        </w:rPr>
      </w:pPr>
    </w:p>
    <w:p w:rsidR="003A3F09" w:rsidRDefault="003A3F09" w:rsidP="00F351F0">
      <w:pPr>
        <w:rPr>
          <w:lang w:val="en-US"/>
        </w:rPr>
      </w:pPr>
    </w:p>
    <w:p w:rsidR="00F351F0" w:rsidRDefault="00F351F0" w:rsidP="00F351F0">
      <w:pPr>
        <w:jc w:val="center"/>
      </w:pPr>
      <w:r>
        <w:rPr>
          <w:noProof/>
          <w:lang w:eastAsia="en-AU"/>
        </w:rPr>
        <w:drawing>
          <wp:inline distT="0" distB="0" distL="0" distR="0">
            <wp:extent cx="5274310" cy="4180840"/>
            <wp:effectExtent l="19050" t="0" r="2540" b="0"/>
            <wp:docPr id="10106" name="Picture 2" descr="Fig4Bedload.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4Bedload.WMF"/>
                    <pic:cNvPicPr/>
                  </pic:nvPicPr>
                  <pic:blipFill>
                    <a:blip r:embed="rId170" cstate="screen"/>
                    <a:stretch>
                      <a:fillRect/>
                    </a:stretch>
                  </pic:blipFill>
                  <pic:spPr>
                    <a:xfrm>
                      <a:off x="0" y="0"/>
                      <a:ext cx="5274310" cy="4180840"/>
                    </a:xfrm>
                    <a:prstGeom prst="rect">
                      <a:avLst/>
                    </a:prstGeom>
                  </pic:spPr>
                </pic:pic>
              </a:graphicData>
            </a:graphic>
          </wp:inline>
        </w:drawing>
      </w:r>
    </w:p>
    <w:p w:rsidR="00F351F0" w:rsidRDefault="00F351F0" w:rsidP="00F351F0">
      <w:pPr>
        <w:pStyle w:val="figurecaption"/>
      </w:pPr>
      <w:r w:rsidRPr="00CD61D4">
        <w:rPr>
          <w:b/>
        </w:rPr>
        <w:t xml:space="preserve">Figure </w:t>
      </w:r>
      <w:proofErr w:type="gramStart"/>
      <w:r>
        <w:rPr>
          <w:b/>
        </w:rPr>
        <w:t>4</w:t>
      </w:r>
      <w:r>
        <w:t xml:space="preserve">  Exponential</w:t>
      </w:r>
      <w:proofErr w:type="gramEnd"/>
      <w:r>
        <w:t xml:space="preserve"> decrease in mean annual bedload yield with time since construction for the four plots on the trial landform. Data represent annual mean and standard error of estimate for all plots.</w:t>
      </w:r>
    </w:p>
    <w:p w:rsidR="00F351F0" w:rsidRDefault="00F351F0" w:rsidP="00F351F0">
      <w:pPr>
        <w:rPr>
          <w:lang w:val="en-US"/>
        </w:rPr>
      </w:pPr>
    </w:p>
    <w:p w:rsidR="00F351F0" w:rsidRDefault="00F351F0" w:rsidP="00F351F0">
      <w:pPr>
        <w:pStyle w:val="tablecaption"/>
        <w:rPr>
          <w:lang w:val="en-US"/>
        </w:rPr>
      </w:pPr>
      <w:r w:rsidRPr="00B11A78">
        <w:rPr>
          <w:b/>
          <w:lang w:eastAsia="en-AU"/>
        </w:rPr>
        <w:t xml:space="preserve">Table </w:t>
      </w:r>
      <w:proofErr w:type="gramStart"/>
      <w:r w:rsidRPr="00B11A78">
        <w:rPr>
          <w:b/>
          <w:lang w:eastAsia="en-AU"/>
        </w:rPr>
        <w:t>4</w:t>
      </w:r>
      <w:r w:rsidRPr="003C1DA2">
        <w:rPr>
          <w:lang w:eastAsia="en-AU"/>
        </w:rPr>
        <w:t xml:space="preserve">  </w:t>
      </w:r>
      <w:r w:rsidRPr="00B11A78">
        <w:rPr>
          <w:lang w:eastAsia="en-AU"/>
        </w:rPr>
        <w:t>Annual</w:t>
      </w:r>
      <w:proofErr w:type="gramEnd"/>
      <w:r w:rsidRPr="00B11A78">
        <w:rPr>
          <w:lang w:eastAsia="en-AU"/>
        </w:rPr>
        <w:t xml:space="preserve"> yield of bedload fractions as a percentage of total bedload yield for each plot</w:t>
      </w:r>
      <w:r>
        <w:rPr>
          <w:lang w:eastAsia="en-AU"/>
        </w:rPr>
        <w:t xml:space="preserve"> </w:t>
      </w:r>
      <w:r w:rsidRPr="00B11A78">
        <w:rPr>
          <w:lang w:eastAsia="en-AU"/>
        </w:rPr>
        <w:t>for each year of measurement</w:t>
      </w:r>
      <w:r w:rsidR="00BE6580">
        <w:rPr>
          <w:lang w:eastAsia="en-AU"/>
        </w:rPr>
        <w:t>.</w:t>
      </w:r>
    </w:p>
    <w:tbl>
      <w:tblPr>
        <w:tblW w:w="0" w:type="auto"/>
        <w:jc w:val="center"/>
        <w:tblLook w:val="04A0"/>
      </w:tblPr>
      <w:tblGrid>
        <w:gridCol w:w="796"/>
        <w:gridCol w:w="688"/>
        <w:gridCol w:w="590"/>
        <w:gridCol w:w="642"/>
        <w:gridCol w:w="709"/>
        <w:gridCol w:w="590"/>
        <w:gridCol w:w="574"/>
        <w:gridCol w:w="688"/>
        <w:gridCol w:w="590"/>
        <w:gridCol w:w="528"/>
        <w:gridCol w:w="688"/>
        <w:gridCol w:w="590"/>
        <w:gridCol w:w="528"/>
      </w:tblGrid>
      <w:tr w:rsidR="00F351F0" w:rsidRPr="00BE6580" w:rsidTr="00BE6580">
        <w:trPr>
          <w:jc w:val="center"/>
        </w:trPr>
        <w:tc>
          <w:tcPr>
            <w:tcW w:w="796" w:type="dxa"/>
            <w:tcBorders>
              <w:top w:val="single" w:sz="4" w:space="0" w:color="auto"/>
              <w:bottom w:val="single" w:sz="4" w:space="0" w:color="auto"/>
            </w:tcBorders>
          </w:tcPr>
          <w:p w:rsidR="00F351F0" w:rsidRPr="00BE6580" w:rsidRDefault="00F351F0" w:rsidP="00BE6580">
            <w:pPr>
              <w:pStyle w:val="table1"/>
              <w:rPr>
                <w:b/>
                <w:color w:val="000000"/>
                <w:u w:color="000000"/>
                <w:lang w:val="en-US"/>
              </w:rPr>
            </w:pPr>
          </w:p>
        </w:tc>
        <w:tc>
          <w:tcPr>
            <w:tcW w:w="1855" w:type="dxa"/>
            <w:gridSpan w:val="3"/>
            <w:tcBorders>
              <w:top w:val="single" w:sz="4" w:space="0" w:color="auto"/>
              <w:bottom w:val="single" w:sz="4" w:space="0" w:color="auto"/>
            </w:tcBorders>
          </w:tcPr>
          <w:p w:rsidR="00F351F0" w:rsidRPr="00BE6580" w:rsidRDefault="00F351F0" w:rsidP="00BE6580">
            <w:pPr>
              <w:pStyle w:val="table1"/>
              <w:rPr>
                <w:b/>
                <w:color w:val="000000"/>
                <w:u w:color="000000"/>
                <w:lang w:val="en-US"/>
              </w:rPr>
            </w:pPr>
            <w:r w:rsidRPr="00BE6580">
              <w:rPr>
                <w:b/>
                <w:color w:val="000000"/>
                <w:u w:color="000000"/>
                <w:lang w:val="en-US"/>
              </w:rPr>
              <w:t>Plot 1</w:t>
            </w:r>
          </w:p>
        </w:tc>
        <w:tc>
          <w:tcPr>
            <w:tcW w:w="1850" w:type="dxa"/>
            <w:gridSpan w:val="3"/>
            <w:tcBorders>
              <w:top w:val="single" w:sz="4" w:space="0" w:color="auto"/>
              <w:bottom w:val="single" w:sz="4" w:space="0" w:color="auto"/>
            </w:tcBorders>
          </w:tcPr>
          <w:p w:rsidR="00F351F0" w:rsidRPr="00BE6580" w:rsidRDefault="00F351F0" w:rsidP="00BE6580">
            <w:pPr>
              <w:pStyle w:val="table1"/>
              <w:rPr>
                <w:b/>
                <w:color w:val="000000"/>
                <w:u w:color="000000"/>
                <w:lang w:val="en-US"/>
              </w:rPr>
            </w:pPr>
            <w:r w:rsidRPr="00BE6580">
              <w:rPr>
                <w:b/>
                <w:color w:val="000000"/>
                <w:u w:color="000000"/>
                <w:lang w:val="en-US"/>
              </w:rPr>
              <w:t>Plot 2</w:t>
            </w:r>
          </w:p>
        </w:tc>
        <w:tc>
          <w:tcPr>
            <w:tcW w:w="1717" w:type="dxa"/>
            <w:gridSpan w:val="3"/>
            <w:tcBorders>
              <w:top w:val="single" w:sz="4" w:space="0" w:color="auto"/>
              <w:bottom w:val="single" w:sz="4" w:space="0" w:color="auto"/>
            </w:tcBorders>
          </w:tcPr>
          <w:p w:rsidR="00F351F0" w:rsidRPr="00BE6580" w:rsidRDefault="00F351F0" w:rsidP="00BE6580">
            <w:pPr>
              <w:pStyle w:val="table1"/>
              <w:rPr>
                <w:b/>
                <w:color w:val="000000"/>
                <w:u w:color="000000"/>
                <w:lang w:val="en-US"/>
              </w:rPr>
            </w:pPr>
            <w:r w:rsidRPr="00BE6580">
              <w:rPr>
                <w:b/>
                <w:color w:val="000000"/>
                <w:u w:color="000000"/>
                <w:lang w:val="en-US"/>
              </w:rPr>
              <w:t>Plot 3</w:t>
            </w:r>
          </w:p>
        </w:tc>
        <w:tc>
          <w:tcPr>
            <w:tcW w:w="1719" w:type="dxa"/>
            <w:gridSpan w:val="3"/>
            <w:tcBorders>
              <w:top w:val="single" w:sz="4" w:space="0" w:color="auto"/>
              <w:bottom w:val="single" w:sz="4" w:space="0" w:color="auto"/>
            </w:tcBorders>
          </w:tcPr>
          <w:p w:rsidR="00F351F0" w:rsidRPr="00BE6580" w:rsidRDefault="00F351F0" w:rsidP="00BE6580">
            <w:pPr>
              <w:pStyle w:val="table1"/>
              <w:rPr>
                <w:b/>
                <w:color w:val="000000"/>
                <w:u w:color="000000"/>
                <w:lang w:val="en-US"/>
              </w:rPr>
            </w:pPr>
            <w:r w:rsidRPr="00BE6580">
              <w:rPr>
                <w:b/>
                <w:color w:val="000000"/>
                <w:u w:color="000000"/>
                <w:lang w:val="en-US"/>
              </w:rPr>
              <w:t>Plot 4</w:t>
            </w:r>
          </w:p>
        </w:tc>
      </w:tr>
      <w:tr w:rsidR="00F351F0" w:rsidRPr="00BE6580" w:rsidTr="00BE6580">
        <w:trPr>
          <w:jc w:val="center"/>
        </w:trPr>
        <w:tc>
          <w:tcPr>
            <w:tcW w:w="796" w:type="dxa"/>
            <w:tcBorders>
              <w:top w:val="single" w:sz="4" w:space="0" w:color="auto"/>
              <w:bottom w:val="single" w:sz="4" w:space="0" w:color="auto"/>
            </w:tcBorders>
          </w:tcPr>
          <w:p w:rsidR="00F351F0" w:rsidRPr="00BE6580" w:rsidRDefault="00F351F0" w:rsidP="00BE6580">
            <w:pPr>
              <w:pStyle w:val="table1"/>
              <w:rPr>
                <w:b/>
                <w:color w:val="000000"/>
                <w:szCs w:val="14"/>
                <w:u w:color="000000"/>
                <w:lang w:val="en-US"/>
              </w:rPr>
            </w:pPr>
            <w:r w:rsidRPr="00BE6580">
              <w:rPr>
                <w:b/>
                <w:color w:val="000000"/>
                <w:szCs w:val="14"/>
                <w:u w:color="000000"/>
                <w:lang w:val="en-US"/>
              </w:rPr>
              <w:t>Water year</w:t>
            </w:r>
          </w:p>
        </w:tc>
        <w:tc>
          <w:tcPr>
            <w:tcW w:w="651" w:type="dxa"/>
            <w:tcBorders>
              <w:top w:val="single" w:sz="4" w:space="0" w:color="auto"/>
              <w:bottom w:val="single" w:sz="4" w:space="0" w:color="auto"/>
            </w:tcBorders>
          </w:tcPr>
          <w:p w:rsidR="00F351F0" w:rsidRPr="00BE6580" w:rsidRDefault="00F351F0" w:rsidP="00BE6580">
            <w:pPr>
              <w:pStyle w:val="table1"/>
              <w:rPr>
                <w:b/>
                <w:color w:val="000000"/>
                <w:szCs w:val="14"/>
                <w:u w:color="000000"/>
                <w:lang w:val="en-US"/>
              </w:rPr>
            </w:pPr>
            <w:r w:rsidRPr="00BE6580">
              <w:rPr>
                <w:b/>
                <w:color w:val="000000"/>
                <w:szCs w:val="14"/>
                <w:u w:color="000000"/>
                <w:lang w:val="en-US"/>
              </w:rPr>
              <w:t>% gravel</w:t>
            </w:r>
          </w:p>
        </w:tc>
        <w:tc>
          <w:tcPr>
            <w:tcW w:w="562" w:type="dxa"/>
            <w:tcBorders>
              <w:top w:val="single" w:sz="4" w:space="0" w:color="auto"/>
              <w:bottom w:val="single" w:sz="4" w:space="0" w:color="auto"/>
            </w:tcBorders>
          </w:tcPr>
          <w:p w:rsidR="00F351F0" w:rsidRPr="00BE6580" w:rsidRDefault="00F351F0" w:rsidP="00BE6580">
            <w:pPr>
              <w:pStyle w:val="table1"/>
              <w:rPr>
                <w:b/>
                <w:color w:val="000000"/>
                <w:szCs w:val="14"/>
                <w:u w:color="000000"/>
                <w:lang w:val="en-US"/>
              </w:rPr>
            </w:pPr>
            <w:r w:rsidRPr="00BE6580">
              <w:rPr>
                <w:b/>
                <w:color w:val="000000"/>
                <w:szCs w:val="14"/>
                <w:u w:color="000000"/>
                <w:lang w:val="en-US"/>
              </w:rPr>
              <w:t>% sand</w:t>
            </w:r>
          </w:p>
        </w:tc>
        <w:tc>
          <w:tcPr>
            <w:tcW w:w="642" w:type="dxa"/>
            <w:tcBorders>
              <w:top w:val="single" w:sz="4" w:space="0" w:color="auto"/>
              <w:bottom w:val="single" w:sz="4" w:space="0" w:color="auto"/>
            </w:tcBorders>
          </w:tcPr>
          <w:p w:rsidR="00F351F0" w:rsidRPr="00BE6580" w:rsidRDefault="00F351F0" w:rsidP="00BE6580">
            <w:pPr>
              <w:pStyle w:val="table1"/>
              <w:rPr>
                <w:b/>
                <w:color w:val="000000"/>
                <w:szCs w:val="14"/>
                <w:u w:color="000000"/>
                <w:lang w:val="en-US"/>
              </w:rPr>
            </w:pPr>
            <w:r w:rsidRPr="00BE6580">
              <w:rPr>
                <w:b/>
                <w:color w:val="000000"/>
                <w:szCs w:val="14"/>
                <w:u w:color="000000"/>
                <w:lang w:val="en-US"/>
              </w:rPr>
              <w:t>% silt and clay</w:t>
            </w:r>
          </w:p>
        </w:tc>
        <w:tc>
          <w:tcPr>
            <w:tcW w:w="709" w:type="dxa"/>
            <w:tcBorders>
              <w:top w:val="single" w:sz="4" w:space="0" w:color="auto"/>
              <w:bottom w:val="single" w:sz="4" w:space="0" w:color="auto"/>
            </w:tcBorders>
          </w:tcPr>
          <w:p w:rsidR="00F351F0" w:rsidRPr="00BE6580" w:rsidRDefault="00F351F0" w:rsidP="00BE6580">
            <w:pPr>
              <w:pStyle w:val="table1"/>
              <w:rPr>
                <w:b/>
                <w:color w:val="000000"/>
                <w:szCs w:val="14"/>
                <w:u w:color="000000"/>
                <w:lang w:val="en-US"/>
              </w:rPr>
            </w:pPr>
            <w:r w:rsidRPr="00BE6580">
              <w:rPr>
                <w:b/>
                <w:color w:val="000000"/>
                <w:szCs w:val="14"/>
                <w:u w:color="000000"/>
                <w:lang w:val="en-US"/>
              </w:rPr>
              <w:t>% gravel</w:t>
            </w:r>
          </w:p>
        </w:tc>
        <w:tc>
          <w:tcPr>
            <w:tcW w:w="567" w:type="dxa"/>
            <w:tcBorders>
              <w:top w:val="single" w:sz="4" w:space="0" w:color="auto"/>
              <w:bottom w:val="single" w:sz="4" w:space="0" w:color="auto"/>
            </w:tcBorders>
          </w:tcPr>
          <w:p w:rsidR="00F351F0" w:rsidRPr="00BE6580" w:rsidRDefault="00F351F0" w:rsidP="00BE6580">
            <w:pPr>
              <w:pStyle w:val="table1"/>
              <w:rPr>
                <w:b/>
                <w:color w:val="000000"/>
                <w:szCs w:val="14"/>
                <w:u w:color="000000"/>
                <w:lang w:val="en-US"/>
              </w:rPr>
            </w:pPr>
            <w:r w:rsidRPr="00BE6580">
              <w:rPr>
                <w:b/>
                <w:color w:val="000000"/>
                <w:szCs w:val="14"/>
                <w:u w:color="000000"/>
                <w:lang w:val="en-US"/>
              </w:rPr>
              <w:t>% sand</w:t>
            </w:r>
          </w:p>
        </w:tc>
        <w:tc>
          <w:tcPr>
            <w:tcW w:w="574" w:type="dxa"/>
            <w:tcBorders>
              <w:top w:val="single" w:sz="4" w:space="0" w:color="auto"/>
              <w:bottom w:val="single" w:sz="4" w:space="0" w:color="auto"/>
            </w:tcBorders>
          </w:tcPr>
          <w:p w:rsidR="00F351F0" w:rsidRPr="00BE6580" w:rsidRDefault="00F351F0" w:rsidP="00BE6580">
            <w:pPr>
              <w:pStyle w:val="table1"/>
              <w:rPr>
                <w:b/>
                <w:color w:val="000000"/>
                <w:szCs w:val="14"/>
                <w:u w:color="000000"/>
                <w:lang w:val="en-US"/>
              </w:rPr>
            </w:pPr>
            <w:r w:rsidRPr="00BE6580">
              <w:rPr>
                <w:b/>
                <w:color w:val="000000"/>
                <w:szCs w:val="14"/>
                <w:u w:color="000000"/>
                <w:lang w:val="en-US"/>
              </w:rPr>
              <w:t>% silt and clay</w:t>
            </w:r>
          </w:p>
        </w:tc>
        <w:tc>
          <w:tcPr>
            <w:tcW w:w="652" w:type="dxa"/>
            <w:tcBorders>
              <w:top w:val="single" w:sz="4" w:space="0" w:color="auto"/>
              <w:bottom w:val="single" w:sz="4" w:space="0" w:color="auto"/>
            </w:tcBorders>
          </w:tcPr>
          <w:p w:rsidR="00F351F0" w:rsidRPr="00BE6580" w:rsidRDefault="00F351F0" w:rsidP="00BE6580">
            <w:pPr>
              <w:pStyle w:val="table1"/>
              <w:rPr>
                <w:b/>
                <w:color w:val="000000"/>
                <w:szCs w:val="14"/>
                <w:u w:color="000000"/>
                <w:lang w:val="en-US"/>
              </w:rPr>
            </w:pPr>
            <w:r w:rsidRPr="00BE6580">
              <w:rPr>
                <w:b/>
                <w:color w:val="000000"/>
                <w:szCs w:val="14"/>
                <w:u w:color="000000"/>
                <w:lang w:val="en-US"/>
              </w:rPr>
              <w:t>% gravel</w:t>
            </w:r>
          </w:p>
        </w:tc>
        <w:tc>
          <w:tcPr>
            <w:tcW w:w="565" w:type="dxa"/>
            <w:tcBorders>
              <w:top w:val="single" w:sz="4" w:space="0" w:color="auto"/>
              <w:bottom w:val="single" w:sz="4" w:space="0" w:color="auto"/>
            </w:tcBorders>
          </w:tcPr>
          <w:p w:rsidR="00F351F0" w:rsidRPr="00BE6580" w:rsidRDefault="00F351F0" w:rsidP="00BE6580">
            <w:pPr>
              <w:pStyle w:val="table1"/>
              <w:rPr>
                <w:b/>
                <w:color w:val="000000"/>
                <w:szCs w:val="14"/>
                <w:u w:color="000000"/>
                <w:lang w:val="en-US"/>
              </w:rPr>
            </w:pPr>
            <w:r w:rsidRPr="00BE6580">
              <w:rPr>
                <w:b/>
                <w:color w:val="000000"/>
                <w:szCs w:val="14"/>
                <w:u w:color="000000"/>
                <w:lang w:val="en-US"/>
              </w:rPr>
              <w:t>% sand</w:t>
            </w:r>
          </w:p>
        </w:tc>
        <w:tc>
          <w:tcPr>
            <w:tcW w:w="500" w:type="dxa"/>
            <w:tcBorders>
              <w:top w:val="single" w:sz="4" w:space="0" w:color="auto"/>
              <w:bottom w:val="single" w:sz="4" w:space="0" w:color="auto"/>
            </w:tcBorders>
          </w:tcPr>
          <w:p w:rsidR="00F351F0" w:rsidRPr="00BE6580" w:rsidRDefault="00F351F0" w:rsidP="00BE6580">
            <w:pPr>
              <w:pStyle w:val="table1"/>
              <w:rPr>
                <w:b/>
                <w:color w:val="000000"/>
                <w:szCs w:val="14"/>
                <w:u w:color="000000"/>
                <w:lang w:val="en-US"/>
              </w:rPr>
            </w:pPr>
            <w:r w:rsidRPr="00BE6580">
              <w:rPr>
                <w:b/>
                <w:color w:val="000000"/>
                <w:szCs w:val="14"/>
                <w:u w:color="000000"/>
                <w:lang w:val="en-US"/>
              </w:rPr>
              <w:t>% silt and clay</w:t>
            </w:r>
          </w:p>
        </w:tc>
        <w:tc>
          <w:tcPr>
            <w:tcW w:w="656" w:type="dxa"/>
            <w:tcBorders>
              <w:top w:val="single" w:sz="4" w:space="0" w:color="auto"/>
              <w:bottom w:val="single" w:sz="4" w:space="0" w:color="auto"/>
            </w:tcBorders>
          </w:tcPr>
          <w:p w:rsidR="00F351F0" w:rsidRPr="00BE6580" w:rsidRDefault="00F351F0" w:rsidP="00BE6580">
            <w:pPr>
              <w:pStyle w:val="table1"/>
              <w:rPr>
                <w:b/>
                <w:color w:val="000000"/>
                <w:szCs w:val="14"/>
                <w:u w:color="000000"/>
                <w:lang w:val="en-US"/>
              </w:rPr>
            </w:pPr>
            <w:r w:rsidRPr="00BE6580">
              <w:rPr>
                <w:b/>
                <w:color w:val="000000"/>
                <w:szCs w:val="14"/>
                <w:u w:color="000000"/>
                <w:lang w:val="en-US"/>
              </w:rPr>
              <w:t>% gravel</w:t>
            </w:r>
          </w:p>
        </w:tc>
        <w:tc>
          <w:tcPr>
            <w:tcW w:w="563" w:type="dxa"/>
            <w:tcBorders>
              <w:top w:val="single" w:sz="4" w:space="0" w:color="auto"/>
              <w:bottom w:val="single" w:sz="4" w:space="0" w:color="auto"/>
            </w:tcBorders>
          </w:tcPr>
          <w:p w:rsidR="00F351F0" w:rsidRPr="00BE6580" w:rsidRDefault="00F351F0" w:rsidP="00BE6580">
            <w:pPr>
              <w:pStyle w:val="table1"/>
              <w:rPr>
                <w:b/>
                <w:color w:val="000000"/>
                <w:szCs w:val="14"/>
                <w:u w:color="000000"/>
                <w:lang w:val="en-US"/>
              </w:rPr>
            </w:pPr>
            <w:r w:rsidRPr="00BE6580">
              <w:rPr>
                <w:b/>
                <w:color w:val="000000"/>
                <w:szCs w:val="14"/>
                <w:u w:color="000000"/>
                <w:lang w:val="en-US"/>
              </w:rPr>
              <w:t>% sand</w:t>
            </w:r>
          </w:p>
        </w:tc>
        <w:tc>
          <w:tcPr>
            <w:tcW w:w="500" w:type="dxa"/>
            <w:tcBorders>
              <w:top w:val="single" w:sz="4" w:space="0" w:color="auto"/>
              <w:bottom w:val="single" w:sz="4" w:space="0" w:color="auto"/>
            </w:tcBorders>
          </w:tcPr>
          <w:p w:rsidR="00F351F0" w:rsidRPr="00BE6580" w:rsidRDefault="00F351F0" w:rsidP="00BE6580">
            <w:pPr>
              <w:pStyle w:val="table1"/>
              <w:rPr>
                <w:b/>
                <w:color w:val="000000"/>
                <w:szCs w:val="14"/>
                <w:u w:color="000000"/>
                <w:lang w:val="en-US"/>
              </w:rPr>
            </w:pPr>
            <w:r w:rsidRPr="00BE6580">
              <w:rPr>
                <w:b/>
                <w:color w:val="000000"/>
                <w:szCs w:val="14"/>
                <w:u w:color="000000"/>
                <w:lang w:val="en-US"/>
              </w:rPr>
              <w:t>% silt and clay</w:t>
            </w:r>
          </w:p>
        </w:tc>
      </w:tr>
      <w:tr w:rsidR="00F351F0" w:rsidTr="00224F8A">
        <w:trPr>
          <w:jc w:val="center"/>
        </w:trPr>
        <w:tc>
          <w:tcPr>
            <w:tcW w:w="796" w:type="dxa"/>
            <w:tcBorders>
              <w:top w:val="single" w:sz="4" w:space="0" w:color="auto"/>
            </w:tcBorders>
          </w:tcPr>
          <w:p w:rsidR="00F351F0" w:rsidRPr="00BE6580" w:rsidRDefault="00F351F0" w:rsidP="00BE6580">
            <w:pPr>
              <w:pStyle w:val="table1"/>
              <w:rPr>
                <w:color w:val="000000"/>
                <w:u w:color="000000"/>
                <w:lang w:val="en-US"/>
              </w:rPr>
            </w:pPr>
            <w:r w:rsidRPr="00BE6580">
              <w:rPr>
                <w:color w:val="000000"/>
                <w:u w:color="000000"/>
                <w:lang w:val="en-US"/>
              </w:rPr>
              <w:t>2009/10</w:t>
            </w:r>
          </w:p>
        </w:tc>
        <w:tc>
          <w:tcPr>
            <w:tcW w:w="651" w:type="dxa"/>
            <w:tcBorders>
              <w:top w:val="single" w:sz="4" w:space="0" w:color="auto"/>
            </w:tcBorders>
          </w:tcPr>
          <w:p w:rsidR="00F351F0" w:rsidRPr="00BE6580" w:rsidRDefault="00F351F0" w:rsidP="00BE6580">
            <w:pPr>
              <w:pStyle w:val="table1"/>
              <w:rPr>
                <w:color w:val="000000"/>
                <w:u w:color="000000"/>
                <w:lang w:val="en-US"/>
              </w:rPr>
            </w:pPr>
            <w:r w:rsidRPr="00BE6580">
              <w:rPr>
                <w:color w:val="000000"/>
                <w:u w:color="000000"/>
                <w:lang w:val="en-US"/>
              </w:rPr>
              <w:t>34</w:t>
            </w:r>
          </w:p>
        </w:tc>
        <w:tc>
          <w:tcPr>
            <w:tcW w:w="562" w:type="dxa"/>
            <w:tcBorders>
              <w:top w:val="single" w:sz="4" w:space="0" w:color="auto"/>
            </w:tcBorders>
          </w:tcPr>
          <w:p w:rsidR="00F351F0" w:rsidRPr="00BE6580" w:rsidRDefault="00F351F0" w:rsidP="00BE6580">
            <w:pPr>
              <w:pStyle w:val="table1"/>
              <w:rPr>
                <w:color w:val="000000"/>
                <w:u w:color="000000"/>
                <w:lang w:val="en-US"/>
              </w:rPr>
            </w:pPr>
            <w:r w:rsidRPr="00BE6580">
              <w:rPr>
                <w:color w:val="000000"/>
                <w:u w:color="000000"/>
                <w:lang w:val="en-US"/>
              </w:rPr>
              <w:t>60</w:t>
            </w:r>
          </w:p>
        </w:tc>
        <w:tc>
          <w:tcPr>
            <w:tcW w:w="642" w:type="dxa"/>
            <w:tcBorders>
              <w:top w:val="single" w:sz="4" w:space="0" w:color="auto"/>
            </w:tcBorders>
          </w:tcPr>
          <w:p w:rsidR="00F351F0" w:rsidRPr="00BE6580" w:rsidRDefault="00F351F0" w:rsidP="00BE6580">
            <w:pPr>
              <w:pStyle w:val="table1"/>
              <w:rPr>
                <w:color w:val="000000"/>
                <w:u w:color="000000"/>
                <w:lang w:val="en-US"/>
              </w:rPr>
            </w:pPr>
            <w:r w:rsidRPr="00BE6580">
              <w:rPr>
                <w:color w:val="000000"/>
                <w:u w:color="000000"/>
                <w:lang w:val="en-US"/>
              </w:rPr>
              <w:t>6</w:t>
            </w:r>
          </w:p>
        </w:tc>
        <w:tc>
          <w:tcPr>
            <w:tcW w:w="709" w:type="dxa"/>
            <w:tcBorders>
              <w:top w:val="single" w:sz="4" w:space="0" w:color="auto"/>
            </w:tcBorders>
          </w:tcPr>
          <w:p w:rsidR="00F351F0" w:rsidRPr="00BE6580" w:rsidRDefault="00F351F0" w:rsidP="00BE6580">
            <w:pPr>
              <w:pStyle w:val="table1"/>
              <w:rPr>
                <w:color w:val="000000"/>
                <w:u w:color="000000"/>
                <w:lang w:val="en-US"/>
              </w:rPr>
            </w:pPr>
            <w:r w:rsidRPr="00BE6580">
              <w:rPr>
                <w:color w:val="000000"/>
                <w:u w:color="000000"/>
                <w:lang w:val="en-US"/>
              </w:rPr>
              <w:t>34</w:t>
            </w:r>
          </w:p>
        </w:tc>
        <w:tc>
          <w:tcPr>
            <w:tcW w:w="567" w:type="dxa"/>
            <w:tcBorders>
              <w:top w:val="single" w:sz="4" w:space="0" w:color="auto"/>
            </w:tcBorders>
          </w:tcPr>
          <w:p w:rsidR="00F351F0" w:rsidRPr="00BE6580" w:rsidRDefault="00F351F0" w:rsidP="00BE6580">
            <w:pPr>
              <w:pStyle w:val="table1"/>
              <w:rPr>
                <w:color w:val="000000"/>
                <w:u w:color="000000"/>
                <w:lang w:val="en-US"/>
              </w:rPr>
            </w:pPr>
            <w:r w:rsidRPr="00BE6580">
              <w:rPr>
                <w:color w:val="000000"/>
                <w:u w:color="000000"/>
                <w:lang w:val="en-US"/>
              </w:rPr>
              <w:t>55</w:t>
            </w:r>
          </w:p>
        </w:tc>
        <w:tc>
          <w:tcPr>
            <w:tcW w:w="574" w:type="dxa"/>
            <w:tcBorders>
              <w:top w:val="single" w:sz="4" w:space="0" w:color="auto"/>
            </w:tcBorders>
          </w:tcPr>
          <w:p w:rsidR="00F351F0" w:rsidRPr="00BE6580" w:rsidRDefault="00F351F0" w:rsidP="00BE6580">
            <w:pPr>
              <w:pStyle w:val="table1"/>
              <w:rPr>
                <w:color w:val="000000"/>
                <w:u w:color="000000"/>
                <w:lang w:val="en-US"/>
              </w:rPr>
            </w:pPr>
            <w:r w:rsidRPr="00BE6580">
              <w:rPr>
                <w:color w:val="000000"/>
                <w:u w:color="000000"/>
                <w:lang w:val="en-US"/>
              </w:rPr>
              <w:t>11</w:t>
            </w:r>
          </w:p>
        </w:tc>
        <w:tc>
          <w:tcPr>
            <w:tcW w:w="652" w:type="dxa"/>
            <w:tcBorders>
              <w:top w:val="single" w:sz="4" w:space="0" w:color="auto"/>
            </w:tcBorders>
          </w:tcPr>
          <w:p w:rsidR="00F351F0" w:rsidRPr="00BE6580" w:rsidRDefault="00F351F0" w:rsidP="00BE6580">
            <w:pPr>
              <w:pStyle w:val="table1"/>
              <w:rPr>
                <w:color w:val="000000"/>
                <w:u w:color="000000"/>
                <w:lang w:val="en-US"/>
              </w:rPr>
            </w:pPr>
            <w:r w:rsidRPr="00BE6580">
              <w:rPr>
                <w:color w:val="000000"/>
                <w:u w:color="000000"/>
                <w:lang w:val="en-US"/>
              </w:rPr>
              <w:t>37</w:t>
            </w:r>
          </w:p>
        </w:tc>
        <w:tc>
          <w:tcPr>
            <w:tcW w:w="565" w:type="dxa"/>
            <w:tcBorders>
              <w:top w:val="single" w:sz="4" w:space="0" w:color="auto"/>
            </w:tcBorders>
          </w:tcPr>
          <w:p w:rsidR="00F351F0" w:rsidRPr="00BE6580" w:rsidRDefault="00F351F0" w:rsidP="00BE6580">
            <w:pPr>
              <w:pStyle w:val="table1"/>
              <w:rPr>
                <w:color w:val="000000"/>
                <w:u w:color="000000"/>
                <w:lang w:val="en-US"/>
              </w:rPr>
            </w:pPr>
            <w:r w:rsidRPr="00BE6580">
              <w:rPr>
                <w:color w:val="000000"/>
                <w:u w:color="000000"/>
                <w:lang w:val="en-US"/>
              </w:rPr>
              <w:t>59</w:t>
            </w:r>
          </w:p>
        </w:tc>
        <w:tc>
          <w:tcPr>
            <w:tcW w:w="500" w:type="dxa"/>
            <w:tcBorders>
              <w:top w:val="single" w:sz="4" w:space="0" w:color="auto"/>
            </w:tcBorders>
          </w:tcPr>
          <w:p w:rsidR="00F351F0" w:rsidRPr="00BE6580" w:rsidRDefault="00F351F0" w:rsidP="00BE6580">
            <w:pPr>
              <w:pStyle w:val="table1"/>
              <w:rPr>
                <w:color w:val="000000"/>
                <w:u w:color="000000"/>
                <w:lang w:val="en-US"/>
              </w:rPr>
            </w:pPr>
            <w:r w:rsidRPr="00BE6580">
              <w:rPr>
                <w:color w:val="000000"/>
                <w:u w:color="000000"/>
                <w:lang w:val="en-US"/>
              </w:rPr>
              <w:t>4</w:t>
            </w:r>
          </w:p>
        </w:tc>
        <w:tc>
          <w:tcPr>
            <w:tcW w:w="656" w:type="dxa"/>
            <w:tcBorders>
              <w:top w:val="single" w:sz="4" w:space="0" w:color="auto"/>
            </w:tcBorders>
          </w:tcPr>
          <w:p w:rsidR="00F351F0" w:rsidRPr="00BE6580" w:rsidRDefault="00F351F0" w:rsidP="00BE6580">
            <w:pPr>
              <w:pStyle w:val="table1"/>
              <w:rPr>
                <w:color w:val="000000"/>
                <w:u w:color="000000"/>
                <w:lang w:val="en-US"/>
              </w:rPr>
            </w:pPr>
            <w:r w:rsidRPr="00BE6580">
              <w:rPr>
                <w:color w:val="000000"/>
                <w:u w:color="000000"/>
                <w:lang w:val="en-US"/>
              </w:rPr>
              <w:t>35</w:t>
            </w:r>
          </w:p>
        </w:tc>
        <w:tc>
          <w:tcPr>
            <w:tcW w:w="563" w:type="dxa"/>
            <w:tcBorders>
              <w:top w:val="single" w:sz="4" w:space="0" w:color="auto"/>
            </w:tcBorders>
          </w:tcPr>
          <w:p w:rsidR="00F351F0" w:rsidRPr="00BE6580" w:rsidRDefault="00F351F0" w:rsidP="00BE6580">
            <w:pPr>
              <w:pStyle w:val="table1"/>
              <w:rPr>
                <w:color w:val="000000"/>
                <w:u w:color="000000"/>
                <w:lang w:val="en-US"/>
              </w:rPr>
            </w:pPr>
            <w:r w:rsidRPr="00BE6580">
              <w:rPr>
                <w:color w:val="000000"/>
                <w:u w:color="000000"/>
                <w:lang w:val="en-US"/>
              </w:rPr>
              <w:t>61</w:t>
            </w:r>
          </w:p>
        </w:tc>
        <w:tc>
          <w:tcPr>
            <w:tcW w:w="500" w:type="dxa"/>
            <w:tcBorders>
              <w:top w:val="single" w:sz="4" w:space="0" w:color="auto"/>
            </w:tcBorders>
          </w:tcPr>
          <w:p w:rsidR="00F351F0" w:rsidRPr="00BE6580" w:rsidRDefault="00F351F0" w:rsidP="00BE6580">
            <w:pPr>
              <w:pStyle w:val="table1"/>
              <w:rPr>
                <w:color w:val="000000"/>
                <w:u w:color="000000"/>
                <w:lang w:val="en-US"/>
              </w:rPr>
            </w:pPr>
            <w:r w:rsidRPr="00BE6580">
              <w:rPr>
                <w:color w:val="000000"/>
                <w:u w:color="000000"/>
                <w:lang w:val="en-US"/>
              </w:rPr>
              <w:t>4</w:t>
            </w:r>
          </w:p>
        </w:tc>
      </w:tr>
      <w:tr w:rsidR="00F351F0" w:rsidTr="00224F8A">
        <w:trPr>
          <w:jc w:val="center"/>
        </w:trPr>
        <w:tc>
          <w:tcPr>
            <w:tcW w:w="796" w:type="dxa"/>
          </w:tcPr>
          <w:p w:rsidR="00F351F0" w:rsidRPr="00BE6580" w:rsidRDefault="00F351F0" w:rsidP="00BE6580">
            <w:pPr>
              <w:pStyle w:val="table1"/>
              <w:rPr>
                <w:color w:val="000000"/>
                <w:u w:color="000000"/>
                <w:lang w:val="en-US"/>
              </w:rPr>
            </w:pPr>
            <w:r w:rsidRPr="00BE6580">
              <w:rPr>
                <w:color w:val="000000"/>
                <w:u w:color="000000"/>
                <w:lang w:val="en-US"/>
              </w:rPr>
              <w:t>2010/11</w:t>
            </w:r>
          </w:p>
        </w:tc>
        <w:tc>
          <w:tcPr>
            <w:tcW w:w="651" w:type="dxa"/>
          </w:tcPr>
          <w:p w:rsidR="00F351F0" w:rsidRPr="00BE6580" w:rsidRDefault="00F351F0" w:rsidP="00BE6580">
            <w:pPr>
              <w:pStyle w:val="table1"/>
              <w:rPr>
                <w:color w:val="000000"/>
                <w:u w:color="000000"/>
                <w:lang w:val="en-US"/>
              </w:rPr>
            </w:pPr>
            <w:r w:rsidRPr="00BE6580">
              <w:rPr>
                <w:color w:val="000000"/>
                <w:u w:color="000000"/>
                <w:lang w:val="en-US"/>
              </w:rPr>
              <w:t>33</w:t>
            </w:r>
          </w:p>
        </w:tc>
        <w:tc>
          <w:tcPr>
            <w:tcW w:w="562" w:type="dxa"/>
          </w:tcPr>
          <w:p w:rsidR="00F351F0" w:rsidRPr="00BE6580" w:rsidRDefault="00F351F0" w:rsidP="00BE6580">
            <w:pPr>
              <w:pStyle w:val="table1"/>
              <w:rPr>
                <w:color w:val="000000"/>
                <w:u w:color="000000"/>
                <w:lang w:val="en-US"/>
              </w:rPr>
            </w:pPr>
            <w:r w:rsidRPr="00BE6580">
              <w:rPr>
                <w:color w:val="000000"/>
                <w:u w:color="000000"/>
                <w:lang w:val="en-US"/>
              </w:rPr>
              <w:t>64</w:t>
            </w:r>
          </w:p>
        </w:tc>
        <w:tc>
          <w:tcPr>
            <w:tcW w:w="642" w:type="dxa"/>
          </w:tcPr>
          <w:p w:rsidR="00F351F0" w:rsidRPr="00BE6580" w:rsidRDefault="00F351F0" w:rsidP="00BE6580">
            <w:pPr>
              <w:pStyle w:val="table1"/>
              <w:rPr>
                <w:color w:val="000000"/>
                <w:u w:color="000000"/>
                <w:lang w:val="en-US"/>
              </w:rPr>
            </w:pPr>
            <w:r w:rsidRPr="00BE6580">
              <w:rPr>
                <w:color w:val="000000"/>
                <w:u w:color="000000"/>
                <w:lang w:val="en-US"/>
              </w:rPr>
              <w:t>3</w:t>
            </w:r>
          </w:p>
        </w:tc>
        <w:tc>
          <w:tcPr>
            <w:tcW w:w="709" w:type="dxa"/>
          </w:tcPr>
          <w:p w:rsidR="00F351F0" w:rsidRPr="00BE6580" w:rsidRDefault="00F351F0" w:rsidP="00BE6580">
            <w:pPr>
              <w:pStyle w:val="table1"/>
              <w:rPr>
                <w:color w:val="000000"/>
                <w:u w:color="000000"/>
                <w:lang w:val="en-US"/>
              </w:rPr>
            </w:pPr>
            <w:r w:rsidRPr="00BE6580">
              <w:rPr>
                <w:color w:val="000000"/>
                <w:u w:color="000000"/>
                <w:lang w:val="en-US"/>
              </w:rPr>
              <w:t>40</w:t>
            </w:r>
          </w:p>
        </w:tc>
        <w:tc>
          <w:tcPr>
            <w:tcW w:w="567" w:type="dxa"/>
          </w:tcPr>
          <w:p w:rsidR="00F351F0" w:rsidRPr="00BE6580" w:rsidRDefault="00F351F0" w:rsidP="00BE6580">
            <w:pPr>
              <w:pStyle w:val="table1"/>
              <w:rPr>
                <w:color w:val="000000"/>
                <w:u w:color="000000"/>
                <w:lang w:val="en-US"/>
              </w:rPr>
            </w:pPr>
            <w:r w:rsidRPr="00BE6580">
              <w:rPr>
                <w:color w:val="000000"/>
                <w:u w:color="000000"/>
                <w:lang w:val="en-US"/>
              </w:rPr>
              <w:t>55</w:t>
            </w:r>
          </w:p>
        </w:tc>
        <w:tc>
          <w:tcPr>
            <w:tcW w:w="574" w:type="dxa"/>
          </w:tcPr>
          <w:p w:rsidR="00F351F0" w:rsidRPr="00BE6580" w:rsidRDefault="00F351F0" w:rsidP="00BE6580">
            <w:pPr>
              <w:pStyle w:val="table1"/>
              <w:rPr>
                <w:color w:val="000000"/>
                <w:u w:color="000000"/>
                <w:lang w:val="en-US"/>
              </w:rPr>
            </w:pPr>
            <w:r w:rsidRPr="00BE6580">
              <w:rPr>
                <w:color w:val="000000"/>
                <w:u w:color="000000"/>
                <w:lang w:val="en-US"/>
              </w:rPr>
              <w:t>5</w:t>
            </w:r>
          </w:p>
        </w:tc>
        <w:tc>
          <w:tcPr>
            <w:tcW w:w="652" w:type="dxa"/>
          </w:tcPr>
          <w:p w:rsidR="00F351F0" w:rsidRPr="00BE6580" w:rsidRDefault="00F351F0" w:rsidP="00BE6580">
            <w:pPr>
              <w:pStyle w:val="table1"/>
              <w:rPr>
                <w:color w:val="000000"/>
                <w:u w:color="000000"/>
                <w:lang w:val="en-US"/>
              </w:rPr>
            </w:pPr>
            <w:r w:rsidRPr="00BE6580">
              <w:rPr>
                <w:color w:val="000000"/>
                <w:u w:color="000000"/>
                <w:lang w:val="en-US"/>
              </w:rPr>
              <w:t>46</w:t>
            </w:r>
          </w:p>
        </w:tc>
        <w:tc>
          <w:tcPr>
            <w:tcW w:w="565" w:type="dxa"/>
          </w:tcPr>
          <w:p w:rsidR="00F351F0" w:rsidRPr="00BE6580" w:rsidRDefault="00F351F0" w:rsidP="00BE6580">
            <w:pPr>
              <w:pStyle w:val="table1"/>
              <w:rPr>
                <w:color w:val="000000"/>
                <w:u w:color="000000"/>
                <w:lang w:val="en-US"/>
              </w:rPr>
            </w:pPr>
            <w:r w:rsidRPr="00BE6580">
              <w:rPr>
                <w:color w:val="000000"/>
                <w:u w:color="000000"/>
                <w:lang w:val="en-US"/>
              </w:rPr>
              <w:t>53</w:t>
            </w:r>
          </w:p>
        </w:tc>
        <w:tc>
          <w:tcPr>
            <w:tcW w:w="500" w:type="dxa"/>
          </w:tcPr>
          <w:p w:rsidR="00F351F0" w:rsidRPr="00BE6580" w:rsidRDefault="00F351F0" w:rsidP="00BE6580">
            <w:pPr>
              <w:pStyle w:val="table1"/>
              <w:rPr>
                <w:color w:val="000000"/>
                <w:u w:color="000000"/>
                <w:lang w:val="en-US"/>
              </w:rPr>
            </w:pPr>
            <w:r w:rsidRPr="00BE6580">
              <w:rPr>
                <w:color w:val="000000"/>
                <w:u w:color="000000"/>
                <w:lang w:val="en-US"/>
              </w:rPr>
              <w:t>1</w:t>
            </w:r>
          </w:p>
        </w:tc>
        <w:tc>
          <w:tcPr>
            <w:tcW w:w="656" w:type="dxa"/>
          </w:tcPr>
          <w:p w:rsidR="00F351F0" w:rsidRPr="00BE6580" w:rsidRDefault="00F351F0" w:rsidP="00BE6580">
            <w:pPr>
              <w:pStyle w:val="table1"/>
              <w:rPr>
                <w:color w:val="000000"/>
                <w:u w:color="000000"/>
                <w:lang w:val="en-US"/>
              </w:rPr>
            </w:pPr>
            <w:r w:rsidRPr="00BE6580">
              <w:rPr>
                <w:color w:val="000000"/>
                <w:u w:color="000000"/>
                <w:lang w:val="en-US"/>
              </w:rPr>
              <w:t>50</w:t>
            </w:r>
          </w:p>
        </w:tc>
        <w:tc>
          <w:tcPr>
            <w:tcW w:w="563" w:type="dxa"/>
          </w:tcPr>
          <w:p w:rsidR="00F351F0" w:rsidRPr="00BE6580" w:rsidRDefault="00F351F0" w:rsidP="00BE6580">
            <w:pPr>
              <w:pStyle w:val="table1"/>
              <w:rPr>
                <w:color w:val="000000"/>
                <w:u w:color="000000"/>
                <w:lang w:val="en-US"/>
              </w:rPr>
            </w:pPr>
            <w:r w:rsidRPr="00BE6580">
              <w:rPr>
                <w:color w:val="000000"/>
                <w:u w:color="000000"/>
                <w:lang w:val="en-US"/>
              </w:rPr>
              <w:t>49</w:t>
            </w:r>
          </w:p>
        </w:tc>
        <w:tc>
          <w:tcPr>
            <w:tcW w:w="500" w:type="dxa"/>
          </w:tcPr>
          <w:p w:rsidR="00F351F0" w:rsidRPr="00BE6580" w:rsidRDefault="00F351F0" w:rsidP="00BE6580">
            <w:pPr>
              <w:pStyle w:val="table1"/>
              <w:rPr>
                <w:color w:val="000000"/>
                <w:u w:color="000000"/>
                <w:lang w:val="en-US"/>
              </w:rPr>
            </w:pPr>
            <w:r w:rsidRPr="00BE6580">
              <w:rPr>
                <w:color w:val="000000"/>
                <w:u w:color="000000"/>
                <w:lang w:val="en-US"/>
              </w:rPr>
              <w:t>1</w:t>
            </w:r>
          </w:p>
        </w:tc>
      </w:tr>
      <w:tr w:rsidR="00F351F0" w:rsidTr="00224F8A">
        <w:trPr>
          <w:jc w:val="center"/>
        </w:trPr>
        <w:tc>
          <w:tcPr>
            <w:tcW w:w="796" w:type="dxa"/>
          </w:tcPr>
          <w:p w:rsidR="00F351F0" w:rsidRPr="00BE6580" w:rsidRDefault="00F351F0" w:rsidP="00BE6580">
            <w:pPr>
              <w:pStyle w:val="table1"/>
              <w:rPr>
                <w:color w:val="000000"/>
                <w:u w:color="000000"/>
                <w:lang w:val="en-US"/>
              </w:rPr>
            </w:pPr>
            <w:r w:rsidRPr="00BE6580">
              <w:rPr>
                <w:color w:val="000000"/>
                <w:u w:color="000000"/>
                <w:lang w:val="en-US"/>
              </w:rPr>
              <w:t>2011/12</w:t>
            </w:r>
          </w:p>
        </w:tc>
        <w:tc>
          <w:tcPr>
            <w:tcW w:w="651" w:type="dxa"/>
          </w:tcPr>
          <w:p w:rsidR="00F351F0" w:rsidRPr="00BE6580" w:rsidRDefault="00F351F0" w:rsidP="00BE6580">
            <w:pPr>
              <w:pStyle w:val="table1"/>
              <w:rPr>
                <w:color w:val="000000"/>
                <w:u w:color="000000"/>
                <w:lang w:val="en-US"/>
              </w:rPr>
            </w:pPr>
            <w:r w:rsidRPr="00BE6580">
              <w:rPr>
                <w:color w:val="000000"/>
                <w:u w:color="000000"/>
                <w:lang w:val="en-US"/>
              </w:rPr>
              <w:t>44</w:t>
            </w:r>
          </w:p>
        </w:tc>
        <w:tc>
          <w:tcPr>
            <w:tcW w:w="562" w:type="dxa"/>
          </w:tcPr>
          <w:p w:rsidR="00F351F0" w:rsidRPr="00BE6580" w:rsidRDefault="00F351F0" w:rsidP="00BE6580">
            <w:pPr>
              <w:pStyle w:val="table1"/>
              <w:rPr>
                <w:color w:val="000000"/>
                <w:u w:color="000000"/>
                <w:lang w:val="en-US"/>
              </w:rPr>
            </w:pPr>
            <w:r w:rsidRPr="00BE6580">
              <w:rPr>
                <w:color w:val="000000"/>
                <w:u w:color="000000"/>
                <w:lang w:val="en-US"/>
              </w:rPr>
              <w:t>53</w:t>
            </w:r>
          </w:p>
        </w:tc>
        <w:tc>
          <w:tcPr>
            <w:tcW w:w="642" w:type="dxa"/>
          </w:tcPr>
          <w:p w:rsidR="00F351F0" w:rsidRPr="00BE6580" w:rsidRDefault="00F351F0" w:rsidP="00BE6580">
            <w:pPr>
              <w:pStyle w:val="table1"/>
              <w:rPr>
                <w:color w:val="000000"/>
                <w:u w:color="000000"/>
                <w:lang w:val="en-US"/>
              </w:rPr>
            </w:pPr>
            <w:r w:rsidRPr="00BE6580">
              <w:rPr>
                <w:color w:val="000000"/>
                <w:u w:color="000000"/>
                <w:lang w:val="en-US"/>
              </w:rPr>
              <w:t>3</w:t>
            </w:r>
          </w:p>
        </w:tc>
        <w:tc>
          <w:tcPr>
            <w:tcW w:w="709" w:type="dxa"/>
          </w:tcPr>
          <w:p w:rsidR="00F351F0" w:rsidRPr="00BE6580" w:rsidRDefault="00F351F0" w:rsidP="00BE6580">
            <w:pPr>
              <w:pStyle w:val="table1"/>
              <w:rPr>
                <w:color w:val="000000"/>
                <w:u w:color="000000"/>
                <w:lang w:val="en-US"/>
              </w:rPr>
            </w:pPr>
            <w:r w:rsidRPr="00BE6580">
              <w:rPr>
                <w:color w:val="000000"/>
                <w:u w:color="000000"/>
                <w:lang w:val="en-US"/>
              </w:rPr>
              <w:t>42</w:t>
            </w:r>
          </w:p>
        </w:tc>
        <w:tc>
          <w:tcPr>
            <w:tcW w:w="567" w:type="dxa"/>
          </w:tcPr>
          <w:p w:rsidR="00F351F0" w:rsidRPr="00BE6580" w:rsidRDefault="00F351F0" w:rsidP="00BE6580">
            <w:pPr>
              <w:pStyle w:val="table1"/>
              <w:rPr>
                <w:color w:val="000000"/>
                <w:u w:color="000000"/>
                <w:lang w:val="en-US"/>
              </w:rPr>
            </w:pPr>
            <w:r w:rsidRPr="00BE6580">
              <w:rPr>
                <w:color w:val="000000"/>
                <w:u w:color="000000"/>
                <w:lang w:val="en-US"/>
              </w:rPr>
              <w:t>55</w:t>
            </w:r>
          </w:p>
        </w:tc>
        <w:tc>
          <w:tcPr>
            <w:tcW w:w="574" w:type="dxa"/>
          </w:tcPr>
          <w:p w:rsidR="00F351F0" w:rsidRPr="00BE6580" w:rsidRDefault="00F351F0" w:rsidP="00BE6580">
            <w:pPr>
              <w:pStyle w:val="table1"/>
              <w:rPr>
                <w:color w:val="000000"/>
                <w:u w:color="000000"/>
                <w:lang w:val="en-US"/>
              </w:rPr>
            </w:pPr>
            <w:r w:rsidRPr="00BE6580">
              <w:rPr>
                <w:color w:val="000000"/>
                <w:u w:color="000000"/>
                <w:lang w:val="en-US"/>
              </w:rPr>
              <w:t>3</w:t>
            </w:r>
          </w:p>
        </w:tc>
        <w:tc>
          <w:tcPr>
            <w:tcW w:w="652" w:type="dxa"/>
          </w:tcPr>
          <w:p w:rsidR="00F351F0" w:rsidRPr="00BE6580" w:rsidRDefault="00F351F0" w:rsidP="00BE6580">
            <w:pPr>
              <w:pStyle w:val="table1"/>
              <w:rPr>
                <w:color w:val="000000"/>
                <w:u w:color="000000"/>
                <w:lang w:val="en-US"/>
              </w:rPr>
            </w:pPr>
            <w:r w:rsidRPr="00BE6580">
              <w:rPr>
                <w:color w:val="000000"/>
                <w:u w:color="000000"/>
                <w:lang w:val="en-US"/>
              </w:rPr>
              <w:t>47</w:t>
            </w:r>
          </w:p>
        </w:tc>
        <w:tc>
          <w:tcPr>
            <w:tcW w:w="565" w:type="dxa"/>
          </w:tcPr>
          <w:p w:rsidR="00F351F0" w:rsidRPr="00BE6580" w:rsidRDefault="00F351F0" w:rsidP="00BE6580">
            <w:pPr>
              <w:pStyle w:val="table1"/>
              <w:rPr>
                <w:color w:val="000000"/>
                <w:u w:color="000000"/>
                <w:lang w:val="en-US"/>
              </w:rPr>
            </w:pPr>
            <w:r w:rsidRPr="00BE6580">
              <w:rPr>
                <w:color w:val="000000"/>
                <w:u w:color="000000"/>
                <w:lang w:val="en-US"/>
              </w:rPr>
              <w:t>52</w:t>
            </w:r>
          </w:p>
        </w:tc>
        <w:tc>
          <w:tcPr>
            <w:tcW w:w="500" w:type="dxa"/>
          </w:tcPr>
          <w:p w:rsidR="00F351F0" w:rsidRPr="00BE6580" w:rsidRDefault="00F351F0" w:rsidP="00BE6580">
            <w:pPr>
              <w:pStyle w:val="table1"/>
              <w:rPr>
                <w:color w:val="000000"/>
                <w:u w:color="000000"/>
                <w:lang w:val="en-US"/>
              </w:rPr>
            </w:pPr>
            <w:r w:rsidRPr="00BE6580">
              <w:rPr>
                <w:color w:val="000000"/>
                <w:u w:color="000000"/>
                <w:lang w:val="en-US"/>
              </w:rPr>
              <w:t>1</w:t>
            </w:r>
          </w:p>
        </w:tc>
        <w:tc>
          <w:tcPr>
            <w:tcW w:w="656" w:type="dxa"/>
          </w:tcPr>
          <w:p w:rsidR="00F351F0" w:rsidRPr="00BE6580" w:rsidRDefault="00F351F0" w:rsidP="00BE6580">
            <w:pPr>
              <w:pStyle w:val="table1"/>
              <w:rPr>
                <w:color w:val="000000"/>
                <w:u w:color="000000"/>
                <w:lang w:val="en-US"/>
              </w:rPr>
            </w:pPr>
            <w:r w:rsidRPr="00BE6580">
              <w:rPr>
                <w:color w:val="000000"/>
                <w:u w:color="000000"/>
                <w:lang w:val="en-US"/>
              </w:rPr>
              <w:t>50</w:t>
            </w:r>
          </w:p>
        </w:tc>
        <w:tc>
          <w:tcPr>
            <w:tcW w:w="563" w:type="dxa"/>
          </w:tcPr>
          <w:p w:rsidR="00F351F0" w:rsidRPr="00BE6580" w:rsidRDefault="00F351F0" w:rsidP="00BE6580">
            <w:pPr>
              <w:pStyle w:val="table1"/>
              <w:rPr>
                <w:color w:val="000000"/>
                <w:u w:color="000000"/>
                <w:lang w:val="en-US"/>
              </w:rPr>
            </w:pPr>
            <w:r w:rsidRPr="00BE6580">
              <w:rPr>
                <w:color w:val="000000"/>
                <w:u w:color="000000"/>
                <w:lang w:val="en-US"/>
              </w:rPr>
              <w:t>49</w:t>
            </w:r>
          </w:p>
        </w:tc>
        <w:tc>
          <w:tcPr>
            <w:tcW w:w="500" w:type="dxa"/>
          </w:tcPr>
          <w:p w:rsidR="00F351F0" w:rsidRPr="00BE6580" w:rsidRDefault="00F351F0" w:rsidP="00BE6580">
            <w:pPr>
              <w:pStyle w:val="table1"/>
              <w:rPr>
                <w:color w:val="000000"/>
                <w:u w:color="000000"/>
                <w:lang w:val="en-US"/>
              </w:rPr>
            </w:pPr>
            <w:r w:rsidRPr="00BE6580">
              <w:rPr>
                <w:color w:val="000000"/>
                <w:u w:color="000000"/>
                <w:lang w:val="en-US"/>
              </w:rPr>
              <w:t>1</w:t>
            </w:r>
          </w:p>
        </w:tc>
      </w:tr>
      <w:tr w:rsidR="00F351F0" w:rsidTr="00224F8A">
        <w:trPr>
          <w:jc w:val="center"/>
        </w:trPr>
        <w:tc>
          <w:tcPr>
            <w:tcW w:w="796" w:type="dxa"/>
          </w:tcPr>
          <w:p w:rsidR="00F351F0" w:rsidRPr="00BE6580" w:rsidRDefault="00F351F0" w:rsidP="00BE6580">
            <w:pPr>
              <w:pStyle w:val="table1"/>
              <w:rPr>
                <w:color w:val="000000"/>
                <w:u w:color="000000"/>
                <w:lang w:val="en-US"/>
              </w:rPr>
            </w:pPr>
            <w:r w:rsidRPr="00BE6580">
              <w:rPr>
                <w:color w:val="000000"/>
                <w:u w:color="000000"/>
                <w:lang w:val="en-US"/>
              </w:rPr>
              <w:t>2012/13</w:t>
            </w:r>
          </w:p>
        </w:tc>
        <w:tc>
          <w:tcPr>
            <w:tcW w:w="651" w:type="dxa"/>
          </w:tcPr>
          <w:p w:rsidR="00F351F0" w:rsidRPr="00BE6580" w:rsidRDefault="00F351F0" w:rsidP="00BE6580">
            <w:pPr>
              <w:pStyle w:val="table1"/>
              <w:rPr>
                <w:color w:val="000000"/>
                <w:u w:color="000000"/>
                <w:lang w:val="en-US"/>
              </w:rPr>
            </w:pPr>
            <w:r w:rsidRPr="00BE6580">
              <w:rPr>
                <w:color w:val="000000"/>
                <w:u w:color="000000"/>
                <w:lang w:val="en-US"/>
              </w:rPr>
              <w:t>40</w:t>
            </w:r>
          </w:p>
        </w:tc>
        <w:tc>
          <w:tcPr>
            <w:tcW w:w="562" w:type="dxa"/>
          </w:tcPr>
          <w:p w:rsidR="00F351F0" w:rsidRPr="00BE6580" w:rsidRDefault="00F351F0" w:rsidP="00BE6580">
            <w:pPr>
              <w:pStyle w:val="table1"/>
              <w:rPr>
                <w:color w:val="000000"/>
                <w:u w:color="000000"/>
                <w:lang w:val="en-US"/>
              </w:rPr>
            </w:pPr>
            <w:r w:rsidRPr="00BE6580">
              <w:rPr>
                <w:color w:val="000000"/>
                <w:u w:color="000000"/>
                <w:lang w:val="en-US"/>
              </w:rPr>
              <w:t>57</w:t>
            </w:r>
          </w:p>
        </w:tc>
        <w:tc>
          <w:tcPr>
            <w:tcW w:w="642" w:type="dxa"/>
          </w:tcPr>
          <w:p w:rsidR="00F351F0" w:rsidRPr="00BE6580" w:rsidRDefault="00F351F0" w:rsidP="00BE6580">
            <w:pPr>
              <w:pStyle w:val="table1"/>
              <w:rPr>
                <w:color w:val="000000"/>
                <w:u w:color="000000"/>
                <w:lang w:val="en-US"/>
              </w:rPr>
            </w:pPr>
            <w:r w:rsidRPr="00BE6580">
              <w:rPr>
                <w:color w:val="000000"/>
                <w:u w:color="000000"/>
                <w:lang w:val="en-US"/>
              </w:rPr>
              <w:t>3</w:t>
            </w:r>
          </w:p>
        </w:tc>
        <w:tc>
          <w:tcPr>
            <w:tcW w:w="709" w:type="dxa"/>
          </w:tcPr>
          <w:p w:rsidR="00F351F0" w:rsidRPr="00BE6580" w:rsidRDefault="00F351F0" w:rsidP="00BE6580">
            <w:pPr>
              <w:pStyle w:val="table1"/>
              <w:rPr>
                <w:color w:val="000000"/>
                <w:u w:color="000000"/>
                <w:lang w:val="en-US"/>
              </w:rPr>
            </w:pPr>
            <w:r w:rsidRPr="00BE6580">
              <w:rPr>
                <w:color w:val="000000"/>
                <w:u w:color="000000"/>
                <w:lang w:val="en-US"/>
              </w:rPr>
              <w:t>31</w:t>
            </w:r>
          </w:p>
        </w:tc>
        <w:tc>
          <w:tcPr>
            <w:tcW w:w="567" w:type="dxa"/>
          </w:tcPr>
          <w:p w:rsidR="00F351F0" w:rsidRPr="00BE6580" w:rsidRDefault="00F351F0" w:rsidP="00BE6580">
            <w:pPr>
              <w:pStyle w:val="table1"/>
              <w:rPr>
                <w:color w:val="000000"/>
                <w:u w:color="000000"/>
                <w:lang w:val="en-US"/>
              </w:rPr>
            </w:pPr>
            <w:r w:rsidRPr="00BE6580">
              <w:rPr>
                <w:color w:val="000000"/>
                <w:u w:color="000000"/>
                <w:lang w:val="en-US"/>
              </w:rPr>
              <w:t>65</w:t>
            </w:r>
          </w:p>
        </w:tc>
        <w:tc>
          <w:tcPr>
            <w:tcW w:w="574" w:type="dxa"/>
          </w:tcPr>
          <w:p w:rsidR="00F351F0" w:rsidRPr="00BE6580" w:rsidRDefault="00F351F0" w:rsidP="00BE6580">
            <w:pPr>
              <w:pStyle w:val="table1"/>
              <w:rPr>
                <w:color w:val="000000"/>
                <w:u w:color="000000"/>
                <w:lang w:val="en-US"/>
              </w:rPr>
            </w:pPr>
            <w:r w:rsidRPr="00BE6580">
              <w:rPr>
                <w:color w:val="000000"/>
                <w:u w:color="000000"/>
                <w:lang w:val="en-US"/>
              </w:rPr>
              <w:t>4</w:t>
            </w:r>
          </w:p>
        </w:tc>
        <w:tc>
          <w:tcPr>
            <w:tcW w:w="652" w:type="dxa"/>
          </w:tcPr>
          <w:p w:rsidR="00F351F0" w:rsidRPr="00BE6580" w:rsidRDefault="00F351F0" w:rsidP="00BE6580">
            <w:pPr>
              <w:pStyle w:val="table1"/>
              <w:rPr>
                <w:color w:val="000000"/>
                <w:u w:color="000000"/>
                <w:lang w:val="en-US"/>
              </w:rPr>
            </w:pPr>
            <w:r w:rsidRPr="00BE6580">
              <w:rPr>
                <w:color w:val="000000"/>
                <w:u w:color="000000"/>
                <w:lang w:val="en-US"/>
              </w:rPr>
              <w:t>45</w:t>
            </w:r>
          </w:p>
        </w:tc>
        <w:tc>
          <w:tcPr>
            <w:tcW w:w="565" w:type="dxa"/>
          </w:tcPr>
          <w:p w:rsidR="00F351F0" w:rsidRPr="00BE6580" w:rsidRDefault="00F351F0" w:rsidP="00BE6580">
            <w:pPr>
              <w:pStyle w:val="table1"/>
              <w:rPr>
                <w:color w:val="000000"/>
                <w:u w:color="000000"/>
                <w:lang w:val="en-US"/>
              </w:rPr>
            </w:pPr>
            <w:r w:rsidRPr="00BE6580">
              <w:rPr>
                <w:color w:val="000000"/>
                <w:u w:color="000000"/>
                <w:lang w:val="en-US"/>
              </w:rPr>
              <w:t>54</w:t>
            </w:r>
          </w:p>
        </w:tc>
        <w:tc>
          <w:tcPr>
            <w:tcW w:w="500" w:type="dxa"/>
          </w:tcPr>
          <w:p w:rsidR="00F351F0" w:rsidRPr="00BE6580" w:rsidRDefault="00F351F0" w:rsidP="00BE6580">
            <w:pPr>
              <w:pStyle w:val="table1"/>
              <w:rPr>
                <w:color w:val="000000"/>
                <w:u w:color="000000"/>
                <w:lang w:val="en-US"/>
              </w:rPr>
            </w:pPr>
            <w:r w:rsidRPr="00BE6580">
              <w:rPr>
                <w:color w:val="000000"/>
                <w:u w:color="000000"/>
                <w:lang w:val="en-US"/>
              </w:rPr>
              <w:t>1</w:t>
            </w:r>
          </w:p>
        </w:tc>
        <w:tc>
          <w:tcPr>
            <w:tcW w:w="656" w:type="dxa"/>
          </w:tcPr>
          <w:p w:rsidR="00F351F0" w:rsidRPr="00BE6580" w:rsidRDefault="00F351F0" w:rsidP="00BE6580">
            <w:pPr>
              <w:pStyle w:val="table1"/>
              <w:rPr>
                <w:color w:val="000000"/>
                <w:u w:color="000000"/>
                <w:lang w:val="en-US"/>
              </w:rPr>
            </w:pPr>
            <w:r w:rsidRPr="00BE6580">
              <w:rPr>
                <w:color w:val="000000"/>
                <w:u w:color="000000"/>
                <w:lang w:val="en-US"/>
              </w:rPr>
              <w:t>45</w:t>
            </w:r>
          </w:p>
        </w:tc>
        <w:tc>
          <w:tcPr>
            <w:tcW w:w="563" w:type="dxa"/>
          </w:tcPr>
          <w:p w:rsidR="00F351F0" w:rsidRPr="00BE6580" w:rsidRDefault="00F351F0" w:rsidP="00BE6580">
            <w:pPr>
              <w:pStyle w:val="table1"/>
              <w:rPr>
                <w:color w:val="000000"/>
                <w:u w:color="000000"/>
                <w:lang w:val="en-US"/>
              </w:rPr>
            </w:pPr>
            <w:r w:rsidRPr="00BE6580">
              <w:rPr>
                <w:color w:val="000000"/>
                <w:u w:color="000000"/>
                <w:lang w:val="en-US"/>
              </w:rPr>
              <w:t>54</w:t>
            </w:r>
          </w:p>
        </w:tc>
        <w:tc>
          <w:tcPr>
            <w:tcW w:w="500" w:type="dxa"/>
          </w:tcPr>
          <w:p w:rsidR="00F351F0" w:rsidRPr="00BE6580" w:rsidRDefault="00F351F0" w:rsidP="00BE6580">
            <w:pPr>
              <w:pStyle w:val="table1"/>
              <w:rPr>
                <w:color w:val="000000"/>
                <w:u w:color="000000"/>
                <w:lang w:val="en-US"/>
              </w:rPr>
            </w:pPr>
            <w:r w:rsidRPr="00BE6580">
              <w:rPr>
                <w:color w:val="000000"/>
                <w:u w:color="000000"/>
                <w:lang w:val="en-US"/>
              </w:rPr>
              <w:t>1</w:t>
            </w:r>
          </w:p>
        </w:tc>
      </w:tr>
      <w:tr w:rsidR="00F351F0" w:rsidTr="00224F8A">
        <w:trPr>
          <w:jc w:val="center"/>
        </w:trPr>
        <w:tc>
          <w:tcPr>
            <w:tcW w:w="796" w:type="dxa"/>
            <w:tcBorders>
              <w:bottom w:val="single" w:sz="4" w:space="0" w:color="auto"/>
            </w:tcBorders>
          </w:tcPr>
          <w:p w:rsidR="00F351F0" w:rsidRPr="00BE6580" w:rsidRDefault="00F351F0" w:rsidP="00BE6580">
            <w:pPr>
              <w:pStyle w:val="table1"/>
              <w:rPr>
                <w:color w:val="000000"/>
                <w:u w:color="000000"/>
              </w:rPr>
            </w:pPr>
            <w:r w:rsidRPr="00BE6580">
              <w:rPr>
                <w:color w:val="000000"/>
                <w:u w:color="000000"/>
              </w:rPr>
              <w:t>2013/14</w:t>
            </w:r>
          </w:p>
        </w:tc>
        <w:tc>
          <w:tcPr>
            <w:tcW w:w="651" w:type="dxa"/>
            <w:tcBorders>
              <w:bottom w:val="single" w:sz="4" w:space="0" w:color="auto"/>
            </w:tcBorders>
          </w:tcPr>
          <w:p w:rsidR="00F351F0" w:rsidRPr="00BE6580" w:rsidRDefault="00F351F0" w:rsidP="00BE6580">
            <w:pPr>
              <w:pStyle w:val="table1"/>
              <w:rPr>
                <w:color w:val="000000"/>
                <w:u w:color="000000"/>
              </w:rPr>
            </w:pPr>
            <w:r w:rsidRPr="00BE6580">
              <w:rPr>
                <w:color w:val="000000"/>
                <w:u w:color="000000"/>
              </w:rPr>
              <w:t>42</w:t>
            </w:r>
          </w:p>
        </w:tc>
        <w:tc>
          <w:tcPr>
            <w:tcW w:w="562" w:type="dxa"/>
            <w:tcBorders>
              <w:bottom w:val="single" w:sz="4" w:space="0" w:color="auto"/>
            </w:tcBorders>
          </w:tcPr>
          <w:p w:rsidR="00F351F0" w:rsidRPr="00BE6580" w:rsidRDefault="00F351F0" w:rsidP="00BE6580">
            <w:pPr>
              <w:pStyle w:val="table1"/>
              <w:rPr>
                <w:color w:val="000000"/>
                <w:u w:color="000000"/>
              </w:rPr>
            </w:pPr>
            <w:r w:rsidRPr="00BE6580">
              <w:rPr>
                <w:color w:val="000000"/>
                <w:u w:color="000000"/>
              </w:rPr>
              <w:t>55</w:t>
            </w:r>
          </w:p>
        </w:tc>
        <w:tc>
          <w:tcPr>
            <w:tcW w:w="642" w:type="dxa"/>
            <w:tcBorders>
              <w:bottom w:val="single" w:sz="4" w:space="0" w:color="auto"/>
            </w:tcBorders>
          </w:tcPr>
          <w:p w:rsidR="00F351F0" w:rsidRPr="00BE6580" w:rsidRDefault="00F351F0" w:rsidP="00BE6580">
            <w:pPr>
              <w:pStyle w:val="table1"/>
              <w:rPr>
                <w:color w:val="000000"/>
                <w:u w:color="000000"/>
              </w:rPr>
            </w:pPr>
            <w:r w:rsidRPr="00BE6580">
              <w:rPr>
                <w:color w:val="000000"/>
                <w:u w:color="000000"/>
              </w:rPr>
              <w:t>3</w:t>
            </w:r>
          </w:p>
        </w:tc>
        <w:tc>
          <w:tcPr>
            <w:tcW w:w="709" w:type="dxa"/>
            <w:tcBorders>
              <w:bottom w:val="single" w:sz="4" w:space="0" w:color="auto"/>
            </w:tcBorders>
          </w:tcPr>
          <w:p w:rsidR="00F351F0" w:rsidRPr="00BE6580" w:rsidRDefault="00F351F0" w:rsidP="00BE6580">
            <w:pPr>
              <w:pStyle w:val="table1"/>
              <w:rPr>
                <w:color w:val="000000"/>
                <w:u w:color="000000"/>
              </w:rPr>
            </w:pPr>
            <w:r w:rsidRPr="00BE6580">
              <w:rPr>
                <w:color w:val="000000"/>
                <w:u w:color="000000"/>
              </w:rPr>
              <w:t>36</w:t>
            </w:r>
          </w:p>
        </w:tc>
        <w:tc>
          <w:tcPr>
            <w:tcW w:w="567" w:type="dxa"/>
            <w:tcBorders>
              <w:bottom w:val="single" w:sz="4" w:space="0" w:color="auto"/>
            </w:tcBorders>
          </w:tcPr>
          <w:p w:rsidR="00F351F0" w:rsidRPr="00BE6580" w:rsidRDefault="00F351F0" w:rsidP="00BE6580">
            <w:pPr>
              <w:pStyle w:val="table1"/>
              <w:rPr>
                <w:color w:val="000000"/>
                <w:u w:color="000000"/>
              </w:rPr>
            </w:pPr>
            <w:r w:rsidRPr="00BE6580">
              <w:rPr>
                <w:color w:val="000000"/>
                <w:u w:color="000000"/>
              </w:rPr>
              <w:t>60</w:t>
            </w:r>
          </w:p>
        </w:tc>
        <w:tc>
          <w:tcPr>
            <w:tcW w:w="574" w:type="dxa"/>
            <w:tcBorders>
              <w:bottom w:val="single" w:sz="4" w:space="0" w:color="auto"/>
            </w:tcBorders>
          </w:tcPr>
          <w:p w:rsidR="00F351F0" w:rsidRPr="00BE6580" w:rsidRDefault="00F351F0" w:rsidP="00BE6580">
            <w:pPr>
              <w:pStyle w:val="table1"/>
              <w:rPr>
                <w:color w:val="000000"/>
                <w:u w:color="000000"/>
              </w:rPr>
            </w:pPr>
            <w:r w:rsidRPr="00BE6580">
              <w:rPr>
                <w:color w:val="000000"/>
                <w:u w:color="000000"/>
              </w:rPr>
              <w:t>3</w:t>
            </w:r>
          </w:p>
        </w:tc>
        <w:tc>
          <w:tcPr>
            <w:tcW w:w="652" w:type="dxa"/>
            <w:tcBorders>
              <w:bottom w:val="single" w:sz="4" w:space="0" w:color="auto"/>
            </w:tcBorders>
          </w:tcPr>
          <w:p w:rsidR="00F351F0" w:rsidRPr="00BE6580" w:rsidRDefault="00F351F0" w:rsidP="00BE6580">
            <w:pPr>
              <w:pStyle w:val="table1"/>
              <w:rPr>
                <w:color w:val="000000"/>
                <w:u w:color="000000"/>
              </w:rPr>
            </w:pPr>
            <w:r w:rsidRPr="00BE6580">
              <w:rPr>
                <w:color w:val="000000"/>
                <w:u w:color="000000"/>
              </w:rPr>
              <w:t>45</w:t>
            </w:r>
          </w:p>
        </w:tc>
        <w:tc>
          <w:tcPr>
            <w:tcW w:w="565" w:type="dxa"/>
            <w:tcBorders>
              <w:bottom w:val="single" w:sz="4" w:space="0" w:color="auto"/>
            </w:tcBorders>
          </w:tcPr>
          <w:p w:rsidR="00F351F0" w:rsidRPr="00BE6580" w:rsidRDefault="00F351F0" w:rsidP="00BE6580">
            <w:pPr>
              <w:pStyle w:val="table1"/>
              <w:rPr>
                <w:color w:val="000000"/>
                <w:u w:color="000000"/>
              </w:rPr>
            </w:pPr>
            <w:r w:rsidRPr="00BE6580">
              <w:rPr>
                <w:color w:val="000000"/>
                <w:u w:color="000000"/>
              </w:rPr>
              <w:t>53</w:t>
            </w:r>
          </w:p>
        </w:tc>
        <w:tc>
          <w:tcPr>
            <w:tcW w:w="500" w:type="dxa"/>
            <w:tcBorders>
              <w:bottom w:val="single" w:sz="4" w:space="0" w:color="auto"/>
            </w:tcBorders>
          </w:tcPr>
          <w:p w:rsidR="00F351F0" w:rsidRPr="00BE6580" w:rsidRDefault="00F351F0" w:rsidP="00BE6580">
            <w:pPr>
              <w:pStyle w:val="table1"/>
              <w:rPr>
                <w:color w:val="000000"/>
                <w:u w:color="000000"/>
              </w:rPr>
            </w:pPr>
            <w:r w:rsidRPr="00BE6580">
              <w:rPr>
                <w:color w:val="000000"/>
                <w:u w:color="000000"/>
              </w:rPr>
              <w:t>2</w:t>
            </w:r>
          </w:p>
        </w:tc>
        <w:tc>
          <w:tcPr>
            <w:tcW w:w="656" w:type="dxa"/>
            <w:tcBorders>
              <w:bottom w:val="single" w:sz="4" w:space="0" w:color="auto"/>
            </w:tcBorders>
          </w:tcPr>
          <w:p w:rsidR="00F351F0" w:rsidRPr="00BE6580" w:rsidRDefault="00F351F0" w:rsidP="00BE6580">
            <w:pPr>
              <w:pStyle w:val="table1"/>
              <w:rPr>
                <w:color w:val="000000"/>
                <w:u w:color="000000"/>
              </w:rPr>
            </w:pPr>
            <w:r w:rsidRPr="00BE6580">
              <w:rPr>
                <w:color w:val="000000"/>
                <w:u w:color="000000"/>
              </w:rPr>
              <w:t>50</w:t>
            </w:r>
          </w:p>
        </w:tc>
        <w:tc>
          <w:tcPr>
            <w:tcW w:w="563" w:type="dxa"/>
            <w:tcBorders>
              <w:bottom w:val="single" w:sz="4" w:space="0" w:color="auto"/>
            </w:tcBorders>
          </w:tcPr>
          <w:p w:rsidR="00F351F0" w:rsidRPr="00BE6580" w:rsidRDefault="00F351F0" w:rsidP="00BE6580">
            <w:pPr>
              <w:pStyle w:val="table1"/>
              <w:rPr>
                <w:color w:val="000000"/>
                <w:u w:color="000000"/>
              </w:rPr>
            </w:pPr>
            <w:r w:rsidRPr="00BE6580">
              <w:rPr>
                <w:color w:val="000000"/>
                <w:u w:color="000000"/>
              </w:rPr>
              <w:t>48</w:t>
            </w:r>
          </w:p>
        </w:tc>
        <w:tc>
          <w:tcPr>
            <w:tcW w:w="500" w:type="dxa"/>
            <w:tcBorders>
              <w:bottom w:val="single" w:sz="4" w:space="0" w:color="auto"/>
            </w:tcBorders>
          </w:tcPr>
          <w:p w:rsidR="00F351F0" w:rsidRPr="00BE6580" w:rsidRDefault="00F351F0" w:rsidP="00BE6580">
            <w:pPr>
              <w:pStyle w:val="table1"/>
              <w:rPr>
                <w:color w:val="000000"/>
                <w:u w:color="000000"/>
              </w:rPr>
            </w:pPr>
            <w:r w:rsidRPr="00BE6580">
              <w:rPr>
                <w:color w:val="000000"/>
                <w:u w:color="000000"/>
              </w:rPr>
              <w:t>1</w:t>
            </w:r>
          </w:p>
        </w:tc>
      </w:tr>
    </w:tbl>
    <w:p w:rsidR="00950441" w:rsidRDefault="00950441" w:rsidP="00F351F0">
      <w:pPr>
        <w:rPr>
          <w:spacing w:val="-2"/>
        </w:rPr>
      </w:pPr>
    </w:p>
    <w:p w:rsidR="00F351F0" w:rsidRPr="00F351F0" w:rsidRDefault="00F351F0" w:rsidP="00F351F0">
      <w:pPr>
        <w:rPr>
          <w:szCs w:val="22"/>
        </w:rPr>
      </w:pPr>
      <w:r>
        <w:rPr>
          <w:szCs w:val="22"/>
        </w:rPr>
        <w:t xml:space="preserve">The findings </w:t>
      </w:r>
      <w:r>
        <w:t>for the first three years of monitoring were presented in Saynor et al</w:t>
      </w:r>
      <w:r w:rsidR="00BE6580">
        <w:t>.</w:t>
      </w:r>
      <w:r>
        <w:t xml:space="preserve"> (2013), </w:t>
      </w:r>
      <w:r>
        <w:rPr>
          <w:szCs w:val="22"/>
        </w:rPr>
        <w:t xml:space="preserve">focussing on chemical characterisation of the surface runoff and the inter- and intra-seasonal variation in runoff solute concentrations and loads. Data for plot 1 only were presented, as the quality of the EC and solute data cannot be verified until the discharge data have been validated. To date no additional work has been completed, but the results will be contained in the final </w:t>
      </w:r>
      <w:r w:rsidRPr="007B06AD">
        <w:rPr>
          <w:szCs w:val="22"/>
        </w:rPr>
        <w:t>Supervising Scientist Report</w:t>
      </w:r>
      <w:r>
        <w:rPr>
          <w:szCs w:val="22"/>
        </w:rPr>
        <w:t>.</w:t>
      </w:r>
      <w:r w:rsidRPr="007B06AD">
        <w:rPr>
          <w:szCs w:val="22"/>
        </w:rPr>
        <w:t xml:space="preserve"> </w:t>
      </w:r>
      <w:r>
        <w:rPr>
          <w:szCs w:val="22"/>
        </w:rPr>
        <w:t xml:space="preserve"> </w:t>
      </w:r>
    </w:p>
    <w:p w:rsidR="00F351F0" w:rsidRDefault="00F351F0" w:rsidP="00397360">
      <w:pPr>
        <w:pStyle w:val="Heading2"/>
      </w:pPr>
      <w:bookmarkStart w:id="212" w:name="_Toc365635536"/>
      <w:r>
        <w:t>Conclusions and future work</w:t>
      </w:r>
      <w:bookmarkEnd w:id="212"/>
    </w:p>
    <w:p w:rsidR="00F351F0" w:rsidRDefault="00F351F0" w:rsidP="00F351F0">
      <w:r>
        <w:rPr>
          <w:lang w:val="en-US"/>
        </w:rPr>
        <w:t xml:space="preserve">The priority for further work is to complete the calculation of runoff data from all plots, since the runoff must be determined before suspended sediment and solute loads can be derived. Correction of the runoff </w:t>
      </w:r>
      <w:r w:rsidRPr="004F2A9F">
        <w:rPr>
          <w:lang w:val="en-US"/>
        </w:rPr>
        <w:t xml:space="preserve">from </w:t>
      </w:r>
      <w:r>
        <w:rPr>
          <w:lang w:val="en-US"/>
        </w:rPr>
        <w:t xml:space="preserve">all plots is progressing as expected. </w:t>
      </w:r>
      <w:r>
        <w:t xml:space="preserve">After five years the TLF project was to be reviewed with the results published as a Supervising Scientist Report. The data analysis for this report is currently under way. </w:t>
      </w:r>
    </w:p>
    <w:p w:rsidR="00F351F0" w:rsidRDefault="00F351F0" w:rsidP="00F351F0">
      <w:pPr>
        <w:rPr>
          <w:spacing w:val="-2"/>
          <w:lang w:val="en-US"/>
        </w:rPr>
      </w:pPr>
      <w:r>
        <w:rPr>
          <w:spacing w:val="-2"/>
          <w:lang w:val="en-US"/>
        </w:rPr>
        <w:t>M</w:t>
      </w:r>
      <w:r w:rsidRPr="00E07826">
        <w:rPr>
          <w:spacing w:val="-2"/>
          <w:lang w:val="en-US"/>
        </w:rPr>
        <w:t xml:space="preserve">onitoring the trial landform </w:t>
      </w:r>
      <w:r>
        <w:rPr>
          <w:spacing w:val="-2"/>
          <w:lang w:val="en-US"/>
        </w:rPr>
        <w:t>d</w:t>
      </w:r>
      <w:r w:rsidR="00DE1B1C">
        <w:rPr>
          <w:spacing w:val="-2"/>
          <w:lang w:val="en-US"/>
        </w:rPr>
        <w:t>uring the 2014–</w:t>
      </w:r>
      <w:r>
        <w:rPr>
          <w:spacing w:val="-2"/>
          <w:lang w:val="en-US"/>
        </w:rPr>
        <w:t>15 is planned to continue in a reduced capacity. Rainfall, runoff and bedload will be collected whilst all efforts are concentrated in processing and reporting the first five years of the project. Additional objectives</w:t>
      </w:r>
      <w:r w:rsidRPr="00E07826">
        <w:rPr>
          <w:spacing w:val="-2"/>
          <w:lang w:val="en-US"/>
        </w:rPr>
        <w:t xml:space="preserve"> </w:t>
      </w:r>
      <w:r>
        <w:rPr>
          <w:spacing w:val="-2"/>
          <w:lang w:val="en-US"/>
        </w:rPr>
        <w:t xml:space="preserve">include </w:t>
      </w:r>
      <w:r w:rsidRPr="00E07826">
        <w:rPr>
          <w:spacing w:val="-2"/>
          <w:lang w:val="en-US"/>
        </w:rPr>
        <w:t xml:space="preserve">quantifying the effect of developing vegetation on erosion rates, such that a higher level of confidence can be placed in the predictions from the </w:t>
      </w:r>
      <w:r>
        <w:rPr>
          <w:spacing w:val="-2"/>
          <w:lang w:val="en-US"/>
        </w:rPr>
        <w:t>landform evolution models (see Lowry et al</w:t>
      </w:r>
      <w:r w:rsidR="00DE1B1C">
        <w:rPr>
          <w:spacing w:val="-2"/>
          <w:lang w:val="en-US"/>
        </w:rPr>
        <w:t>.</w:t>
      </w:r>
      <w:r>
        <w:rPr>
          <w:spacing w:val="-2"/>
          <w:lang w:val="en-US"/>
        </w:rPr>
        <w:t xml:space="preserve"> 2011</w:t>
      </w:r>
      <w:r w:rsidRPr="00E07826">
        <w:rPr>
          <w:spacing w:val="-2"/>
          <w:lang w:val="en-US"/>
        </w:rPr>
        <w:t xml:space="preserve">) that are being used to predict long-term erosion performance. The runoff, sediment and solute loads that are being measured will also inform the design of sediment traps and wetland water quality polishing systems that will need to be incorporated into the rehabilitated mine footprint to manage the export of erosion products. </w:t>
      </w:r>
    </w:p>
    <w:p w:rsidR="00F351F0" w:rsidRPr="00E8531D" w:rsidRDefault="00F351F0" w:rsidP="00E8531D">
      <w:pPr>
        <w:pStyle w:val="Heading2"/>
        <w:rPr>
          <w:i/>
          <w:sz w:val="20"/>
        </w:rPr>
      </w:pPr>
      <w:r>
        <w:t>References</w:t>
      </w:r>
    </w:p>
    <w:p w:rsidR="00F351F0" w:rsidRPr="004E6332" w:rsidRDefault="00F351F0" w:rsidP="00DE1B1C">
      <w:pPr>
        <w:pStyle w:val="referencelist1"/>
      </w:pPr>
      <w:proofErr w:type="gramStart"/>
      <w:r w:rsidRPr="008F001D">
        <w:t>Bureau of Meteorology 2014.</w:t>
      </w:r>
      <w:proofErr w:type="gramEnd"/>
      <w:r w:rsidRPr="008F001D">
        <w:t xml:space="preserve"> www.bom.gov.au/climate/averages/tables/cw_014198.shtml, accessed 26 September 2014</w:t>
      </w:r>
      <w:r w:rsidR="00DE1B1C">
        <w:t>.</w:t>
      </w:r>
      <w:r w:rsidRPr="004E6332">
        <w:t xml:space="preserve"> </w:t>
      </w:r>
    </w:p>
    <w:p w:rsidR="00F351F0" w:rsidRPr="008F001D" w:rsidRDefault="00F351F0" w:rsidP="00DE1B1C">
      <w:pPr>
        <w:pStyle w:val="referencelist1"/>
      </w:pPr>
      <w:proofErr w:type="gramStart"/>
      <w:r w:rsidRPr="008F001D">
        <w:t>Daws M &amp; Gellert C 2011.</w:t>
      </w:r>
      <w:proofErr w:type="gramEnd"/>
      <w:r w:rsidRPr="008F001D">
        <w:t xml:space="preserve"> </w:t>
      </w:r>
      <w:proofErr w:type="gramStart"/>
      <w:r w:rsidRPr="008F001D">
        <w:rPr>
          <w:i/>
        </w:rPr>
        <w:t>Ongoing 2010 revegetation monitoring on the trial landform</w:t>
      </w:r>
      <w:r w:rsidRPr="008F001D">
        <w:t>.</w:t>
      </w:r>
      <w:proofErr w:type="gramEnd"/>
      <w:r w:rsidRPr="008F001D">
        <w:t xml:space="preserve"> Energy Resources of Australia report, April 2011</w:t>
      </w:r>
      <w:r w:rsidR="00301D5F">
        <w:t>.</w:t>
      </w:r>
    </w:p>
    <w:p w:rsidR="00F351F0" w:rsidRPr="008F001D" w:rsidRDefault="00F351F0" w:rsidP="00DE1B1C">
      <w:pPr>
        <w:pStyle w:val="referencelist1"/>
      </w:pPr>
      <w:r w:rsidRPr="008F001D">
        <w:t xml:space="preserve">Duggan K 1994. </w:t>
      </w:r>
      <w:proofErr w:type="gramStart"/>
      <w:r w:rsidRPr="008F001D">
        <w:t>Erosion and sediment yields in the Kakadu region of northern Australia.</w:t>
      </w:r>
      <w:proofErr w:type="gramEnd"/>
      <w:r w:rsidRPr="008F001D">
        <w:t xml:space="preserve"> In: Olive LJ, Loughran RJ &amp; Kesby JA (</w:t>
      </w:r>
      <w:proofErr w:type="gramStart"/>
      <w:r w:rsidRPr="008F001D">
        <w:t>eds</w:t>
      </w:r>
      <w:proofErr w:type="gramEnd"/>
      <w:r w:rsidRPr="008F001D">
        <w:t xml:space="preserve">) </w:t>
      </w:r>
      <w:r w:rsidRPr="008F001D">
        <w:rPr>
          <w:i/>
        </w:rPr>
        <w:t>Variability in Stream Erosion and Sediment Transport</w:t>
      </w:r>
      <w:r w:rsidRPr="008F001D">
        <w:t>. International Association of Hydrological Sciences, Wallingford, pp 37</w:t>
      </w:r>
      <w:r w:rsidR="00DE1B1C">
        <w:t>3–</w:t>
      </w:r>
      <w:r w:rsidRPr="008F001D">
        <w:t>383.</w:t>
      </w:r>
    </w:p>
    <w:p w:rsidR="00F351F0" w:rsidRPr="00F351F0" w:rsidRDefault="00F351F0" w:rsidP="00DE1B1C">
      <w:pPr>
        <w:pStyle w:val="referencelist1"/>
        <w:rPr>
          <w:szCs w:val="22"/>
        </w:rPr>
      </w:pPr>
      <w:r w:rsidRPr="00F351F0">
        <w:rPr>
          <w:szCs w:val="22"/>
        </w:rPr>
        <w:t xml:space="preserve">East T, Uren C, Noller B, Cull R, Curley P &amp; Unger C 1994. </w:t>
      </w:r>
      <w:proofErr w:type="gramStart"/>
      <w:r w:rsidRPr="00F351F0">
        <w:rPr>
          <w:szCs w:val="22"/>
        </w:rPr>
        <w:t>Erosional stability of rehabilitated uranium mine structures incorporating natural landform characteristics, northern tropical Australia.</w:t>
      </w:r>
      <w:proofErr w:type="gramEnd"/>
      <w:r w:rsidRPr="00F351F0">
        <w:rPr>
          <w:szCs w:val="22"/>
        </w:rPr>
        <w:t xml:space="preserve"> </w:t>
      </w:r>
      <w:proofErr w:type="gramStart"/>
      <w:r w:rsidRPr="00F351F0">
        <w:rPr>
          <w:szCs w:val="22"/>
        </w:rPr>
        <w:t>Zeitschrift f</w:t>
      </w:r>
      <w:r w:rsidR="00DE1B1C">
        <w:rPr>
          <w:szCs w:val="22"/>
        </w:rPr>
        <w:t>ür Geomorphol</w:t>
      </w:r>
      <w:r w:rsidR="00534305">
        <w:rPr>
          <w:szCs w:val="22"/>
        </w:rPr>
        <w:t xml:space="preserve">ogie Berlin, pp </w:t>
      </w:r>
      <w:r w:rsidR="00DE1B1C">
        <w:rPr>
          <w:szCs w:val="22"/>
        </w:rPr>
        <w:t>283–</w:t>
      </w:r>
      <w:r w:rsidRPr="00F351F0">
        <w:rPr>
          <w:szCs w:val="22"/>
        </w:rPr>
        <w:t>298.</w:t>
      </w:r>
      <w:proofErr w:type="gramEnd"/>
    </w:p>
    <w:p w:rsidR="00F351F0" w:rsidRPr="00F351F0" w:rsidRDefault="00F351F0" w:rsidP="00DE1B1C">
      <w:pPr>
        <w:pStyle w:val="referencelist1"/>
        <w:rPr>
          <w:szCs w:val="22"/>
        </w:rPr>
      </w:pPr>
      <w:proofErr w:type="gramStart"/>
      <w:r w:rsidRPr="00F351F0">
        <w:rPr>
          <w:szCs w:val="22"/>
        </w:rPr>
        <w:t>Gellert C 2012.</w:t>
      </w:r>
      <w:proofErr w:type="gramEnd"/>
      <w:r w:rsidRPr="00F351F0">
        <w:rPr>
          <w:szCs w:val="22"/>
        </w:rPr>
        <w:t xml:space="preserve"> </w:t>
      </w:r>
      <w:proofErr w:type="gramStart"/>
      <w:r w:rsidRPr="00F351F0">
        <w:rPr>
          <w:szCs w:val="22"/>
        </w:rPr>
        <w:t>Ongoing revegetation monitoring on the Trial Landform 2011.</w:t>
      </w:r>
      <w:proofErr w:type="gramEnd"/>
      <w:r w:rsidRPr="00F351F0">
        <w:rPr>
          <w:szCs w:val="22"/>
        </w:rPr>
        <w:t xml:space="preserve"> Energy Resources of Australia report, January 2012.</w:t>
      </w:r>
    </w:p>
    <w:p w:rsidR="00F351F0" w:rsidRPr="00F351F0" w:rsidRDefault="00F351F0" w:rsidP="00DE1B1C">
      <w:pPr>
        <w:pStyle w:val="referencelist1"/>
        <w:rPr>
          <w:szCs w:val="22"/>
        </w:rPr>
      </w:pPr>
      <w:proofErr w:type="gramStart"/>
      <w:r w:rsidRPr="00F351F0">
        <w:rPr>
          <w:szCs w:val="22"/>
        </w:rPr>
        <w:t>Gellert C 2014.</w:t>
      </w:r>
      <w:proofErr w:type="gramEnd"/>
      <w:r w:rsidRPr="00F351F0">
        <w:rPr>
          <w:szCs w:val="22"/>
        </w:rPr>
        <w:t xml:space="preserve"> </w:t>
      </w:r>
      <w:proofErr w:type="gramStart"/>
      <w:r w:rsidRPr="00F351F0">
        <w:rPr>
          <w:szCs w:val="22"/>
        </w:rPr>
        <w:t>Ongoing revegetation monitoring on the Trial Landform 2013.</w:t>
      </w:r>
      <w:proofErr w:type="gramEnd"/>
      <w:r w:rsidRPr="00F351F0">
        <w:rPr>
          <w:szCs w:val="22"/>
        </w:rPr>
        <w:t xml:space="preserve"> Energy Resources of Australia report, May 2014.</w:t>
      </w:r>
    </w:p>
    <w:p w:rsidR="00F351F0" w:rsidRPr="00F351F0" w:rsidRDefault="00F351F0" w:rsidP="00DE1B1C">
      <w:pPr>
        <w:pStyle w:val="referencelist1"/>
        <w:rPr>
          <w:szCs w:val="22"/>
        </w:rPr>
      </w:pPr>
      <w:proofErr w:type="gramStart"/>
      <w:r w:rsidRPr="00F351F0">
        <w:rPr>
          <w:szCs w:val="22"/>
        </w:rPr>
        <w:t>Hollingsworth I, Zimmerman A &amp; Cramb G 2003.</w:t>
      </w:r>
      <w:proofErr w:type="gramEnd"/>
      <w:r w:rsidRPr="00F351F0">
        <w:rPr>
          <w:szCs w:val="22"/>
        </w:rPr>
        <w:t xml:space="preserve"> Evaluation of capping design effects on infiltration and runoff from the final landform. EWLS Sciences report, October 2003.</w:t>
      </w:r>
    </w:p>
    <w:p w:rsidR="00F351F0" w:rsidRPr="00F351F0" w:rsidRDefault="00F351F0" w:rsidP="00DE1B1C">
      <w:pPr>
        <w:pStyle w:val="referencelist1"/>
        <w:rPr>
          <w:szCs w:val="22"/>
        </w:rPr>
      </w:pPr>
      <w:proofErr w:type="gramStart"/>
      <w:r w:rsidRPr="00F351F0">
        <w:rPr>
          <w:szCs w:val="22"/>
        </w:rPr>
        <w:t>Lowry J, Coulthard TJ, Staben G &amp; Beraldo A 2011.</w:t>
      </w:r>
      <w:proofErr w:type="gramEnd"/>
      <w:r w:rsidRPr="00F351F0">
        <w:rPr>
          <w:szCs w:val="22"/>
        </w:rPr>
        <w:t xml:space="preserve"> </w:t>
      </w:r>
      <w:proofErr w:type="gramStart"/>
      <w:r w:rsidRPr="00F351F0">
        <w:rPr>
          <w:szCs w:val="22"/>
        </w:rPr>
        <w:t>Assessing the geomorphic stability of the Ranger trial landform.</w:t>
      </w:r>
      <w:proofErr w:type="gramEnd"/>
      <w:r w:rsidRPr="00F351F0">
        <w:rPr>
          <w:szCs w:val="22"/>
        </w:rPr>
        <w:t xml:space="preserve"> In: Jones DR &amp; Webb A (</w:t>
      </w:r>
      <w:proofErr w:type="gramStart"/>
      <w:r w:rsidRPr="00F351F0">
        <w:rPr>
          <w:szCs w:val="22"/>
        </w:rPr>
        <w:t>eds</w:t>
      </w:r>
      <w:proofErr w:type="gramEnd"/>
      <w:r w:rsidRPr="00F351F0">
        <w:rPr>
          <w:szCs w:val="22"/>
        </w:rPr>
        <w:t>)</w:t>
      </w:r>
      <w:r w:rsidRPr="00534305">
        <w:rPr>
          <w:rFonts w:ascii="Times New Roman" w:hAnsi="Times New Roman"/>
          <w:b/>
          <w:i/>
          <w:sz w:val="26"/>
          <w:szCs w:val="26"/>
        </w:rPr>
        <w:t xml:space="preserve"> eriss</w:t>
      </w:r>
      <w:r w:rsidRPr="00F351F0">
        <w:rPr>
          <w:szCs w:val="22"/>
        </w:rPr>
        <w:t xml:space="preserve"> </w:t>
      </w:r>
      <w:r w:rsidR="00594C7E" w:rsidRPr="00594C7E">
        <w:rPr>
          <w:i/>
          <w:szCs w:val="22"/>
        </w:rPr>
        <w:t>research summary</w:t>
      </w:r>
      <w:r w:rsidRPr="00F351F0">
        <w:rPr>
          <w:szCs w:val="22"/>
        </w:rPr>
        <w:t xml:space="preserve"> </w:t>
      </w:r>
      <w:r w:rsidR="00594C7E" w:rsidRPr="00594C7E">
        <w:rPr>
          <w:i/>
          <w:szCs w:val="22"/>
        </w:rPr>
        <w:t>2009–2010</w:t>
      </w:r>
      <w:r w:rsidRPr="00F351F0">
        <w:rPr>
          <w:szCs w:val="22"/>
        </w:rPr>
        <w:t>. Supervising Scientist Report 202, Supervis</w:t>
      </w:r>
      <w:r w:rsidR="00534305">
        <w:rPr>
          <w:szCs w:val="22"/>
        </w:rPr>
        <w:t>ing Scientist, Darwin NT, pp</w:t>
      </w:r>
      <w:r w:rsidR="00DE1B1C">
        <w:rPr>
          <w:szCs w:val="22"/>
        </w:rPr>
        <w:t xml:space="preserve"> 82–</w:t>
      </w:r>
      <w:r w:rsidRPr="00F351F0">
        <w:rPr>
          <w:szCs w:val="22"/>
        </w:rPr>
        <w:t>85.</w:t>
      </w:r>
    </w:p>
    <w:p w:rsidR="00F351F0" w:rsidRPr="00F351F0" w:rsidRDefault="00F351F0" w:rsidP="00DE1B1C">
      <w:pPr>
        <w:pStyle w:val="referencelist1"/>
        <w:rPr>
          <w:szCs w:val="22"/>
        </w:rPr>
      </w:pPr>
      <w:proofErr w:type="gramStart"/>
      <w:r w:rsidRPr="00F351F0">
        <w:rPr>
          <w:szCs w:val="22"/>
        </w:rPr>
        <w:t xml:space="preserve">Lowry J, Coulthard T &amp; Hancock G </w:t>
      </w:r>
      <w:r w:rsidR="00674CAF">
        <w:rPr>
          <w:szCs w:val="22"/>
        </w:rPr>
        <w:t>2013.</w:t>
      </w:r>
      <w:r w:rsidRPr="00F351F0">
        <w:rPr>
          <w:szCs w:val="22"/>
        </w:rPr>
        <w:t xml:space="preserve">Asssessing the long-term geomorphic stability of a rehabilitated landform using the </w:t>
      </w:r>
      <w:r w:rsidRPr="00DE1B1C">
        <w:rPr>
          <w:i/>
          <w:szCs w:val="22"/>
        </w:rPr>
        <w:t>CAESAR-Lisflood</w:t>
      </w:r>
      <w:r w:rsidRPr="00F351F0">
        <w:rPr>
          <w:szCs w:val="22"/>
        </w:rPr>
        <w:t xml:space="preserve"> landscape evolution model.</w:t>
      </w:r>
      <w:proofErr w:type="gramEnd"/>
      <w:r w:rsidRPr="00F351F0">
        <w:rPr>
          <w:szCs w:val="22"/>
        </w:rPr>
        <w:t xml:space="preserve"> In Mine Closure </w:t>
      </w:r>
      <w:proofErr w:type="gramStart"/>
      <w:r w:rsidRPr="00F351F0">
        <w:rPr>
          <w:szCs w:val="22"/>
        </w:rPr>
        <w:t>2013 :</w:t>
      </w:r>
      <w:proofErr w:type="gramEnd"/>
      <w:r w:rsidRPr="00F351F0">
        <w:rPr>
          <w:szCs w:val="22"/>
        </w:rPr>
        <w:t xml:space="preserve"> Proceedings of the Eighth International</w:t>
      </w:r>
      <w:r w:rsidR="00DE1B1C">
        <w:rPr>
          <w:szCs w:val="22"/>
        </w:rPr>
        <w:t xml:space="preserve"> Conference on Mine Closure, 18–</w:t>
      </w:r>
      <w:r w:rsidRPr="00F351F0">
        <w:rPr>
          <w:szCs w:val="22"/>
        </w:rPr>
        <w:t>20 September 2013. Eden Project, Cornwall, United Kingdom, ed</w:t>
      </w:r>
      <w:r w:rsidR="00674CAF">
        <w:rPr>
          <w:szCs w:val="22"/>
        </w:rPr>
        <w:t>.</w:t>
      </w:r>
      <w:r w:rsidRPr="00F351F0">
        <w:rPr>
          <w:szCs w:val="22"/>
        </w:rPr>
        <w:t xml:space="preserve"> M Tibbett AFCD, Australian Centr</w:t>
      </w:r>
      <w:r w:rsidR="00DE1B1C">
        <w:rPr>
          <w:szCs w:val="22"/>
        </w:rPr>
        <w:t>e for Geomechanics, 1, 611–</w:t>
      </w:r>
      <w:r w:rsidRPr="00F351F0">
        <w:rPr>
          <w:szCs w:val="22"/>
        </w:rPr>
        <w:t>624.</w:t>
      </w:r>
    </w:p>
    <w:p w:rsidR="00F351F0" w:rsidRPr="00F351F0" w:rsidRDefault="00DE1B1C" w:rsidP="00DE1B1C">
      <w:pPr>
        <w:pStyle w:val="referencelist1"/>
        <w:rPr>
          <w:szCs w:val="22"/>
        </w:rPr>
      </w:pPr>
      <w:r>
        <w:rPr>
          <w:szCs w:val="22"/>
        </w:rPr>
        <w:t>Noller B, Currey N, Ayers G &amp;</w:t>
      </w:r>
      <w:r w:rsidR="00F351F0" w:rsidRPr="00F351F0">
        <w:rPr>
          <w:szCs w:val="22"/>
        </w:rPr>
        <w:t xml:space="preserve"> Gillett R 1990. </w:t>
      </w:r>
      <w:proofErr w:type="gramStart"/>
      <w:r w:rsidR="00F351F0" w:rsidRPr="00F351F0">
        <w:rPr>
          <w:szCs w:val="22"/>
        </w:rPr>
        <w:t>Chemical composition and acidity of rainfall in the Alligator Rivers Region, Northern Territory, Australia.</w:t>
      </w:r>
      <w:proofErr w:type="gramEnd"/>
      <w:r w:rsidR="00F351F0" w:rsidRPr="00F351F0">
        <w:rPr>
          <w:szCs w:val="22"/>
        </w:rPr>
        <w:t xml:space="preserve"> </w:t>
      </w:r>
      <w:r w:rsidR="00F351F0" w:rsidRPr="00DE1B1C">
        <w:rPr>
          <w:i/>
          <w:szCs w:val="22"/>
        </w:rPr>
        <w:t xml:space="preserve">The Science </w:t>
      </w:r>
      <w:r w:rsidRPr="00DE1B1C">
        <w:rPr>
          <w:i/>
          <w:szCs w:val="22"/>
        </w:rPr>
        <w:t>of the Total Environment</w:t>
      </w:r>
      <w:r>
        <w:rPr>
          <w:szCs w:val="22"/>
        </w:rPr>
        <w:t xml:space="preserve"> 92, 23–</w:t>
      </w:r>
      <w:r w:rsidR="00F351F0" w:rsidRPr="00F351F0">
        <w:rPr>
          <w:szCs w:val="22"/>
        </w:rPr>
        <w:t>48.</w:t>
      </w:r>
    </w:p>
    <w:p w:rsidR="00F351F0" w:rsidRPr="00DE1B1C" w:rsidRDefault="00F351F0" w:rsidP="00DE1B1C">
      <w:pPr>
        <w:pStyle w:val="referencelist1"/>
        <w:rPr>
          <w:szCs w:val="22"/>
          <w:highlight w:val="yellow"/>
        </w:rPr>
      </w:pPr>
      <w:proofErr w:type="gramStart"/>
      <w:r w:rsidRPr="00C26C20">
        <w:rPr>
          <w:szCs w:val="22"/>
        </w:rPr>
        <w:t>Saynor MJ &amp; Erskine WD 2013.</w:t>
      </w:r>
      <w:proofErr w:type="gramEnd"/>
      <w:r w:rsidRPr="00C26C20">
        <w:rPr>
          <w:szCs w:val="22"/>
        </w:rPr>
        <w:t xml:space="preserve"> </w:t>
      </w:r>
      <w:proofErr w:type="gramStart"/>
      <w:r w:rsidRPr="00C26C20">
        <w:rPr>
          <w:szCs w:val="22"/>
        </w:rPr>
        <w:t>Assessing runoff, soil erosion and solute losses from the trial landform.</w:t>
      </w:r>
      <w:proofErr w:type="gramEnd"/>
      <w:r w:rsidRPr="00C26C20">
        <w:rPr>
          <w:szCs w:val="22"/>
        </w:rPr>
        <w:t xml:space="preserve"> </w:t>
      </w:r>
      <w:r w:rsidR="00DE1B1C" w:rsidRPr="00C26C20">
        <w:rPr>
          <w:szCs w:val="22"/>
        </w:rPr>
        <w:t xml:space="preserve">In Jones DR &amp; Webb </w:t>
      </w:r>
      <w:proofErr w:type="gramStart"/>
      <w:r w:rsidR="00DE1B1C" w:rsidRPr="00C26C20">
        <w:rPr>
          <w:szCs w:val="22"/>
        </w:rPr>
        <w:t>A</w:t>
      </w:r>
      <w:proofErr w:type="gramEnd"/>
      <w:r w:rsidR="00DE1B1C" w:rsidRPr="00C26C20">
        <w:rPr>
          <w:szCs w:val="22"/>
        </w:rPr>
        <w:t xml:space="preserve"> (eds) </w:t>
      </w:r>
      <w:r w:rsidRPr="004E6332">
        <w:rPr>
          <w:rFonts w:ascii="Times New Roman" w:hAnsi="Times New Roman"/>
          <w:b/>
          <w:i/>
          <w:iCs/>
          <w:sz w:val="26"/>
        </w:rPr>
        <w:t>eriss</w:t>
      </w:r>
      <w:r w:rsidRPr="00C26C20">
        <w:rPr>
          <w:i/>
          <w:szCs w:val="22"/>
        </w:rPr>
        <w:t xml:space="preserve"> research summary 2011–2012</w:t>
      </w:r>
      <w:r w:rsidR="00DE1B1C" w:rsidRPr="00C26C20">
        <w:rPr>
          <w:szCs w:val="22"/>
        </w:rPr>
        <w:t xml:space="preserve">. </w:t>
      </w:r>
      <w:r w:rsidRPr="00C26C20">
        <w:rPr>
          <w:szCs w:val="22"/>
        </w:rPr>
        <w:t>Supervising Scientist Repor</w:t>
      </w:r>
      <w:r w:rsidRPr="00DE1B1C">
        <w:rPr>
          <w:szCs w:val="22"/>
        </w:rPr>
        <w:t>t 204, Supervisi</w:t>
      </w:r>
      <w:r w:rsidR="00DE1B1C" w:rsidRPr="00DE1B1C">
        <w:rPr>
          <w:szCs w:val="22"/>
        </w:rPr>
        <w:t>ng Scientist, Darwin NT, pp 109–</w:t>
      </w:r>
      <w:r w:rsidRPr="00DE1B1C">
        <w:rPr>
          <w:szCs w:val="22"/>
        </w:rPr>
        <w:t>115.</w:t>
      </w:r>
    </w:p>
    <w:p w:rsidR="00F351F0" w:rsidRPr="00F351F0" w:rsidRDefault="00F351F0" w:rsidP="00DE1B1C">
      <w:pPr>
        <w:pStyle w:val="referencelist1"/>
        <w:rPr>
          <w:szCs w:val="22"/>
        </w:rPr>
      </w:pPr>
      <w:proofErr w:type="gramStart"/>
      <w:r w:rsidRPr="00F351F0">
        <w:rPr>
          <w:szCs w:val="22"/>
        </w:rPr>
        <w:t>Saynor MJ, Evans KG &amp; Lu P 2009.</w:t>
      </w:r>
      <w:proofErr w:type="gramEnd"/>
      <w:r w:rsidRPr="00F351F0">
        <w:rPr>
          <w:szCs w:val="22"/>
        </w:rPr>
        <w:t xml:space="preserve"> Erosion studies of the Ranger revegetation trial plot area. </w:t>
      </w:r>
      <w:proofErr w:type="gramStart"/>
      <w:r w:rsidRPr="004E6332">
        <w:rPr>
          <w:rFonts w:ascii="Times New Roman" w:hAnsi="Times New Roman"/>
          <w:b/>
          <w:i/>
          <w:iCs/>
          <w:sz w:val="26"/>
        </w:rPr>
        <w:t>eriss</w:t>
      </w:r>
      <w:proofErr w:type="gramEnd"/>
      <w:r w:rsidRPr="004E6332">
        <w:rPr>
          <w:rFonts w:ascii="Times New Roman" w:hAnsi="Times New Roman"/>
          <w:b/>
          <w:i/>
          <w:iCs/>
          <w:sz w:val="26"/>
        </w:rPr>
        <w:t xml:space="preserve"> </w:t>
      </w:r>
      <w:r w:rsidRPr="00DE1B1C">
        <w:rPr>
          <w:i/>
          <w:szCs w:val="22"/>
        </w:rPr>
        <w:t>research summary 2007–2008</w:t>
      </w:r>
      <w:r w:rsidRPr="00F351F0">
        <w:rPr>
          <w:szCs w:val="22"/>
        </w:rPr>
        <w:t>. Supervising Scientist Report 200, Supervisi</w:t>
      </w:r>
      <w:r w:rsidR="00DE1B1C">
        <w:rPr>
          <w:szCs w:val="22"/>
        </w:rPr>
        <w:t>ng Scientist, Darwin NT, pp 125–</w:t>
      </w:r>
      <w:r w:rsidRPr="00F351F0">
        <w:rPr>
          <w:szCs w:val="22"/>
        </w:rPr>
        <w:t>129.</w:t>
      </w:r>
    </w:p>
    <w:p w:rsidR="00F351F0" w:rsidRPr="00F351F0" w:rsidRDefault="00F351F0" w:rsidP="00DE1B1C">
      <w:pPr>
        <w:pStyle w:val="referencelist1"/>
        <w:rPr>
          <w:szCs w:val="22"/>
        </w:rPr>
      </w:pPr>
      <w:r w:rsidRPr="00F351F0">
        <w:rPr>
          <w:szCs w:val="22"/>
        </w:rPr>
        <w:t xml:space="preserve">Saynor MJ, Turner K, Taylor J &amp; Houghton R 2011. </w:t>
      </w:r>
      <w:proofErr w:type="gramStart"/>
      <w:r w:rsidRPr="00F351F0">
        <w:rPr>
          <w:szCs w:val="22"/>
        </w:rPr>
        <w:t>Monitoring of erosion and solute loads from the Ranger trial landform.</w:t>
      </w:r>
      <w:proofErr w:type="gramEnd"/>
      <w:r w:rsidRPr="00F351F0">
        <w:rPr>
          <w:szCs w:val="22"/>
        </w:rPr>
        <w:t xml:space="preserve"> In: Jones DR &amp; Webb A (</w:t>
      </w:r>
      <w:proofErr w:type="gramStart"/>
      <w:r w:rsidRPr="00F351F0">
        <w:rPr>
          <w:szCs w:val="22"/>
        </w:rPr>
        <w:t>eds</w:t>
      </w:r>
      <w:proofErr w:type="gramEnd"/>
      <w:r w:rsidRPr="00F351F0">
        <w:rPr>
          <w:szCs w:val="22"/>
        </w:rPr>
        <w:t xml:space="preserve">) </w:t>
      </w:r>
      <w:r w:rsidRPr="004E6332">
        <w:rPr>
          <w:rFonts w:ascii="Times New Roman" w:hAnsi="Times New Roman"/>
          <w:b/>
          <w:i/>
          <w:iCs/>
          <w:sz w:val="26"/>
        </w:rPr>
        <w:t>eriss</w:t>
      </w:r>
      <w:r w:rsidRPr="00DE1B1C">
        <w:rPr>
          <w:i/>
          <w:szCs w:val="22"/>
        </w:rPr>
        <w:t xml:space="preserve"> research summary 2009–2010.</w:t>
      </w:r>
      <w:r w:rsidRPr="00F351F0">
        <w:rPr>
          <w:szCs w:val="22"/>
        </w:rPr>
        <w:t xml:space="preserve"> Supervising Scientist Report 202, Supervis</w:t>
      </w:r>
      <w:r w:rsidR="00DE1B1C">
        <w:rPr>
          <w:szCs w:val="22"/>
        </w:rPr>
        <w:t>ing Scientist, Darwin NT, pp 86–</w:t>
      </w:r>
      <w:r w:rsidRPr="00F351F0">
        <w:rPr>
          <w:szCs w:val="22"/>
        </w:rPr>
        <w:t>94.</w:t>
      </w:r>
    </w:p>
    <w:p w:rsidR="00F351F0" w:rsidRPr="00F351F0" w:rsidRDefault="00F351F0" w:rsidP="00DE1B1C">
      <w:pPr>
        <w:pStyle w:val="referencelist1"/>
        <w:rPr>
          <w:szCs w:val="22"/>
        </w:rPr>
      </w:pPr>
      <w:r w:rsidRPr="00F351F0">
        <w:rPr>
          <w:szCs w:val="22"/>
        </w:rPr>
        <w:t xml:space="preserve">Saynor MJ, Taylor J, Houghton R, Erskine WD &amp; Jones DR 2012. </w:t>
      </w:r>
      <w:proofErr w:type="gramStart"/>
      <w:r w:rsidRPr="00F351F0">
        <w:rPr>
          <w:szCs w:val="22"/>
        </w:rPr>
        <w:t>Revegetation trial demonstration landform – erosion and chemistry studies.</w:t>
      </w:r>
      <w:proofErr w:type="gramEnd"/>
      <w:r w:rsidRPr="00F351F0">
        <w:rPr>
          <w:szCs w:val="22"/>
        </w:rPr>
        <w:t xml:space="preserve"> In: Jones DR &amp; Webb A (</w:t>
      </w:r>
      <w:proofErr w:type="gramStart"/>
      <w:r w:rsidRPr="00F351F0">
        <w:rPr>
          <w:szCs w:val="22"/>
        </w:rPr>
        <w:t>eds</w:t>
      </w:r>
      <w:proofErr w:type="gramEnd"/>
      <w:r w:rsidRPr="00F351F0">
        <w:rPr>
          <w:szCs w:val="22"/>
        </w:rPr>
        <w:t xml:space="preserve">) </w:t>
      </w:r>
      <w:r w:rsidR="00DE1B1C" w:rsidRPr="004E6332">
        <w:rPr>
          <w:rFonts w:ascii="Times New Roman" w:hAnsi="Times New Roman"/>
          <w:b/>
          <w:i/>
          <w:iCs/>
          <w:sz w:val="26"/>
        </w:rPr>
        <w:t>eriss</w:t>
      </w:r>
      <w:r w:rsidR="00DE1B1C" w:rsidRPr="00F351F0">
        <w:rPr>
          <w:szCs w:val="22"/>
        </w:rPr>
        <w:t xml:space="preserve"> </w:t>
      </w:r>
      <w:r w:rsidRPr="00DE1B1C">
        <w:rPr>
          <w:i/>
          <w:szCs w:val="22"/>
        </w:rPr>
        <w:t>research summary 2010–2011</w:t>
      </w:r>
      <w:r w:rsidRPr="00F351F0">
        <w:rPr>
          <w:szCs w:val="22"/>
        </w:rPr>
        <w:t>. Supervising Scientist Report 203, Supervisi</w:t>
      </w:r>
      <w:r w:rsidR="00DE1B1C">
        <w:rPr>
          <w:szCs w:val="22"/>
        </w:rPr>
        <w:t>ng Scientist, Darwin NT, pp 108–</w:t>
      </w:r>
      <w:r w:rsidRPr="00F351F0">
        <w:rPr>
          <w:szCs w:val="22"/>
        </w:rPr>
        <w:t>114.</w:t>
      </w:r>
    </w:p>
    <w:p w:rsidR="00F351F0" w:rsidRPr="00F351F0" w:rsidRDefault="00F351F0" w:rsidP="00DE1B1C">
      <w:pPr>
        <w:pStyle w:val="referencelist1"/>
      </w:pPr>
      <w:proofErr w:type="gramStart"/>
      <w:r w:rsidRPr="00F351F0">
        <w:t>Saynor MJ, Turner K &amp; Erskine WD 2013.</w:t>
      </w:r>
      <w:proofErr w:type="gramEnd"/>
      <w:r w:rsidRPr="00F351F0">
        <w:t xml:space="preserve"> </w:t>
      </w:r>
      <w:proofErr w:type="gramStart"/>
      <w:r w:rsidRPr="00F351F0">
        <w:t>Solute and sediment losses from the trial landform.</w:t>
      </w:r>
      <w:proofErr w:type="gramEnd"/>
      <w:r w:rsidRPr="00F351F0">
        <w:t xml:space="preserve"> </w:t>
      </w:r>
      <w:proofErr w:type="gramStart"/>
      <w:r w:rsidRPr="00F351F0">
        <w:t xml:space="preserve">In </w:t>
      </w:r>
      <w:r w:rsidR="00DE1B1C" w:rsidRPr="004E6332">
        <w:rPr>
          <w:rFonts w:ascii="Times New Roman" w:hAnsi="Times New Roman"/>
          <w:b/>
          <w:i/>
          <w:iCs/>
          <w:sz w:val="26"/>
        </w:rPr>
        <w:t>eriss</w:t>
      </w:r>
      <w:r w:rsidRPr="00DE1B1C">
        <w:rPr>
          <w:i/>
        </w:rPr>
        <w:t xml:space="preserve"> research summary 2012–2013</w:t>
      </w:r>
      <w:r w:rsidRPr="00F351F0">
        <w:t>.</w:t>
      </w:r>
      <w:proofErr w:type="gramEnd"/>
      <w:r w:rsidRPr="00F351F0">
        <w:t xml:space="preserve"> </w:t>
      </w:r>
      <w:proofErr w:type="gramStart"/>
      <w:r w:rsidRPr="00F351F0">
        <w:t xml:space="preserve">Supervising Scientist Report 205, Supervising Scientist, Darwin NT, </w:t>
      </w:r>
      <w:r w:rsidR="00534305">
        <w:t>pp</w:t>
      </w:r>
      <w:r w:rsidRPr="00F351F0">
        <w:t>119–132.</w:t>
      </w:r>
      <w:proofErr w:type="gramEnd"/>
    </w:p>
    <w:p w:rsidR="00F351F0" w:rsidRPr="00F351F0" w:rsidRDefault="00F351F0" w:rsidP="00DE1B1C">
      <w:pPr>
        <w:pStyle w:val="referencelist1"/>
        <w:rPr>
          <w:szCs w:val="22"/>
        </w:rPr>
      </w:pPr>
      <w:proofErr w:type="gramStart"/>
      <w:r w:rsidRPr="00F351F0">
        <w:rPr>
          <w:szCs w:val="22"/>
        </w:rPr>
        <w:t>Taylor G, Peter P and Nefiodovas A 1996.</w:t>
      </w:r>
      <w:proofErr w:type="gramEnd"/>
      <w:r w:rsidRPr="00F351F0">
        <w:rPr>
          <w:szCs w:val="22"/>
        </w:rPr>
        <w:t xml:space="preserve"> </w:t>
      </w:r>
      <w:proofErr w:type="gramStart"/>
      <w:r w:rsidRPr="00F351F0">
        <w:rPr>
          <w:szCs w:val="22"/>
        </w:rPr>
        <w:t>Monitoring the behaviour of the prototype tailings capping trial on the northern waste rock dump, ERA Ranger Mine.</w:t>
      </w:r>
      <w:proofErr w:type="gramEnd"/>
      <w:r w:rsidRPr="00F351F0">
        <w:rPr>
          <w:szCs w:val="22"/>
        </w:rPr>
        <w:t xml:space="preserve"> </w:t>
      </w:r>
      <w:proofErr w:type="gramStart"/>
      <w:r w:rsidRPr="00F351F0">
        <w:rPr>
          <w:szCs w:val="22"/>
        </w:rPr>
        <w:t>284R, CSIRO Minesite Rehabilitation Research Program, Adelaide.</w:t>
      </w:r>
      <w:proofErr w:type="gramEnd"/>
    </w:p>
    <w:p w:rsidR="00C26C20" w:rsidRDefault="00C26C20" w:rsidP="00F351F0">
      <w:pPr>
        <w:pStyle w:val="referencelist1"/>
        <w:sectPr w:rsidR="00C26C20" w:rsidSect="00DE14FB">
          <w:footnotePr>
            <w:numRestart w:val="eachPage"/>
          </w:footnotePr>
          <w:pgSz w:w="11906" w:h="16838" w:code="9"/>
          <w:pgMar w:top="1440" w:right="1797" w:bottom="1440" w:left="1797" w:header="1077" w:footer="833" w:gutter="0"/>
          <w:cols w:space="360"/>
          <w:noEndnote/>
          <w:docGrid w:linePitch="299"/>
        </w:sectPr>
      </w:pPr>
    </w:p>
    <w:p w:rsidR="009531F8" w:rsidRDefault="009531F8" w:rsidP="006E191A">
      <w:pPr>
        <w:pStyle w:val="Heading1"/>
      </w:pPr>
      <w:bookmarkStart w:id="213" w:name="_Toc399928193"/>
      <w:bookmarkStart w:id="214" w:name="_Toc401910186"/>
      <w:bookmarkStart w:id="215" w:name="_Toc409772811"/>
      <w:bookmarkStart w:id="216" w:name="_Toc418172713"/>
      <w:r w:rsidRPr="006215E0">
        <w:t>A multi-year assessment of landform evolution model predictions for a trial rehabilitated landform</w:t>
      </w:r>
      <w:bookmarkEnd w:id="213"/>
      <w:bookmarkEnd w:id="214"/>
      <w:bookmarkEnd w:id="215"/>
      <w:bookmarkEnd w:id="216"/>
    </w:p>
    <w:p w:rsidR="004451F4" w:rsidRPr="006E191A" w:rsidRDefault="004451F4" w:rsidP="004451F4">
      <w:pPr>
        <w:pStyle w:val="Heading3"/>
        <w:spacing w:after="480"/>
        <w:jc w:val="center"/>
      </w:pPr>
      <w:r>
        <w:t xml:space="preserve">J Lowry, M Saynor &amp; W Erskine </w:t>
      </w:r>
    </w:p>
    <w:p w:rsidR="009531F8" w:rsidRPr="00BC11F0" w:rsidRDefault="009531F8" w:rsidP="00397360">
      <w:pPr>
        <w:pStyle w:val="Heading2"/>
      </w:pPr>
      <w:r w:rsidRPr="00BC11F0">
        <w:t>Introduction</w:t>
      </w:r>
    </w:p>
    <w:p w:rsidR="009531F8" w:rsidRPr="00401E44" w:rsidRDefault="009531F8" w:rsidP="009531F8">
      <w:r w:rsidRPr="00401E44">
        <w:t>The Environmental Research Institute of the Supervising Scientist, in collaboration with research partners at the University of Hull (Professor T</w:t>
      </w:r>
      <w:r w:rsidR="007C718E">
        <w:t>om</w:t>
      </w:r>
      <w:r w:rsidRPr="00401E44">
        <w:t xml:space="preserve"> Coulthard) and the University of N</w:t>
      </w:r>
      <w:r w:rsidR="004451F4">
        <w:t>ewcastle (Associate Professor Greg</w:t>
      </w:r>
      <w:r w:rsidRPr="00401E44">
        <w:t xml:space="preserve"> Hancock), has carried out a multi-year assessment of the geomorphic stability of the trial rehabilitated landform of the Ranger mine using the </w:t>
      </w:r>
      <w:r w:rsidRPr="00401E44">
        <w:rPr>
          <w:i/>
        </w:rPr>
        <w:t>CAESAR-Lisflood</w:t>
      </w:r>
      <w:r w:rsidRPr="00401E44">
        <w:t xml:space="preserve"> landscape evolution model (LEM) (Lowry et al</w:t>
      </w:r>
      <w:r w:rsidR="00932A96">
        <w:t>.</w:t>
      </w:r>
      <w:r w:rsidRPr="00401E44">
        <w:t xml:space="preserve"> 2014). </w:t>
      </w:r>
      <w:r w:rsidRPr="00932A96">
        <w:rPr>
          <w:i/>
        </w:rPr>
        <w:t xml:space="preserve">CAESAR-Lisflood </w:t>
      </w:r>
      <w:r>
        <w:t>(Coulthard et al</w:t>
      </w:r>
      <w:r w:rsidR="00932A96">
        <w:t>.</w:t>
      </w:r>
      <w:r>
        <w:t xml:space="preserve"> 2013) </w:t>
      </w:r>
      <w:r w:rsidRPr="00401E44">
        <w:t>is an enhanced version of the CAESAR LEM (Coulthard 2000) that had previously been used to assess the geomorphic stability of the Ranger trial landform (Lowry et al</w:t>
      </w:r>
      <w:r w:rsidR="001063BF">
        <w:t>.</w:t>
      </w:r>
      <w:r w:rsidR="00301D5F">
        <w:t xml:space="preserve"> 2011,</w:t>
      </w:r>
      <w:r w:rsidRPr="00401E44">
        <w:t xml:space="preserve"> Saynor et al</w:t>
      </w:r>
      <w:r w:rsidR="001063BF">
        <w:t>.</w:t>
      </w:r>
      <w:r w:rsidRPr="00401E44">
        <w:t xml:space="preserve"> 2012). The LEMs can provide information on landform stability at decadal or centennial scales over large spatial extents, and evaluate the sensitivity of these processes to environmental changes. An important issue associated with the use of models is the ability to assess the reliability and accuracy of the model.</w:t>
      </w:r>
      <w:r w:rsidRPr="00401E44">
        <w:rPr>
          <w:i/>
        </w:rPr>
        <w:t xml:space="preserve"> </w:t>
      </w:r>
      <w:r w:rsidRPr="00401E44">
        <w:t xml:space="preserve">In this study, the </w:t>
      </w:r>
      <w:r w:rsidRPr="00401E44">
        <w:rPr>
          <w:i/>
        </w:rPr>
        <w:t>CAESAR-Lisflood</w:t>
      </w:r>
      <w:r w:rsidRPr="00401E44">
        <w:t xml:space="preserve"> LEM is tested for its ability to predict bedload and suspended sediment loads from specially constructed erosion plots on the Ranger trial landform (Figure 1). </w:t>
      </w:r>
    </w:p>
    <w:p w:rsidR="009531F8" w:rsidRDefault="009531F8" w:rsidP="009531F8">
      <w:r w:rsidRPr="00401E44">
        <w:t>These were compared with field measured observations collected over four wet seasons from 2009. Once calibrated for the specific site hydrological conditions, the predicted bedload demonstrated an excellent correspondence with the field data.</w:t>
      </w:r>
      <w:r w:rsidRPr="00401E44">
        <w:rPr>
          <w:i/>
        </w:rPr>
        <w:t xml:space="preserve"> </w:t>
      </w:r>
      <w:r w:rsidRPr="00401E44">
        <w:t xml:space="preserve">However, longer-term simulations of 10 years identified an exhaustion effect in sediment yield from the landform. This latter result indicated that the incorporation of a weathering function into the </w:t>
      </w:r>
      <w:r w:rsidRPr="00401E44">
        <w:rPr>
          <w:i/>
        </w:rPr>
        <w:t>CAESAR-Lisflood</w:t>
      </w:r>
      <w:r w:rsidRPr="00401E44">
        <w:t xml:space="preserve"> LEM will improve the model’s ability to correctly predict the long term evolution of a rehabilitated landform once it has been constructed.</w:t>
      </w:r>
    </w:p>
    <w:p w:rsidR="00950441" w:rsidRPr="00BC11F0" w:rsidRDefault="00950441" w:rsidP="00397360">
      <w:pPr>
        <w:pStyle w:val="Heading2"/>
      </w:pPr>
      <w:r w:rsidRPr="009531F8">
        <w:t>Methodology</w:t>
      </w:r>
    </w:p>
    <w:p w:rsidR="00950441" w:rsidRPr="00401E44" w:rsidRDefault="00950441" w:rsidP="00950441">
      <w:r w:rsidRPr="00401E44">
        <w:t xml:space="preserve">The application of the </w:t>
      </w:r>
      <w:r w:rsidRPr="00401E44">
        <w:rPr>
          <w:i/>
        </w:rPr>
        <w:t>CAESAR-Lisflood</w:t>
      </w:r>
      <w:r w:rsidRPr="00401E44">
        <w:t xml:space="preserve"> LEM to the trial landform required the collation and integration of data from a range of different sources. The key data inputs used by the model were a digital elevation model (DEM) of each erosion plot; rainfall data and surface particle size data. </w:t>
      </w:r>
    </w:p>
    <w:p w:rsidR="00950441" w:rsidRPr="00401E44" w:rsidRDefault="00950441" w:rsidP="00950441">
      <w:r w:rsidRPr="00401E44">
        <w:t xml:space="preserve">A DEM of the trial landform was produced from data collected by a Terrestrial Laser Scanner in June 2010. For the purposes of this study, the data for the erosion plots were interpolated to produce a surface grid with a horizontal resolution of 20 cm. The DEMs were processed using ArcGIS software to ensure that the DEMs were pit-filled and hydrologically corrected. This pit filling was important in order to remove data artefacts, which included remnants of vegetation (peaks) as well as artificial depressions, or sinks that existed in the data but were not on the ground. </w:t>
      </w:r>
    </w:p>
    <w:p w:rsidR="00950441" w:rsidRPr="00401E44" w:rsidRDefault="00950441" w:rsidP="00950441">
      <w:r w:rsidRPr="00401E44">
        <w:t xml:space="preserve">For the purposes of this study, the </w:t>
      </w:r>
      <w:r w:rsidRPr="00401E44">
        <w:rPr>
          <w:i/>
        </w:rPr>
        <w:t>CAESAR-Lisflood</w:t>
      </w:r>
      <w:r w:rsidRPr="00401E44">
        <w:t xml:space="preserve"> model utilised rainfall data collected on the trial landform at a 1-minute interval. The data were aggregated into 10-minute intervals for use in the LEM. Rainfall data collected during the 2009–10, 2010–11, 2011–12 and 2012–13 rainfall years from the trial landform surface are used in the simulations reported here. </w:t>
      </w:r>
    </w:p>
    <w:p w:rsidR="00950441" w:rsidRPr="00401E44" w:rsidRDefault="00950441" w:rsidP="009531F8"/>
    <w:p w:rsidR="009531F8" w:rsidRPr="006215E0" w:rsidRDefault="009531F8" w:rsidP="009531F8">
      <w:pPr>
        <w:spacing w:line="260" w:lineRule="atLeast"/>
        <w:jc w:val="center"/>
        <w:rPr>
          <w:rFonts w:cs="Arial"/>
          <w:szCs w:val="22"/>
        </w:rPr>
      </w:pPr>
      <w:r w:rsidRPr="006215E0">
        <w:rPr>
          <w:rFonts w:cs="Arial"/>
          <w:noProof/>
          <w:szCs w:val="22"/>
          <w:lang w:eastAsia="en-AU"/>
        </w:rPr>
        <w:drawing>
          <wp:inline distT="0" distB="0" distL="0" distR="0">
            <wp:extent cx="4552950" cy="3286125"/>
            <wp:effectExtent l="19050" t="0" r="0" b="0"/>
            <wp:docPr id="292" name="Picture 1" descr="TrialLandForm_an-report2013.jpg"/>
            <wp:cNvGraphicFramePr/>
            <a:graphic xmlns:a="http://schemas.openxmlformats.org/drawingml/2006/main">
              <a:graphicData uri="http://schemas.openxmlformats.org/drawingml/2006/picture">
                <pic:pic xmlns:pic="http://schemas.openxmlformats.org/drawingml/2006/picture">
                  <pic:nvPicPr>
                    <pic:cNvPr id="6" name="Picture 5" descr="TrialLandForm_an-report2013.jpg"/>
                    <pic:cNvPicPr>
                      <a:picLocks noChangeAspect="1"/>
                    </pic:cNvPicPr>
                  </pic:nvPicPr>
                  <pic:blipFill>
                    <a:blip r:embed="rId171" cstate="screen"/>
                    <a:srcRect/>
                    <a:stretch>
                      <a:fillRect/>
                    </a:stretch>
                  </pic:blipFill>
                  <pic:spPr>
                    <a:xfrm>
                      <a:off x="0" y="0"/>
                      <a:ext cx="4582028" cy="3307112"/>
                    </a:xfrm>
                    <a:prstGeom prst="rect">
                      <a:avLst/>
                    </a:prstGeom>
                  </pic:spPr>
                </pic:pic>
              </a:graphicData>
            </a:graphic>
          </wp:inline>
        </w:drawing>
      </w:r>
    </w:p>
    <w:p w:rsidR="009531F8" w:rsidRPr="00E94981" w:rsidRDefault="009531F8" w:rsidP="009531F8">
      <w:pPr>
        <w:spacing w:after="240" w:line="220" w:lineRule="atLeast"/>
        <w:jc w:val="center"/>
        <w:rPr>
          <w:rFonts w:ascii="Arial" w:hAnsi="Arial"/>
          <w:bCs/>
          <w:noProof/>
          <w:sz w:val="18"/>
          <w:szCs w:val="18"/>
          <w:lang w:val="en-US"/>
        </w:rPr>
      </w:pPr>
      <w:r w:rsidRPr="00E94981">
        <w:rPr>
          <w:rFonts w:ascii="Arial" w:hAnsi="Arial"/>
          <w:b/>
          <w:bCs/>
          <w:noProof/>
          <w:sz w:val="18"/>
          <w:szCs w:val="18"/>
          <w:lang w:val="en-US"/>
        </w:rPr>
        <w:t>Figure 1</w:t>
      </w:r>
      <w:r w:rsidRPr="00E94981">
        <w:rPr>
          <w:rFonts w:ascii="Arial" w:hAnsi="Arial"/>
          <w:bCs/>
          <w:noProof/>
          <w:sz w:val="18"/>
          <w:szCs w:val="18"/>
          <w:lang w:val="en-US"/>
        </w:rPr>
        <w:t xml:space="preserve"> Aerial photograph of the trial landform at Ranger mine showing the size and location of plots 1 and 2.</w:t>
      </w:r>
    </w:p>
    <w:p w:rsidR="009531F8" w:rsidRPr="00401E44" w:rsidRDefault="009531F8" w:rsidP="009531F8">
      <w:r>
        <w:t>Using the process de</w:t>
      </w:r>
      <w:r w:rsidR="001063BF">
        <w:t xml:space="preserve">scribed in Saynor and Houghton </w:t>
      </w:r>
      <w:r>
        <w:t>(2011), the g</w:t>
      </w:r>
      <w:r w:rsidRPr="00401E44">
        <w:t xml:space="preserve">rain size data for </w:t>
      </w:r>
      <w:r w:rsidRPr="00401E44">
        <w:rPr>
          <w:i/>
        </w:rPr>
        <w:t>CAESAR-Lisflood</w:t>
      </w:r>
      <w:r w:rsidRPr="00401E44">
        <w:t xml:space="preserve"> were obtained from size fractionated bulk samples of surface material collected at eight points on the waste rock surface of the Ranger trial landform. Grain size analysis was completed on these samples and the results averaged into nine grain size classes ranging from 63 µm to 64 mm.</w:t>
      </w:r>
    </w:p>
    <w:p w:rsidR="009531F8" w:rsidRPr="00401E44" w:rsidRDefault="009531F8" w:rsidP="009531F8">
      <w:r w:rsidRPr="00401E44">
        <w:t xml:space="preserve">The </w:t>
      </w:r>
      <w:r w:rsidRPr="00401E44">
        <w:rPr>
          <w:i/>
        </w:rPr>
        <w:t>CAESAR-Lisflood</w:t>
      </w:r>
      <w:r w:rsidRPr="00401E44">
        <w:t xml:space="preserve"> model currently does not have a weathering function. Consequently, when running simulations for periods of four years, it was necessary to manually simulate a weathering effect. This was done by stopping the simulation after two years, modifying the proportions of the grain size classes used (reducing the proportion of the largest grain size) and restarting the simulation to run for the remaining two years of the simulation period.  </w:t>
      </w:r>
    </w:p>
    <w:p w:rsidR="009531F8" w:rsidRPr="00401E44" w:rsidRDefault="009531F8" w:rsidP="009531F8">
      <w:r w:rsidRPr="00401E44">
        <w:t xml:space="preserve">The comparison of </w:t>
      </w:r>
      <w:r w:rsidRPr="00401E44">
        <w:rPr>
          <w:i/>
        </w:rPr>
        <w:t>CAESAR-Lisflood</w:t>
      </w:r>
      <w:r w:rsidRPr="00401E44">
        <w:t xml:space="preserve"> modelled results and field measurements </w:t>
      </w:r>
      <w:r w:rsidR="005805F5">
        <w:t>focused</w:t>
      </w:r>
      <w:r w:rsidRPr="00401E44">
        <w:t xml:space="preserve"> on Plots 1 and 2 as they had the most complete sets of validated hydrological and measured bedload data, and corrected DEMs at the time of writing. Consequently, only these two plots have been used in this study.</w:t>
      </w:r>
    </w:p>
    <w:p w:rsidR="009531F8" w:rsidRPr="00401E44" w:rsidRDefault="009531F8" w:rsidP="009531F8">
      <w:r w:rsidRPr="00401E44">
        <w:t>Five sets of simulations have been conducted for each plot:</w:t>
      </w:r>
    </w:p>
    <w:p w:rsidR="009531F8" w:rsidRPr="001063BF" w:rsidRDefault="009531F8" w:rsidP="00E8531D">
      <w:pPr>
        <w:pStyle w:val="numberlist1"/>
        <w:spacing w:after="0"/>
      </w:pPr>
      <w:r w:rsidRPr="001063BF">
        <w:t>A 4-year simulation using rainfall data collected on the landform for the period 2009–13 at intervals of 10 minutes.</w:t>
      </w:r>
    </w:p>
    <w:p w:rsidR="009531F8" w:rsidRPr="001063BF" w:rsidRDefault="009531F8" w:rsidP="00E8531D">
      <w:pPr>
        <w:pStyle w:val="numberlist1"/>
        <w:spacing w:after="0"/>
      </w:pPr>
      <w:r w:rsidRPr="001063BF">
        <w:rPr>
          <w:szCs w:val="22"/>
        </w:rPr>
        <w:t>A 10-year simulation using the 2009–13 rainfall data looped 2.5 times.</w:t>
      </w:r>
    </w:p>
    <w:p w:rsidR="009531F8" w:rsidRPr="001063BF" w:rsidRDefault="009531F8" w:rsidP="00E8531D">
      <w:pPr>
        <w:pStyle w:val="numberlist1"/>
        <w:spacing w:after="0"/>
      </w:pPr>
      <w:r w:rsidRPr="001063BF">
        <w:t>A 10-year simulation using the 2009–13 rainfall data looped 2.5 times  with the inclusion of measured data from an extreme rain event, in which 785 mm fell over 72 h between 17:00 h on 27 February and 17:00 h on 2 March 2007 at Jabiru Airport, inserted in the first year of the simulation.</w:t>
      </w:r>
    </w:p>
    <w:p w:rsidR="009531F8" w:rsidRPr="001063BF" w:rsidRDefault="009531F8" w:rsidP="00E8531D">
      <w:pPr>
        <w:pStyle w:val="numberlist1"/>
        <w:spacing w:after="0"/>
      </w:pPr>
      <w:r w:rsidRPr="001063BF">
        <w:t>A 10-year simulation using the 2009–13 rainfall data looped 2.5 times with the inclusion of the 2007 extreme event inserted in the third year of the simulation.</w:t>
      </w:r>
    </w:p>
    <w:p w:rsidR="009531F8" w:rsidRPr="001063BF" w:rsidRDefault="009531F8" w:rsidP="00E8531D">
      <w:pPr>
        <w:pStyle w:val="numberlist1"/>
        <w:spacing w:after="0"/>
      </w:pPr>
      <w:r w:rsidRPr="001063BF">
        <w:t>A 10-year simulation using the 2009–13 rainfall data looped 2.5 times with the inclusion of the 2007 extreme event inserted in the eighth year of the simulation.</w:t>
      </w:r>
    </w:p>
    <w:p w:rsidR="009531F8" w:rsidRPr="00BC11F0" w:rsidRDefault="009531F8" w:rsidP="00397360">
      <w:pPr>
        <w:pStyle w:val="Heading2"/>
      </w:pPr>
      <w:r w:rsidRPr="009531F8">
        <w:t>Results</w:t>
      </w:r>
    </w:p>
    <w:p w:rsidR="009531F8" w:rsidRDefault="009531F8" w:rsidP="009531F8">
      <w:r w:rsidRPr="00401E44">
        <w:t xml:space="preserve">The four-year simulation results for measured and modelled bedload yields are shown in Figures 2 (Plot 1) and 3 (Plot 2). These indicate that after a period of four years, the modelled and measured bedload figures for both plots are within a range of 10% of each other and thus very similar. Longer term 10 year simulations of Plots 1 and 2 were run utilising the rainfall scenarios described earlier in the methodology section. Both plots returned the same trends in denudation and sediment yield under the different scenarios (Table 1). These show that the addition of an extreme rainfall event after three years produces the greatest increase in sediment yield, whilst the addition of an extreme rainfall event after eight years does not appear to have an impact on the sediment yield or denudation rate. </w:t>
      </w:r>
    </w:p>
    <w:p w:rsidR="003A3F09" w:rsidRDefault="003A3F09" w:rsidP="00493492">
      <w:pPr>
        <w:spacing w:line="260" w:lineRule="atLeast"/>
      </w:pPr>
    </w:p>
    <w:p w:rsidR="009531F8" w:rsidRDefault="009531F8" w:rsidP="00493492">
      <w:pPr>
        <w:spacing w:line="260" w:lineRule="atLeast"/>
        <w:jc w:val="center"/>
        <w:rPr>
          <w:rFonts w:ascii="Arial" w:hAnsi="Arial"/>
          <w:bCs/>
          <w:noProof/>
          <w:sz w:val="18"/>
          <w:szCs w:val="18"/>
          <w:lang w:val="en-US"/>
        </w:rPr>
      </w:pPr>
      <w:r w:rsidRPr="00175B00">
        <w:rPr>
          <w:noProof/>
          <w:lang w:eastAsia="en-AU"/>
        </w:rPr>
        <w:drawing>
          <wp:inline distT="0" distB="0" distL="0" distR="0">
            <wp:extent cx="4614943" cy="3016189"/>
            <wp:effectExtent l="0" t="0" r="0" b="0"/>
            <wp:docPr id="297" name="Chart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172"/>
              </a:graphicData>
            </a:graphic>
          </wp:inline>
        </w:drawing>
      </w:r>
      <w:r w:rsidR="001063BF">
        <w:br/>
      </w:r>
      <w:r w:rsidRPr="00E94981">
        <w:rPr>
          <w:rFonts w:ascii="Arial" w:hAnsi="Arial"/>
          <w:b/>
          <w:bCs/>
          <w:noProof/>
          <w:sz w:val="18"/>
          <w:szCs w:val="18"/>
          <w:lang w:val="en-US"/>
        </w:rPr>
        <w:t xml:space="preserve">Figure 2  </w:t>
      </w:r>
      <w:r w:rsidRPr="00E94981">
        <w:rPr>
          <w:rFonts w:ascii="Arial" w:hAnsi="Arial"/>
          <w:bCs/>
          <w:noProof/>
          <w:sz w:val="18"/>
          <w:szCs w:val="18"/>
          <w:lang w:val="en-US"/>
        </w:rPr>
        <w:t>Comparison of modelled cumulative bedload (blue broken line) and field-measured cumulative bedload (red solid line) yield for Plot 1.</w:t>
      </w:r>
    </w:p>
    <w:p w:rsidR="003A3F09" w:rsidRDefault="003A3F09" w:rsidP="009531F8">
      <w:pPr>
        <w:spacing w:after="240" w:line="220" w:lineRule="atLeast"/>
        <w:jc w:val="center"/>
        <w:rPr>
          <w:rFonts w:ascii="Arial" w:hAnsi="Arial"/>
          <w:bCs/>
          <w:noProof/>
          <w:sz w:val="18"/>
          <w:szCs w:val="18"/>
          <w:lang w:val="en-US"/>
        </w:rPr>
      </w:pPr>
    </w:p>
    <w:p w:rsidR="00493492" w:rsidRDefault="00493492" w:rsidP="009531F8">
      <w:pPr>
        <w:spacing w:after="240" w:line="220" w:lineRule="atLeast"/>
        <w:jc w:val="center"/>
        <w:rPr>
          <w:rFonts w:ascii="Arial" w:hAnsi="Arial"/>
          <w:bCs/>
          <w:noProof/>
          <w:sz w:val="18"/>
          <w:szCs w:val="18"/>
          <w:lang w:val="en-US"/>
        </w:rPr>
      </w:pPr>
    </w:p>
    <w:p w:rsidR="003A3F09" w:rsidRPr="001063BF" w:rsidRDefault="003A3F09" w:rsidP="003A3F09">
      <w:pPr>
        <w:pStyle w:val="tablecaption"/>
        <w:jc w:val="center"/>
      </w:pPr>
      <w:r w:rsidRPr="001063BF">
        <w:rPr>
          <w:b/>
        </w:rPr>
        <w:t xml:space="preserve">Table 1 </w:t>
      </w:r>
      <w:r w:rsidRPr="001063BF">
        <w:t>Predicted total loads and denudation rates after 10 years for plots 1 and 2.</w:t>
      </w:r>
    </w:p>
    <w:tbl>
      <w:tblPr>
        <w:tblW w:w="0" w:type="auto"/>
        <w:jc w:val="center"/>
        <w:tblLook w:val="04A0"/>
      </w:tblPr>
      <w:tblGrid>
        <w:gridCol w:w="2802"/>
        <w:gridCol w:w="992"/>
        <w:gridCol w:w="1417"/>
        <w:gridCol w:w="993"/>
        <w:gridCol w:w="1457"/>
      </w:tblGrid>
      <w:tr w:rsidR="003A3F09" w:rsidRPr="00175B00" w:rsidTr="003A3F09">
        <w:trPr>
          <w:jc w:val="center"/>
        </w:trPr>
        <w:tc>
          <w:tcPr>
            <w:tcW w:w="2802" w:type="dxa"/>
            <w:tcBorders>
              <w:top w:val="single" w:sz="8" w:space="0" w:color="A6A6A6" w:themeColor="background1" w:themeShade="A6"/>
            </w:tcBorders>
          </w:tcPr>
          <w:p w:rsidR="003A3F09" w:rsidRPr="00175B00" w:rsidRDefault="003A3F09" w:rsidP="003A3F09">
            <w:pPr>
              <w:spacing w:before="60" w:after="60" w:line="220" w:lineRule="atLeast"/>
              <w:rPr>
                <w:rFonts w:ascii="Arial" w:eastAsia="Arial Unicode MS" w:hAnsi="Arial"/>
                <w:sz w:val="16"/>
              </w:rPr>
            </w:pPr>
          </w:p>
        </w:tc>
        <w:tc>
          <w:tcPr>
            <w:tcW w:w="2409" w:type="dxa"/>
            <w:gridSpan w:val="2"/>
            <w:tcBorders>
              <w:top w:val="single" w:sz="8" w:space="0" w:color="A6A6A6" w:themeColor="background1" w:themeShade="A6"/>
              <w:bottom w:val="single" w:sz="8" w:space="0" w:color="A6A6A6" w:themeColor="background1" w:themeShade="A6"/>
            </w:tcBorders>
          </w:tcPr>
          <w:p w:rsidR="003A3F09" w:rsidRPr="00E94981" w:rsidRDefault="003A3F09" w:rsidP="003A3F09">
            <w:pPr>
              <w:spacing w:before="60" w:after="60" w:line="220" w:lineRule="atLeast"/>
              <w:jc w:val="center"/>
              <w:rPr>
                <w:rFonts w:ascii="Arial" w:eastAsia="Arial Unicode MS" w:hAnsi="Arial"/>
                <w:b/>
                <w:sz w:val="16"/>
              </w:rPr>
            </w:pPr>
            <w:r w:rsidRPr="00E94981">
              <w:rPr>
                <w:rFonts w:ascii="Arial" w:eastAsia="Arial Unicode MS" w:hAnsi="Arial"/>
                <w:b/>
                <w:sz w:val="16"/>
              </w:rPr>
              <w:t>Plot 1</w:t>
            </w:r>
          </w:p>
        </w:tc>
        <w:tc>
          <w:tcPr>
            <w:tcW w:w="2450" w:type="dxa"/>
            <w:gridSpan w:val="2"/>
            <w:tcBorders>
              <w:top w:val="single" w:sz="8" w:space="0" w:color="A6A6A6" w:themeColor="background1" w:themeShade="A6"/>
              <w:bottom w:val="single" w:sz="8" w:space="0" w:color="A6A6A6" w:themeColor="background1" w:themeShade="A6"/>
            </w:tcBorders>
          </w:tcPr>
          <w:p w:rsidR="003A3F09" w:rsidRPr="00E94981" w:rsidRDefault="003A3F09" w:rsidP="003A3F09">
            <w:pPr>
              <w:spacing w:before="60" w:after="60" w:line="220" w:lineRule="atLeast"/>
              <w:jc w:val="center"/>
              <w:rPr>
                <w:rFonts w:ascii="Arial" w:eastAsia="Arial Unicode MS" w:hAnsi="Arial"/>
                <w:b/>
                <w:sz w:val="16"/>
              </w:rPr>
            </w:pPr>
            <w:r w:rsidRPr="00E94981">
              <w:rPr>
                <w:rFonts w:ascii="Arial" w:eastAsia="Arial Unicode MS" w:hAnsi="Arial"/>
                <w:b/>
                <w:sz w:val="16"/>
              </w:rPr>
              <w:t>Plot 2</w:t>
            </w:r>
          </w:p>
        </w:tc>
      </w:tr>
      <w:tr w:rsidR="003A3F09" w:rsidRPr="00175B00" w:rsidTr="003A3F09">
        <w:trPr>
          <w:jc w:val="center"/>
        </w:trPr>
        <w:tc>
          <w:tcPr>
            <w:tcW w:w="2802" w:type="dxa"/>
            <w:tcBorders>
              <w:bottom w:val="single" w:sz="8" w:space="0" w:color="A6A6A6" w:themeColor="background1" w:themeShade="A6"/>
            </w:tcBorders>
          </w:tcPr>
          <w:p w:rsidR="003A3F09" w:rsidRPr="00175B00" w:rsidRDefault="003A3F09" w:rsidP="003A3F09">
            <w:pPr>
              <w:spacing w:before="60" w:after="60" w:line="220" w:lineRule="atLeast"/>
              <w:rPr>
                <w:rFonts w:ascii="Arial" w:eastAsia="Arial Unicode MS" w:hAnsi="Arial"/>
                <w:sz w:val="16"/>
              </w:rPr>
            </w:pPr>
          </w:p>
        </w:tc>
        <w:tc>
          <w:tcPr>
            <w:tcW w:w="992" w:type="dxa"/>
            <w:tcBorders>
              <w:bottom w:val="single" w:sz="8" w:space="0" w:color="A6A6A6" w:themeColor="background1" w:themeShade="A6"/>
            </w:tcBorders>
          </w:tcPr>
          <w:p w:rsidR="003A3F09" w:rsidRPr="00E94981" w:rsidRDefault="003A3F09" w:rsidP="003A3F09">
            <w:pPr>
              <w:spacing w:before="60" w:after="60" w:line="220" w:lineRule="atLeast"/>
              <w:jc w:val="center"/>
              <w:rPr>
                <w:rFonts w:ascii="Arial" w:eastAsia="Arial Unicode MS" w:hAnsi="Arial"/>
                <w:b/>
                <w:sz w:val="16"/>
              </w:rPr>
            </w:pPr>
            <w:r w:rsidRPr="00E94981">
              <w:rPr>
                <w:rFonts w:ascii="Arial" w:eastAsia="Arial Unicode MS" w:hAnsi="Arial"/>
                <w:b/>
                <w:sz w:val="16"/>
              </w:rPr>
              <w:t>Total Load (m</w:t>
            </w:r>
            <w:r w:rsidRPr="00E94981">
              <w:rPr>
                <w:rFonts w:ascii="Arial" w:eastAsia="Arial Unicode MS" w:hAnsi="Arial"/>
                <w:b/>
                <w:snapToGrid w:val="0"/>
                <w:color w:val="000000"/>
                <w:position w:val="5"/>
                <w:sz w:val="12"/>
                <w:u w:color="000000"/>
              </w:rPr>
              <w:t>3</w:t>
            </w:r>
            <w:r w:rsidRPr="00E94981">
              <w:rPr>
                <w:rFonts w:ascii="Arial" w:eastAsia="Arial Unicode MS" w:hAnsi="Arial"/>
                <w:b/>
                <w:sz w:val="16"/>
              </w:rPr>
              <w:t>)</w:t>
            </w:r>
          </w:p>
        </w:tc>
        <w:tc>
          <w:tcPr>
            <w:tcW w:w="1417" w:type="dxa"/>
            <w:tcBorders>
              <w:bottom w:val="single" w:sz="8" w:space="0" w:color="A6A6A6" w:themeColor="background1" w:themeShade="A6"/>
            </w:tcBorders>
          </w:tcPr>
          <w:p w:rsidR="003A3F09" w:rsidRPr="00E94981" w:rsidRDefault="003A3F09" w:rsidP="003A3F09">
            <w:pPr>
              <w:spacing w:before="60" w:after="60" w:line="220" w:lineRule="atLeast"/>
              <w:jc w:val="center"/>
              <w:rPr>
                <w:rFonts w:ascii="Arial" w:eastAsia="Arial Unicode MS" w:hAnsi="Arial"/>
                <w:b/>
                <w:sz w:val="16"/>
              </w:rPr>
            </w:pPr>
            <w:r w:rsidRPr="00E94981">
              <w:rPr>
                <w:rFonts w:ascii="Arial" w:eastAsia="Arial Unicode MS" w:hAnsi="Arial"/>
                <w:b/>
                <w:sz w:val="16"/>
              </w:rPr>
              <w:t>Denudation rate (mm yr</w:t>
            </w:r>
            <w:r w:rsidRPr="00E94981">
              <w:rPr>
                <w:rFonts w:ascii="Arial" w:eastAsia="Arial Unicode MS" w:hAnsi="Arial"/>
                <w:b/>
                <w:snapToGrid w:val="0"/>
                <w:color w:val="000000"/>
                <w:position w:val="5"/>
                <w:sz w:val="12"/>
                <w:u w:color="000000"/>
              </w:rPr>
              <w:t>-1</w:t>
            </w:r>
            <w:r w:rsidRPr="00E94981">
              <w:rPr>
                <w:rFonts w:ascii="Arial" w:eastAsia="Arial Unicode MS" w:hAnsi="Arial"/>
                <w:b/>
                <w:sz w:val="16"/>
              </w:rPr>
              <w:t>)</w:t>
            </w:r>
          </w:p>
        </w:tc>
        <w:tc>
          <w:tcPr>
            <w:tcW w:w="993" w:type="dxa"/>
            <w:tcBorders>
              <w:bottom w:val="single" w:sz="8" w:space="0" w:color="A6A6A6" w:themeColor="background1" w:themeShade="A6"/>
            </w:tcBorders>
          </w:tcPr>
          <w:p w:rsidR="003A3F09" w:rsidRPr="00E94981" w:rsidRDefault="003A3F09" w:rsidP="003A3F09">
            <w:pPr>
              <w:spacing w:before="60" w:after="60" w:line="220" w:lineRule="atLeast"/>
              <w:jc w:val="center"/>
              <w:rPr>
                <w:rFonts w:ascii="Arial" w:eastAsia="Arial Unicode MS" w:hAnsi="Arial"/>
                <w:b/>
                <w:sz w:val="16"/>
              </w:rPr>
            </w:pPr>
            <w:r w:rsidRPr="00E94981">
              <w:rPr>
                <w:rFonts w:ascii="Arial" w:eastAsia="Arial Unicode MS" w:hAnsi="Arial"/>
                <w:b/>
                <w:sz w:val="16"/>
              </w:rPr>
              <w:t>Total Load (m</w:t>
            </w:r>
            <w:r w:rsidRPr="00E94981">
              <w:rPr>
                <w:rFonts w:ascii="Arial" w:eastAsia="Arial Unicode MS" w:hAnsi="Arial"/>
                <w:b/>
                <w:snapToGrid w:val="0"/>
                <w:color w:val="000000"/>
                <w:position w:val="5"/>
                <w:sz w:val="12"/>
                <w:u w:color="000000"/>
              </w:rPr>
              <w:t>3</w:t>
            </w:r>
            <w:r w:rsidRPr="00E94981">
              <w:rPr>
                <w:rFonts w:ascii="Arial" w:eastAsia="Arial Unicode MS" w:hAnsi="Arial"/>
                <w:b/>
                <w:sz w:val="16"/>
              </w:rPr>
              <w:t>)</w:t>
            </w:r>
          </w:p>
        </w:tc>
        <w:tc>
          <w:tcPr>
            <w:tcW w:w="1457" w:type="dxa"/>
            <w:tcBorders>
              <w:bottom w:val="single" w:sz="8" w:space="0" w:color="A6A6A6" w:themeColor="background1" w:themeShade="A6"/>
            </w:tcBorders>
          </w:tcPr>
          <w:p w:rsidR="003A3F09" w:rsidRPr="00E94981" w:rsidRDefault="003A3F09" w:rsidP="003A3F09">
            <w:pPr>
              <w:spacing w:before="60" w:after="60" w:line="220" w:lineRule="atLeast"/>
              <w:jc w:val="center"/>
              <w:rPr>
                <w:rFonts w:ascii="Arial" w:eastAsia="Arial Unicode MS" w:hAnsi="Arial"/>
                <w:b/>
                <w:sz w:val="16"/>
              </w:rPr>
            </w:pPr>
            <w:r w:rsidRPr="00E94981">
              <w:rPr>
                <w:rFonts w:ascii="Arial" w:eastAsia="Arial Unicode MS" w:hAnsi="Arial"/>
                <w:b/>
                <w:sz w:val="16"/>
              </w:rPr>
              <w:t>Denudation rate</w:t>
            </w:r>
          </w:p>
          <w:p w:rsidR="003A3F09" w:rsidRPr="00E94981" w:rsidRDefault="003A3F09" w:rsidP="003A3F09">
            <w:pPr>
              <w:spacing w:before="60" w:after="60" w:line="220" w:lineRule="atLeast"/>
              <w:jc w:val="center"/>
              <w:rPr>
                <w:rFonts w:ascii="Arial" w:eastAsia="Arial Unicode MS" w:hAnsi="Arial"/>
                <w:b/>
                <w:sz w:val="16"/>
              </w:rPr>
            </w:pPr>
            <w:r w:rsidRPr="00E94981">
              <w:rPr>
                <w:rFonts w:ascii="Arial" w:eastAsia="Arial Unicode MS" w:hAnsi="Arial"/>
                <w:b/>
                <w:sz w:val="16"/>
              </w:rPr>
              <w:t>(mm yr</w:t>
            </w:r>
            <w:r w:rsidRPr="00E94981">
              <w:rPr>
                <w:rFonts w:ascii="Arial" w:eastAsia="Arial Unicode MS" w:hAnsi="Arial"/>
                <w:b/>
                <w:snapToGrid w:val="0"/>
                <w:color w:val="000000"/>
                <w:position w:val="5"/>
                <w:sz w:val="12"/>
                <w:u w:color="000000"/>
              </w:rPr>
              <w:t>-1</w:t>
            </w:r>
            <w:r w:rsidRPr="00E94981">
              <w:rPr>
                <w:rFonts w:ascii="Arial" w:eastAsia="Arial Unicode MS" w:hAnsi="Arial"/>
                <w:b/>
                <w:sz w:val="16"/>
              </w:rPr>
              <w:t>)</w:t>
            </w:r>
          </w:p>
        </w:tc>
      </w:tr>
      <w:tr w:rsidR="003A3F09" w:rsidRPr="00175B00" w:rsidTr="003A3F09">
        <w:trPr>
          <w:jc w:val="center"/>
        </w:trPr>
        <w:tc>
          <w:tcPr>
            <w:tcW w:w="2802" w:type="dxa"/>
            <w:tcBorders>
              <w:top w:val="single" w:sz="8" w:space="0" w:color="A6A6A6" w:themeColor="background1" w:themeShade="A6"/>
            </w:tcBorders>
          </w:tcPr>
          <w:p w:rsidR="003A3F09" w:rsidRPr="00175B00" w:rsidRDefault="003A3F09" w:rsidP="003A3F09">
            <w:pPr>
              <w:spacing w:before="60" w:after="60" w:line="220" w:lineRule="atLeast"/>
              <w:rPr>
                <w:rFonts w:ascii="Arial" w:eastAsia="Arial Unicode MS" w:hAnsi="Arial"/>
                <w:sz w:val="16"/>
              </w:rPr>
            </w:pPr>
            <w:r w:rsidRPr="00175B00">
              <w:rPr>
                <w:rFonts w:ascii="Arial" w:eastAsia="Arial Unicode MS" w:hAnsi="Arial"/>
                <w:sz w:val="16"/>
              </w:rPr>
              <w:t>10 years</w:t>
            </w:r>
          </w:p>
        </w:tc>
        <w:tc>
          <w:tcPr>
            <w:tcW w:w="992" w:type="dxa"/>
            <w:tcBorders>
              <w:top w:val="single" w:sz="8" w:space="0" w:color="A6A6A6" w:themeColor="background1" w:themeShade="A6"/>
            </w:tcBorders>
          </w:tcPr>
          <w:p w:rsidR="003A3F09" w:rsidRPr="00175B00" w:rsidRDefault="003A3F09" w:rsidP="003A3F09">
            <w:pPr>
              <w:spacing w:before="60" w:after="60" w:line="220" w:lineRule="atLeast"/>
              <w:jc w:val="center"/>
              <w:rPr>
                <w:rFonts w:ascii="Arial" w:eastAsia="Arial Unicode MS" w:hAnsi="Arial"/>
                <w:sz w:val="16"/>
              </w:rPr>
            </w:pPr>
            <w:r w:rsidRPr="00175B00">
              <w:rPr>
                <w:rFonts w:ascii="Arial" w:eastAsia="Arial Unicode MS" w:hAnsi="Arial"/>
                <w:sz w:val="16"/>
              </w:rPr>
              <w:t>0.38</w:t>
            </w:r>
          </w:p>
        </w:tc>
        <w:tc>
          <w:tcPr>
            <w:tcW w:w="1417" w:type="dxa"/>
            <w:tcBorders>
              <w:top w:val="single" w:sz="8" w:space="0" w:color="A6A6A6" w:themeColor="background1" w:themeShade="A6"/>
            </w:tcBorders>
          </w:tcPr>
          <w:p w:rsidR="003A3F09" w:rsidRPr="00175B00" w:rsidRDefault="003A3F09" w:rsidP="003A3F09">
            <w:pPr>
              <w:spacing w:before="60" w:after="60" w:line="220" w:lineRule="atLeast"/>
              <w:jc w:val="center"/>
              <w:rPr>
                <w:rFonts w:ascii="Arial" w:eastAsia="Arial Unicode MS" w:hAnsi="Arial"/>
                <w:sz w:val="16"/>
              </w:rPr>
            </w:pPr>
            <w:r w:rsidRPr="00175B00">
              <w:rPr>
                <w:rFonts w:ascii="Arial" w:eastAsia="Arial Unicode MS" w:hAnsi="Arial"/>
                <w:sz w:val="16"/>
              </w:rPr>
              <w:t>0.04</w:t>
            </w:r>
          </w:p>
        </w:tc>
        <w:tc>
          <w:tcPr>
            <w:tcW w:w="993" w:type="dxa"/>
            <w:tcBorders>
              <w:top w:val="single" w:sz="8" w:space="0" w:color="A6A6A6" w:themeColor="background1" w:themeShade="A6"/>
            </w:tcBorders>
          </w:tcPr>
          <w:p w:rsidR="003A3F09" w:rsidRPr="00175B00" w:rsidRDefault="003A3F09" w:rsidP="003A3F09">
            <w:pPr>
              <w:spacing w:before="60" w:after="60" w:line="220" w:lineRule="atLeast"/>
              <w:jc w:val="center"/>
              <w:rPr>
                <w:rFonts w:ascii="Arial" w:eastAsia="Arial Unicode MS" w:hAnsi="Arial"/>
                <w:sz w:val="16"/>
              </w:rPr>
            </w:pPr>
            <w:r w:rsidRPr="00175B00">
              <w:rPr>
                <w:rFonts w:ascii="Arial" w:eastAsia="Arial Unicode MS" w:hAnsi="Arial"/>
                <w:sz w:val="16"/>
              </w:rPr>
              <w:t>0.24</w:t>
            </w:r>
          </w:p>
        </w:tc>
        <w:tc>
          <w:tcPr>
            <w:tcW w:w="1457" w:type="dxa"/>
            <w:tcBorders>
              <w:top w:val="single" w:sz="8" w:space="0" w:color="A6A6A6" w:themeColor="background1" w:themeShade="A6"/>
            </w:tcBorders>
          </w:tcPr>
          <w:p w:rsidR="003A3F09" w:rsidRPr="00175B00" w:rsidRDefault="003A3F09" w:rsidP="003A3F09">
            <w:pPr>
              <w:spacing w:before="60" w:after="60" w:line="220" w:lineRule="atLeast"/>
              <w:jc w:val="center"/>
              <w:rPr>
                <w:rFonts w:ascii="Arial" w:eastAsia="Arial Unicode MS" w:hAnsi="Arial"/>
                <w:sz w:val="16"/>
              </w:rPr>
            </w:pPr>
            <w:r w:rsidRPr="00175B00">
              <w:rPr>
                <w:rFonts w:ascii="Arial" w:eastAsia="Arial Unicode MS" w:hAnsi="Arial"/>
                <w:sz w:val="16"/>
              </w:rPr>
              <w:t>0.02</w:t>
            </w:r>
          </w:p>
        </w:tc>
      </w:tr>
      <w:tr w:rsidR="003A3F09" w:rsidRPr="00175B00" w:rsidTr="003A3F09">
        <w:trPr>
          <w:jc w:val="center"/>
        </w:trPr>
        <w:tc>
          <w:tcPr>
            <w:tcW w:w="2802" w:type="dxa"/>
          </w:tcPr>
          <w:p w:rsidR="003A3F09" w:rsidRPr="00175B00" w:rsidRDefault="003A3F09" w:rsidP="003A3F09">
            <w:pPr>
              <w:spacing w:before="60" w:after="60" w:line="220" w:lineRule="atLeast"/>
              <w:rPr>
                <w:rFonts w:ascii="Arial" w:eastAsia="Arial Unicode MS" w:hAnsi="Arial"/>
                <w:sz w:val="16"/>
              </w:rPr>
            </w:pPr>
            <w:r w:rsidRPr="00175B00">
              <w:rPr>
                <w:rFonts w:ascii="Arial" w:eastAsia="Arial Unicode MS" w:hAnsi="Arial"/>
                <w:sz w:val="16"/>
              </w:rPr>
              <w:t>10 years – extreme event in year 1</w:t>
            </w:r>
          </w:p>
        </w:tc>
        <w:tc>
          <w:tcPr>
            <w:tcW w:w="992" w:type="dxa"/>
          </w:tcPr>
          <w:p w:rsidR="003A3F09" w:rsidRPr="00175B00" w:rsidRDefault="003A3F09" w:rsidP="003A3F09">
            <w:pPr>
              <w:spacing w:before="60" w:after="60" w:line="220" w:lineRule="atLeast"/>
              <w:jc w:val="center"/>
              <w:rPr>
                <w:rFonts w:ascii="Arial" w:eastAsia="Arial Unicode MS" w:hAnsi="Arial"/>
                <w:sz w:val="16"/>
              </w:rPr>
            </w:pPr>
            <w:r w:rsidRPr="00175B00">
              <w:rPr>
                <w:rFonts w:ascii="Arial" w:eastAsia="Arial Unicode MS" w:hAnsi="Arial"/>
                <w:sz w:val="16"/>
              </w:rPr>
              <w:t>0.44</w:t>
            </w:r>
          </w:p>
        </w:tc>
        <w:tc>
          <w:tcPr>
            <w:tcW w:w="1417" w:type="dxa"/>
          </w:tcPr>
          <w:p w:rsidR="003A3F09" w:rsidRPr="00175B00" w:rsidRDefault="003A3F09" w:rsidP="003A3F09">
            <w:pPr>
              <w:spacing w:before="60" w:after="60" w:line="220" w:lineRule="atLeast"/>
              <w:jc w:val="center"/>
              <w:rPr>
                <w:rFonts w:ascii="Arial" w:eastAsia="Arial Unicode MS" w:hAnsi="Arial"/>
                <w:sz w:val="16"/>
              </w:rPr>
            </w:pPr>
            <w:r w:rsidRPr="00175B00">
              <w:rPr>
                <w:rFonts w:ascii="Arial" w:eastAsia="Arial Unicode MS" w:hAnsi="Arial"/>
                <w:sz w:val="16"/>
              </w:rPr>
              <w:t>0.05</w:t>
            </w:r>
          </w:p>
        </w:tc>
        <w:tc>
          <w:tcPr>
            <w:tcW w:w="993" w:type="dxa"/>
          </w:tcPr>
          <w:p w:rsidR="003A3F09" w:rsidRPr="00175B00" w:rsidRDefault="003A3F09" w:rsidP="003A3F09">
            <w:pPr>
              <w:spacing w:before="60" w:after="60" w:line="220" w:lineRule="atLeast"/>
              <w:jc w:val="center"/>
              <w:rPr>
                <w:rFonts w:ascii="Arial" w:eastAsia="Arial Unicode MS" w:hAnsi="Arial"/>
                <w:sz w:val="16"/>
              </w:rPr>
            </w:pPr>
            <w:r w:rsidRPr="00175B00">
              <w:rPr>
                <w:rFonts w:ascii="Arial" w:eastAsia="Arial Unicode MS" w:hAnsi="Arial"/>
                <w:sz w:val="16"/>
              </w:rPr>
              <w:t>0.37</w:t>
            </w:r>
          </w:p>
        </w:tc>
        <w:tc>
          <w:tcPr>
            <w:tcW w:w="1457" w:type="dxa"/>
          </w:tcPr>
          <w:p w:rsidR="003A3F09" w:rsidRPr="00175B00" w:rsidRDefault="003A3F09" w:rsidP="003A3F09">
            <w:pPr>
              <w:spacing w:before="60" w:after="60" w:line="220" w:lineRule="atLeast"/>
              <w:jc w:val="center"/>
              <w:rPr>
                <w:rFonts w:ascii="Arial" w:eastAsia="Arial Unicode MS" w:hAnsi="Arial"/>
                <w:sz w:val="16"/>
              </w:rPr>
            </w:pPr>
            <w:r w:rsidRPr="00175B00">
              <w:rPr>
                <w:rFonts w:ascii="Arial" w:eastAsia="Arial Unicode MS" w:hAnsi="Arial"/>
                <w:sz w:val="16"/>
              </w:rPr>
              <w:t>0.04</w:t>
            </w:r>
          </w:p>
        </w:tc>
      </w:tr>
      <w:tr w:rsidR="003A3F09" w:rsidRPr="00175B00" w:rsidTr="003A3F09">
        <w:trPr>
          <w:jc w:val="center"/>
        </w:trPr>
        <w:tc>
          <w:tcPr>
            <w:tcW w:w="2802" w:type="dxa"/>
          </w:tcPr>
          <w:p w:rsidR="003A3F09" w:rsidRPr="00175B00" w:rsidRDefault="003A3F09" w:rsidP="003A3F09">
            <w:pPr>
              <w:spacing w:before="60" w:after="60" w:line="220" w:lineRule="atLeast"/>
              <w:rPr>
                <w:rFonts w:ascii="Arial" w:eastAsia="Arial Unicode MS" w:hAnsi="Arial"/>
                <w:sz w:val="16"/>
              </w:rPr>
            </w:pPr>
            <w:r w:rsidRPr="00175B00">
              <w:rPr>
                <w:rFonts w:ascii="Arial" w:eastAsia="Arial Unicode MS" w:hAnsi="Arial"/>
                <w:sz w:val="16"/>
              </w:rPr>
              <w:t>10 years – extreme event in year 3</w:t>
            </w:r>
          </w:p>
        </w:tc>
        <w:tc>
          <w:tcPr>
            <w:tcW w:w="992" w:type="dxa"/>
          </w:tcPr>
          <w:p w:rsidR="003A3F09" w:rsidRPr="00175B00" w:rsidRDefault="003A3F09" w:rsidP="003A3F09">
            <w:pPr>
              <w:spacing w:before="60" w:after="60" w:line="220" w:lineRule="atLeast"/>
              <w:jc w:val="center"/>
              <w:rPr>
                <w:rFonts w:ascii="Arial" w:eastAsia="Arial Unicode MS" w:hAnsi="Arial"/>
                <w:sz w:val="16"/>
              </w:rPr>
            </w:pPr>
            <w:r w:rsidRPr="00175B00">
              <w:rPr>
                <w:rFonts w:ascii="Arial" w:eastAsia="Arial Unicode MS" w:hAnsi="Arial"/>
                <w:sz w:val="16"/>
              </w:rPr>
              <w:t>0.54</w:t>
            </w:r>
          </w:p>
        </w:tc>
        <w:tc>
          <w:tcPr>
            <w:tcW w:w="1417" w:type="dxa"/>
          </w:tcPr>
          <w:p w:rsidR="003A3F09" w:rsidRPr="00175B00" w:rsidRDefault="003A3F09" w:rsidP="003A3F09">
            <w:pPr>
              <w:spacing w:before="60" w:after="60" w:line="220" w:lineRule="atLeast"/>
              <w:jc w:val="center"/>
              <w:rPr>
                <w:rFonts w:ascii="Arial" w:eastAsia="Arial Unicode MS" w:hAnsi="Arial"/>
                <w:sz w:val="16"/>
              </w:rPr>
            </w:pPr>
            <w:r w:rsidRPr="00175B00">
              <w:rPr>
                <w:rFonts w:ascii="Arial" w:eastAsia="Arial Unicode MS" w:hAnsi="Arial"/>
                <w:sz w:val="16"/>
              </w:rPr>
              <w:t>0.06</w:t>
            </w:r>
          </w:p>
        </w:tc>
        <w:tc>
          <w:tcPr>
            <w:tcW w:w="993" w:type="dxa"/>
          </w:tcPr>
          <w:p w:rsidR="003A3F09" w:rsidRPr="00175B00" w:rsidRDefault="003A3F09" w:rsidP="003A3F09">
            <w:pPr>
              <w:spacing w:before="60" w:after="60" w:line="220" w:lineRule="atLeast"/>
              <w:jc w:val="center"/>
              <w:rPr>
                <w:rFonts w:ascii="Arial" w:eastAsia="Arial Unicode MS" w:hAnsi="Arial"/>
                <w:sz w:val="16"/>
              </w:rPr>
            </w:pPr>
            <w:r w:rsidRPr="00175B00">
              <w:rPr>
                <w:rFonts w:ascii="Arial" w:eastAsia="Arial Unicode MS" w:hAnsi="Arial"/>
                <w:sz w:val="16"/>
              </w:rPr>
              <w:t>0.41</w:t>
            </w:r>
          </w:p>
        </w:tc>
        <w:tc>
          <w:tcPr>
            <w:tcW w:w="1457" w:type="dxa"/>
          </w:tcPr>
          <w:p w:rsidR="003A3F09" w:rsidRPr="00175B00" w:rsidRDefault="003A3F09" w:rsidP="003A3F09">
            <w:pPr>
              <w:spacing w:before="60" w:after="60" w:line="220" w:lineRule="atLeast"/>
              <w:jc w:val="center"/>
              <w:rPr>
                <w:rFonts w:ascii="Arial" w:eastAsia="Arial Unicode MS" w:hAnsi="Arial"/>
                <w:sz w:val="16"/>
              </w:rPr>
            </w:pPr>
            <w:r w:rsidRPr="00175B00">
              <w:rPr>
                <w:rFonts w:ascii="Arial" w:eastAsia="Arial Unicode MS" w:hAnsi="Arial"/>
                <w:sz w:val="16"/>
              </w:rPr>
              <w:t>0.05</w:t>
            </w:r>
          </w:p>
        </w:tc>
      </w:tr>
      <w:tr w:rsidR="003A3F09" w:rsidRPr="00175B00" w:rsidTr="003A3F09">
        <w:trPr>
          <w:jc w:val="center"/>
        </w:trPr>
        <w:tc>
          <w:tcPr>
            <w:tcW w:w="2802" w:type="dxa"/>
            <w:tcBorders>
              <w:bottom w:val="single" w:sz="8" w:space="0" w:color="A6A6A6" w:themeColor="background1" w:themeShade="A6"/>
            </w:tcBorders>
          </w:tcPr>
          <w:p w:rsidR="003A3F09" w:rsidRPr="00175B00" w:rsidRDefault="003A3F09" w:rsidP="003A3F09">
            <w:pPr>
              <w:spacing w:before="60" w:after="60" w:line="220" w:lineRule="atLeast"/>
              <w:rPr>
                <w:rFonts w:ascii="Arial" w:eastAsia="Arial Unicode MS" w:hAnsi="Arial"/>
                <w:sz w:val="16"/>
              </w:rPr>
            </w:pPr>
            <w:r w:rsidRPr="00175B00">
              <w:rPr>
                <w:rFonts w:ascii="Arial" w:eastAsia="Arial Unicode MS" w:hAnsi="Arial"/>
                <w:sz w:val="16"/>
              </w:rPr>
              <w:t>10 years – extreme event in year 8</w:t>
            </w:r>
          </w:p>
        </w:tc>
        <w:tc>
          <w:tcPr>
            <w:tcW w:w="992" w:type="dxa"/>
            <w:tcBorders>
              <w:bottom w:val="single" w:sz="8" w:space="0" w:color="A6A6A6" w:themeColor="background1" w:themeShade="A6"/>
            </w:tcBorders>
          </w:tcPr>
          <w:p w:rsidR="003A3F09" w:rsidRPr="00175B00" w:rsidRDefault="003A3F09" w:rsidP="003A3F09">
            <w:pPr>
              <w:spacing w:before="60" w:after="60" w:line="220" w:lineRule="atLeast"/>
              <w:jc w:val="center"/>
              <w:rPr>
                <w:rFonts w:ascii="Arial" w:eastAsia="Arial Unicode MS" w:hAnsi="Arial"/>
                <w:sz w:val="16"/>
              </w:rPr>
            </w:pPr>
            <w:r w:rsidRPr="00175B00">
              <w:rPr>
                <w:rFonts w:ascii="Arial" w:eastAsia="Arial Unicode MS" w:hAnsi="Arial"/>
                <w:sz w:val="16"/>
              </w:rPr>
              <w:t>0.38</w:t>
            </w:r>
          </w:p>
        </w:tc>
        <w:tc>
          <w:tcPr>
            <w:tcW w:w="1417" w:type="dxa"/>
            <w:tcBorders>
              <w:bottom w:val="single" w:sz="8" w:space="0" w:color="A6A6A6" w:themeColor="background1" w:themeShade="A6"/>
            </w:tcBorders>
          </w:tcPr>
          <w:p w:rsidR="003A3F09" w:rsidRPr="00175B00" w:rsidRDefault="003A3F09" w:rsidP="003A3F09">
            <w:pPr>
              <w:spacing w:before="60" w:after="60" w:line="220" w:lineRule="atLeast"/>
              <w:jc w:val="center"/>
              <w:rPr>
                <w:rFonts w:ascii="Arial" w:eastAsia="Arial Unicode MS" w:hAnsi="Arial"/>
                <w:sz w:val="16"/>
              </w:rPr>
            </w:pPr>
            <w:r w:rsidRPr="00175B00">
              <w:rPr>
                <w:rFonts w:ascii="Arial" w:eastAsia="Arial Unicode MS" w:hAnsi="Arial"/>
                <w:sz w:val="16"/>
              </w:rPr>
              <w:t>0.04</w:t>
            </w:r>
          </w:p>
        </w:tc>
        <w:tc>
          <w:tcPr>
            <w:tcW w:w="993" w:type="dxa"/>
            <w:tcBorders>
              <w:bottom w:val="single" w:sz="8" w:space="0" w:color="A6A6A6" w:themeColor="background1" w:themeShade="A6"/>
            </w:tcBorders>
          </w:tcPr>
          <w:p w:rsidR="003A3F09" w:rsidRPr="00175B00" w:rsidRDefault="003A3F09" w:rsidP="003A3F09">
            <w:pPr>
              <w:spacing w:before="60" w:after="60" w:line="220" w:lineRule="atLeast"/>
              <w:jc w:val="center"/>
              <w:rPr>
                <w:rFonts w:ascii="Arial" w:eastAsia="Arial Unicode MS" w:hAnsi="Arial"/>
                <w:sz w:val="16"/>
              </w:rPr>
            </w:pPr>
            <w:r w:rsidRPr="00175B00">
              <w:rPr>
                <w:rFonts w:ascii="Arial" w:eastAsia="Arial Unicode MS" w:hAnsi="Arial"/>
                <w:sz w:val="16"/>
              </w:rPr>
              <w:t>0.24</w:t>
            </w:r>
          </w:p>
        </w:tc>
        <w:tc>
          <w:tcPr>
            <w:tcW w:w="1457" w:type="dxa"/>
            <w:tcBorders>
              <w:bottom w:val="single" w:sz="8" w:space="0" w:color="A6A6A6" w:themeColor="background1" w:themeShade="A6"/>
            </w:tcBorders>
          </w:tcPr>
          <w:p w:rsidR="003A3F09" w:rsidRPr="00175B00" w:rsidRDefault="003A3F09" w:rsidP="003A3F09">
            <w:pPr>
              <w:spacing w:before="60" w:after="60" w:line="220" w:lineRule="atLeast"/>
              <w:jc w:val="center"/>
              <w:rPr>
                <w:rFonts w:ascii="Arial" w:eastAsia="Arial Unicode MS" w:hAnsi="Arial"/>
                <w:sz w:val="16"/>
              </w:rPr>
            </w:pPr>
            <w:r w:rsidRPr="00175B00">
              <w:rPr>
                <w:rFonts w:ascii="Arial" w:eastAsia="Arial Unicode MS" w:hAnsi="Arial"/>
                <w:sz w:val="16"/>
              </w:rPr>
              <w:t>0.02</w:t>
            </w:r>
          </w:p>
        </w:tc>
      </w:tr>
    </w:tbl>
    <w:p w:rsidR="003A3F09" w:rsidRDefault="003A3F09" w:rsidP="003A3F09"/>
    <w:p w:rsidR="00493492" w:rsidRDefault="00493492" w:rsidP="009531F8">
      <w:pPr>
        <w:spacing w:after="240" w:line="220" w:lineRule="atLeast"/>
        <w:jc w:val="center"/>
        <w:rPr>
          <w:rFonts w:ascii="Arial" w:hAnsi="Arial"/>
          <w:bCs/>
          <w:noProof/>
          <w:sz w:val="18"/>
          <w:szCs w:val="18"/>
          <w:lang w:val="en-US"/>
        </w:rPr>
        <w:sectPr w:rsidR="00493492" w:rsidSect="00224F8A">
          <w:pgSz w:w="11906" w:h="16838" w:code="9"/>
          <w:pgMar w:top="1440" w:right="1440" w:bottom="1440" w:left="1440" w:header="1080" w:footer="835" w:gutter="0"/>
          <w:cols w:space="360"/>
          <w:noEndnote/>
          <w:docGrid w:linePitch="299"/>
        </w:sectPr>
      </w:pPr>
    </w:p>
    <w:p w:rsidR="003A3F09" w:rsidRPr="00E94981" w:rsidRDefault="003A3F09" w:rsidP="009531F8">
      <w:pPr>
        <w:spacing w:after="240" w:line="220" w:lineRule="atLeast"/>
        <w:jc w:val="center"/>
        <w:rPr>
          <w:rFonts w:ascii="Arial" w:hAnsi="Arial"/>
          <w:bCs/>
          <w:noProof/>
          <w:sz w:val="18"/>
          <w:szCs w:val="18"/>
          <w:lang w:val="en-US"/>
        </w:rPr>
      </w:pPr>
    </w:p>
    <w:p w:rsidR="001C25F0" w:rsidRDefault="009531F8" w:rsidP="00493492">
      <w:pPr>
        <w:spacing w:line="260" w:lineRule="atLeast"/>
        <w:jc w:val="center"/>
        <w:rPr>
          <w:rFonts w:ascii="Arial" w:hAnsi="Arial"/>
          <w:bCs/>
          <w:noProof/>
          <w:sz w:val="18"/>
          <w:szCs w:val="18"/>
          <w:lang w:val="en-US"/>
        </w:rPr>
      </w:pPr>
      <w:r w:rsidRPr="00175B00">
        <w:rPr>
          <w:noProof/>
          <w:sz w:val="22"/>
          <w:lang w:eastAsia="en-AU"/>
        </w:rPr>
        <w:drawing>
          <wp:inline distT="0" distB="0" distL="0" distR="0">
            <wp:extent cx="4857750" cy="3324225"/>
            <wp:effectExtent l="0" t="0" r="0" b="0"/>
            <wp:docPr id="298"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73"/>
              </a:graphicData>
            </a:graphic>
          </wp:inline>
        </w:drawing>
      </w:r>
      <w:r w:rsidR="001063BF">
        <w:rPr>
          <w:sz w:val="22"/>
          <w:lang w:val="en-US"/>
        </w:rPr>
        <w:br/>
      </w:r>
      <w:r w:rsidRPr="00E94981">
        <w:rPr>
          <w:rFonts w:ascii="Arial" w:hAnsi="Arial"/>
          <w:b/>
          <w:bCs/>
          <w:noProof/>
          <w:sz w:val="18"/>
          <w:szCs w:val="18"/>
          <w:lang w:val="en-US"/>
        </w:rPr>
        <w:t>Figure 3</w:t>
      </w:r>
      <w:r w:rsidRPr="00E94981">
        <w:rPr>
          <w:rFonts w:ascii="Arial" w:hAnsi="Arial"/>
          <w:bCs/>
          <w:noProof/>
          <w:sz w:val="18"/>
          <w:szCs w:val="18"/>
          <w:lang w:val="en-US"/>
        </w:rPr>
        <w:t xml:space="preserve">  Comparison of modelled cumulative bedload </w:t>
      </w:r>
      <w:r w:rsidRPr="00E94981">
        <w:rPr>
          <w:rFonts w:ascii="Arial" w:hAnsi="Arial"/>
          <w:noProof/>
          <w:sz w:val="18"/>
          <w:szCs w:val="18"/>
          <w:lang w:val="en-US"/>
        </w:rPr>
        <w:t xml:space="preserve">(blue broken line) </w:t>
      </w:r>
      <w:r w:rsidRPr="00E94981">
        <w:rPr>
          <w:rFonts w:ascii="Arial" w:hAnsi="Arial"/>
          <w:bCs/>
          <w:noProof/>
          <w:sz w:val="18"/>
          <w:szCs w:val="18"/>
          <w:lang w:val="en-US"/>
        </w:rPr>
        <w:t xml:space="preserve">and field-measured cumulative bedload </w:t>
      </w:r>
      <w:r w:rsidRPr="00E94981">
        <w:rPr>
          <w:rFonts w:ascii="Arial" w:hAnsi="Arial"/>
          <w:noProof/>
          <w:sz w:val="18"/>
          <w:szCs w:val="18"/>
          <w:lang w:val="en-US"/>
        </w:rPr>
        <w:t xml:space="preserve">(red solid line) </w:t>
      </w:r>
      <w:r w:rsidRPr="00E94981">
        <w:rPr>
          <w:rFonts w:ascii="Arial" w:hAnsi="Arial"/>
          <w:bCs/>
          <w:noProof/>
          <w:sz w:val="18"/>
          <w:szCs w:val="18"/>
          <w:lang w:val="en-US"/>
        </w:rPr>
        <w:t>yield for Plot 2.</w:t>
      </w:r>
    </w:p>
    <w:p w:rsidR="00950441" w:rsidRDefault="00950441" w:rsidP="006A04DE">
      <w:pPr>
        <w:pStyle w:val="tablecaption"/>
        <w:jc w:val="center"/>
        <w:rPr>
          <w:b/>
        </w:rPr>
      </w:pPr>
    </w:p>
    <w:p w:rsidR="00493492" w:rsidRPr="00493492" w:rsidRDefault="00493492" w:rsidP="00493492"/>
    <w:p w:rsidR="009531F8" w:rsidRDefault="009531F8" w:rsidP="009531F8">
      <w:r w:rsidRPr="00401E44">
        <w:t xml:space="preserve">The introduction of an extreme event (utilising the rainfall from February 2007) at the beginning of year 3 and toward the end of the simulation period is shown in Figures 4 and 5 respectively. All simulations for both plots show a sediment exhaustion effect well before the end of the 10 years, regardless of the presence or timing of the extreme event.  </w:t>
      </w:r>
    </w:p>
    <w:p w:rsidR="006A04DE" w:rsidRPr="00401E44" w:rsidRDefault="006A04DE" w:rsidP="009531F8"/>
    <w:p w:rsidR="009531F8" w:rsidRDefault="009531F8" w:rsidP="009531F8">
      <w:pPr>
        <w:pStyle w:val="figurecaption"/>
        <w:rPr>
          <w:b/>
        </w:rPr>
      </w:pPr>
      <w:r w:rsidRPr="00070604">
        <w:rPr>
          <w:rFonts w:cs="Arial"/>
          <w:b/>
          <w:noProof/>
          <w:sz w:val="24"/>
          <w:szCs w:val="28"/>
          <w:lang w:eastAsia="en-AU"/>
        </w:rPr>
        <w:drawing>
          <wp:inline distT="0" distB="0" distL="0" distR="0">
            <wp:extent cx="4732020" cy="2988164"/>
            <wp:effectExtent l="0" t="0" r="0" b="0"/>
            <wp:docPr id="299"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74"/>
              </a:graphicData>
            </a:graphic>
          </wp:inline>
        </w:drawing>
      </w:r>
    </w:p>
    <w:p w:rsidR="00493492" w:rsidRDefault="009531F8" w:rsidP="009531F8">
      <w:pPr>
        <w:pStyle w:val="figurecaption"/>
        <w:sectPr w:rsidR="00493492" w:rsidSect="00224F8A">
          <w:pgSz w:w="11906" w:h="16838" w:code="9"/>
          <w:pgMar w:top="1440" w:right="1440" w:bottom="1440" w:left="1440" w:header="1080" w:footer="835" w:gutter="0"/>
          <w:cols w:space="360"/>
          <w:noEndnote/>
          <w:docGrid w:linePitch="299"/>
        </w:sectPr>
      </w:pPr>
      <w:r>
        <w:rPr>
          <w:b/>
        </w:rPr>
        <w:t>Fig</w:t>
      </w:r>
      <w:r w:rsidRPr="0059097A">
        <w:rPr>
          <w:b/>
        </w:rPr>
        <w:t xml:space="preserve">ure </w:t>
      </w:r>
      <w:r>
        <w:rPr>
          <w:b/>
        </w:rPr>
        <w:t>4</w:t>
      </w:r>
      <w:r w:rsidRPr="0059097A">
        <w:t xml:space="preserve"> 10 year simulation for Plot 2 with the extreme rain event after 3 years.</w:t>
      </w:r>
    </w:p>
    <w:p w:rsidR="009531F8" w:rsidRPr="0059097A" w:rsidRDefault="009531F8" w:rsidP="009531F8">
      <w:pPr>
        <w:pStyle w:val="figurecaption"/>
      </w:pPr>
    </w:p>
    <w:p w:rsidR="009531F8" w:rsidRDefault="009531F8" w:rsidP="009531F8">
      <w:pPr>
        <w:pStyle w:val="figurecaption"/>
      </w:pPr>
      <w:r w:rsidRPr="00070604">
        <w:rPr>
          <w:noProof/>
          <w:lang w:eastAsia="en-AU"/>
        </w:rPr>
        <w:drawing>
          <wp:inline distT="0" distB="0" distL="0" distR="0">
            <wp:extent cx="4352925" cy="2781300"/>
            <wp:effectExtent l="0" t="0" r="0" b="0"/>
            <wp:docPr id="300"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75"/>
              </a:graphicData>
            </a:graphic>
          </wp:inline>
        </w:drawing>
      </w:r>
    </w:p>
    <w:p w:rsidR="009531F8" w:rsidRDefault="009531F8" w:rsidP="009531F8">
      <w:pPr>
        <w:pStyle w:val="figurecaption"/>
      </w:pPr>
      <w:r w:rsidRPr="0059097A">
        <w:rPr>
          <w:b/>
        </w:rPr>
        <w:t xml:space="preserve">Figure </w:t>
      </w:r>
      <w:r>
        <w:rPr>
          <w:b/>
        </w:rPr>
        <w:t>5</w:t>
      </w:r>
      <w:r w:rsidRPr="0059097A">
        <w:t xml:space="preserve"> 10 year simulation for Plot 2 with the extreme rain event after 8 years.</w:t>
      </w:r>
    </w:p>
    <w:p w:rsidR="003A3F09" w:rsidRPr="003A3F09" w:rsidRDefault="003A3F09" w:rsidP="003A3F09"/>
    <w:p w:rsidR="009531F8" w:rsidRPr="00BC11F0" w:rsidRDefault="009531F8" w:rsidP="00397360">
      <w:pPr>
        <w:pStyle w:val="Heading2"/>
      </w:pPr>
      <w:r w:rsidRPr="00BC11F0">
        <w:t xml:space="preserve">Conclusions and </w:t>
      </w:r>
      <w:r w:rsidRPr="009531F8">
        <w:t>future</w:t>
      </w:r>
      <w:r w:rsidRPr="00BC11F0">
        <w:t xml:space="preserve"> work</w:t>
      </w:r>
    </w:p>
    <w:p w:rsidR="009531F8" w:rsidRPr="00401E44" w:rsidRDefault="009531F8" w:rsidP="009531F8">
      <w:r w:rsidRPr="00401E44">
        <w:t xml:space="preserve">The predicted bedload yields from the </w:t>
      </w:r>
      <w:r w:rsidRPr="00401E44">
        <w:rPr>
          <w:i/>
        </w:rPr>
        <w:t>CAESAR-Lisflood</w:t>
      </w:r>
      <w:r w:rsidRPr="00401E44">
        <w:t xml:space="preserve"> s</w:t>
      </w:r>
      <w:r w:rsidR="006A04DE">
        <w:t>imulation for the period 2009–</w:t>
      </w:r>
      <w:r w:rsidRPr="00401E44">
        <w:t xml:space="preserve">13 demonstrate an excellent correspondence with the field measurements for the same period for both Plots 1 and 2. </w:t>
      </w:r>
      <w:r w:rsidR="006A04DE">
        <w:t>For the first two years (2009–</w:t>
      </w:r>
      <w:r w:rsidRPr="00401E44">
        <w:t xml:space="preserve">11), measured cumulative bedload from Plot 1 (Figure 2) was slightly higher than the predicted cumulative bedload. However, at the start of the 2011–12 water </w:t>
      </w:r>
      <w:proofErr w:type="gramStart"/>
      <w:r w:rsidRPr="00401E44">
        <w:t>year</w:t>
      </w:r>
      <w:proofErr w:type="gramEnd"/>
      <w:r w:rsidRPr="00401E44">
        <w:t>, a spike in predicted bedload yield occurred, which exceeds the measured bedload. This is attributed to a manual (as opposed to automatic) modification in the proportion of the larger particle sizes used in the simulation.  This represented an attempt to manually introduce a weathering function into the</w:t>
      </w:r>
      <w:r w:rsidRPr="00401E44">
        <w:rPr>
          <w:i/>
        </w:rPr>
        <w:t xml:space="preserve"> CAESAR-Lisflood </w:t>
      </w:r>
      <w:r w:rsidRPr="00401E44">
        <w:t>model. The effect of this was to produce a final predicted bedload yield which is approximately 3% greater than the final measured bedload yield. The similarity between the final predicted and measured bedload yields provides encouragement that the model is able to predict bedload from a rehabilitated surface. For Plot 2 (Figure 3), the predicted bedload generally compares well with the measured bedload. Compared to Plot 1, the predicted bedload is less than the measured throughout the simulated period. However, at the end of the simulation period, the total bedload yield of both the predicted and measured datasets are very similar – within 7% of each other.</w:t>
      </w:r>
    </w:p>
    <w:p w:rsidR="009531F8" w:rsidRPr="00401E44" w:rsidRDefault="009531F8" w:rsidP="006A04DE">
      <w:r w:rsidRPr="00401E44">
        <w:t>The denudation rates for Plots 1 and 2 are 0.07 mm yr</w:t>
      </w:r>
      <w:r w:rsidRPr="00401E44">
        <w:rPr>
          <w:snapToGrid w:val="0"/>
          <w:color w:val="000000"/>
          <w:position w:val="5"/>
          <w:u w:color="000000"/>
        </w:rPr>
        <w:t>-1</w:t>
      </w:r>
      <w:r w:rsidRPr="00401E44">
        <w:t xml:space="preserve"> and 0.06 mm yr</w:t>
      </w:r>
      <w:r w:rsidRPr="00401E44">
        <w:rPr>
          <w:snapToGrid w:val="0"/>
          <w:color w:val="000000"/>
          <w:position w:val="5"/>
          <w:u w:color="000000"/>
        </w:rPr>
        <w:t>-1</w:t>
      </w:r>
      <w:r w:rsidRPr="00401E44">
        <w:t>, respectively, over a simulated period of four years. These are higher than the published rates (0.01 – 0.04 mm yr</w:t>
      </w:r>
      <w:r w:rsidRPr="00401E44">
        <w:rPr>
          <w:snapToGrid w:val="0"/>
          <w:color w:val="000000"/>
          <w:position w:val="5"/>
          <w:u w:color="000000"/>
        </w:rPr>
        <w:t>-1</w:t>
      </w:r>
      <w:r w:rsidRPr="00401E44">
        <w:t>) of natural denudation for the region</w:t>
      </w:r>
      <w:r>
        <w:t xml:space="preserve"> (Cull et al</w:t>
      </w:r>
      <w:r w:rsidR="006A04DE">
        <w:t>.</w:t>
      </w:r>
      <w:r>
        <w:t xml:space="preserve"> 1992, Erskine </w:t>
      </w:r>
      <w:r w:rsidR="00301D5F">
        <w:t>&amp;</w:t>
      </w:r>
      <w:r>
        <w:t xml:space="preserve"> Saynor 2000)</w:t>
      </w:r>
      <w:r w:rsidRPr="00401E44">
        <w:t>. However, it must be noted that the latter were determined from a range of catchments of different size. In this study, each plot represented a closed catchment of approximately 900 m</w:t>
      </w:r>
      <w:r w:rsidRPr="006A04DE">
        <w:rPr>
          <w:vertAlign w:val="superscript"/>
        </w:rPr>
        <w:t>2</w:t>
      </w:r>
      <w:r w:rsidRPr="00401E44">
        <w:t xml:space="preserve"> with little initial vegetation cover and freshly exposed unweathered waste rock. When extended to a simulated period of 10 years, the predicted denudation rates for both plots matched the published rates. </w:t>
      </w:r>
    </w:p>
    <w:p w:rsidR="009531F8" w:rsidRPr="00401E44" w:rsidRDefault="009531F8" w:rsidP="006A04DE">
      <w:r w:rsidRPr="00401E44">
        <w:t xml:space="preserve">Several caveats need to be placed on the results produced to date. Foremost is recognition that the simulations have modelled an ‘idealised’ environment. Specifically, the erosion plots are located on a uniformly gently sloping (2%) surface that represents only a component, albeit a substantial fraction, of the total area of the proposed rehabilitated landform. In addition, the roles of vegetation or fire were not considered in the simulations. Similarly, the study plots are closed catchments, with no capacity to recharge or replenish the material within the plot. </w:t>
      </w:r>
    </w:p>
    <w:p w:rsidR="009531F8" w:rsidRPr="009531F8" w:rsidRDefault="009531F8" w:rsidP="009531F8">
      <w:pPr>
        <w:rPr>
          <w:lang w:val="en-US"/>
        </w:rPr>
      </w:pPr>
      <w:r w:rsidRPr="00401E44">
        <w:t xml:space="preserve">Previous studies have </w:t>
      </w:r>
      <w:r w:rsidR="005805F5">
        <w:t>focused</w:t>
      </w:r>
      <w:r w:rsidRPr="00401E44">
        <w:t xml:space="preserve"> on collecting field data to enable the parameterisation of specific LEM applications (i.e. SIBERIA). Currently, field data are being collected on a stand-alone basis and can be used to support a range of model applications. In this case, field measurements closely match predicted outputs of the CAESAR model, thereby validating model results over the period of field collection. The development of a weathering module to incorporate into the </w:t>
      </w:r>
      <w:r w:rsidRPr="00401E44">
        <w:rPr>
          <w:i/>
        </w:rPr>
        <w:t>CAESAR-Lisflood</w:t>
      </w:r>
      <w:r w:rsidRPr="00401E44">
        <w:t xml:space="preserve"> model will provide increased confidence in the ability of </w:t>
      </w:r>
      <w:r w:rsidRPr="00401E44">
        <w:rPr>
          <w:i/>
        </w:rPr>
        <w:t>CAESAR-Lisflood</w:t>
      </w:r>
      <w:r w:rsidRPr="00401E44">
        <w:t xml:space="preserve"> to predict the long-term stability of a rehabilitated landform.</w:t>
      </w:r>
    </w:p>
    <w:p w:rsidR="009531F8" w:rsidRPr="00BC11F0" w:rsidRDefault="009531F8" w:rsidP="00397360">
      <w:pPr>
        <w:pStyle w:val="Heading2"/>
      </w:pPr>
      <w:r w:rsidRPr="009531F8">
        <w:t>References</w:t>
      </w:r>
    </w:p>
    <w:p w:rsidR="009531F8" w:rsidRPr="000234A7" w:rsidRDefault="009531F8" w:rsidP="006A04DE">
      <w:pPr>
        <w:pStyle w:val="referencelist1"/>
      </w:pPr>
      <w:r w:rsidRPr="000234A7">
        <w:t>Cull R, Hancock G, Johnston A, Martin P, Marten R, Murr</w:t>
      </w:r>
      <w:r>
        <w:t>a</w:t>
      </w:r>
      <w:r w:rsidRPr="000234A7">
        <w:t xml:space="preserve"> AS, Pfitzner J, Warner RF and Wasson RJ 1992. Past, present and future sedimentation on the Magela plain and its catchment, in </w:t>
      </w:r>
      <w:r w:rsidRPr="000234A7">
        <w:rPr>
          <w:i/>
        </w:rPr>
        <w:t>Modern Sedimentation and Late Quaternary Evolution of the Magela Plain</w:t>
      </w:r>
      <w:r w:rsidR="00534305">
        <w:t xml:space="preserve"> (ed</w:t>
      </w:r>
      <w:r w:rsidR="00674CAF">
        <w:t>.</w:t>
      </w:r>
      <w:r w:rsidR="00534305">
        <w:t xml:space="preserve"> R J Wasson), pp</w:t>
      </w:r>
      <w:r w:rsidRPr="000234A7">
        <w:t xml:space="preserve"> 226–268, Supervising Scientist for the Alligator Rivers Region Research Report 6, AGPS, Canberra.</w:t>
      </w:r>
    </w:p>
    <w:p w:rsidR="009531F8" w:rsidRDefault="009531F8" w:rsidP="006A04DE">
      <w:pPr>
        <w:pStyle w:val="referencelist1"/>
      </w:pPr>
      <w:r w:rsidRPr="000234A7">
        <w:t xml:space="preserve">Coulthard TJ, Kirkby MJ &amp; Macklin MG 2000. </w:t>
      </w:r>
      <w:proofErr w:type="gramStart"/>
      <w:r w:rsidRPr="000234A7">
        <w:t xml:space="preserve">Modelling geomorphic response to environmental change in an upland </w:t>
      </w:r>
      <w:r w:rsidRPr="009531F8">
        <w:rPr>
          <w:szCs w:val="22"/>
        </w:rPr>
        <w:t>catchment</w:t>
      </w:r>
      <w:r w:rsidRPr="000234A7">
        <w:t xml:space="preserve">, </w:t>
      </w:r>
      <w:r w:rsidRPr="000234A7">
        <w:rPr>
          <w:i/>
        </w:rPr>
        <w:t>Hydrological Processes</w:t>
      </w:r>
      <w:r w:rsidRPr="000234A7">
        <w:t>, 14, 2031–2045.</w:t>
      </w:r>
      <w:proofErr w:type="gramEnd"/>
    </w:p>
    <w:p w:rsidR="009531F8" w:rsidRPr="000234A7" w:rsidRDefault="009531F8" w:rsidP="006A04DE">
      <w:pPr>
        <w:pStyle w:val="referencelist1"/>
      </w:pPr>
      <w:r w:rsidRPr="00DD3059">
        <w:rPr>
          <w:lang w:eastAsia="en-AU"/>
        </w:rPr>
        <w:t>Coulthard TJ, Neal</w:t>
      </w:r>
      <w:r>
        <w:rPr>
          <w:lang w:eastAsia="en-AU"/>
        </w:rPr>
        <w:t xml:space="preserve"> </w:t>
      </w:r>
      <w:r w:rsidRPr="00DD3059">
        <w:rPr>
          <w:lang w:eastAsia="en-AU"/>
        </w:rPr>
        <w:t xml:space="preserve">JC, Bates </w:t>
      </w:r>
      <w:r>
        <w:rPr>
          <w:lang w:eastAsia="en-AU"/>
        </w:rPr>
        <w:t>P</w:t>
      </w:r>
      <w:r w:rsidRPr="00DD3059">
        <w:rPr>
          <w:lang w:eastAsia="en-AU"/>
        </w:rPr>
        <w:t xml:space="preserve">D, Ramirez J, de Almeida GAM </w:t>
      </w:r>
      <w:r w:rsidR="00301D5F">
        <w:rPr>
          <w:lang w:eastAsia="en-AU"/>
        </w:rPr>
        <w:t>&amp;</w:t>
      </w:r>
      <w:r w:rsidRPr="00DD3059">
        <w:rPr>
          <w:lang w:eastAsia="en-AU"/>
        </w:rPr>
        <w:t xml:space="preserve"> Hancock GR 2013. </w:t>
      </w:r>
      <w:proofErr w:type="gramStart"/>
      <w:r w:rsidRPr="00DD3059">
        <w:rPr>
          <w:lang w:eastAsia="en-AU"/>
        </w:rPr>
        <w:t xml:space="preserve">Integrating the LISFLOOD-FP 2D </w:t>
      </w:r>
      <w:r w:rsidRPr="009531F8">
        <w:rPr>
          <w:szCs w:val="22"/>
        </w:rPr>
        <w:t>hydrodynamic</w:t>
      </w:r>
      <w:r w:rsidRPr="00DD3059">
        <w:rPr>
          <w:lang w:eastAsia="en-AU"/>
        </w:rPr>
        <w:t xml:space="preserve"> model with the CAESAR model: implications for modelling landscape evolution.</w:t>
      </w:r>
      <w:proofErr w:type="gramEnd"/>
      <w:r w:rsidRPr="00DD3059">
        <w:rPr>
          <w:lang w:eastAsia="en-AU"/>
        </w:rPr>
        <w:t xml:space="preserve"> </w:t>
      </w:r>
      <w:r w:rsidRPr="00DD3059">
        <w:rPr>
          <w:i/>
          <w:lang w:eastAsia="en-AU"/>
        </w:rPr>
        <w:t>Earth Surface Processes and Landforms</w:t>
      </w:r>
      <w:r w:rsidRPr="00DD3059">
        <w:rPr>
          <w:lang w:eastAsia="en-AU"/>
        </w:rPr>
        <w:t xml:space="preserve">, DOI: 10.1002/esp.3478 </w:t>
      </w:r>
    </w:p>
    <w:p w:rsidR="009531F8" w:rsidRDefault="009531F8" w:rsidP="006A04DE">
      <w:pPr>
        <w:pStyle w:val="referencelist1"/>
      </w:pPr>
      <w:proofErr w:type="gramStart"/>
      <w:r w:rsidRPr="000234A7">
        <w:t xml:space="preserve">Erskine WD </w:t>
      </w:r>
      <w:r>
        <w:t>&amp;</w:t>
      </w:r>
      <w:r w:rsidRPr="000234A7">
        <w:t xml:space="preserve"> Saynor MJ 2000.</w:t>
      </w:r>
      <w:proofErr w:type="gramEnd"/>
      <w:r w:rsidRPr="000234A7">
        <w:t xml:space="preserve"> </w:t>
      </w:r>
      <w:proofErr w:type="gramStart"/>
      <w:r w:rsidRPr="000234A7">
        <w:t>Assessment of the off-site geomorphic impacts of uranium mining on Magela Creek, Northern Territory, Australia, Supervising Scientist Report 156, Supervising Scientist, Darwin.</w:t>
      </w:r>
      <w:proofErr w:type="gramEnd"/>
      <w:r w:rsidRPr="000234A7">
        <w:t xml:space="preserve"> </w:t>
      </w:r>
    </w:p>
    <w:p w:rsidR="009531F8" w:rsidRPr="004E6332" w:rsidRDefault="009531F8" w:rsidP="004E6332">
      <w:pPr>
        <w:pStyle w:val="referencelist1"/>
      </w:pPr>
      <w:proofErr w:type="gramStart"/>
      <w:r w:rsidRPr="00A10042">
        <w:t>Lowry JBC, Coulthard TJ, Hancock GR &amp; Jones DR 2011.</w:t>
      </w:r>
      <w:proofErr w:type="gramEnd"/>
      <w:r w:rsidRPr="00A10042">
        <w:t xml:space="preserve"> </w:t>
      </w:r>
      <w:proofErr w:type="gramStart"/>
      <w:r w:rsidRPr="00A10042">
        <w:t>Assessing soil erosion on a rehabilitated landform using the CAESAR landscape evolution model.</w:t>
      </w:r>
      <w:proofErr w:type="gramEnd"/>
      <w:r w:rsidRPr="00A10042">
        <w:t xml:space="preserve"> </w:t>
      </w:r>
      <w:proofErr w:type="gramStart"/>
      <w:r w:rsidRPr="00A10042">
        <w:t xml:space="preserve">In </w:t>
      </w:r>
      <w:r w:rsidRPr="00A10042">
        <w:rPr>
          <w:i/>
        </w:rPr>
        <w:t>Mine Closure 2011.</w:t>
      </w:r>
      <w:proofErr w:type="gramEnd"/>
      <w:r w:rsidRPr="00A10042">
        <w:rPr>
          <w:i/>
        </w:rPr>
        <w:t xml:space="preserve"> Proceedings of the 6</w:t>
      </w:r>
      <w:r w:rsidRPr="00A10042">
        <w:rPr>
          <w:i/>
          <w:vertAlign w:val="superscript"/>
        </w:rPr>
        <w:t>th</w:t>
      </w:r>
      <w:r w:rsidRPr="00A10042">
        <w:rPr>
          <w:i/>
        </w:rPr>
        <w:t xml:space="preserve"> International Conference on Mine Closure</w:t>
      </w:r>
      <w:r w:rsidRPr="00A10042">
        <w:t>, eds Fourie AB, Tibbett M &amp; Beersing A, Australian Centre for Geomechanics, Perth, 613–621.</w:t>
      </w:r>
    </w:p>
    <w:p w:rsidR="009531F8" w:rsidRDefault="009531F8" w:rsidP="006A04DE">
      <w:pPr>
        <w:pStyle w:val="referencelist1"/>
      </w:pPr>
      <w:proofErr w:type="gramStart"/>
      <w:r>
        <w:t>Lowry J, Saynor M, Erskine W, Coulthard T &amp; Hancock G 2014.</w:t>
      </w:r>
      <w:proofErr w:type="gramEnd"/>
      <w:r>
        <w:t xml:space="preserve"> A multi-year assessment of landform evolution predictions for a trial rehabilitated landform. Life of Mine Conference, Brisbane Qu</w:t>
      </w:r>
      <w:r w:rsidR="006A04DE">
        <w:t>eensland 16–18 July 2014, pp 67–</w:t>
      </w:r>
      <w:r>
        <w:t>80.</w:t>
      </w:r>
    </w:p>
    <w:p w:rsidR="009531F8" w:rsidRPr="004E6332" w:rsidRDefault="009531F8" w:rsidP="006A04DE">
      <w:pPr>
        <w:pStyle w:val="referencelist1"/>
      </w:pPr>
      <w:r w:rsidRPr="000234A7">
        <w:t>Saynor MJ &amp; Houghton R 2011 Ranger trial landform: particle size of surface material samples in 2009 with additional observations in 2010.</w:t>
      </w:r>
      <w:r w:rsidRPr="004E6332">
        <w:t xml:space="preserve"> Internal Report 596, Supervising Scientist, Darwin.</w:t>
      </w:r>
    </w:p>
    <w:p w:rsidR="00DD67CD" w:rsidRDefault="009531F8" w:rsidP="006A04DE">
      <w:pPr>
        <w:pStyle w:val="referencelist1"/>
        <w:rPr>
          <w:lang w:eastAsia="en-AU"/>
        </w:rPr>
        <w:sectPr w:rsidR="00DD67CD" w:rsidSect="00224F8A">
          <w:pgSz w:w="11906" w:h="16838" w:code="9"/>
          <w:pgMar w:top="1440" w:right="1440" w:bottom="1440" w:left="1440" w:header="1080" w:footer="835" w:gutter="0"/>
          <w:cols w:space="360"/>
          <w:noEndnote/>
          <w:docGrid w:linePitch="299"/>
        </w:sectPr>
      </w:pPr>
      <w:r w:rsidRPr="000234A7">
        <w:rPr>
          <w:lang w:eastAsia="en-AU"/>
        </w:rPr>
        <w:t xml:space="preserve">Saynor MJ, Lowry J, Erskine WD, </w:t>
      </w:r>
      <w:r w:rsidRPr="009531F8">
        <w:rPr>
          <w:szCs w:val="22"/>
        </w:rPr>
        <w:t>Coulthard</w:t>
      </w:r>
      <w:r w:rsidRPr="000234A7">
        <w:rPr>
          <w:lang w:eastAsia="en-AU"/>
        </w:rPr>
        <w:t xml:space="preserve"> T, Hancock G, Jones D &amp; Lu P 2012. Assessing erosion and run-off performance of a trial rehabilitated mining landform. Life of Mine Conference, Brisbane Queensland 10–12 July 2012.</w:t>
      </w:r>
    </w:p>
    <w:p w:rsidR="00085B9C" w:rsidRDefault="00354A14" w:rsidP="008F3FE2">
      <w:pPr>
        <w:pStyle w:val="Heading1"/>
      </w:pPr>
      <w:bookmarkStart w:id="217" w:name="_Toc401910190"/>
      <w:bookmarkStart w:id="218" w:name="_Toc409772815"/>
      <w:bookmarkStart w:id="219" w:name="_Toc418172714"/>
      <w:bookmarkStart w:id="220" w:name="_Toc372540206"/>
      <w:r>
        <w:t>Use of slackwater d</w:t>
      </w:r>
      <w:r w:rsidR="00085B9C">
        <w:t xml:space="preserve">eposits and other forms of geologic evidence to determine the number, magnitude and frequency of palaeofloods in the </w:t>
      </w:r>
      <w:r w:rsidR="00085B9C" w:rsidRPr="00C42FB2">
        <w:t>Alligator Rivers Regio</w:t>
      </w:r>
      <w:bookmarkEnd w:id="217"/>
      <w:bookmarkEnd w:id="218"/>
      <w:r>
        <w:t>n</w:t>
      </w:r>
      <w:bookmarkEnd w:id="219"/>
      <w:r w:rsidR="00085B9C">
        <w:t xml:space="preserve"> </w:t>
      </w:r>
      <w:bookmarkEnd w:id="220"/>
    </w:p>
    <w:p w:rsidR="008F3FE2" w:rsidRPr="008F3FE2" w:rsidRDefault="00692377" w:rsidP="008F3FE2">
      <w:pPr>
        <w:pStyle w:val="Heading3"/>
        <w:spacing w:after="480"/>
        <w:jc w:val="center"/>
      </w:pPr>
      <w:r>
        <w:t>M Saynor &amp; W Erskine</w:t>
      </w:r>
      <w:r>
        <w:rPr>
          <w:rStyle w:val="FootnoteReference"/>
        </w:rPr>
        <w:footnoteReference w:id="9"/>
      </w:r>
      <w:r w:rsidR="00E46DC0" w:rsidRPr="00E46DC0">
        <w:rPr>
          <w:snapToGrid w:val="0"/>
          <w:color w:val="000000"/>
          <w:position w:val="6"/>
          <w:sz w:val="17"/>
          <w:szCs w:val="0"/>
          <w:u w:color="000000"/>
        </w:rPr>
        <w:t>,</w:t>
      </w:r>
      <w:r>
        <w:rPr>
          <w:rStyle w:val="FootnoteReference"/>
        </w:rPr>
        <w:footnoteReference w:id="10"/>
      </w:r>
    </w:p>
    <w:p w:rsidR="00085B9C" w:rsidRDefault="00085B9C" w:rsidP="00506065">
      <w:pPr>
        <w:pStyle w:val="Heading2"/>
      </w:pPr>
      <w:r>
        <w:t>Background</w:t>
      </w:r>
    </w:p>
    <w:p w:rsidR="00085B9C" w:rsidRDefault="00085B9C" w:rsidP="00085B9C">
      <w:r>
        <w:t>The stability of the p</w:t>
      </w:r>
      <w:r w:rsidRPr="00542998">
        <w:t xml:space="preserve">roposed rehabilitated Ranger landform </w:t>
      </w:r>
      <w:r>
        <w:t xml:space="preserve">over </w:t>
      </w:r>
      <w:r w:rsidRPr="00542998">
        <w:t xml:space="preserve">a period of 10,000 </w:t>
      </w:r>
      <w:r>
        <w:t xml:space="preserve">years (Refer to KKN 2.2.4 – Geomorphic stability of the Ranger landform) will be assessed </w:t>
      </w:r>
      <w:r w:rsidRPr="00542998">
        <w:t xml:space="preserve">using the </w:t>
      </w:r>
      <w:r w:rsidRPr="003A10B5">
        <w:rPr>
          <w:i/>
        </w:rPr>
        <w:t xml:space="preserve">CAESAR-Lisflood </w:t>
      </w:r>
      <w:r>
        <w:t>and SIBERIA</w:t>
      </w:r>
      <w:r w:rsidRPr="00542998">
        <w:t xml:space="preserve"> landscape evolution model</w:t>
      </w:r>
      <w:r>
        <w:t xml:space="preserve">s. There are various inputs into the models including extreme rainfall and floods. </w:t>
      </w:r>
      <w:r w:rsidRPr="001E0174">
        <w:t xml:space="preserve">To undertake the landform evolution modelling, it is essential that the number, magnitude and frequency of palaeofloods </w:t>
      </w:r>
      <w:r>
        <w:t xml:space="preserve">in the Alligator Rivers Region (ARR) </w:t>
      </w:r>
      <w:r w:rsidRPr="001E0174">
        <w:t>larger than the largest historical event</w:t>
      </w:r>
      <w:r>
        <w:t>s</w:t>
      </w:r>
      <w:r w:rsidRPr="001E0174">
        <w:t xml:space="preserve"> that have occurred during the last 7000 years since sea level has been </w:t>
      </w:r>
      <w:r>
        <w:t xml:space="preserve">relatively </w:t>
      </w:r>
      <w:r w:rsidRPr="001E0174">
        <w:t>stable (Woodroffe et al</w:t>
      </w:r>
      <w:r w:rsidR="003A10B5">
        <w:t>.</w:t>
      </w:r>
      <w:r w:rsidRPr="001E0174">
        <w:t xml:space="preserve"> 1987) are known. </w:t>
      </w:r>
      <w:r>
        <w:t>Climate change has also been minor during this period.</w:t>
      </w:r>
    </w:p>
    <w:p w:rsidR="00085B9C" w:rsidRDefault="00085B9C" w:rsidP="00085B9C">
      <w:pPr>
        <w:rPr>
          <w:szCs w:val="22"/>
        </w:rPr>
      </w:pPr>
      <w:r>
        <w:rPr>
          <w:szCs w:val="22"/>
        </w:rPr>
        <w:t>Palaeoflood hydrology was defined by Baker (1987a, page 79) as “the study of ancient floods which occurred prior to the time of human observation or direct measurements by modern hydrologic procedures”. This technique allows the estimates of flood magnitude and frequency to be made for actual events that have occurred during a period of essentially constant climate, provided that these palaeofloods have left a record of flood magnitude by erosion or deposition. The sites of erosion and deposition, usually bedrock channels, must not have changed in channel geometry during the flood to enable calculations of flood peak discharge and peak stream power. Therefore, resistant bedrock gorges are often used for such investigations. Erosional features include flood trim lines, cataracts or scour holes, spillover areas and scars on trees. Depositional features are usually slackwater deposits (SWD) of typically fine-grained sand and silt, which accumulate rapidly from suspension during major floods in protected areas where flow velocities are locally reduced (Baker et al. 1983). SWDs are found in four main locations:</w:t>
      </w:r>
    </w:p>
    <w:p w:rsidR="00085B9C" w:rsidRDefault="00085B9C" w:rsidP="003A10B5">
      <w:pPr>
        <w:pStyle w:val="bulletlist1"/>
      </w:pPr>
      <w:r>
        <w:t>tributary mouths</w:t>
      </w:r>
    </w:p>
    <w:p w:rsidR="00085B9C" w:rsidRDefault="00085B9C" w:rsidP="003A10B5">
      <w:pPr>
        <w:pStyle w:val="bulletlist1"/>
      </w:pPr>
      <w:r>
        <w:t>shallow caves along bedrock walls of a gorge</w:t>
      </w:r>
    </w:p>
    <w:p w:rsidR="00085B9C" w:rsidRDefault="00085B9C" w:rsidP="003A10B5">
      <w:pPr>
        <w:pStyle w:val="bulletlist1"/>
      </w:pPr>
      <w:r>
        <w:t>separation envelopes with reverse currents in areas upstream of constrictions, and</w:t>
      </w:r>
    </w:p>
    <w:p w:rsidR="00085B9C" w:rsidRPr="00FE3472" w:rsidRDefault="00085B9C" w:rsidP="003A10B5">
      <w:pPr>
        <w:pStyle w:val="bulletlist1"/>
      </w:pPr>
      <w:proofErr w:type="spellStart"/>
      <w:proofErr w:type="gramStart"/>
      <w:r>
        <w:t>overban</w:t>
      </w:r>
      <w:r w:rsidR="001C25F0">
        <w:t>k</w:t>
      </w:r>
      <w:proofErr w:type="spellEnd"/>
      <w:proofErr w:type="gramEnd"/>
      <w:r w:rsidR="001C25F0">
        <w:t xml:space="preserve"> deposits (Kochel &amp; Baker 1988,</w:t>
      </w:r>
      <w:r>
        <w:t xml:space="preserve"> Pickup et al. 1988).</w:t>
      </w:r>
    </w:p>
    <w:p w:rsidR="00085B9C" w:rsidRDefault="00085B9C" w:rsidP="00085B9C">
      <w:pPr>
        <w:rPr>
          <w:szCs w:val="22"/>
        </w:rPr>
      </w:pPr>
      <w:r>
        <w:rPr>
          <w:szCs w:val="22"/>
        </w:rPr>
        <w:t>These locations provide favourable conditions for the deposition and subsequent preservation of SWD. Large floods usually deposit SWD, in a vertically layered sequence, however, except for inset deposits, new deposits cannot be emplaced unless the subsequent flood exceeds the height of the earlier one. SWD record the minimum peak height of a flood because the flood waters must exceed the SWD to enable deposition of the sediment (Baker 1987b). The best recorded accuracy for SWD in terms of flood peak discharge esti</w:t>
      </w:r>
      <w:r w:rsidR="003A10B5">
        <w:rPr>
          <w:szCs w:val="22"/>
        </w:rPr>
        <w:t>mation is an underestimate of 9</w:t>
      </w:r>
      <w:r>
        <w:rPr>
          <w:szCs w:val="22"/>
        </w:rPr>
        <w:t>% (Erskine &amp; Peacock 2002). Therefore, it is best practice to increase peak di</w:t>
      </w:r>
      <w:r w:rsidR="003A10B5">
        <w:rPr>
          <w:szCs w:val="22"/>
        </w:rPr>
        <w:t>scharges estimated by SWD by 10</w:t>
      </w:r>
      <w:r>
        <w:rPr>
          <w:szCs w:val="22"/>
        </w:rPr>
        <w:t xml:space="preserve">% to allow for a zone of non-deposition immediately below the flood peak. </w:t>
      </w:r>
    </w:p>
    <w:p w:rsidR="00085B9C" w:rsidRDefault="00085B9C" w:rsidP="00085B9C">
      <w:pPr>
        <w:rPr>
          <w:szCs w:val="22"/>
        </w:rPr>
      </w:pPr>
      <w:r>
        <w:rPr>
          <w:szCs w:val="22"/>
        </w:rPr>
        <w:t>The upper reaches of the East Alligator River and its tributaries contain anabranching bedrock channels and long straight gorge reaches, often with abrupt angled bends that are potential areas where flood erosional features and SWD could exist. Recent investigation using imagery within Google Earth Pro has indicated areas of channel scabland on parts of the East Alligator River and Cooper and Magela Creeks.</w:t>
      </w:r>
      <w:r w:rsidRPr="000F727D">
        <w:t xml:space="preserve"> </w:t>
      </w:r>
      <w:r>
        <w:t>Channel scabland consists of extensive bedrock anabranching channels and scour holes or cataracts eroded by catastrophic floods on bedrock uplands where the formative floods could not be contained in a single channel.</w:t>
      </w:r>
    </w:p>
    <w:p w:rsidR="00085B9C" w:rsidRDefault="00085B9C" w:rsidP="00085B9C">
      <w:pPr>
        <w:rPr>
          <w:szCs w:val="22"/>
        </w:rPr>
      </w:pPr>
      <w:r>
        <w:rPr>
          <w:szCs w:val="22"/>
        </w:rPr>
        <w:t>The largest recorded flood on the East Alligator River occurred followi</w:t>
      </w:r>
      <w:r w:rsidR="00DF63C3">
        <w:rPr>
          <w:szCs w:val="22"/>
        </w:rPr>
        <w:t>ng extreme rainfall in February–</w:t>
      </w:r>
      <w:r>
        <w:rPr>
          <w:szCs w:val="22"/>
        </w:rPr>
        <w:t>March 2007 and caused extensive bank erosion and stripping of point bars and floodplain resulting in large amounts of sa</w:t>
      </w:r>
      <w:r w:rsidR="00692377">
        <w:rPr>
          <w:szCs w:val="22"/>
        </w:rPr>
        <w:t>nd transport (Saynor et al. 2009</w:t>
      </w:r>
      <w:r>
        <w:rPr>
          <w:szCs w:val="22"/>
        </w:rPr>
        <w:t>, 2012). Deep sand deposits were laid down on top of inset features in some areas of the East Alligator River (Figure 1). The large flood of 2007 provided an historical benchmark of erosion and deposition on the East Alligator River and information on potential sites of SWD laid down by even larger palaeofloods.</w:t>
      </w:r>
      <w:r w:rsidRPr="000B78DD">
        <w:rPr>
          <w:szCs w:val="22"/>
        </w:rPr>
        <w:t xml:space="preserve"> </w:t>
      </w:r>
      <w:r>
        <w:rPr>
          <w:szCs w:val="22"/>
        </w:rPr>
        <w:t xml:space="preserve">If SWD can be identified, it should be possible to </w:t>
      </w:r>
      <w:r w:rsidRPr="001E0174">
        <w:rPr>
          <w:szCs w:val="22"/>
        </w:rPr>
        <w:t>dat</w:t>
      </w:r>
      <w:r>
        <w:rPr>
          <w:szCs w:val="22"/>
        </w:rPr>
        <w:t>e</w:t>
      </w:r>
      <w:r w:rsidRPr="001E0174">
        <w:rPr>
          <w:szCs w:val="22"/>
        </w:rPr>
        <w:t xml:space="preserve"> </w:t>
      </w:r>
      <w:r>
        <w:rPr>
          <w:szCs w:val="22"/>
        </w:rPr>
        <w:t>them eith</w:t>
      </w:r>
      <w:r w:rsidRPr="001E0174">
        <w:rPr>
          <w:szCs w:val="22"/>
        </w:rPr>
        <w:t>er by optically stimulated luminescence (OSL)</w:t>
      </w:r>
      <w:r>
        <w:rPr>
          <w:szCs w:val="22"/>
        </w:rPr>
        <w:t xml:space="preserve"> (suitable for quartz sand)</w:t>
      </w:r>
      <w:r w:rsidRPr="001E0174">
        <w:rPr>
          <w:szCs w:val="22"/>
        </w:rPr>
        <w:t xml:space="preserve"> and/or </w:t>
      </w:r>
      <w:r>
        <w:rPr>
          <w:szCs w:val="22"/>
        </w:rPr>
        <w:t xml:space="preserve">post-bomb </w:t>
      </w:r>
      <w:r w:rsidRPr="001E0174">
        <w:rPr>
          <w:szCs w:val="22"/>
        </w:rPr>
        <w:t>accelerator mass spectroscopy radiocarbon dating (suitable for leaves)</w:t>
      </w:r>
      <w:r>
        <w:rPr>
          <w:szCs w:val="22"/>
        </w:rPr>
        <w:t xml:space="preserve">. Surveys of the channel/gorge cross-sections combined with the use of hydrodynamic models will provide </w:t>
      </w:r>
      <w:r w:rsidRPr="001E0174">
        <w:rPr>
          <w:szCs w:val="22"/>
        </w:rPr>
        <w:t>information</w:t>
      </w:r>
      <w:r>
        <w:rPr>
          <w:szCs w:val="22"/>
        </w:rPr>
        <w:t xml:space="preserve"> on the magnitude of these events and their hydraulics.</w:t>
      </w:r>
    </w:p>
    <w:tbl>
      <w:tblPr>
        <w:tblW w:w="0" w:type="auto"/>
        <w:tblLook w:val="04A0"/>
      </w:tblPr>
      <w:tblGrid>
        <w:gridCol w:w="4025"/>
        <w:gridCol w:w="4497"/>
      </w:tblGrid>
      <w:tr w:rsidR="00085B9C" w:rsidTr="00224F8A">
        <w:tc>
          <w:tcPr>
            <w:tcW w:w="4025" w:type="dxa"/>
          </w:tcPr>
          <w:p w:rsidR="00085B9C" w:rsidRDefault="00085B9C" w:rsidP="00224F8A">
            <w:pPr>
              <w:jc w:val="center"/>
            </w:pPr>
            <w:r>
              <w:rPr>
                <w:noProof/>
                <w:lang w:eastAsia="en-AU"/>
              </w:rPr>
              <w:drawing>
                <wp:inline distT="0" distB="0" distL="0" distR="0">
                  <wp:extent cx="2382350" cy="1800000"/>
                  <wp:effectExtent l="19050" t="0" r="0" b="0"/>
                  <wp:docPr id="69" name="Picture 0" descr="02 Point bar 6-6-06 - li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Point bar 6-6-06 - line.jpg"/>
                          <pic:cNvPicPr/>
                        </pic:nvPicPr>
                        <pic:blipFill>
                          <a:blip r:embed="rId176" cstate="screen">
                            <a:lum bright="10000"/>
                          </a:blip>
                          <a:stretch>
                            <a:fillRect/>
                          </a:stretch>
                        </pic:blipFill>
                        <pic:spPr>
                          <a:xfrm>
                            <a:off x="0" y="0"/>
                            <a:ext cx="2382350" cy="1800000"/>
                          </a:xfrm>
                          <a:prstGeom prst="rect">
                            <a:avLst/>
                          </a:prstGeom>
                        </pic:spPr>
                      </pic:pic>
                    </a:graphicData>
                  </a:graphic>
                </wp:inline>
              </w:drawing>
            </w:r>
            <w:r w:rsidR="006B5A61">
              <w:rPr>
                <w:noProof/>
                <w:lang w:eastAsia="en-AU"/>
              </w:rPr>
              <w:pict>
                <v:shape id="_x0000_s1042" type="#_x0000_t202" style="position:absolute;left:0;text-align:left;margin-left:125.55pt;margin-top:.6pt;width:64.65pt;height:23.4pt;z-index:251664384;mso-position-horizontal-relative:text;mso-position-vertical-relative:text" filled="f" stroked="f" strokecolor="white [3212]">
                  <v:textbox style="mso-next-textbox:#_x0000_s1042">
                    <w:txbxContent>
                      <w:p w:rsidR="00F260FF" w:rsidRPr="001A161F" w:rsidRDefault="00F260FF" w:rsidP="00085B9C">
                        <w:pPr>
                          <w:rPr>
                            <w:rFonts w:ascii="Arial" w:hAnsi="Arial" w:cs="Arial"/>
                            <w:color w:val="FFFFFF" w:themeColor="background1"/>
                            <w:szCs w:val="24"/>
                          </w:rPr>
                        </w:pPr>
                        <w:r w:rsidRPr="001A161F">
                          <w:rPr>
                            <w:rFonts w:ascii="Arial" w:hAnsi="Arial" w:cs="Arial"/>
                            <w:color w:val="FFFFFF" w:themeColor="background1"/>
                            <w:szCs w:val="24"/>
                          </w:rPr>
                          <w:t>4 Jun 06</w:t>
                        </w:r>
                      </w:p>
                    </w:txbxContent>
                  </v:textbox>
                </v:shape>
              </w:pict>
            </w:r>
          </w:p>
        </w:tc>
        <w:tc>
          <w:tcPr>
            <w:tcW w:w="4497" w:type="dxa"/>
          </w:tcPr>
          <w:p w:rsidR="00085B9C" w:rsidRDefault="00085B9C" w:rsidP="00224F8A">
            <w:pPr>
              <w:jc w:val="center"/>
            </w:pPr>
            <w:r>
              <w:rPr>
                <w:noProof/>
                <w:lang w:eastAsia="en-AU"/>
              </w:rPr>
              <w:drawing>
                <wp:inline distT="0" distB="0" distL="0" distR="0">
                  <wp:extent cx="2675743" cy="1800000"/>
                  <wp:effectExtent l="19050" t="0" r="0" b="0"/>
                  <wp:docPr id="70" name="Picture 3" descr="406 Point Bar4-6-06 - li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6 Point Bar4-6-06 - line.jpg"/>
                          <pic:cNvPicPr/>
                        </pic:nvPicPr>
                        <pic:blipFill>
                          <a:blip r:embed="rId177" cstate="screen">
                            <a:lum bright="10000"/>
                          </a:blip>
                          <a:stretch>
                            <a:fillRect/>
                          </a:stretch>
                        </pic:blipFill>
                        <pic:spPr>
                          <a:xfrm>
                            <a:off x="0" y="0"/>
                            <a:ext cx="2675743" cy="1800000"/>
                          </a:xfrm>
                          <a:prstGeom prst="rect">
                            <a:avLst/>
                          </a:prstGeom>
                        </pic:spPr>
                      </pic:pic>
                    </a:graphicData>
                  </a:graphic>
                </wp:inline>
              </w:drawing>
            </w:r>
            <w:r w:rsidR="006B5A61">
              <w:rPr>
                <w:noProof/>
                <w:lang w:eastAsia="en-AU"/>
              </w:rPr>
              <w:pict>
                <v:shape id="_x0000_s1043" type="#_x0000_t202" style="position:absolute;left:0;text-align:left;margin-left:135.25pt;margin-top:.6pt;width:71.55pt;height:23.4pt;z-index:251665408;mso-position-horizontal-relative:text;mso-position-vertical-relative:text" filled="f" stroked="f">
                  <v:textbox style="mso-next-textbox:#_x0000_s1043">
                    <w:txbxContent>
                      <w:p w:rsidR="00F260FF" w:rsidRPr="001A161F" w:rsidRDefault="00F260FF" w:rsidP="00085B9C">
                        <w:pPr>
                          <w:rPr>
                            <w:rFonts w:ascii="Arial" w:hAnsi="Arial"/>
                            <w:color w:val="FFFFFF" w:themeColor="background1"/>
                            <w:szCs w:val="24"/>
                          </w:rPr>
                        </w:pPr>
                        <w:r>
                          <w:rPr>
                            <w:rFonts w:ascii="Arial" w:hAnsi="Arial"/>
                            <w:color w:val="FFFFFF" w:themeColor="background1"/>
                            <w:szCs w:val="24"/>
                          </w:rPr>
                          <w:t>18 May 07</w:t>
                        </w:r>
                      </w:p>
                    </w:txbxContent>
                  </v:textbox>
                </v:shape>
              </w:pict>
            </w:r>
          </w:p>
        </w:tc>
      </w:tr>
    </w:tbl>
    <w:p w:rsidR="00085B9C" w:rsidRDefault="00085B9C" w:rsidP="00085B9C">
      <w:pPr>
        <w:pStyle w:val="figurecaption"/>
      </w:pPr>
      <w:r w:rsidRPr="00F4518B">
        <w:rPr>
          <w:b/>
        </w:rPr>
        <w:t xml:space="preserve">Figure </w:t>
      </w:r>
      <w:proofErr w:type="gramStart"/>
      <w:r w:rsidRPr="00F4518B">
        <w:rPr>
          <w:b/>
        </w:rPr>
        <w:t>1</w:t>
      </w:r>
      <w:r>
        <w:t xml:space="preserve">  Sand</w:t>
      </w:r>
      <w:proofErr w:type="gramEnd"/>
      <w:r>
        <w:t xml:space="preserve"> deposits laid down on top of a point bar in the Gorge section of the East Alligator River after the 2007 flood, shown in the May 07 image. The photos were taken from different elevations with the red line indicating the same locations on the photos</w:t>
      </w:r>
      <w:r w:rsidR="003A10B5">
        <w:t>.</w:t>
      </w:r>
    </w:p>
    <w:p w:rsidR="00085B9C" w:rsidRDefault="00085B9C" w:rsidP="00085B9C">
      <w:pPr>
        <w:rPr>
          <w:szCs w:val="22"/>
        </w:rPr>
      </w:pPr>
      <w:r>
        <w:rPr>
          <w:szCs w:val="22"/>
        </w:rPr>
        <w:t>To try and identify potential SWD, river reach analysis was undertaken on the East Alligator River (7000 km</w:t>
      </w:r>
      <w:r w:rsidRPr="00050D13">
        <w:rPr>
          <w:szCs w:val="22"/>
          <w:vertAlign w:val="superscript"/>
        </w:rPr>
        <w:t>2</w:t>
      </w:r>
      <w:r>
        <w:rPr>
          <w:szCs w:val="22"/>
        </w:rPr>
        <w:t xml:space="preserve"> catchment) and its three named tributaries, Magela, Tin Camp and Coope</w:t>
      </w:r>
      <w:r w:rsidR="008370F5">
        <w:rPr>
          <w:szCs w:val="22"/>
        </w:rPr>
        <w:t>r Creeks (Saynor &amp; Erskine 2013</w:t>
      </w:r>
      <w:r w:rsidR="003064F3">
        <w:rPr>
          <w:szCs w:val="22"/>
        </w:rPr>
        <w:t>,</w:t>
      </w:r>
      <w:r>
        <w:rPr>
          <w:szCs w:val="22"/>
        </w:rPr>
        <w:t xml:space="preserve"> 2014). </w:t>
      </w:r>
    </w:p>
    <w:p w:rsidR="00085B9C" w:rsidRDefault="00085B9C" w:rsidP="00506065">
      <w:pPr>
        <w:pStyle w:val="Heading2"/>
      </w:pPr>
      <w:r>
        <w:t>Methodology</w:t>
      </w:r>
    </w:p>
    <w:p w:rsidR="00085B9C" w:rsidRPr="00A903DE" w:rsidRDefault="00085B9C" w:rsidP="00085B9C">
      <w:pPr>
        <w:rPr>
          <w:szCs w:val="22"/>
        </w:rPr>
      </w:pPr>
      <w:r w:rsidRPr="00A903DE">
        <w:rPr>
          <w:szCs w:val="22"/>
        </w:rPr>
        <w:t>The approach adopted to identify, name and describe</w:t>
      </w:r>
      <w:r>
        <w:rPr>
          <w:szCs w:val="22"/>
        </w:rPr>
        <w:t xml:space="preserve"> </w:t>
      </w:r>
      <w:r w:rsidRPr="00A903DE">
        <w:rPr>
          <w:szCs w:val="22"/>
        </w:rPr>
        <w:t xml:space="preserve">river reaches in the study area follows </w:t>
      </w:r>
      <w:r>
        <w:rPr>
          <w:szCs w:val="22"/>
        </w:rPr>
        <w:t>Erskine (2005) and Erskine et al. (2014)</w:t>
      </w:r>
      <w:r w:rsidRPr="00A903DE">
        <w:rPr>
          <w:szCs w:val="22"/>
        </w:rPr>
        <w:t>. River reaches</w:t>
      </w:r>
      <w:r>
        <w:rPr>
          <w:szCs w:val="22"/>
        </w:rPr>
        <w:t xml:space="preserve"> </w:t>
      </w:r>
      <w:r w:rsidRPr="00A903DE">
        <w:rPr>
          <w:szCs w:val="22"/>
        </w:rPr>
        <w:t>are homogeneous lengths of channel within which hydrologic, geologic and adjacent catchment conditions are</w:t>
      </w:r>
      <w:r>
        <w:rPr>
          <w:szCs w:val="22"/>
        </w:rPr>
        <w:t xml:space="preserve"> either </w:t>
      </w:r>
      <w:r w:rsidRPr="00A903DE">
        <w:rPr>
          <w:szCs w:val="22"/>
        </w:rPr>
        <w:t xml:space="preserve">sufficiently constant so that </w:t>
      </w:r>
      <w:proofErr w:type="gramStart"/>
      <w:r w:rsidRPr="00A903DE">
        <w:rPr>
          <w:szCs w:val="22"/>
        </w:rPr>
        <w:t>a uniform</w:t>
      </w:r>
      <w:proofErr w:type="gramEnd"/>
      <w:r w:rsidRPr="00A903DE">
        <w:rPr>
          <w:szCs w:val="22"/>
        </w:rPr>
        <w:t xml:space="preserve"> river morphology</w:t>
      </w:r>
      <w:r>
        <w:rPr>
          <w:szCs w:val="22"/>
        </w:rPr>
        <w:t xml:space="preserve"> </w:t>
      </w:r>
      <w:r w:rsidRPr="00A903DE">
        <w:rPr>
          <w:szCs w:val="22"/>
        </w:rPr>
        <w:t xml:space="preserve">is produced </w:t>
      </w:r>
      <w:r w:rsidRPr="00C84A86">
        <w:rPr>
          <w:szCs w:val="22"/>
        </w:rPr>
        <w:t>(Kellerhals et al. 1976)</w:t>
      </w:r>
      <w:r>
        <w:rPr>
          <w:szCs w:val="22"/>
        </w:rPr>
        <w:t xml:space="preserve"> or a consistent pattern of alternating river morphologies is produced (Erskine et al. 2001)</w:t>
      </w:r>
      <w:r w:rsidRPr="00C84A86">
        <w:rPr>
          <w:szCs w:val="22"/>
        </w:rPr>
        <w:t xml:space="preserve">. </w:t>
      </w:r>
      <w:r w:rsidRPr="00A903DE">
        <w:rPr>
          <w:szCs w:val="22"/>
        </w:rPr>
        <w:t>Alternatively, river reaches could be</w:t>
      </w:r>
      <w:r>
        <w:rPr>
          <w:szCs w:val="22"/>
        </w:rPr>
        <w:t xml:space="preserve"> </w:t>
      </w:r>
      <w:r w:rsidRPr="00A903DE">
        <w:rPr>
          <w:szCs w:val="22"/>
        </w:rPr>
        <w:t>defined as relatively homogeneous</w:t>
      </w:r>
      <w:r>
        <w:rPr>
          <w:szCs w:val="22"/>
        </w:rPr>
        <w:t xml:space="preserve"> associations of channel units that</w:t>
      </w:r>
      <w:r w:rsidRPr="00A903DE">
        <w:rPr>
          <w:szCs w:val="22"/>
        </w:rPr>
        <w:t xml:space="preserve"> distinguish them from adjoining reaches</w:t>
      </w:r>
      <w:r>
        <w:rPr>
          <w:szCs w:val="22"/>
        </w:rPr>
        <w:t xml:space="preserve"> </w:t>
      </w:r>
      <w:r w:rsidRPr="00C84A86">
        <w:rPr>
          <w:szCs w:val="22"/>
        </w:rPr>
        <w:t>(Bisson &amp; Montgomer</w:t>
      </w:r>
      <w:r w:rsidR="00DF63C3">
        <w:rPr>
          <w:szCs w:val="22"/>
        </w:rPr>
        <w:t>y 1996,</w:t>
      </w:r>
      <w:r>
        <w:rPr>
          <w:szCs w:val="22"/>
        </w:rPr>
        <w:t xml:space="preserve"> Brierley &amp; Fryirs</w:t>
      </w:r>
      <w:r w:rsidRPr="00C84A86">
        <w:rPr>
          <w:szCs w:val="22"/>
        </w:rPr>
        <w:t xml:space="preserve"> 2005).</w:t>
      </w:r>
      <w:r>
        <w:rPr>
          <w:szCs w:val="22"/>
        </w:rPr>
        <w:t xml:space="preserve"> </w:t>
      </w:r>
      <w:r w:rsidRPr="00A903DE">
        <w:rPr>
          <w:szCs w:val="22"/>
        </w:rPr>
        <w:t>However</w:t>
      </w:r>
      <w:r>
        <w:rPr>
          <w:szCs w:val="22"/>
        </w:rPr>
        <w:t>,</w:t>
      </w:r>
      <w:r w:rsidRPr="00A903DE">
        <w:rPr>
          <w:szCs w:val="22"/>
        </w:rPr>
        <w:t xml:space="preserve"> the latter approach requires too much</w:t>
      </w:r>
      <w:r>
        <w:rPr>
          <w:szCs w:val="22"/>
        </w:rPr>
        <w:t xml:space="preserve"> </w:t>
      </w:r>
      <w:r w:rsidRPr="00A903DE">
        <w:rPr>
          <w:szCs w:val="22"/>
        </w:rPr>
        <w:t>field work for application in remote areas, such as the</w:t>
      </w:r>
      <w:r>
        <w:rPr>
          <w:szCs w:val="22"/>
        </w:rPr>
        <w:t xml:space="preserve"> </w:t>
      </w:r>
      <w:r w:rsidRPr="00A903DE">
        <w:rPr>
          <w:szCs w:val="22"/>
        </w:rPr>
        <w:t xml:space="preserve">East Alligator River. </w:t>
      </w:r>
      <w:r>
        <w:rPr>
          <w:szCs w:val="22"/>
        </w:rPr>
        <w:t>River r</w:t>
      </w:r>
      <w:r w:rsidRPr="00A903DE">
        <w:rPr>
          <w:szCs w:val="22"/>
        </w:rPr>
        <w:t xml:space="preserve">eaches are typically 2 </w:t>
      </w:r>
      <w:r>
        <w:rPr>
          <w:szCs w:val="22"/>
        </w:rPr>
        <w:t xml:space="preserve">km </w:t>
      </w:r>
      <w:r w:rsidRPr="00A903DE">
        <w:rPr>
          <w:szCs w:val="22"/>
        </w:rPr>
        <w:t>to more</w:t>
      </w:r>
      <w:r>
        <w:rPr>
          <w:szCs w:val="22"/>
        </w:rPr>
        <w:t xml:space="preserve"> </w:t>
      </w:r>
      <w:r w:rsidRPr="00A903DE">
        <w:rPr>
          <w:szCs w:val="22"/>
        </w:rPr>
        <w:t xml:space="preserve">than 100 km long </w:t>
      </w:r>
      <w:r>
        <w:rPr>
          <w:szCs w:val="22"/>
        </w:rPr>
        <w:t xml:space="preserve">although </w:t>
      </w:r>
      <w:r w:rsidRPr="00A903DE">
        <w:rPr>
          <w:szCs w:val="22"/>
        </w:rPr>
        <w:t>can be shorter and longer. It is</w:t>
      </w:r>
      <w:r>
        <w:rPr>
          <w:szCs w:val="22"/>
        </w:rPr>
        <w:t xml:space="preserve"> </w:t>
      </w:r>
      <w:r w:rsidRPr="00A903DE">
        <w:rPr>
          <w:szCs w:val="22"/>
        </w:rPr>
        <w:t>relatively easy to identify the core length of a reach, but</w:t>
      </w:r>
      <w:r>
        <w:rPr>
          <w:szCs w:val="22"/>
        </w:rPr>
        <w:t xml:space="preserve"> </w:t>
      </w:r>
      <w:r w:rsidRPr="00A903DE">
        <w:rPr>
          <w:szCs w:val="22"/>
        </w:rPr>
        <w:t>it is more difficult to define precisely the boundaries of a</w:t>
      </w:r>
      <w:r>
        <w:rPr>
          <w:szCs w:val="22"/>
        </w:rPr>
        <w:t xml:space="preserve"> </w:t>
      </w:r>
      <w:r w:rsidRPr="00A903DE">
        <w:rPr>
          <w:szCs w:val="22"/>
        </w:rPr>
        <w:t>reach because of their transitional nature</w:t>
      </w:r>
      <w:r w:rsidR="003A10B5">
        <w:rPr>
          <w:szCs w:val="22"/>
        </w:rPr>
        <w:t xml:space="preserve"> (Erskine</w:t>
      </w:r>
      <w:r>
        <w:rPr>
          <w:szCs w:val="22"/>
        </w:rPr>
        <w:t xml:space="preserve"> 1996)</w:t>
      </w:r>
      <w:r w:rsidRPr="00A903DE">
        <w:rPr>
          <w:szCs w:val="22"/>
        </w:rPr>
        <w:t>.</w:t>
      </w:r>
      <w:r>
        <w:rPr>
          <w:szCs w:val="22"/>
        </w:rPr>
        <w:t xml:space="preserve"> </w:t>
      </w:r>
    </w:p>
    <w:p w:rsidR="00085B9C" w:rsidRDefault="00085B9C" w:rsidP="00085B9C">
      <w:pPr>
        <w:rPr>
          <w:szCs w:val="22"/>
        </w:rPr>
      </w:pPr>
      <w:r w:rsidRPr="00A903DE">
        <w:rPr>
          <w:szCs w:val="22"/>
        </w:rPr>
        <w:t xml:space="preserve">Formal names </w:t>
      </w:r>
      <w:r>
        <w:rPr>
          <w:szCs w:val="22"/>
        </w:rPr>
        <w:t>for reaches com</w:t>
      </w:r>
      <w:r w:rsidRPr="00A903DE">
        <w:rPr>
          <w:szCs w:val="22"/>
        </w:rPr>
        <w:t>prise</w:t>
      </w:r>
      <w:r>
        <w:rPr>
          <w:szCs w:val="22"/>
        </w:rPr>
        <w:t xml:space="preserve"> of</w:t>
      </w:r>
      <w:r w:rsidRPr="00A903DE">
        <w:rPr>
          <w:szCs w:val="22"/>
        </w:rPr>
        <w:t xml:space="preserve"> at least three terms. The first term is a geographic</w:t>
      </w:r>
      <w:r>
        <w:rPr>
          <w:szCs w:val="22"/>
        </w:rPr>
        <w:t xml:space="preserve"> </w:t>
      </w:r>
      <w:r w:rsidRPr="00A903DE">
        <w:rPr>
          <w:szCs w:val="22"/>
        </w:rPr>
        <w:t>name for a location or feature within or next to the reach.</w:t>
      </w:r>
      <w:r>
        <w:rPr>
          <w:szCs w:val="22"/>
        </w:rPr>
        <w:t xml:space="preserve"> </w:t>
      </w:r>
      <w:r w:rsidRPr="00A903DE">
        <w:rPr>
          <w:szCs w:val="22"/>
        </w:rPr>
        <w:t>The second term is a geomorphological descriptor for</w:t>
      </w:r>
      <w:r>
        <w:rPr>
          <w:szCs w:val="22"/>
        </w:rPr>
        <w:t xml:space="preserve"> </w:t>
      </w:r>
      <w:r w:rsidRPr="00A903DE">
        <w:rPr>
          <w:szCs w:val="22"/>
        </w:rPr>
        <w:t>one of the dominant characteristics of the reach. The</w:t>
      </w:r>
      <w:r>
        <w:rPr>
          <w:szCs w:val="22"/>
        </w:rPr>
        <w:t xml:space="preserve"> </w:t>
      </w:r>
      <w:r w:rsidRPr="00A903DE">
        <w:rPr>
          <w:szCs w:val="22"/>
        </w:rPr>
        <w:t xml:space="preserve">third term, when needed, is the word, reach or zone. River reaches </w:t>
      </w:r>
      <w:r>
        <w:rPr>
          <w:szCs w:val="22"/>
        </w:rPr>
        <w:t xml:space="preserve">on the </w:t>
      </w:r>
      <w:r w:rsidRPr="00A903DE">
        <w:rPr>
          <w:szCs w:val="22"/>
        </w:rPr>
        <w:t>East Alligator River</w:t>
      </w:r>
      <w:r>
        <w:rPr>
          <w:szCs w:val="22"/>
        </w:rPr>
        <w:t xml:space="preserve"> and its named tributaries were identified using topographic maps (1:50,000), aerial reconnaissance and imagery viewed in Google Earth Pro, and supplemented with very limited ground truthing. Once identified, the lengths of the reaches were measured and long profiles constructed using the topographic maps.</w:t>
      </w:r>
    </w:p>
    <w:p w:rsidR="00085B9C" w:rsidRDefault="00085B9C" w:rsidP="00085B9C">
      <w:pPr>
        <w:rPr>
          <w:szCs w:val="22"/>
        </w:rPr>
      </w:pPr>
      <w:r>
        <w:t>The classification of the named rivers in the East Alligator catchment provides information that has been used to locate potential palaeoflood erosional features and SWD sites. Potential sites will be visited, to determine if they contain SWD and/or erosional features. Where SWD and erosional features are identified, samples of the sediments will be collected for dating and particle size analysis. Topographic surveys or possibly the UAV will be used to generate cross sections used to reconstruct flood heights.</w:t>
      </w:r>
    </w:p>
    <w:p w:rsidR="00085B9C" w:rsidRDefault="00085B9C" w:rsidP="00506065">
      <w:pPr>
        <w:pStyle w:val="Heading2"/>
      </w:pPr>
      <w:r>
        <w:t>Results and Progress to date</w:t>
      </w:r>
    </w:p>
    <w:p w:rsidR="00085B9C" w:rsidRDefault="00085B9C" w:rsidP="00085B9C">
      <w:r>
        <w:t xml:space="preserve">The East Alligator River and its named tributaries </w:t>
      </w:r>
      <w:proofErr w:type="gramStart"/>
      <w:r>
        <w:t>was</w:t>
      </w:r>
      <w:proofErr w:type="gramEnd"/>
      <w:r>
        <w:t xml:space="preserve"> classified into different river reaches (Table 1). Dominant river types on the East Alligator River in terms of channel length were </w:t>
      </w:r>
      <w:proofErr w:type="gramStart"/>
      <w:r>
        <w:t>anabranching rivers</w:t>
      </w:r>
      <w:proofErr w:type="gramEnd"/>
      <w:r>
        <w:t xml:space="preserve">, sandstone gorges and cuspate tidal meanders. On Magela Creek, </w:t>
      </w:r>
      <w:proofErr w:type="gramStart"/>
      <w:r>
        <w:t>dominant river</w:t>
      </w:r>
      <w:proofErr w:type="gramEnd"/>
      <w:r>
        <w:t xml:space="preserve"> types were wetlands and channel billabongs, island anabranching and sandstone gorges. On Cooper and Tin Camp creeks, </w:t>
      </w:r>
      <w:proofErr w:type="gramStart"/>
      <w:r>
        <w:t>anabranching rivers</w:t>
      </w:r>
      <w:proofErr w:type="gramEnd"/>
      <w:r>
        <w:t xml:space="preserve"> dominated. Table 1 shows that anabranching reaches dominated on 3 of the 4 characterised rivers and five different types of anabranching were identified and named (Saynor &amp; Erskine 2013, 2014)</w:t>
      </w:r>
      <w:r w:rsidR="00DF63C3">
        <w:t>.</w:t>
      </w:r>
    </w:p>
    <w:p w:rsidR="00692377" w:rsidRDefault="00692377" w:rsidP="00692377">
      <w:pPr>
        <w:pStyle w:val="tablecaption"/>
      </w:pPr>
      <w:r w:rsidRPr="001A60CF">
        <w:rPr>
          <w:b/>
        </w:rPr>
        <w:t>Table 1</w:t>
      </w:r>
      <w:r>
        <w:t xml:space="preserve"> Number of reaches classified on the East Alligator River and its named tributaries.</w:t>
      </w:r>
    </w:p>
    <w:tbl>
      <w:tblPr>
        <w:tblW w:w="0" w:type="auto"/>
        <w:tblLook w:val="04A0"/>
      </w:tblPr>
      <w:tblGrid>
        <w:gridCol w:w="1704"/>
        <w:gridCol w:w="956"/>
        <w:gridCol w:w="1276"/>
        <w:gridCol w:w="2268"/>
        <w:gridCol w:w="2318"/>
      </w:tblGrid>
      <w:tr w:rsidR="00692377" w:rsidTr="00692377">
        <w:tc>
          <w:tcPr>
            <w:tcW w:w="1704" w:type="dxa"/>
            <w:tcBorders>
              <w:top w:val="single" w:sz="4" w:space="0" w:color="auto"/>
              <w:bottom w:val="single" w:sz="4" w:space="0" w:color="auto"/>
            </w:tcBorders>
          </w:tcPr>
          <w:p w:rsidR="00692377" w:rsidRPr="003A10B5" w:rsidRDefault="00692377" w:rsidP="00692377">
            <w:pPr>
              <w:pStyle w:val="table1"/>
              <w:rPr>
                <w:b/>
                <w:color w:val="000000"/>
                <w:u w:color="000000"/>
              </w:rPr>
            </w:pPr>
            <w:r w:rsidRPr="003A10B5">
              <w:rPr>
                <w:b/>
                <w:color w:val="000000"/>
                <w:u w:color="000000"/>
              </w:rPr>
              <w:t>River</w:t>
            </w:r>
          </w:p>
        </w:tc>
        <w:tc>
          <w:tcPr>
            <w:tcW w:w="956" w:type="dxa"/>
            <w:tcBorders>
              <w:top w:val="single" w:sz="4" w:space="0" w:color="auto"/>
              <w:bottom w:val="single" w:sz="4" w:space="0" w:color="auto"/>
            </w:tcBorders>
          </w:tcPr>
          <w:p w:rsidR="00692377" w:rsidRPr="003A10B5" w:rsidRDefault="00692377" w:rsidP="00692377">
            <w:pPr>
              <w:pStyle w:val="table1"/>
              <w:rPr>
                <w:b/>
                <w:color w:val="000000"/>
                <w:u w:color="000000"/>
              </w:rPr>
            </w:pPr>
            <w:r w:rsidRPr="003A10B5">
              <w:rPr>
                <w:b/>
                <w:color w:val="000000"/>
                <w:u w:color="000000"/>
              </w:rPr>
              <w:t>Length (km)</w:t>
            </w:r>
          </w:p>
        </w:tc>
        <w:tc>
          <w:tcPr>
            <w:tcW w:w="1276" w:type="dxa"/>
            <w:tcBorders>
              <w:top w:val="single" w:sz="4" w:space="0" w:color="auto"/>
              <w:bottom w:val="single" w:sz="4" w:space="0" w:color="auto"/>
            </w:tcBorders>
          </w:tcPr>
          <w:p w:rsidR="00692377" w:rsidRPr="003A10B5" w:rsidRDefault="00692377" w:rsidP="00692377">
            <w:pPr>
              <w:pStyle w:val="table1"/>
              <w:rPr>
                <w:b/>
                <w:color w:val="000000"/>
                <w:u w:color="000000"/>
              </w:rPr>
            </w:pPr>
            <w:r w:rsidRPr="003A10B5">
              <w:rPr>
                <w:b/>
                <w:color w:val="000000"/>
                <w:u w:color="000000"/>
              </w:rPr>
              <w:t>Number of reaches</w:t>
            </w:r>
          </w:p>
        </w:tc>
        <w:tc>
          <w:tcPr>
            <w:tcW w:w="2268" w:type="dxa"/>
            <w:tcBorders>
              <w:top w:val="single" w:sz="4" w:space="0" w:color="auto"/>
              <w:bottom w:val="single" w:sz="4" w:space="0" w:color="auto"/>
            </w:tcBorders>
          </w:tcPr>
          <w:p w:rsidR="00692377" w:rsidRPr="003A10B5" w:rsidRDefault="00692377" w:rsidP="00692377">
            <w:pPr>
              <w:pStyle w:val="table1"/>
              <w:rPr>
                <w:b/>
                <w:color w:val="000000"/>
                <w:u w:color="000000"/>
              </w:rPr>
            </w:pPr>
            <w:r w:rsidRPr="003A10B5">
              <w:rPr>
                <w:b/>
                <w:color w:val="000000"/>
                <w:u w:color="000000"/>
              </w:rPr>
              <w:t>Dominant reach type</w:t>
            </w:r>
          </w:p>
        </w:tc>
        <w:tc>
          <w:tcPr>
            <w:tcW w:w="2318" w:type="dxa"/>
            <w:tcBorders>
              <w:top w:val="single" w:sz="4" w:space="0" w:color="auto"/>
              <w:bottom w:val="single" w:sz="4" w:space="0" w:color="auto"/>
            </w:tcBorders>
          </w:tcPr>
          <w:p w:rsidR="00692377" w:rsidRPr="003A10B5" w:rsidRDefault="00692377" w:rsidP="00692377">
            <w:pPr>
              <w:pStyle w:val="table1"/>
              <w:rPr>
                <w:b/>
                <w:color w:val="000000"/>
                <w:u w:color="000000"/>
              </w:rPr>
            </w:pPr>
            <w:r w:rsidRPr="003A10B5">
              <w:rPr>
                <w:b/>
                <w:color w:val="000000"/>
                <w:u w:color="000000"/>
              </w:rPr>
              <w:t>Percentage of length</w:t>
            </w:r>
          </w:p>
        </w:tc>
      </w:tr>
      <w:tr w:rsidR="00692377" w:rsidTr="00692377">
        <w:tc>
          <w:tcPr>
            <w:tcW w:w="1704" w:type="dxa"/>
            <w:tcBorders>
              <w:top w:val="single" w:sz="4" w:space="0" w:color="auto"/>
            </w:tcBorders>
          </w:tcPr>
          <w:p w:rsidR="00692377" w:rsidRPr="003A10B5" w:rsidRDefault="00692377" w:rsidP="00692377">
            <w:pPr>
              <w:pStyle w:val="table1"/>
              <w:rPr>
                <w:color w:val="000000"/>
                <w:u w:color="000000"/>
              </w:rPr>
            </w:pPr>
            <w:r w:rsidRPr="003A10B5">
              <w:rPr>
                <w:color w:val="000000"/>
                <w:u w:color="000000"/>
              </w:rPr>
              <w:t>East Alligator River</w:t>
            </w:r>
          </w:p>
        </w:tc>
        <w:tc>
          <w:tcPr>
            <w:tcW w:w="956" w:type="dxa"/>
            <w:tcBorders>
              <w:top w:val="single" w:sz="4" w:space="0" w:color="auto"/>
            </w:tcBorders>
          </w:tcPr>
          <w:p w:rsidR="00692377" w:rsidRDefault="00692377" w:rsidP="00692377">
            <w:pPr>
              <w:pStyle w:val="table1"/>
              <w:jc w:val="center"/>
              <w:rPr>
                <w:color w:val="000000"/>
                <w:u w:color="000000"/>
              </w:rPr>
            </w:pPr>
            <w:r w:rsidRPr="003A10B5">
              <w:rPr>
                <w:color w:val="000000"/>
                <w:u w:color="000000"/>
              </w:rPr>
              <w:t>241.4</w:t>
            </w:r>
          </w:p>
        </w:tc>
        <w:tc>
          <w:tcPr>
            <w:tcW w:w="1276" w:type="dxa"/>
            <w:tcBorders>
              <w:top w:val="single" w:sz="4" w:space="0" w:color="auto"/>
            </w:tcBorders>
          </w:tcPr>
          <w:p w:rsidR="00692377" w:rsidRDefault="00692377" w:rsidP="00692377">
            <w:pPr>
              <w:pStyle w:val="table1"/>
              <w:jc w:val="center"/>
              <w:rPr>
                <w:color w:val="000000"/>
                <w:u w:color="000000"/>
              </w:rPr>
            </w:pPr>
            <w:r w:rsidRPr="003A10B5">
              <w:rPr>
                <w:color w:val="000000"/>
                <w:u w:color="000000"/>
              </w:rPr>
              <w:t>16</w:t>
            </w:r>
          </w:p>
        </w:tc>
        <w:tc>
          <w:tcPr>
            <w:tcW w:w="2268" w:type="dxa"/>
            <w:tcBorders>
              <w:top w:val="single" w:sz="4" w:space="0" w:color="auto"/>
            </w:tcBorders>
          </w:tcPr>
          <w:p w:rsidR="00692377" w:rsidRPr="003A10B5" w:rsidRDefault="00692377" w:rsidP="00692377">
            <w:pPr>
              <w:pStyle w:val="table1"/>
              <w:rPr>
                <w:color w:val="000000"/>
                <w:u w:color="000000"/>
              </w:rPr>
            </w:pPr>
            <w:r w:rsidRPr="003A10B5">
              <w:rPr>
                <w:color w:val="000000"/>
                <w:u w:color="000000"/>
              </w:rPr>
              <w:t>Anabranching reaches</w:t>
            </w:r>
          </w:p>
        </w:tc>
        <w:tc>
          <w:tcPr>
            <w:tcW w:w="2318" w:type="dxa"/>
            <w:tcBorders>
              <w:top w:val="single" w:sz="4" w:space="0" w:color="auto"/>
            </w:tcBorders>
          </w:tcPr>
          <w:p w:rsidR="00692377" w:rsidRDefault="00692377" w:rsidP="00692377">
            <w:pPr>
              <w:pStyle w:val="table1"/>
              <w:jc w:val="center"/>
              <w:rPr>
                <w:color w:val="000000"/>
                <w:u w:color="000000"/>
              </w:rPr>
            </w:pPr>
            <w:r w:rsidRPr="003A10B5">
              <w:rPr>
                <w:color w:val="000000"/>
                <w:u w:color="000000"/>
              </w:rPr>
              <w:t>30.1</w:t>
            </w:r>
          </w:p>
        </w:tc>
      </w:tr>
      <w:tr w:rsidR="00692377" w:rsidTr="00692377">
        <w:tc>
          <w:tcPr>
            <w:tcW w:w="1704" w:type="dxa"/>
          </w:tcPr>
          <w:p w:rsidR="00692377" w:rsidRPr="003A10B5" w:rsidRDefault="00692377" w:rsidP="00692377">
            <w:pPr>
              <w:pStyle w:val="table1"/>
              <w:rPr>
                <w:color w:val="000000"/>
                <w:u w:color="000000"/>
              </w:rPr>
            </w:pPr>
            <w:r w:rsidRPr="003A10B5">
              <w:rPr>
                <w:color w:val="000000"/>
                <w:u w:color="000000"/>
              </w:rPr>
              <w:t>Magela Creek</w:t>
            </w:r>
          </w:p>
        </w:tc>
        <w:tc>
          <w:tcPr>
            <w:tcW w:w="956" w:type="dxa"/>
          </w:tcPr>
          <w:p w:rsidR="00692377" w:rsidRDefault="00692377" w:rsidP="00692377">
            <w:pPr>
              <w:pStyle w:val="table1"/>
              <w:jc w:val="center"/>
              <w:rPr>
                <w:color w:val="000000"/>
                <w:u w:color="000000"/>
              </w:rPr>
            </w:pPr>
            <w:r w:rsidRPr="003A10B5">
              <w:rPr>
                <w:color w:val="000000"/>
                <w:u w:color="000000"/>
              </w:rPr>
              <w:t>118.8</w:t>
            </w:r>
          </w:p>
        </w:tc>
        <w:tc>
          <w:tcPr>
            <w:tcW w:w="1276" w:type="dxa"/>
          </w:tcPr>
          <w:p w:rsidR="00692377" w:rsidRDefault="00692377" w:rsidP="00692377">
            <w:pPr>
              <w:pStyle w:val="table1"/>
              <w:jc w:val="center"/>
              <w:rPr>
                <w:color w:val="000000"/>
                <w:u w:color="000000"/>
              </w:rPr>
            </w:pPr>
            <w:r w:rsidRPr="003A10B5">
              <w:rPr>
                <w:color w:val="000000"/>
                <w:u w:color="000000"/>
              </w:rPr>
              <w:t>10</w:t>
            </w:r>
          </w:p>
        </w:tc>
        <w:tc>
          <w:tcPr>
            <w:tcW w:w="2268" w:type="dxa"/>
          </w:tcPr>
          <w:p w:rsidR="00692377" w:rsidRPr="003A10B5" w:rsidRDefault="00692377" w:rsidP="00692377">
            <w:pPr>
              <w:pStyle w:val="table1"/>
              <w:rPr>
                <w:color w:val="000000"/>
                <w:u w:color="000000"/>
              </w:rPr>
            </w:pPr>
            <w:r w:rsidRPr="003A10B5">
              <w:rPr>
                <w:color w:val="000000"/>
                <w:u w:color="000000"/>
              </w:rPr>
              <w:t>Wetlands and channel billabongs</w:t>
            </w:r>
          </w:p>
        </w:tc>
        <w:tc>
          <w:tcPr>
            <w:tcW w:w="2318" w:type="dxa"/>
          </w:tcPr>
          <w:p w:rsidR="00692377" w:rsidRDefault="00692377" w:rsidP="00692377">
            <w:pPr>
              <w:pStyle w:val="table1"/>
              <w:jc w:val="center"/>
              <w:rPr>
                <w:color w:val="000000"/>
                <w:u w:color="000000"/>
              </w:rPr>
            </w:pPr>
            <w:r w:rsidRPr="003A10B5">
              <w:rPr>
                <w:color w:val="000000"/>
                <w:u w:color="000000"/>
              </w:rPr>
              <w:t>35.9</w:t>
            </w:r>
          </w:p>
        </w:tc>
      </w:tr>
      <w:tr w:rsidR="00692377" w:rsidTr="00692377">
        <w:tc>
          <w:tcPr>
            <w:tcW w:w="1704" w:type="dxa"/>
          </w:tcPr>
          <w:p w:rsidR="00692377" w:rsidRPr="003A10B5" w:rsidRDefault="00692377" w:rsidP="00692377">
            <w:pPr>
              <w:pStyle w:val="table1"/>
              <w:rPr>
                <w:color w:val="000000"/>
                <w:u w:color="000000"/>
              </w:rPr>
            </w:pPr>
            <w:r w:rsidRPr="003A10B5">
              <w:rPr>
                <w:color w:val="000000"/>
                <w:u w:color="000000"/>
              </w:rPr>
              <w:t>Cooper Creek</w:t>
            </w:r>
          </w:p>
        </w:tc>
        <w:tc>
          <w:tcPr>
            <w:tcW w:w="956" w:type="dxa"/>
          </w:tcPr>
          <w:p w:rsidR="00692377" w:rsidRDefault="00692377" w:rsidP="00692377">
            <w:pPr>
              <w:pStyle w:val="table1"/>
              <w:jc w:val="center"/>
              <w:rPr>
                <w:color w:val="000000"/>
                <w:u w:color="000000"/>
              </w:rPr>
            </w:pPr>
            <w:r w:rsidRPr="003A10B5">
              <w:rPr>
                <w:color w:val="000000"/>
                <w:u w:color="000000"/>
              </w:rPr>
              <w:t>147.3</w:t>
            </w:r>
          </w:p>
        </w:tc>
        <w:tc>
          <w:tcPr>
            <w:tcW w:w="1276" w:type="dxa"/>
          </w:tcPr>
          <w:p w:rsidR="00692377" w:rsidRDefault="00692377" w:rsidP="00692377">
            <w:pPr>
              <w:pStyle w:val="table1"/>
              <w:jc w:val="center"/>
              <w:rPr>
                <w:color w:val="000000"/>
                <w:u w:color="000000"/>
              </w:rPr>
            </w:pPr>
            <w:r w:rsidRPr="003A10B5">
              <w:rPr>
                <w:color w:val="000000"/>
                <w:u w:color="000000"/>
              </w:rPr>
              <w:t>6</w:t>
            </w:r>
          </w:p>
        </w:tc>
        <w:tc>
          <w:tcPr>
            <w:tcW w:w="2268" w:type="dxa"/>
          </w:tcPr>
          <w:p w:rsidR="00692377" w:rsidRPr="003A10B5" w:rsidRDefault="00692377" w:rsidP="00692377">
            <w:pPr>
              <w:pStyle w:val="table1"/>
              <w:rPr>
                <w:color w:val="000000"/>
                <w:u w:color="000000"/>
              </w:rPr>
            </w:pPr>
            <w:r w:rsidRPr="003A10B5">
              <w:rPr>
                <w:color w:val="000000"/>
                <w:u w:color="000000"/>
              </w:rPr>
              <w:t>Anabranching reaches</w:t>
            </w:r>
          </w:p>
        </w:tc>
        <w:tc>
          <w:tcPr>
            <w:tcW w:w="2318" w:type="dxa"/>
          </w:tcPr>
          <w:p w:rsidR="00692377" w:rsidRDefault="00692377" w:rsidP="00692377">
            <w:pPr>
              <w:pStyle w:val="table1"/>
              <w:jc w:val="center"/>
              <w:rPr>
                <w:color w:val="000000"/>
                <w:u w:color="000000"/>
              </w:rPr>
            </w:pPr>
            <w:r w:rsidRPr="003A10B5">
              <w:rPr>
                <w:color w:val="000000"/>
                <w:u w:color="000000"/>
              </w:rPr>
              <w:t>60.9</w:t>
            </w:r>
          </w:p>
        </w:tc>
      </w:tr>
      <w:tr w:rsidR="00692377" w:rsidTr="00692377">
        <w:tc>
          <w:tcPr>
            <w:tcW w:w="1704" w:type="dxa"/>
            <w:tcBorders>
              <w:bottom w:val="single" w:sz="4" w:space="0" w:color="auto"/>
            </w:tcBorders>
          </w:tcPr>
          <w:p w:rsidR="00692377" w:rsidRPr="003A10B5" w:rsidRDefault="00692377" w:rsidP="00692377">
            <w:pPr>
              <w:pStyle w:val="table1"/>
              <w:rPr>
                <w:color w:val="000000"/>
                <w:u w:color="000000"/>
              </w:rPr>
            </w:pPr>
            <w:r w:rsidRPr="003A10B5">
              <w:rPr>
                <w:color w:val="000000"/>
                <w:u w:color="000000"/>
              </w:rPr>
              <w:t>Tin Camp Creek</w:t>
            </w:r>
          </w:p>
        </w:tc>
        <w:tc>
          <w:tcPr>
            <w:tcW w:w="956" w:type="dxa"/>
            <w:tcBorders>
              <w:bottom w:val="single" w:sz="4" w:space="0" w:color="auto"/>
            </w:tcBorders>
          </w:tcPr>
          <w:p w:rsidR="00692377" w:rsidRDefault="00692377" w:rsidP="00692377">
            <w:pPr>
              <w:pStyle w:val="table1"/>
              <w:jc w:val="center"/>
              <w:rPr>
                <w:color w:val="000000"/>
                <w:u w:color="000000"/>
              </w:rPr>
            </w:pPr>
            <w:r w:rsidRPr="003A10B5">
              <w:rPr>
                <w:color w:val="000000"/>
                <w:u w:color="000000"/>
              </w:rPr>
              <w:t>79.7</w:t>
            </w:r>
          </w:p>
        </w:tc>
        <w:tc>
          <w:tcPr>
            <w:tcW w:w="1276" w:type="dxa"/>
            <w:tcBorders>
              <w:bottom w:val="single" w:sz="4" w:space="0" w:color="auto"/>
            </w:tcBorders>
          </w:tcPr>
          <w:p w:rsidR="00692377" w:rsidRDefault="00692377" w:rsidP="00692377">
            <w:pPr>
              <w:pStyle w:val="table1"/>
              <w:jc w:val="center"/>
              <w:rPr>
                <w:color w:val="000000"/>
                <w:u w:color="000000"/>
              </w:rPr>
            </w:pPr>
            <w:r w:rsidRPr="003A10B5">
              <w:rPr>
                <w:color w:val="000000"/>
                <w:u w:color="000000"/>
              </w:rPr>
              <w:t>8</w:t>
            </w:r>
          </w:p>
        </w:tc>
        <w:tc>
          <w:tcPr>
            <w:tcW w:w="2268" w:type="dxa"/>
            <w:tcBorders>
              <w:bottom w:val="single" w:sz="4" w:space="0" w:color="auto"/>
            </w:tcBorders>
          </w:tcPr>
          <w:p w:rsidR="00692377" w:rsidRPr="003A10B5" w:rsidRDefault="00692377" w:rsidP="00692377">
            <w:pPr>
              <w:pStyle w:val="table1"/>
              <w:rPr>
                <w:color w:val="000000"/>
                <w:u w:color="000000"/>
              </w:rPr>
            </w:pPr>
            <w:r w:rsidRPr="003A10B5">
              <w:rPr>
                <w:color w:val="000000"/>
                <w:u w:color="000000"/>
              </w:rPr>
              <w:t>Anabranching reaches</w:t>
            </w:r>
          </w:p>
        </w:tc>
        <w:tc>
          <w:tcPr>
            <w:tcW w:w="2318" w:type="dxa"/>
            <w:tcBorders>
              <w:bottom w:val="single" w:sz="4" w:space="0" w:color="auto"/>
            </w:tcBorders>
          </w:tcPr>
          <w:p w:rsidR="00692377" w:rsidRDefault="00692377" w:rsidP="00692377">
            <w:pPr>
              <w:pStyle w:val="table1"/>
              <w:jc w:val="center"/>
              <w:rPr>
                <w:color w:val="000000"/>
                <w:u w:color="000000"/>
              </w:rPr>
            </w:pPr>
            <w:r w:rsidRPr="003A10B5">
              <w:rPr>
                <w:color w:val="000000"/>
                <w:u w:color="000000"/>
              </w:rPr>
              <w:t>79.8</w:t>
            </w:r>
          </w:p>
        </w:tc>
      </w:tr>
    </w:tbl>
    <w:p w:rsidR="00C26C20" w:rsidRDefault="003A10B5" w:rsidP="00085B9C">
      <w:r>
        <w:br/>
      </w:r>
      <w:r w:rsidR="00085B9C">
        <w:t>A number of sites in the upper sandstone gorge reaches are ideal for the preservation of SWD and could be potential sites for SWD research. The reach classification process also identified areas of channel scabland in the East Alligator catchment. They have been previously identified on the neighbouring Katherine River (Baker &amp; Pickup</w:t>
      </w:r>
      <w:r w:rsidR="00085B9C" w:rsidRPr="002F3068">
        <w:t xml:space="preserve"> 1987).</w:t>
      </w:r>
      <w:r w:rsidR="00085B9C">
        <w:t xml:space="preserve"> </w:t>
      </w:r>
      <w:r w:rsidR="00085B9C" w:rsidRPr="002F3068">
        <w:t xml:space="preserve">The sites that will be investigated for erosional and depositional evidence of palaeofloods on the East Alligator River and its named tributaries are outlined in Table 2. </w:t>
      </w:r>
    </w:p>
    <w:p w:rsidR="00C26C20" w:rsidRDefault="00C26C20">
      <w:pPr>
        <w:spacing w:after="0" w:line="240" w:lineRule="auto"/>
        <w:jc w:val="left"/>
      </w:pPr>
      <w:r>
        <w:br w:type="page"/>
      </w:r>
    </w:p>
    <w:p w:rsidR="00085B9C" w:rsidRPr="00AE0933" w:rsidRDefault="00085B9C" w:rsidP="00085B9C">
      <w:pPr>
        <w:pStyle w:val="tablecaption"/>
      </w:pPr>
      <w:r w:rsidRPr="00AE0933">
        <w:rPr>
          <w:b/>
        </w:rPr>
        <w:t>Table 2</w:t>
      </w:r>
      <w:r w:rsidRPr="00AE0933">
        <w:t xml:space="preserve"> River reaches to be investigated in the East Alligator River catchment for palaeoflood analyses. See Figure 3 for location of river reaches.</w:t>
      </w:r>
    </w:p>
    <w:tbl>
      <w:tblPr>
        <w:tblW w:w="8306" w:type="dxa"/>
        <w:tblLook w:val="04A0"/>
      </w:tblPr>
      <w:tblGrid>
        <w:gridCol w:w="1809"/>
        <w:gridCol w:w="3119"/>
        <w:gridCol w:w="3378"/>
      </w:tblGrid>
      <w:tr w:rsidR="00085B9C" w:rsidTr="00224F8A">
        <w:tc>
          <w:tcPr>
            <w:tcW w:w="1809" w:type="dxa"/>
            <w:tcBorders>
              <w:top w:val="single" w:sz="4" w:space="0" w:color="auto"/>
              <w:bottom w:val="single" w:sz="4" w:space="0" w:color="auto"/>
            </w:tcBorders>
          </w:tcPr>
          <w:p w:rsidR="00085B9C" w:rsidRPr="003A10B5" w:rsidRDefault="00085B9C" w:rsidP="003A10B5">
            <w:pPr>
              <w:pStyle w:val="table1"/>
              <w:rPr>
                <w:b/>
                <w:color w:val="000000"/>
                <w:u w:color="000000"/>
              </w:rPr>
            </w:pPr>
            <w:r w:rsidRPr="003A10B5">
              <w:rPr>
                <w:b/>
                <w:color w:val="000000"/>
                <w:u w:color="000000"/>
              </w:rPr>
              <w:t>River</w:t>
            </w:r>
          </w:p>
        </w:tc>
        <w:tc>
          <w:tcPr>
            <w:tcW w:w="3119" w:type="dxa"/>
            <w:tcBorders>
              <w:top w:val="single" w:sz="4" w:space="0" w:color="auto"/>
              <w:bottom w:val="single" w:sz="4" w:space="0" w:color="auto"/>
            </w:tcBorders>
          </w:tcPr>
          <w:p w:rsidR="00085B9C" w:rsidRPr="003A10B5" w:rsidRDefault="00085B9C" w:rsidP="003A10B5">
            <w:pPr>
              <w:pStyle w:val="table1"/>
              <w:rPr>
                <w:b/>
                <w:color w:val="000000"/>
                <w:u w:color="000000"/>
              </w:rPr>
            </w:pPr>
            <w:r w:rsidRPr="003A10B5">
              <w:rPr>
                <w:b/>
                <w:color w:val="000000"/>
                <w:u w:color="000000"/>
              </w:rPr>
              <w:t>River Reach with possible evidence of Palaeofloods</w:t>
            </w:r>
          </w:p>
        </w:tc>
        <w:tc>
          <w:tcPr>
            <w:tcW w:w="3378" w:type="dxa"/>
            <w:tcBorders>
              <w:top w:val="single" w:sz="4" w:space="0" w:color="auto"/>
              <w:bottom w:val="single" w:sz="4" w:space="0" w:color="auto"/>
            </w:tcBorders>
          </w:tcPr>
          <w:p w:rsidR="00085B9C" w:rsidRPr="003A10B5" w:rsidRDefault="00085B9C" w:rsidP="003A10B5">
            <w:pPr>
              <w:pStyle w:val="table1"/>
              <w:rPr>
                <w:b/>
                <w:color w:val="000000"/>
                <w:u w:color="000000"/>
              </w:rPr>
            </w:pPr>
            <w:r w:rsidRPr="003A10B5">
              <w:rPr>
                <w:b/>
                <w:color w:val="000000"/>
                <w:u w:color="000000"/>
              </w:rPr>
              <w:t>Palaeoflood Evidence to be Investigated</w:t>
            </w:r>
          </w:p>
        </w:tc>
      </w:tr>
      <w:tr w:rsidR="00085B9C" w:rsidTr="00224F8A">
        <w:tc>
          <w:tcPr>
            <w:tcW w:w="1809" w:type="dxa"/>
            <w:tcBorders>
              <w:top w:val="single" w:sz="4" w:space="0" w:color="auto"/>
            </w:tcBorders>
          </w:tcPr>
          <w:p w:rsidR="00085B9C" w:rsidRPr="003A3F09" w:rsidRDefault="00085B9C" w:rsidP="003A10B5">
            <w:pPr>
              <w:pStyle w:val="table1"/>
              <w:rPr>
                <w:color w:val="000000"/>
                <w:u w:color="000000"/>
              </w:rPr>
            </w:pPr>
            <w:r w:rsidRPr="003A3F09">
              <w:rPr>
                <w:color w:val="000000"/>
                <w:u w:color="000000"/>
              </w:rPr>
              <w:t>East Alligator River</w:t>
            </w:r>
          </w:p>
        </w:tc>
        <w:tc>
          <w:tcPr>
            <w:tcW w:w="3119" w:type="dxa"/>
            <w:tcBorders>
              <w:top w:val="single" w:sz="4" w:space="0" w:color="auto"/>
            </w:tcBorders>
          </w:tcPr>
          <w:p w:rsidR="00085B9C" w:rsidRPr="003A10B5" w:rsidRDefault="00085B9C" w:rsidP="003A10B5">
            <w:pPr>
              <w:pStyle w:val="table1"/>
              <w:rPr>
                <w:color w:val="000000"/>
                <w:u w:color="000000"/>
              </w:rPr>
            </w:pPr>
            <w:r w:rsidRPr="003A10B5">
              <w:rPr>
                <w:color w:val="000000"/>
                <w:u w:color="000000"/>
              </w:rPr>
              <w:t>Upper East Alligator River Gorge* (Reach 6)(56.8 km long)</w:t>
            </w:r>
          </w:p>
        </w:tc>
        <w:tc>
          <w:tcPr>
            <w:tcW w:w="3378" w:type="dxa"/>
            <w:tcBorders>
              <w:top w:val="single" w:sz="4" w:space="0" w:color="auto"/>
            </w:tcBorders>
          </w:tcPr>
          <w:p w:rsidR="00085B9C" w:rsidRPr="003A10B5" w:rsidRDefault="00085B9C" w:rsidP="003A10B5">
            <w:pPr>
              <w:pStyle w:val="table1"/>
              <w:rPr>
                <w:color w:val="000000"/>
                <w:u w:color="000000"/>
              </w:rPr>
            </w:pPr>
            <w:r w:rsidRPr="003A10B5">
              <w:rPr>
                <w:color w:val="000000"/>
                <w:u w:color="000000"/>
              </w:rPr>
              <w:t>SWD, channel scabland</w:t>
            </w:r>
          </w:p>
        </w:tc>
      </w:tr>
      <w:tr w:rsidR="00085B9C" w:rsidTr="00224F8A">
        <w:tc>
          <w:tcPr>
            <w:tcW w:w="1809" w:type="dxa"/>
          </w:tcPr>
          <w:p w:rsidR="00085B9C" w:rsidRPr="003A3F09" w:rsidRDefault="00085B9C" w:rsidP="003A10B5">
            <w:pPr>
              <w:pStyle w:val="table1"/>
              <w:rPr>
                <w:color w:val="000000"/>
                <w:u w:color="000000"/>
              </w:rPr>
            </w:pPr>
            <w:r w:rsidRPr="003A3F09">
              <w:rPr>
                <w:color w:val="000000"/>
                <w:u w:color="000000"/>
              </w:rPr>
              <w:t>Magela Creek</w:t>
            </w:r>
          </w:p>
        </w:tc>
        <w:tc>
          <w:tcPr>
            <w:tcW w:w="3119" w:type="dxa"/>
          </w:tcPr>
          <w:p w:rsidR="00085B9C" w:rsidRPr="003A10B5" w:rsidRDefault="00085B9C" w:rsidP="003A10B5">
            <w:pPr>
              <w:pStyle w:val="table1"/>
              <w:rPr>
                <w:color w:val="000000"/>
                <w:u w:color="000000"/>
              </w:rPr>
            </w:pPr>
            <w:r w:rsidRPr="003A10B5">
              <w:rPr>
                <w:color w:val="000000"/>
                <w:u w:color="000000"/>
              </w:rPr>
              <w:t>Mamadawerre Upland Gorge* (Reach 5)(4.7 km long)</w:t>
            </w:r>
          </w:p>
          <w:p w:rsidR="00085B9C" w:rsidRPr="003A10B5" w:rsidRDefault="00085B9C" w:rsidP="003A10B5">
            <w:pPr>
              <w:pStyle w:val="table1"/>
              <w:rPr>
                <w:color w:val="000000"/>
                <w:u w:color="000000"/>
              </w:rPr>
            </w:pPr>
            <w:r w:rsidRPr="003A10B5">
              <w:rPr>
                <w:color w:val="000000"/>
                <w:u w:color="000000"/>
              </w:rPr>
              <w:t>Magela Falls Gorge (Reach 7)(10.5 km)</w:t>
            </w:r>
          </w:p>
        </w:tc>
        <w:tc>
          <w:tcPr>
            <w:tcW w:w="3378" w:type="dxa"/>
          </w:tcPr>
          <w:p w:rsidR="00085B9C" w:rsidRPr="003A10B5" w:rsidRDefault="00085B9C" w:rsidP="003A10B5">
            <w:pPr>
              <w:pStyle w:val="table1"/>
              <w:rPr>
                <w:color w:val="000000"/>
                <w:u w:color="000000"/>
              </w:rPr>
            </w:pPr>
            <w:r w:rsidRPr="003A10B5">
              <w:rPr>
                <w:color w:val="000000"/>
                <w:u w:color="000000"/>
              </w:rPr>
              <w:t>SWD, channel scabland, flood bars</w:t>
            </w:r>
          </w:p>
          <w:p w:rsidR="00085B9C" w:rsidRPr="003A10B5" w:rsidRDefault="00085B9C" w:rsidP="003A10B5">
            <w:pPr>
              <w:pStyle w:val="table1"/>
              <w:rPr>
                <w:color w:val="000000"/>
                <w:u w:color="000000"/>
              </w:rPr>
            </w:pPr>
          </w:p>
          <w:p w:rsidR="00085B9C" w:rsidRPr="003A10B5" w:rsidRDefault="00085B9C" w:rsidP="003A10B5">
            <w:pPr>
              <w:pStyle w:val="table1"/>
              <w:rPr>
                <w:color w:val="000000"/>
                <w:u w:color="000000"/>
              </w:rPr>
            </w:pPr>
            <w:r w:rsidRPr="003A10B5">
              <w:rPr>
                <w:color w:val="000000"/>
                <w:u w:color="000000"/>
              </w:rPr>
              <w:t>Possible SWD</w:t>
            </w:r>
          </w:p>
        </w:tc>
      </w:tr>
      <w:tr w:rsidR="00085B9C" w:rsidTr="00224F8A">
        <w:tc>
          <w:tcPr>
            <w:tcW w:w="1809" w:type="dxa"/>
          </w:tcPr>
          <w:p w:rsidR="00085B9C" w:rsidRPr="003A3F09" w:rsidRDefault="00085B9C" w:rsidP="003A10B5">
            <w:pPr>
              <w:pStyle w:val="table1"/>
              <w:rPr>
                <w:color w:val="000000"/>
                <w:u w:color="000000"/>
              </w:rPr>
            </w:pPr>
            <w:r w:rsidRPr="003A3F09">
              <w:rPr>
                <w:color w:val="000000"/>
                <w:u w:color="000000"/>
              </w:rPr>
              <w:t>Cooper Creek</w:t>
            </w:r>
          </w:p>
        </w:tc>
        <w:tc>
          <w:tcPr>
            <w:tcW w:w="3119" w:type="dxa"/>
          </w:tcPr>
          <w:p w:rsidR="00085B9C" w:rsidRPr="003A10B5" w:rsidRDefault="00085B9C" w:rsidP="003A10B5">
            <w:pPr>
              <w:pStyle w:val="table1"/>
              <w:rPr>
                <w:color w:val="000000"/>
                <w:u w:color="000000"/>
              </w:rPr>
            </w:pPr>
            <w:r w:rsidRPr="003A10B5">
              <w:rPr>
                <w:color w:val="000000"/>
                <w:u w:color="000000"/>
              </w:rPr>
              <w:t>Coopers Lagoons Bedrock Anabranching Reach* (Reach 4)</w:t>
            </w:r>
            <w:r w:rsidR="003A10B5">
              <w:rPr>
                <w:color w:val="000000"/>
                <w:u w:color="000000"/>
              </w:rPr>
              <w:br/>
            </w:r>
            <w:r w:rsidRPr="003A10B5">
              <w:rPr>
                <w:color w:val="000000"/>
                <w:u w:color="000000"/>
              </w:rPr>
              <w:t>(15.5 km long)</w:t>
            </w:r>
          </w:p>
        </w:tc>
        <w:tc>
          <w:tcPr>
            <w:tcW w:w="3378" w:type="dxa"/>
          </w:tcPr>
          <w:p w:rsidR="00085B9C" w:rsidRPr="003A10B5" w:rsidRDefault="00085B9C" w:rsidP="003A10B5">
            <w:pPr>
              <w:pStyle w:val="table1"/>
              <w:rPr>
                <w:color w:val="000000"/>
                <w:u w:color="000000"/>
              </w:rPr>
            </w:pPr>
            <w:r w:rsidRPr="003A10B5">
              <w:rPr>
                <w:color w:val="000000"/>
                <w:u w:color="000000"/>
              </w:rPr>
              <w:t>Channel scabland, SWD, flood bars</w:t>
            </w:r>
          </w:p>
        </w:tc>
      </w:tr>
      <w:tr w:rsidR="00085B9C" w:rsidTr="00224F8A">
        <w:tc>
          <w:tcPr>
            <w:tcW w:w="1809" w:type="dxa"/>
            <w:tcBorders>
              <w:bottom w:val="single" w:sz="4" w:space="0" w:color="auto"/>
            </w:tcBorders>
          </w:tcPr>
          <w:p w:rsidR="00085B9C" w:rsidRPr="003A3F09" w:rsidRDefault="00085B9C" w:rsidP="003A10B5">
            <w:pPr>
              <w:pStyle w:val="table1"/>
              <w:rPr>
                <w:color w:val="000000"/>
                <w:u w:color="000000"/>
              </w:rPr>
            </w:pPr>
            <w:r w:rsidRPr="003A3F09">
              <w:rPr>
                <w:color w:val="000000"/>
                <w:u w:color="000000"/>
              </w:rPr>
              <w:t>Tin Camp Creek</w:t>
            </w:r>
          </w:p>
        </w:tc>
        <w:tc>
          <w:tcPr>
            <w:tcW w:w="3119" w:type="dxa"/>
            <w:tcBorders>
              <w:bottom w:val="single" w:sz="4" w:space="0" w:color="auto"/>
            </w:tcBorders>
          </w:tcPr>
          <w:p w:rsidR="00085B9C" w:rsidRPr="003A10B5" w:rsidRDefault="00085B9C" w:rsidP="003A10B5">
            <w:pPr>
              <w:pStyle w:val="table1"/>
              <w:rPr>
                <w:color w:val="000000"/>
                <w:u w:color="000000"/>
              </w:rPr>
            </w:pPr>
            <w:r w:rsidRPr="003A10B5">
              <w:rPr>
                <w:color w:val="000000"/>
                <w:u w:color="000000"/>
              </w:rPr>
              <w:t>Myra Falls Gorge* (Reach 5)(0.8 km long)</w:t>
            </w:r>
          </w:p>
        </w:tc>
        <w:tc>
          <w:tcPr>
            <w:tcW w:w="3378" w:type="dxa"/>
            <w:tcBorders>
              <w:bottom w:val="single" w:sz="4" w:space="0" w:color="auto"/>
            </w:tcBorders>
          </w:tcPr>
          <w:p w:rsidR="00085B9C" w:rsidRPr="003A10B5" w:rsidRDefault="00085B9C" w:rsidP="003A10B5">
            <w:pPr>
              <w:pStyle w:val="table1"/>
              <w:rPr>
                <w:color w:val="000000"/>
                <w:u w:color="000000"/>
              </w:rPr>
            </w:pPr>
            <w:r w:rsidRPr="003A10B5">
              <w:rPr>
                <w:color w:val="000000"/>
                <w:u w:color="000000"/>
              </w:rPr>
              <w:t>Possible SWD</w:t>
            </w:r>
          </w:p>
        </w:tc>
      </w:tr>
    </w:tbl>
    <w:p w:rsidR="00085B9C" w:rsidRDefault="00085B9C" w:rsidP="00085B9C">
      <w:r>
        <w:t>*Preferred site</w:t>
      </w:r>
    </w:p>
    <w:p w:rsidR="00085B9C" w:rsidRDefault="00085B9C" w:rsidP="00085B9C"/>
    <w:tbl>
      <w:tblPr>
        <w:tblW w:w="0" w:type="auto"/>
        <w:tblLook w:val="04A0"/>
      </w:tblPr>
      <w:tblGrid>
        <w:gridCol w:w="4148"/>
        <w:gridCol w:w="4176"/>
      </w:tblGrid>
      <w:tr w:rsidR="00085B9C" w:rsidTr="00224F8A">
        <w:tc>
          <w:tcPr>
            <w:tcW w:w="4148" w:type="dxa"/>
          </w:tcPr>
          <w:p w:rsidR="00085B9C" w:rsidRDefault="006B5A61" w:rsidP="00224F8A">
            <w:pPr>
              <w:jc w:val="center"/>
            </w:pPr>
            <w:r>
              <w:rPr>
                <w:noProof/>
                <w:lang w:eastAsia="en-AU"/>
              </w:rPr>
              <w:pict>
                <v:shapetype id="_x0000_t32" coordsize="21600,21600" o:spt="32" o:oned="t" path="m,l21600,21600e" filled="f">
                  <v:path arrowok="t" fillok="f" o:connecttype="none"/>
                  <o:lock v:ext="edit" shapetype="t"/>
                </v:shapetype>
                <v:shape id="Straight Arrow Connector 5" o:spid="_x0000_s1041" type="#_x0000_t32" style="position:absolute;left:0;text-align:left;margin-left:109.85pt;margin-top:49pt;width:27.75pt;height:15pt;flip:x;z-index:2516633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" strokecolor="white [3212]" strokeweight="4.5pt">
                  <v:stroke endarrow="block"/>
                </v:shape>
              </w:pict>
            </w:r>
            <w:r>
              <w:rPr>
                <w:noProof/>
                <w:lang w:eastAsia="en-AU"/>
              </w:rPr>
              <w:pict>
                <v:shape id="Text Box 2" o:spid="_x0000_s1040" type="#_x0000_t202" style="position:absolute;left:0;text-align:left;margin-left:119.6pt;margin-top:31.75pt;width:68.25pt;height:110.6pt;z-index:25166233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" filled="f" stroked="f">
                  <v:textbox style="mso-next-textbox:#Text Box 2;mso-fit-shape-to-text:t">
                    <w:txbxContent>
                      <w:p w:rsidR="00F260FF" w:rsidRPr="00F4518B" w:rsidRDefault="00F260FF" w:rsidP="00085B9C">
                        <w:pPr>
                          <w:rPr>
                            <w:rFonts w:ascii="Arial Black" w:hAnsi="Arial Black"/>
                            <w:color w:val="FFFFFF" w:themeColor="background1"/>
                            <w:sz w:val="16"/>
                            <w:szCs w:val="16"/>
                          </w:rPr>
                        </w:pPr>
                        <w:r w:rsidRPr="00F4518B">
                          <w:rPr>
                            <w:rFonts w:ascii="Arial Black" w:hAnsi="Arial Black"/>
                            <w:color w:val="FFFFFF" w:themeColor="background1"/>
                            <w:sz w:val="16"/>
                            <w:szCs w:val="16"/>
                          </w:rPr>
                          <w:t>Plunge Pool</w:t>
                        </w:r>
                      </w:p>
                    </w:txbxContent>
                  </v:textbox>
                </v:shape>
              </w:pict>
            </w:r>
            <w:r>
              <w:rPr>
                <w:noProof/>
                <w:lang w:eastAsia="en-AU"/>
              </w:rPr>
              <w:pict>
                <v:shape id="Straight Arrow Connector 1" o:spid="_x0000_s1039" type="#_x0000_t32" style="position:absolute;left:0;text-align:left;margin-left:139.1pt;margin-top:96.25pt;width:25.5pt;height:4.5pt;flip:y;z-index:2516613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" strokecolor="white [3212]" strokeweight="4.5pt">
                  <v:stroke endarrow="block"/>
                </v:shape>
              </w:pict>
            </w:r>
            <w:r>
              <w:rPr>
                <w:noProof/>
                <w:lang w:eastAsia="en-AU"/>
              </w:rPr>
              <w:pict>
                <v:shape id="_x0000_s1038" type="#_x0000_t202" style="position:absolute;left:0;text-align:left;margin-left:86.6pt;margin-top:87.25pt;width:56.25pt;height:110.6pt;z-index:25166028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" filled="f" stroked="f">
                  <v:textbox style="mso-next-textbox:#_x0000_s1038;mso-fit-shape-to-text:t">
                    <w:txbxContent>
                      <w:p w:rsidR="00F260FF" w:rsidRPr="00AD23BF" w:rsidRDefault="00F260FF" w:rsidP="00085B9C">
                        <w:pPr>
                          <w:rPr>
                            <w:rFonts w:ascii="Arial Black" w:hAnsi="Arial Black"/>
                            <w:color w:val="FFFFFF" w:themeColor="background1"/>
                            <w:sz w:val="16"/>
                            <w:szCs w:val="16"/>
                          </w:rPr>
                        </w:pPr>
                        <w:r w:rsidRPr="00AD23BF">
                          <w:rPr>
                            <w:rFonts w:ascii="Arial Black" w:hAnsi="Arial Black"/>
                            <w:color w:val="FFFFFF" w:themeColor="background1"/>
                            <w:sz w:val="16"/>
                            <w:szCs w:val="16"/>
                          </w:rPr>
                          <w:t>Waterfall</w:t>
                        </w:r>
                      </w:p>
                    </w:txbxContent>
                  </v:textbox>
                </v:shape>
              </w:pict>
            </w:r>
            <w:r w:rsidR="00085B9C">
              <w:rPr>
                <w:noProof/>
                <w:lang w:eastAsia="en-AU"/>
              </w:rPr>
              <w:drawing>
                <wp:inline distT="0" distB="0" distL="0" distR="0">
                  <wp:extent cx="2402468" cy="1600200"/>
                  <wp:effectExtent l="57150" t="19050" r="16882" b="0"/>
                  <wp:docPr id="7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8"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13572" cy="1607596"/>
                          </a:xfrm>
                          <a:prstGeom prst="rect">
                            <a:avLst/>
                          </a:prstGeom>
                          <a:noFill/>
                          <a:scene3d>
                            <a:camera prst="orthographicFront"/>
                            <a:lightRig rig="threePt" dir="t"/>
                          </a:scene3d>
                          <a:sp3d contourW="12700">
                            <a:contourClr>
                              <a:schemeClr val="bg1"/>
                            </a:contourClr>
                          </a:sp3d>
                        </pic:spPr>
                      </pic:pic>
                    </a:graphicData>
                  </a:graphic>
                </wp:inline>
              </w:drawing>
            </w:r>
          </w:p>
        </w:tc>
        <w:tc>
          <w:tcPr>
            <w:tcW w:w="4148" w:type="dxa"/>
          </w:tcPr>
          <w:p w:rsidR="00085B9C" w:rsidRDefault="00085B9C" w:rsidP="00224F8A">
            <w:pPr>
              <w:jc w:val="center"/>
            </w:pPr>
            <w:r>
              <w:rPr>
                <w:noProof/>
                <w:lang w:eastAsia="en-AU"/>
              </w:rPr>
              <w:drawing>
                <wp:inline distT="0" distB="0" distL="0" distR="0">
                  <wp:extent cx="2426970" cy="1616519"/>
                  <wp:effectExtent l="57150" t="19050" r="30480" b="0"/>
                  <wp:docPr id="7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9"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42636" cy="1626954"/>
                          </a:xfrm>
                          <a:prstGeom prst="rect">
                            <a:avLst/>
                          </a:prstGeom>
                          <a:noFill/>
                          <a:scene3d>
                            <a:camera prst="orthographicFront"/>
                            <a:lightRig rig="threePt" dir="t"/>
                          </a:scene3d>
                          <a:sp3d contourW="12700">
                            <a:contourClr>
                              <a:schemeClr val="bg1"/>
                            </a:contourClr>
                          </a:sp3d>
                        </pic:spPr>
                      </pic:pic>
                    </a:graphicData>
                  </a:graphic>
                </wp:inline>
              </w:drawing>
            </w:r>
          </w:p>
        </w:tc>
      </w:tr>
    </w:tbl>
    <w:p w:rsidR="00085B9C" w:rsidRDefault="00085B9C" w:rsidP="00085B9C">
      <w:r w:rsidRPr="00AE0933">
        <w:rPr>
          <w:rStyle w:val="figurecaptionChar"/>
          <w:b/>
        </w:rPr>
        <w:t>Figure 2</w:t>
      </w:r>
      <w:r w:rsidRPr="00AE0933">
        <w:rPr>
          <w:rStyle w:val="figurecaptionChar"/>
        </w:rPr>
        <w:t xml:space="preserve"> Oblique aerial photos of Coopers Lagoons on the sandsto</w:t>
      </w:r>
      <w:r w:rsidR="00692377">
        <w:rPr>
          <w:rStyle w:val="figurecaptionChar"/>
        </w:rPr>
        <w:t>ne plateau surface near Mt Borra</w:t>
      </w:r>
      <w:r w:rsidRPr="00AE0933">
        <w:rPr>
          <w:rStyle w:val="figurecaptionChar"/>
        </w:rPr>
        <w:t>daile with essentially no feeder channels. They have formed by waterfall scour and retreat leaving a large plunge pool during palaeofloods flowing across the sandstone plateau</w:t>
      </w:r>
      <w:r>
        <w:t>.</w:t>
      </w:r>
    </w:p>
    <w:p w:rsidR="003A10B5" w:rsidRDefault="003A10B5" w:rsidP="00085B9C">
      <w:r w:rsidRPr="002F3068">
        <w:t>An excellent SWD site has already been found on the East Alligator River (Figure 1) and cataracts have been found on Coopers Creek (Figure 2) that indicate that palaeofloods have inundated the whole sandstone plateau surface there to sufficient depth to generate stream powers that have eroded waterfalls with large plunge pools in quartzose sandstone.</w:t>
      </w:r>
    </w:p>
    <w:p w:rsidR="00085B9C" w:rsidRDefault="00085B9C" w:rsidP="00506065">
      <w:pPr>
        <w:pStyle w:val="Heading3"/>
      </w:pPr>
      <w:r>
        <w:t>Steps for completion</w:t>
      </w:r>
    </w:p>
    <w:p w:rsidR="00085B9C" w:rsidRDefault="00085B9C" w:rsidP="00085B9C">
      <w:r>
        <w:t xml:space="preserve">Previous palaeoflood hydrology on the East Alligator River (Pickup et al. 1987, Murray et al. 1992) was conducted in reaches downstream of the true sandstone gorges and found that the existing slackwater deposits were very young, only occurring at low elevations. Because these authors had not identified the true gorges on the East Alligator River, their study site was subject to frequent scour and fill, a fact that they explicitly recognized. Following the river reach analysis, it is now clear that such research should have been completed in the Upper East Alligator Gorge and other sandstone gorges. On Magela Creek, Cooper Creek and upper East Alligator River, channel scabland has been identified (Table 2). We are unaware of any of the previous geomorphic investigations of the East Alligator River recognising the Upper East Alligator Gorge and its associated channel scabland (Pickup et al. 1987). Flood erosional evidence and slackwater deposit investigations will be undertaken to determine palaeofloods. We plan to concentrate our research efforts on sandstone gorge areas, and are currently planning palaeoflood investigations with Professors R. J. Wasson of the National University of Singapore and W.D. Erskine of the University of Newcastle and Charles Darwin University. During the 2015 dry season, sites in the Upper East Alligator River gorge will be inspected for SWD and sampled where they are located. Other sites will be inspected aerially and sampled in subsequent dry seasons.  </w:t>
      </w:r>
    </w:p>
    <w:p w:rsidR="00085B9C" w:rsidRDefault="00085B9C" w:rsidP="00085B9C"/>
    <w:p w:rsidR="00085B9C" w:rsidRDefault="00085B9C" w:rsidP="00085B9C">
      <w:r w:rsidRPr="00AE0933">
        <w:rPr>
          <w:noProof/>
          <w:lang w:eastAsia="en-AU"/>
        </w:rPr>
        <w:drawing>
          <wp:inline distT="0" distB="0" distL="0" distR="0">
            <wp:extent cx="5129144" cy="6948275"/>
            <wp:effectExtent l="19050" t="0" r="0" b="0"/>
            <wp:docPr id="73" name="Picture 0" descr="MouseMap-EastAlligator_tcc-reaches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useMap-EastAlligator_tcc-reaches5.jpg"/>
                    <pic:cNvPicPr/>
                  </pic:nvPicPr>
                  <pic:blipFill>
                    <a:blip r:embed="rId180" cstate="screen"/>
                    <a:srcRect/>
                    <a:stretch>
                      <a:fillRect/>
                    </a:stretch>
                  </pic:blipFill>
                  <pic:spPr>
                    <a:xfrm>
                      <a:off x="0" y="0"/>
                      <a:ext cx="5135556" cy="6956961"/>
                    </a:xfrm>
                    <a:prstGeom prst="rect">
                      <a:avLst/>
                    </a:prstGeom>
                  </pic:spPr>
                </pic:pic>
              </a:graphicData>
            </a:graphic>
          </wp:inline>
        </w:drawing>
      </w:r>
    </w:p>
    <w:p w:rsidR="00085B9C" w:rsidRDefault="00085B9C" w:rsidP="00085B9C">
      <w:pPr>
        <w:pStyle w:val="figurecaption"/>
      </w:pPr>
      <w:r w:rsidRPr="00F4518B">
        <w:rPr>
          <w:b/>
        </w:rPr>
        <w:t xml:space="preserve">Figure </w:t>
      </w:r>
      <w:proofErr w:type="gramStart"/>
      <w:r w:rsidRPr="00F4518B">
        <w:rPr>
          <w:b/>
        </w:rPr>
        <w:t>3</w:t>
      </w:r>
      <w:r>
        <w:t xml:space="preserve">  Location</w:t>
      </w:r>
      <w:proofErr w:type="gramEnd"/>
      <w:r>
        <w:t xml:space="preserve"> of the river reaches listed in Table 2 on the East Alligator River and named tributaries</w:t>
      </w:r>
      <w:r w:rsidR="00AE7B10">
        <w:t>.</w:t>
      </w:r>
    </w:p>
    <w:p w:rsidR="00085B9C" w:rsidRDefault="00085B9C" w:rsidP="00085B9C">
      <w:r>
        <w:t>Discussions with the Northern Land Council are underway to obtain permission from the traditional land owners to allow us access to the identified areas to confirm the existence of SWD and other palaeoflood indicators. Any SWD that are identified will be surveyed for palaeostage information, sampled for sedimentological and dating purposes, and a channel digital elevation model obtained to reconstruct flood magnitudes by hydrodynamic modelling. At least the HEC-RAS one-dimensional backwater model (Brunner 2010) will be used, although more sophisticated hydraulic models will also be investigated. The channel scablands will be investigated as part of this work because they also provide important palaeostage information of flood erosion which can be combined with the depositional evidence.</w:t>
      </w:r>
    </w:p>
    <w:p w:rsidR="00085B9C" w:rsidRPr="006304F9" w:rsidRDefault="00085B9C" w:rsidP="00085B9C">
      <w:r w:rsidRPr="006304F9">
        <w:t xml:space="preserve">The key benefits of this project are that the number, magnitude and frequency of palaeofloods that are larger than the largest historical event in the ARR </w:t>
      </w:r>
      <w:r>
        <w:t>will be determined for the current period of relatively stable climate. The peak discharge information will</w:t>
      </w:r>
      <w:r w:rsidRPr="006304F9">
        <w:t xml:space="preserve"> be scaled for the Magela and Gulungul creek catchments at the Ranger Mine</w:t>
      </w:r>
      <w:r>
        <w:t xml:space="preserve"> by catchment area</w:t>
      </w:r>
      <w:r w:rsidRPr="006304F9">
        <w:t>. The palaeoflood data will also be used to estimate the formative rainfall by extension of historical data so as to construct input data for landform evolution modelling.</w:t>
      </w:r>
    </w:p>
    <w:p w:rsidR="00085B9C" w:rsidRPr="006304F9" w:rsidRDefault="00085B9C" w:rsidP="00085B9C">
      <w:r w:rsidRPr="006304F9">
        <w:t xml:space="preserve">Knowledge of the number, magnitude, frequency and time of occurrence of palaeofloods and their formative rainfall will significantly extend </w:t>
      </w:r>
      <w:r>
        <w:t>our</w:t>
      </w:r>
      <w:r w:rsidRPr="006304F9">
        <w:t xml:space="preserve"> knowledge of extreme events in the ARR. Furthermore, greater confidence will be gained in the results of the landform evolution modelling of the stability of the rehabilitated Ranger Mine for the first 10000 years following construction</w:t>
      </w:r>
      <w:r>
        <w:t xml:space="preserve"> once actual palaeofloods have been determined</w:t>
      </w:r>
      <w:r w:rsidRPr="006304F9">
        <w:t>. This is important to convey to stakeholders that world’s best practice has been applied to the assessment of the stability of the rehabilitated mine site.</w:t>
      </w:r>
    </w:p>
    <w:p w:rsidR="00085B9C" w:rsidRDefault="00085B9C" w:rsidP="00506065">
      <w:pPr>
        <w:pStyle w:val="Heading2"/>
      </w:pPr>
      <w:r>
        <w:t>References</w:t>
      </w:r>
    </w:p>
    <w:p w:rsidR="00085B9C" w:rsidRPr="00F76EC6" w:rsidRDefault="00085B9C" w:rsidP="00AE7B10">
      <w:pPr>
        <w:pStyle w:val="referencelist1"/>
        <w:rPr>
          <w:noProof/>
        </w:rPr>
      </w:pPr>
      <w:r w:rsidRPr="00F76EC6">
        <w:rPr>
          <w:noProof/>
        </w:rPr>
        <w:t xml:space="preserve">Baker VR 1987a. Paleohyflood hydrology and extraordinary flood events. </w:t>
      </w:r>
      <w:r w:rsidRPr="00AE7B10">
        <w:rPr>
          <w:i/>
          <w:noProof/>
        </w:rPr>
        <w:t xml:space="preserve">Journal of Hydrology </w:t>
      </w:r>
      <w:r w:rsidR="00AE7B10">
        <w:rPr>
          <w:noProof/>
        </w:rPr>
        <w:t>96, 79–</w:t>
      </w:r>
      <w:r w:rsidRPr="00F76EC6">
        <w:rPr>
          <w:noProof/>
        </w:rPr>
        <w:t>99.</w:t>
      </w:r>
    </w:p>
    <w:p w:rsidR="00085B9C" w:rsidRPr="00F76EC6" w:rsidRDefault="00085B9C" w:rsidP="00AE7B10">
      <w:pPr>
        <w:pStyle w:val="referencelist1"/>
        <w:rPr>
          <w:noProof/>
        </w:rPr>
      </w:pPr>
      <w:r w:rsidRPr="00F76EC6">
        <w:rPr>
          <w:noProof/>
        </w:rPr>
        <w:t>Baker VR 1987b. Paleoflood hydrology and hydroclimatic change. In The influence of climate change and climate variability on the hydrologic regime and water resources,(Proceedings of the Vancouver Symposium). International Association of  Hydrological Sciences</w:t>
      </w:r>
      <w:r>
        <w:rPr>
          <w:noProof/>
        </w:rPr>
        <w:t>, Wallingford.</w:t>
      </w:r>
      <w:r w:rsidR="00AE7B10">
        <w:rPr>
          <w:noProof/>
        </w:rPr>
        <w:t xml:space="preserve"> 123–</w:t>
      </w:r>
      <w:r w:rsidRPr="00F76EC6">
        <w:rPr>
          <w:noProof/>
        </w:rPr>
        <w:t>132.</w:t>
      </w:r>
    </w:p>
    <w:p w:rsidR="00085B9C" w:rsidRPr="00F76EC6" w:rsidRDefault="00085B9C" w:rsidP="00AE7B10">
      <w:pPr>
        <w:pStyle w:val="referencelist1"/>
        <w:rPr>
          <w:noProof/>
        </w:rPr>
      </w:pPr>
      <w:r w:rsidRPr="00F76EC6">
        <w:rPr>
          <w:noProof/>
        </w:rPr>
        <w:t>Baker VR, Kochel RC &amp; Patton PC 1983. Palaeohydrologic analysis of Holocene flood slack-water sediments.</w:t>
      </w:r>
      <w:r w:rsidRPr="00AE7B10">
        <w:rPr>
          <w:i/>
          <w:noProof/>
        </w:rPr>
        <w:t xml:space="preserve"> International Association of Sedimentologi</w:t>
      </w:r>
      <w:r w:rsidR="00AE7B10" w:rsidRPr="00AE7B10">
        <w:rPr>
          <w:i/>
          <w:noProof/>
        </w:rPr>
        <w:t>sts Special Publication</w:t>
      </w:r>
      <w:r w:rsidR="00AE7B10">
        <w:rPr>
          <w:noProof/>
        </w:rPr>
        <w:t xml:space="preserve"> 6, 229 –</w:t>
      </w:r>
      <w:r w:rsidRPr="00F76EC6">
        <w:rPr>
          <w:noProof/>
        </w:rPr>
        <w:t>239.</w:t>
      </w:r>
    </w:p>
    <w:p w:rsidR="00085B9C" w:rsidRPr="00F76EC6" w:rsidRDefault="00085B9C" w:rsidP="00AE7B10">
      <w:pPr>
        <w:pStyle w:val="referencelist1"/>
        <w:rPr>
          <w:noProof/>
        </w:rPr>
      </w:pPr>
      <w:r w:rsidRPr="00F76EC6">
        <w:rPr>
          <w:noProof/>
        </w:rPr>
        <w:t>Baker VR &amp; Pickup G 1987. Flood geomorphology of the Katherine Gorge, Northern Territory, Australia. Geologi</w:t>
      </w:r>
      <w:r>
        <w:rPr>
          <w:noProof/>
        </w:rPr>
        <w:t>cal Society of America Bulletin</w:t>
      </w:r>
      <w:r w:rsidR="00AE7B10">
        <w:rPr>
          <w:noProof/>
        </w:rPr>
        <w:t xml:space="preserve"> 98, 635–</w:t>
      </w:r>
      <w:r w:rsidRPr="00F76EC6">
        <w:rPr>
          <w:noProof/>
        </w:rPr>
        <w:t>646.</w:t>
      </w:r>
    </w:p>
    <w:p w:rsidR="00085B9C" w:rsidRPr="00F76EC6" w:rsidRDefault="00085B9C" w:rsidP="00AE7B10">
      <w:pPr>
        <w:pStyle w:val="referencelist1"/>
        <w:rPr>
          <w:noProof/>
        </w:rPr>
      </w:pPr>
      <w:r w:rsidRPr="00F76EC6">
        <w:rPr>
          <w:noProof/>
        </w:rPr>
        <w:t>Bisson PA &amp; Montgomery DR 1996. Valley segments, stream reaches and channel units. In: Hauer FR &amp; Lamberti GA (eds), Methods in Stream Ecology.</w:t>
      </w:r>
      <w:r w:rsidR="00AE7B10">
        <w:rPr>
          <w:noProof/>
        </w:rPr>
        <w:t xml:space="preserve"> Academic Press, San Diego, 23–</w:t>
      </w:r>
      <w:r w:rsidRPr="00F76EC6">
        <w:rPr>
          <w:noProof/>
        </w:rPr>
        <w:t>52.</w:t>
      </w:r>
    </w:p>
    <w:p w:rsidR="00085B9C" w:rsidRPr="00F76EC6" w:rsidRDefault="00085B9C" w:rsidP="00AE7B10">
      <w:pPr>
        <w:pStyle w:val="referencelist1"/>
        <w:rPr>
          <w:noProof/>
        </w:rPr>
      </w:pPr>
      <w:r w:rsidRPr="00F76EC6">
        <w:rPr>
          <w:noProof/>
        </w:rPr>
        <w:t>Brierley GJ &amp; Fryirs KA 2005. Geomorphology and River Management. Applications of the River Styles Framework. Blackwell Publishing, Malden.</w:t>
      </w:r>
    </w:p>
    <w:p w:rsidR="00085B9C" w:rsidRDefault="00085B9C" w:rsidP="00AE7B10">
      <w:pPr>
        <w:pStyle w:val="referencelist1"/>
      </w:pPr>
      <w:r>
        <w:t xml:space="preserve">Brunner GW 2010. </w:t>
      </w:r>
      <w:proofErr w:type="gramStart"/>
      <w:r>
        <w:t>HEC-RAS River Analysis System User Manual Version 3.1.</w:t>
      </w:r>
      <w:proofErr w:type="gramEnd"/>
      <w:r>
        <w:t xml:space="preserve"> </w:t>
      </w:r>
      <w:r w:rsidRPr="00436B6B">
        <w:t>CPD68. US Army Corps of Engineers, Institute for Water Resources, Hydrologic Engineering Center: Davis, California</w:t>
      </w:r>
      <w:r>
        <w:t xml:space="preserve"> 790</w:t>
      </w:r>
      <w:r w:rsidR="001C25F0">
        <w:t>.</w:t>
      </w:r>
    </w:p>
    <w:p w:rsidR="00085B9C" w:rsidRPr="00F76EC6" w:rsidRDefault="00085B9C" w:rsidP="00AE7B10">
      <w:pPr>
        <w:pStyle w:val="referencelist1"/>
        <w:rPr>
          <w:noProof/>
        </w:rPr>
      </w:pPr>
      <w:r>
        <w:rPr>
          <w:noProof/>
        </w:rPr>
        <w:t xml:space="preserve">Erskine WD 1996. </w:t>
      </w:r>
      <w:r w:rsidRPr="00F76EC6">
        <w:rPr>
          <w:noProof/>
        </w:rPr>
        <w:t>Downstream Hydrogeomorphic Impacts of Eildon Reservoir on the Mid-Goulburn River, Victoria</w:t>
      </w:r>
      <w:r>
        <w:rPr>
          <w:noProof/>
        </w:rPr>
        <w:t>.</w:t>
      </w:r>
      <w:r w:rsidRPr="00F76EC6">
        <w:rPr>
          <w:noProof/>
        </w:rPr>
        <w:t xml:space="preserve"> </w:t>
      </w:r>
      <w:r w:rsidRPr="007D3680">
        <w:rPr>
          <w:i/>
          <w:noProof/>
        </w:rPr>
        <w:t>Proceedings of Royal Society of Victo</w:t>
      </w:r>
      <w:r w:rsidR="00AE7B10" w:rsidRPr="007D3680">
        <w:rPr>
          <w:i/>
          <w:noProof/>
        </w:rPr>
        <w:t>ria</w:t>
      </w:r>
      <w:r w:rsidR="00AE7B10">
        <w:rPr>
          <w:noProof/>
        </w:rPr>
        <w:t xml:space="preserve"> </w:t>
      </w:r>
      <w:r w:rsidR="007D3680">
        <w:rPr>
          <w:noProof/>
        </w:rPr>
        <w:t>108(1),</w:t>
      </w:r>
      <w:r w:rsidR="00AE7B10">
        <w:rPr>
          <w:noProof/>
        </w:rPr>
        <w:t xml:space="preserve"> 1–</w:t>
      </w:r>
      <w:r w:rsidRPr="00F76EC6">
        <w:rPr>
          <w:noProof/>
        </w:rPr>
        <w:t xml:space="preserve">15. </w:t>
      </w:r>
    </w:p>
    <w:p w:rsidR="00085B9C" w:rsidRPr="00F76EC6" w:rsidRDefault="00085B9C" w:rsidP="00AE7B10">
      <w:pPr>
        <w:pStyle w:val="referencelist1"/>
      </w:pPr>
      <w:r w:rsidRPr="00F76EC6">
        <w:rPr>
          <w:noProof/>
        </w:rPr>
        <w:t>Erskine WD 2005. Stream classification. In: J</w:t>
      </w:r>
      <w:r w:rsidR="00692377">
        <w:rPr>
          <w:noProof/>
        </w:rPr>
        <w:t>H</w:t>
      </w:r>
      <w:r w:rsidRPr="00F76EC6">
        <w:rPr>
          <w:noProof/>
        </w:rPr>
        <w:t xml:space="preserve"> Lehr, J</w:t>
      </w:r>
      <w:r w:rsidR="00692377">
        <w:rPr>
          <w:noProof/>
        </w:rPr>
        <w:t>W</w:t>
      </w:r>
      <w:r w:rsidRPr="00F76EC6">
        <w:rPr>
          <w:noProof/>
        </w:rPr>
        <w:t xml:space="preserve"> Keeley, J</w:t>
      </w:r>
      <w:r w:rsidR="00692377">
        <w:rPr>
          <w:noProof/>
        </w:rPr>
        <w:t>K Lehr &amp; T B</w:t>
      </w:r>
      <w:r w:rsidRPr="00F76EC6">
        <w:t xml:space="preserve"> Kingery III (</w:t>
      </w:r>
      <w:proofErr w:type="gramStart"/>
      <w:r w:rsidRPr="00F76EC6">
        <w:t>eds</w:t>
      </w:r>
      <w:proofErr w:type="gramEnd"/>
      <w:r w:rsidRPr="00F76EC6">
        <w:t xml:space="preserve">), </w:t>
      </w:r>
      <w:r w:rsidRPr="00F76EC6">
        <w:rPr>
          <w:i/>
        </w:rPr>
        <w:t xml:space="preserve">Water Encyclopedia. </w:t>
      </w:r>
      <w:proofErr w:type="gramStart"/>
      <w:r w:rsidRPr="00F76EC6">
        <w:rPr>
          <w:i/>
        </w:rPr>
        <w:t>Surface and Agricultural Water</w:t>
      </w:r>
      <w:r w:rsidRPr="00F76EC6">
        <w:t>.</w:t>
      </w:r>
      <w:proofErr w:type="gramEnd"/>
      <w:r w:rsidRPr="00F76EC6">
        <w:t xml:space="preserve"> </w:t>
      </w:r>
      <w:r w:rsidR="00AE7B10">
        <w:t>Wiley Interscience, Hoboken, 65–</w:t>
      </w:r>
      <w:r w:rsidRPr="00F76EC6">
        <w:t>71.</w:t>
      </w:r>
    </w:p>
    <w:p w:rsidR="00085B9C" w:rsidRPr="00F76EC6" w:rsidRDefault="00085B9C" w:rsidP="00AE7B10">
      <w:pPr>
        <w:pStyle w:val="referencelist1"/>
        <w:rPr>
          <w:rFonts w:eastAsiaTheme="minorEastAsia"/>
        </w:rPr>
      </w:pPr>
      <w:proofErr w:type="gramStart"/>
      <w:r w:rsidRPr="00F76EC6">
        <w:rPr>
          <w:rFonts w:eastAsiaTheme="minorEastAsia"/>
        </w:rPr>
        <w:t>Erskine WD, Ladson AR, Tilleard JW &amp; Cheetham M 2014.</w:t>
      </w:r>
      <w:proofErr w:type="gramEnd"/>
      <w:r w:rsidRPr="00F76EC6">
        <w:rPr>
          <w:rFonts w:eastAsiaTheme="minorEastAsia"/>
        </w:rPr>
        <w:t xml:space="preserve"> River management on a reach basis highlights </w:t>
      </w:r>
      <w:r w:rsidRPr="00085B9C">
        <w:rPr>
          <w:rFonts w:eastAsiaTheme="minorEastAsia"/>
          <w:szCs w:val="22"/>
        </w:rPr>
        <w:t>lagged</w:t>
      </w:r>
      <w:r w:rsidRPr="00F76EC6">
        <w:rPr>
          <w:rFonts w:eastAsiaTheme="minorEastAsia"/>
        </w:rPr>
        <w:t xml:space="preserve"> channel responses to multiple catchment disturbances: Yea and Murrindindi rivers, Victoria. In: Vietz G, Rutherfurd ID &amp; Hughes R (</w:t>
      </w:r>
      <w:r w:rsidR="00A34746">
        <w:rPr>
          <w:rFonts w:eastAsiaTheme="minorEastAsia"/>
        </w:rPr>
        <w:t>e</w:t>
      </w:r>
      <w:r w:rsidRPr="00F76EC6">
        <w:rPr>
          <w:rFonts w:eastAsiaTheme="minorEastAsia"/>
        </w:rPr>
        <w:t xml:space="preserve">ds), </w:t>
      </w:r>
      <w:r w:rsidRPr="00F76EC6">
        <w:rPr>
          <w:rFonts w:eastAsiaTheme="minorEastAsia"/>
          <w:i/>
        </w:rPr>
        <w:t>Proceedings of the 7</w:t>
      </w:r>
      <w:r w:rsidRPr="00F76EC6">
        <w:rPr>
          <w:rFonts w:eastAsiaTheme="minorEastAsia"/>
          <w:i/>
          <w:vertAlign w:val="superscript"/>
        </w:rPr>
        <w:t>th</w:t>
      </w:r>
      <w:r w:rsidRPr="00F76EC6">
        <w:rPr>
          <w:rFonts w:eastAsiaTheme="minorEastAsia"/>
          <w:i/>
        </w:rPr>
        <w:t xml:space="preserve"> Australian Stream Management Conference, Townsville, Qld</w:t>
      </w:r>
      <w:r w:rsidR="00F15ED8">
        <w:rPr>
          <w:rFonts w:eastAsiaTheme="minorEastAsia"/>
        </w:rPr>
        <w:t>, pp</w:t>
      </w:r>
      <w:r w:rsidRPr="00F76EC6">
        <w:rPr>
          <w:rFonts w:eastAsiaTheme="minorEastAsia"/>
        </w:rPr>
        <w:t xml:space="preserve"> 277–284.</w:t>
      </w:r>
    </w:p>
    <w:p w:rsidR="00085B9C" w:rsidRPr="00F76EC6" w:rsidRDefault="00085B9C" w:rsidP="00AE7B10">
      <w:pPr>
        <w:pStyle w:val="referencelist1"/>
      </w:pPr>
      <w:proofErr w:type="gramStart"/>
      <w:r w:rsidRPr="00F76EC6">
        <w:t>Erskine WD &amp; Peacock CT 2002</w:t>
      </w:r>
      <w:r w:rsidR="00AE7B10">
        <w:t>.</w:t>
      </w:r>
      <w:proofErr w:type="gramEnd"/>
      <w:r w:rsidR="00692377">
        <w:t xml:space="preserve"> </w:t>
      </w:r>
      <w:proofErr w:type="gramStart"/>
      <w:r w:rsidR="00692377">
        <w:t>Late Holocen</w:t>
      </w:r>
      <w:r w:rsidRPr="00F76EC6">
        <w:t>e flood plain development following a cataclysmic flood.</w:t>
      </w:r>
      <w:proofErr w:type="gramEnd"/>
      <w:r w:rsidRPr="00F76EC6">
        <w:t xml:space="preserve"> In:</w:t>
      </w:r>
      <w:r w:rsidR="00AE7B10">
        <w:t xml:space="preserve"> Dyer FJ, Thoms MC &amp; Olley JM (</w:t>
      </w:r>
      <w:proofErr w:type="gramStart"/>
      <w:r w:rsidR="00AE7B10">
        <w:t>e</w:t>
      </w:r>
      <w:r w:rsidRPr="00F76EC6">
        <w:t>ds</w:t>
      </w:r>
      <w:proofErr w:type="gramEnd"/>
      <w:r w:rsidRPr="00F76EC6">
        <w:t xml:space="preserve">), </w:t>
      </w:r>
      <w:r w:rsidRPr="00F76EC6">
        <w:rPr>
          <w:i/>
        </w:rPr>
        <w:t>The Structure, Function and Management Implications of Fluvial Sedimentary Systems</w:t>
      </w:r>
      <w:r w:rsidRPr="00F76EC6">
        <w:t>. International Association of Hydrolog</w:t>
      </w:r>
      <w:r w:rsidR="00AE7B10">
        <w:t>ical Sciences, Wallingford, 177–</w:t>
      </w:r>
      <w:r w:rsidRPr="00F76EC6">
        <w:t>184.</w:t>
      </w:r>
    </w:p>
    <w:p w:rsidR="00085B9C" w:rsidRPr="00F76EC6" w:rsidRDefault="00085B9C" w:rsidP="00AE7B10">
      <w:pPr>
        <w:pStyle w:val="referencelist1"/>
        <w:rPr>
          <w:rFonts w:eastAsiaTheme="minorEastAsia"/>
        </w:rPr>
      </w:pPr>
      <w:r w:rsidRPr="00F76EC6">
        <w:rPr>
          <w:rFonts w:eastAsiaTheme="minorEastAsia"/>
        </w:rPr>
        <w:t xml:space="preserve">Erskine WD, Webb AA, Turner LM, Miners B, Rose T &amp; Bevitt R 2001. Benchmarking of present river condition after 34 years of large scale interbasin water transfers: Snowy River, Australia. In: </w:t>
      </w:r>
      <w:r w:rsidRPr="00F76EC6">
        <w:rPr>
          <w:rFonts w:eastAsiaTheme="minorEastAsia"/>
          <w:i/>
        </w:rPr>
        <w:t xml:space="preserve">Proceedings of the Third Australian Stream Management Conference, The Value </w:t>
      </w:r>
      <w:r w:rsidRPr="00085B9C">
        <w:rPr>
          <w:rFonts w:eastAsiaTheme="minorEastAsia"/>
          <w:szCs w:val="22"/>
        </w:rPr>
        <w:t>of</w:t>
      </w:r>
      <w:r w:rsidRPr="00F76EC6">
        <w:rPr>
          <w:rFonts w:eastAsiaTheme="minorEastAsia"/>
          <w:i/>
        </w:rPr>
        <w:t xml:space="preserve"> Healthy Streams, Volume 1, Brisbane, Queensland, 27-29 August 2001</w:t>
      </w:r>
      <w:r w:rsidRPr="00F76EC6">
        <w:rPr>
          <w:rFonts w:eastAsiaTheme="minorEastAsia"/>
        </w:rPr>
        <w:t>, In: I Rutherfurd, F Sheldon, G Brierley &amp; C Kenyon, (Eds), Cooperative Research Centre for Catchment Hydrology, Clayton, pp. 205–210.</w:t>
      </w:r>
    </w:p>
    <w:p w:rsidR="00085B9C" w:rsidRPr="00F76EC6" w:rsidRDefault="00085B9C" w:rsidP="00AE7B10">
      <w:pPr>
        <w:pStyle w:val="referencelist1"/>
      </w:pPr>
      <w:r w:rsidRPr="00F76EC6">
        <w:t>Kellerhals R, Church M &amp; Bray DI</w:t>
      </w:r>
      <w:r>
        <w:t xml:space="preserve"> </w:t>
      </w:r>
      <w:r w:rsidRPr="00F76EC6">
        <w:t>1976</w:t>
      </w:r>
      <w:r>
        <w:t>.</w:t>
      </w:r>
      <w:r w:rsidRPr="00F76EC6">
        <w:t xml:space="preserve"> </w:t>
      </w:r>
      <w:proofErr w:type="gramStart"/>
      <w:r w:rsidRPr="00F76EC6">
        <w:t>Classification and analysis of river processes.</w:t>
      </w:r>
      <w:proofErr w:type="gramEnd"/>
      <w:r w:rsidRPr="00F76EC6">
        <w:t xml:space="preserve"> </w:t>
      </w:r>
      <w:r w:rsidRPr="00F76EC6">
        <w:rPr>
          <w:i/>
        </w:rPr>
        <w:t>Journal of the Hydraulics Division, Proceedings of American Society of Civil Engineers</w:t>
      </w:r>
      <w:r w:rsidR="00AE7B10">
        <w:t xml:space="preserve"> 102, 813–</w:t>
      </w:r>
      <w:r w:rsidRPr="00F76EC6">
        <w:t>829.</w:t>
      </w:r>
    </w:p>
    <w:p w:rsidR="00085B9C" w:rsidRDefault="00085B9C" w:rsidP="00AE7B10">
      <w:pPr>
        <w:pStyle w:val="referencelist1"/>
        <w:rPr>
          <w:noProof/>
        </w:rPr>
      </w:pPr>
      <w:r w:rsidRPr="00F76EC6">
        <w:rPr>
          <w:noProof/>
        </w:rPr>
        <w:t xml:space="preserve">Kochel GC 1982. Paleoflood Hydrology. </w:t>
      </w:r>
      <w:r w:rsidRPr="00F76EC6">
        <w:rPr>
          <w:i/>
          <w:noProof/>
        </w:rPr>
        <w:t>Science</w:t>
      </w:r>
      <w:r w:rsidR="00AE7B10">
        <w:rPr>
          <w:noProof/>
        </w:rPr>
        <w:t xml:space="preserve"> 215(4531), 353 –</w:t>
      </w:r>
      <w:r w:rsidRPr="00F76EC6">
        <w:rPr>
          <w:noProof/>
        </w:rPr>
        <w:t>361.</w:t>
      </w:r>
    </w:p>
    <w:p w:rsidR="00692377" w:rsidRPr="00F76EC6" w:rsidRDefault="00692377" w:rsidP="00692377">
      <w:pPr>
        <w:pStyle w:val="referencelist1"/>
        <w:rPr>
          <w:noProof/>
        </w:rPr>
      </w:pPr>
      <w:r w:rsidRPr="00692377">
        <w:rPr>
          <w:noProof/>
        </w:rPr>
        <w:t>Kochel RC &amp; Baker VR 1988. Paleoflood analysis using slackwater deposits. In Flood Geomorphology, eds Baker VR, Kochel RC &amp; Paton PC,</w:t>
      </w:r>
      <w:r>
        <w:rPr>
          <w:noProof/>
        </w:rPr>
        <w:t xml:space="preserve"> Wiley and Sons, New York, </w:t>
      </w:r>
      <w:r>
        <w:rPr>
          <w:noProof/>
        </w:rPr>
        <w:br/>
      </w:r>
      <w:r>
        <w:t>357–376</w:t>
      </w:r>
      <w:r w:rsidRPr="00692377">
        <w:rPr>
          <w:noProof/>
        </w:rPr>
        <w:t>.</w:t>
      </w:r>
    </w:p>
    <w:p w:rsidR="00085B9C" w:rsidRDefault="00085B9C" w:rsidP="00AE7B10">
      <w:pPr>
        <w:pStyle w:val="referencelist1"/>
      </w:pPr>
      <w:proofErr w:type="gramStart"/>
      <w:r w:rsidRPr="00F76EC6">
        <w:t>Murra</w:t>
      </w:r>
      <w:r>
        <w:t xml:space="preserve">y AS, Wohl E &amp; East TJ </w:t>
      </w:r>
      <w:r w:rsidRPr="00F76EC6">
        <w:t>1992</w:t>
      </w:r>
      <w:r>
        <w:t>.</w:t>
      </w:r>
      <w:proofErr w:type="gramEnd"/>
      <w:r w:rsidRPr="00F76EC6">
        <w:t xml:space="preserve"> Thermoluminescence and excess Ra decay dating of late Quaternary fluvial sands, East Alligator River, Australia. </w:t>
      </w:r>
      <w:r w:rsidRPr="00F76EC6">
        <w:rPr>
          <w:i/>
        </w:rPr>
        <w:t>Quaternary Research</w:t>
      </w:r>
      <w:r w:rsidR="00AE7B10">
        <w:t xml:space="preserve"> 37, 29–</w:t>
      </w:r>
      <w:r w:rsidRPr="00F76EC6">
        <w:t>41.</w:t>
      </w:r>
    </w:p>
    <w:p w:rsidR="00085B9C" w:rsidRDefault="00085B9C" w:rsidP="00AE7B10">
      <w:pPr>
        <w:pStyle w:val="referencelist1"/>
        <w:rPr>
          <w:noProof/>
        </w:rPr>
      </w:pPr>
      <w:r>
        <w:rPr>
          <w:noProof/>
        </w:rPr>
        <w:t>Pickup G, Wasson RJ, Warner RF, Tongway D &amp; Clark RL 1987. A feasibility study of Geomorphic Research for the Long Term Management of Uranium Mill Tailings. CSIRO Division or Water Resources Research, Divisonal Report 87/2, Canberra.</w:t>
      </w:r>
    </w:p>
    <w:p w:rsidR="00085B9C" w:rsidRPr="00F76EC6" w:rsidRDefault="00085B9C" w:rsidP="00AE7B10">
      <w:pPr>
        <w:pStyle w:val="referencelist1"/>
        <w:rPr>
          <w:noProof/>
        </w:rPr>
      </w:pPr>
      <w:r w:rsidRPr="00F76EC6">
        <w:rPr>
          <w:noProof/>
        </w:rPr>
        <w:t xml:space="preserve">Pickup G, Allan G &amp; Baker VR 1988. History, Palaeochannels and Palaeofloods of the Finke River, Central Australia. </w:t>
      </w:r>
      <w:r w:rsidRPr="00F76EC6">
        <w:rPr>
          <w:i/>
          <w:noProof/>
        </w:rPr>
        <w:t>Fluvial Geomorphology of Australia</w:t>
      </w:r>
      <w:r w:rsidR="00AE7B10">
        <w:rPr>
          <w:noProof/>
        </w:rPr>
        <w:t>, 177 –</w:t>
      </w:r>
      <w:r w:rsidRPr="00F76EC6">
        <w:rPr>
          <w:noProof/>
        </w:rPr>
        <w:t xml:space="preserve">200. </w:t>
      </w:r>
    </w:p>
    <w:p w:rsidR="00085B9C" w:rsidRPr="00D9703D" w:rsidRDefault="00085B9C" w:rsidP="00AE7B10">
      <w:pPr>
        <w:pStyle w:val="referencelist1"/>
        <w:rPr>
          <w:noProof/>
        </w:rPr>
      </w:pPr>
      <w:r w:rsidRPr="00D9703D">
        <w:rPr>
          <w:noProof/>
        </w:rPr>
        <w:t>Saynor MJ, Staben G, Moliere</w:t>
      </w:r>
      <w:r w:rsidR="00692377">
        <w:rPr>
          <w:noProof/>
        </w:rPr>
        <w:t xml:space="preserve"> DR &amp; J</w:t>
      </w:r>
      <w:r w:rsidRPr="00D9703D">
        <w:rPr>
          <w:noProof/>
        </w:rPr>
        <w:t>BC Lowry</w:t>
      </w:r>
      <w:r w:rsidR="00692377">
        <w:rPr>
          <w:noProof/>
        </w:rPr>
        <w:t xml:space="preserve"> 2009</w:t>
      </w:r>
      <w:r w:rsidRPr="00D9703D">
        <w:rPr>
          <w:noProof/>
        </w:rPr>
        <w:t>. Definition of</w:t>
      </w:r>
      <w:r>
        <w:rPr>
          <w:noProof/>
        </w:rPr>
        <w:t xml:space="preserve"> sediment sources and their eff</w:t>
      </w:r>
      <w:r w:rsidRPr="00D9703D">
        <w:rPr>
          <w:noProof/>
        </w:rPr>
        <w:t>e</w:t>
      </w:r>
      <w:r>
        <w:rPr>
          <w:noProof/>
        </w:rPr>
        <w:t>c</w:t>
      </w:r>
      <w:r w:rsidRPr="00D9703D">
        <w:rPr>
          <w:noProof/>
        </w:rPr>
        <w:t xml:space="preserve">t on contemporary catchmernt erosion rates in the Alligator Rivers Region. In </w:t>
      </w:r>
      <w:r w:rsidR="00AE7B10" w:rsidRPr="00D9703D">
        <w:t xml:space="preserve">Jones DR &amp; Webb </w:t>
      </w:r>
      <w:proofErr w:type="gramStart"/>
      <w:r w:rsidR="00AE7B10" w:rsidRPr="00D9703D">
        <w:t>A</w:t>
      </w:r>
      <w:proofErr w:type="gramEnd"/>
      <w:r w:rsidR="00AE7B10">
        <w:t xml:space="preserve"> (eds), </w:t>
      </w:r>
      <w:r w:rsidRPr="004E6332">
        <w:rPr>
          <w:rFonts w:ascii="Times New Roman" w:hAnsi="Times New Roman"/>
          <w:b/>
          <w:i/>
          <w:iCs/>
          <w:sz w:val="26"/>
        </w:rPr>
        <w:t>eriss</w:t>
      </w:r>
      <w:r w:rsidRPr="003F181C">
        <w:t xml:space="preserve"> </w:t>
      </w:r>
      <w:r w:rsidR="00AE7B10">
        <w:rPr>
          <w:i/>
        </w:rPr>
        <w:t>r</w:t>
      </w:r>
      <w:r w:rsidRPr="00D9703D">
        <w:rPr>
          <w:i/>
        </w:rPr>
        <w:t>esearch summary 2007–2008</w:t>
      </w:r>
      <w:r w:rsidRPr="00D9703D">
        <w:t>. Supervising Scientist Report 200, Supervising Scientist, Darwin NT, 199–206.</w:t>
      </w:r>
    </w:p>
    <w:p w:rsidR="00085B9C" w:rsidRPr="00F76EC6" w:rsidRDefault="00085B9C" w:rsidP="00AE7B10">
      <w:pPr>
        <w:pStyle w:val="referencelist1"/>
      </w:pPr>
      <w:proofErr w:type="gramStart"/>
      <w:r w:rsidRPr="00F76EC6">
        <w:t>Saynor MJ &amp; Erskine WD 2013.</w:t>
      </w:r>
      <w:proofErr w:type="gramEnd"/>
      <w:r w:rsidRPr="00F76EC6">
        <w:t xml:space="preserve"> Classification of river reaches on the little disturbed East Alligator River, Northern Australia. </w:t>
      </w:r>
      <w:r w:rsidRPr="00F76EC6">
        <w:rPr>
          <w:i/>
        </w:rPr>
        <w:t>International Journal of Geosciences</w:t>
      </w:r>
      <w:r w:rsidR="00AE7B10">
        <w:t xml:space="preserve"> 4, 53–</w:t>
      </w:r>
      <w:r w:rsidRPr="00F76EC6">
        <w:t>65.</w:t>
      </w:r>
    </w:p>
    <w:p w:rsidR="00085B9C" w:rsidRPr="00F76EC6" w:rsidRDefault="00085B9C" w:rsidP="00AE7B10">
      <w:pPr>
        <w:pStyle w:val="referencelist1"/>
      </w:pPr>
      <w:proofErr w:type="gramStart"/>
      <w:r w:rsidRPr="00F76EC6">
        <w:t>Saynor MJ &amp; Erskine WD 2014.</w:t>
      </w:r>
      <w:proofErr w:type="gramEnd"/>
      <w:r w:rsidRPr="00F76EC6">
        <w:t xml:space="preserve"> </w:t>
      </w:r>
      <w:proofErr w:type="gramStart"/>
      <w:r w:rsidRPr="00F76EC6">
        <w:t>Downstream Changes in River Reaches from the Catchment to the Sea in the East Alligator River basin, Northern Australia.</w:t>
      </w:r>
      <w:proofErr w:type="gramEnd"/>
      <w:r w:rsidRPr="00F76EC6">
        <w:t xml:space="preserve"> In: Vietz G, Rutherfurd ID &amp; Hughes R. (eds), </w:t>
      </w:r>
      <w:r w:rsidRPr="00F76EC6">
        <w:rPr>
          <w:i/>
        </w:rPr>
        <w:t>Proceedings of the 7</w:t>
      </w:r>
      <w:r w:rsidRPr="00F76EC6">
        <w:rPr>
          <w:i/>
          <w:vertAlign w:val="superscript"/>
        </w:rPr>
        <w:t>th</w:t>
      </w:r>
      <w:r w:rsidRPr="00F76EC6">
        <w:rPr>
          <w:i/>
        </w:rPr>
        <w:t xml:space="preserve"> Australian Stream Management Conference, </w:t>
      </w:r>
      <w:r w:rsidR="00AE7B10">
        <w:t>27–</w:t>
      </w:r>
      <w:r w:rsidRPr="00F76EC6">
        <w:t>30 August, 2014, River Basin Management Soci</w:t>
      </w:r>
      <w:r w:rsidR="00AE7B10">
        <w:t>ety, Townsvill</w:t>
      </w:r>
      <w:r w:rsidR="00692377">
        <w:t>e</w:t>
      </w:r>
      <w:r w:rsidR="00AE7B10">
        <w:t>, Queensland, 410–</w:t>
      </w:r>
      <w:r w:rsidRPr="00F76EC6">
        <w:t>417.</w:t>
      </w:r>
    </w:p>
    <w:p w:rsidR="00085B9C" w:rsidRPr="00F76EC6" w:rsidRDefault="00085B9C" w:rsidP="00AE7B10">
      <w:pPr>
        <w:pStyle w:val="referencelist1"/>
      </w:pPr>
      <w:proofErr w:type="gramStart"/>
      <w:r w:rsidRPr="00F76EC6">
        <w:t>Saynor MJ, Erskine WD &amp; Staben G 2012.</w:t>
      </w:r>
      <w:proofErr w:type="gramEnd"/>
      <w:r w:rsidRPr="00F76EC6">
        <w:t xml:space="preserve"> Hydrogeomorphic effects of the 2007 extreme flood on the East Alligator River, NT: impacts on ecotourism operations. In: Grove, J.R. &amp; Rutherfurd, I.D. (eds), </w:t>
      </w:r>
      <w:r w:rsidRPr="00F76EC6">
        <w:rPr>
          <w:i/>
        </w:rPr>
        <w:t>Proceedings of the 6</w:t>
      </w:r>
      <w:r w:rsidRPr="00F76EC6">
        <w:rPr>
          <w:i/>
          <w:vertAlign w:val="superscript"/>
        </w:rPr>
        <w:t>th</w:t>
      </w:r>
      <w:r w:rsidRPr="00F76EC6">
        <w:rPr>
          <w:i/>
        </w:rPr>
        <w:t xml:space="preserve"> Australian Stream Management Conference, Managing for Extremes</w:t>
      </w:r>
      <w:r w:rsidR="00424C74">
        <w:t>, 6–</w:t>
      </w:r>
      <w:r w:rsidRPr="00F76EC6">
        <w:t>8 February, 2012, River Basin Ma</w:t>
      </w:r>
      <w:r w:rsidR="00424C74">
        <w:t>nagement Society, Canberra, 177–</w:t>
      </w:r>
      <w:r w:rsidRPr="00F76EC6">
        <w:t>182.</w:t>
      </w:r>
    </w:p>
    <w:p w:rsidR="00085B9C" w:rsidRPr="00085B9C" w:rsidRDefault="00085B9C" w:rsidP="00AE7B10">
      <w:pPr>
        <w:pStyle w:val="referencelist1"/>
        <w:rPr>
          <w:szCs w:val="22"/>
        </w:rPr>
      </w:pPr>
      <w:r w:rsidRPr="00085B9C">
        <w:rPr>
          <w:szCs w:val="22"/>
        </w:rPr>
        <w:t xml:space="preserve">Woodroffe CD, Thom BG, Chappell J, Wallensky E &amp; Grindrod J 1987. </w:t>
      </w:r>
      <w:proofErr w:type="gramStart"/>
      <w:r w:rsidRPr="00085B9C">
        <w:rPr>
          <w:szCs w:val="22"/>
        </w:rPr>
        <w:t>Relative Sea Level in the South Alligator River Region, North Australia,</w:t>
      </w:r>
      <w:r w:rsidR="00424C74">
        <w:rPr>
          <w:szCs w:val="22"/>
        </w:rPr>
        <w:t xml:space="preserve"> During the Holocene.</w:t>
      </w:r>
      <w:proofErr w:type="gramEnd"/>
      <w:r w:rsidR="00424C74">
        <w:rPr>
          <w:szCs w:val="22"/>
        </w:rPr>
        <w:t xml:space="preserve"> Search 18(4), </w:t>
      </w:r>
      <w:r w:rsidR="00692377">
        <w:rPr>
          <w:szCs w:val="22"/>
        </w:rPr>
        <w:br/>
      </w:r>
      <w:r w:rsidR="00424C74">
        <w:rPr>
          <w:szCs w:val="22"/>
        </w:rPr>
        <w:t>198–</w:t>
      </w:r>
      <w:r w:rsidRPr="00085B9C">
        <w:rPr>
          <w:szCs w:val="22"/>
        </w:rPr>
        <w:t>200.</w:t>
      </w:r>
    </w:p>
    <w:p w:rsidR="008F3FE2" w:rsidRDefault="008F3FE2">
      <w:pPr>
        <w:spacing w:after="0" w:line="240" w:lineRule="auto"/>
        <w:sectPr w:rsidR="008F3FE2" w:rsidSect="00224F8A">
          <w:headerReference w:type="default" r:id="rId181"/>
          <w:footnotePr>
            <w:numRestart w:val="eachPage"/>
          </w:footnotePr>
          <w:pgSz w:w="11906" w:h="16838" w:code="9"/>
          <w:pgMar w:top="1440" w:right="1440" w:bottom="1440" w:left="1440" w:header="1080" w:footer="835" w:gutter="0"/>
          <w:cols w:space="360"/>
          <w:noEndnote/>
          <w:docGrid w:linePitch="299"/>
        </w:sectPr>
      </w:pPr>
    </w:p>
    <w:p w:rsidR="00605448" w:rsidRDefault="00605448" w:rsidP="00605448">
      <w:pPr>
        <w:pStyle w:val="Heading1"/>
      </w:pPr>
      <w:bookmarkStart w:id="221" w:name="_Toc418172715"/>
      <w:r>
        <w:t>Sediment movement in Magela Creek Catchment</w:t>
      </w:r>
      <w:bookmarkEnd w:id="221"/>
    </w:p>
    <w:p w:rsidR="00605448" w:rsidRPr="008F3FE2" w:rsidRDefault="00DD3E0F" w:rsidP="00605448">
      <w:pPr>
        <w:pStyle w:val="Heading3"/>
        <w:spacing w:after="360"/>
        <w:jc w:val="center"/>
      </w:pPr>
      <w:r>
        <w:t>W</w:t>
      </w:r>
      <w:r w:rsidR="00605448">
        <w:t xml:space="preserve"> Erskine</w:t>
      </w:r>
      <w:r w:rsidR="00605448">
        <w:rPr>
          <w:rStyle w:val="FootnoteReference"/>
          <w:snapToGrid w:val="0"/>
          <w:color w:val="000000"/>
          <w:position w:val="6"/>
          <w:sz w:val="17"/>
          <w:szCs w:val="0"/>
          <w:u w:color="000000"/>
        </w:rPr>
        <w:footnoteReference w:id="11"/>
      </w:r>
      <w:r w:rsidR="00E8531D" w:rsidRPr="00E8531D">
        <w:rPr>
          <w:snapToGrid w:val="0"/>
          <w:color w:val="000000"/>
          <w:position w:val="6"/>
          <w:sz w:val="17"/>
          <w:szCs w:val="0"/>
          <w:u w:color="000000"/>
        </w:rPr>
        <w:t>,</w:t>
      </w:r>
      <w:r w:rsidR="00605448">
        <w:rPr>
          <w:rStyle w:val="FootnoteReference"/>
          <w:snapToGrid w:val="0"/>
          <w:color w:val="000000"/>
          <w:position w:val="6"/>
          <w:sz w:val="17"/>
          <w:szCs w:val="0"/>
          <w:u w:color="000000"/>
        </w:rPr>
        <w:footnoteReference w:id="12"/>
      </w:r>
      <w:proofErr w:type="gramStart"/>
      <w:r>
        <w:t>,</w:t>
      </w:r>
      <w:proofErr w:type="gramEnd"/>
      <w:r>
        <w:t xml:space="preserve"> M Saynor, K Turner, T Whiteside, J</w:t>
      </w:r>
      <w:r w:rsidR="00605448">
        <w:t xml:space="preserve"> Boyden </w:t>
      </w:r>
      <w:r>
        <w:t>&amp; K</w:t>
      </w:r>
      <w:r w:rsidR="00605448">
        <w:t xml:space="preserve"> Evans</w:t>
      </w:r>
    </w:p>
    <w:p w:rsidR="00605448" w:rsidRDefault="00605448" w:rsidP="00506065">
      <w:pPr>
        <w:pStyle w:val="Heading2"/>
      </w:pPr>
      <w:r>
        <w:t>Background</w:t>
      </w:r>
    </w:p>
    <w:p w:rsidR="00605448" w:rsidRDefault="00605448" w:rsidP="00605448">
      <w:r>
        <w:t>Studies of soil erosion rates and sediment yields in the Alligator Rivers Region have been investigated since before the construction of the Ranger mine. These studies have been undertaken to determine where sediments eroded from the rehabilitated mine site will be deposited. Erskine &amp; Saynor (2000) suggested that the most significant storage areas downstream of the mine site will be in the mine site tributaries and their associated floodplains and backflow billabongs. This work brings together soil erosion and sediment yield data, presents a sediment budget and shows sediment movement for Magela Creek.</w:t>
      </w:r>
    </w:p>
    <w:p w:rsidR="00605448" w:rsidRDefault="00605448" w:rsidP="00506065">
      <w:pPr>
        <w:pStyle w:val="Heading2"/>
      </w:pPr>
      <w:r>
        <w:t>Summary</w:t>
      </w:r>
    </w:p>
    <w:p w:rsidR="00605448" w:rsidRDefault="00605448" w:rsidP="00605448">
      <w:pPr>
        <w:pStyle w:val="a"/>
        <w:spacing w:after="120" w:line="280" w:lineRule="atLeast"/>
        <w:jc w:val="both"/>
        <w:rPr>
          <w:rFonts w:ascii="Garamond" w:hAnsi="Garamond"/>
          <w:szCs w:val="20"/>
          <w:lang w:eastAsia="en-US"/>
        </w:rPr>
      </w:pPr>
      <w:r w:rsidRPr="00BD255F">
        <w:rPr>
          <w:rFonts w:ascii="Garamond" w:hAnsi="Garamond"/>
          <w:szCs w:val="20"/>
          <w:lang w:eastAsia="en-US"/>
        </w:rPr>
        <w:t xml:space="preserve">The work collates sediment loads for Magela creek Catchment and fits </w:t>
      </w:r>
      <w:proofErr w:type="gramStart"/>
      <w:r w:rsidRPr="00BD255F">
        <w:rPr>
          <w:rFonts w:ascii="Garamond" w:hAnsi="Garamond"/>
          <w:szCs w:val="20"/>
          <w:lang w:eastAsia="en-US"/>
        </w:rPr>
        <w:t>into two Range</w:t>
      </w:r>
      <w:r>
        <w:rPr>
          <w:rFonts w:ascii="Garamond" w:hAnsi="Garamond"/>
          <w:szCs w:val="20"/>
          <w:lang w:eastAsia="en-US"/>
        </w:rPr>
        <w:t>r</w:t>
      </w:r>
      <w:r w:rsidRPr="00BD255F">
        <w:rPr>
          <w:rFonts w:ascii="Garamond" w:hAnsi="Garamond"/>
          <w:szCs w:val="20"/>
          <w:lang w:eastAsia="en-US"/>
        </w:rPr>
        <w:t xml:space="preserve"> Rehabilitation KKN’s</w:t>
      </w:r>
      <w:proofErr w:type="gramEnd"/>
      <w:r w:rsidRPr="00BD255F">
        <w:rPr>
          <w:rFonts w:ascii="Garamond" w:hAnsi="Garamond"/>
          <w:szCs w:val="20"/>
          <w:lang w:eastAsia="en-US"/>
        </w:rPr>
        <w:t>: Defining the reference state and baseline data</w:t>
      </w:r>
      <w:r>
        <w:rPr>
          <w:rFonts w:ascii="Garamond" w:hAnsi="Garamond"/>
          <w:szCs w:val="20"/>
          <w:lang w:eastAsia="en-US"/>
        </w:rPr>
        <w:t>;</w:t>
      </w:r>
      <w:r w:rsidRPr="00BD255F">
        <w:rPr>
          <w:rFonts w:ascii="Garamond" w:hAnsi="Garamond"/>
          <w:szCs w:val="20"/>
          <w:lang w:eastAsia="en-US"/>
        </w:rPr>
        <w:t xml:space="preserve"> and 2.2.4 Geomorphic behaviour and evolution of the landscape. </w:t>
      </w:r>
      <w:r w:rsidRPr="00855E35">
        <w:rPr>
          <w:rFonts w:ascii="Garamond" w:hAnsi="Garamond"/>
          <w:szCs w:val="20"/>
          <w:lang w:eastAsia="en-US"/>
        </w:rPr>
        <w:t>Soil erosion rates on plots of waste rock at Ranger uranium mine and basin sediment yields have been measured for over 30 years in Magela Creek in northern Australia. Soil erosion rates on chlorite schist waste rock are higher than for mica schist and weathering is also much faster. Sediment yields are low but are further reduced by sediment trapping effects of flood plains, floodouts, billabongs and extensive wetlands. As a result, suspended sediment and bedload do not move progressively from the summit to the sea along Magela Creek and lower Magela</w:t>
      </w:r>
      <w:r w:rsidR="00DF63C3">
        <w:rPr>
          <w:rFonts w:ascii="Garamond" w:hAnsi="Garamond"/>
          <w:szCs w:val="20"/>
          <w:lang w:eastAsia="en-US"/>
        </w:rPr>
        <w:t xml:space="preserve"> Creek wetlands trap about 90.5</w:t>
      </w:r>
      <w:r w:rsidRPr="00855E35">
        <w:rPr>
          <w:rFonts w:ascii="Garamond" w:hAnsi="Garamond"/>
          <w:szCs w:val="20"/>
          <w:lang w:eastAsia="en-US"/>
        </w:rPr>
        <w:t xml:space="preserve">% </w:t>
      </w:r>
      <w:r>
        <w:rPr>
          <w:rFonts w:ascii="Garamond" w:hAnsi="Garamond"/>
          <w:szCs w:val="20"/>
          <w:lang w:eastAsia="en-US"/>
        </w:rPr>
        <w:t xml:space="preserve">(Figure 1) </w:t>
      </w:r>
      <w:r w:rsidRPr="00855E35">
        <w:rPr>
          <w:rFonts w:ascii="Garamond" w:hAnsi="Garamond"/>
          <w:szCs w:val="20"/>
          <w:lang w:eastAsia="en-US"/>
        </w:rPr>
        <w:t>of the total sediment load input.</w:t>
      </w:r>
    </w:p>
    <w:p w:rsidR="00605448" w:rsidRDefault="00605448" w:rsidP="00605448">
      <w:pPr>
        <w:pStyle w:val="a"/>
        <w:spacing w:after="120" w:line="280" w:lineRule="atLeast"/>
        <w:jc w:val="both"/>
        <w:rPr>
          <w:rFonts w:ascii="Garamond" w:hAnsi="Garamond"/>
          <w:szCs w:val="20"/>
          <w:lang w:eastAsia="en-US"/>
        </w:rPr>
      </w:pPr>
      <w:r w:rsidRPr="003E4255">
        <w:rPr>
          <w:rFonts w:ascii="Garamond" w:hAnsi="Garamond"/>
          <w:szCs w:val="20"/>
          <w:lang w:eastAsia="en-US"/>
        </w:rPr>
        <w:t xml:space="preserve">Generally most of the sediment is deposited in the natural sediment traps on the many tributaries of Magela Creek. </w:t>
      </w:r>
      <w:r w:rsidRPr="00855E35">
        <w:rPr>
          <w:rFonts w:ascii="Garamond" w:hAnsi="Garamond"/>
          <w:szCs w:val="20"/>
          <w:lang w:eastAsia="en-US"/>
        </w:rPr>
        <w:t xml:space="preserve">Suspended sediment yields exceed bedload yields in this deeply weathered, tropical landscape but the amount of sand transported greatly exceeds that for silt and clay. </w:t>
      </w:r>
      <w:r w:rsidRPr="003E4255">
        <w:rPr>
          <w:rFonts w:ascii="Garamond" w:hAnsi="Garamond"/>
          <w:szCs w:val="20"/>
          <w:lang w:eastAsia="en-US"/>
        </w:rPr>
        <w:t>The material used in the rehabilitation of the Ranger mine may greatly increase sediment loads. With implications that there should be sediment traps around the rehabilitated landform that mimic the natural sediment traps and reduce the sediment movement similar to that of the natural Magela Catchment</w:t>
      </w:r>
      <w:r>
        <w:rPr>
          <w:rFonts w:ascii="Garamond" w:hAnsi="Garamond"/>
          <w:szCs w:val="20"/>
          <w:lang w:eastAsia="en-US"/>
        </w:rPr>
        <w:t>.</w:t>
      </w:r>
    </w:p>
    <w:p w:rsidR="00605448" w:rsidRDefault="00605448" w:rsidP="00605448">
      <w:pPr>
        <w:pStyle w:val="a"/>
        <w:spacing w:after="120" w:line="280" w:lineRule="atLeast"/>
        <w:jc w:val="both"/>
        <w:rPr>
          <w:rFonts w:ascii="Garamond" w:hAnsi="Garamond"/>
          <w:szCs w:val="20"/>
          <w:lang w:eastAsia="en-US"/>
        </w:rPr>
      </w:pPr>
      <w:r w:rsidRPr="003E4255">
        <w:rPr>
          <w:rFonts w:ascii="Garamond" w:hAnsi="Garamond"/>
          <w:szCs w:val="20"/>
          <w:lang w:eastAsia="en-US"/>
        </w:rPr>
        <w:t xml:space="preserve">In summary, the title sets the scene “Do suspended sediment and bedload move progressively from the summit to the sea along Magela Creek, northern Australia” </w:t>
      </w:r>
      <w:r>
        <w:rPr>
          <w:rFonts w:ascii="Garamond" w:hAnsi="Garamond"/>
          <w:szCs w:val="20"/>
          <w:lang w:eastAsia="en-US"/>
        </w:rPr>
        <w:t>(Erskine et al</w:t>
      </w:r>
      <w:r w:rsidR="00DF63C3">
        <w:rPr>
          <w:rFonts w:ascii="Garamond" w:hAnsi="Garamond"/>
          <w:szCs w:val="20"/>
          <w:lang w:eastAsia="en-US"/>
        </w:rPr>
        <w:t>.</w:t>
      </w:r>
      <w:r>
        <w:rPr>
          <w:rFonts w:ascii="Garamond" w:hAnsi="Garamond"/>
          <w:szCs w:val="20"/>
          <w:lang w:eastAsia="en-US"/>
        </w:rPr>
        <w:t xml:space="preserve"> 2014) </w:t>
      </w:r>
      <w:r w:rsidRPr="003E4255">
        <w:rPr>
          <w:rFonts w:ascii="Garamond" w:hAnsi="Garamond"/>
          <w:szCs w:val="20"/>
          <w:lang w:eastAsia="en-US"/>
        </w:rPr>
        <w:t xml:space="preserve">and the simple answer for both suspended sediment and bedload is no. </w:t>
      </w:r>
    </w:p>
    <w:p w:rsidR="00A80CC1" w:rsidRDefault="00605448" w:rsidP="00605448">
      <w:pPr>
        <w:pStyle w:val="a"/>
        <w:spacing w:after="120" w:line="280" w:lineRule="atLeast"/>
        <w:jc w:val="both"/>
        <w:rPr>
          <w:rFonts w:ascii="Garamond" w:hAnsi="Garamond"/>
          <w:szCs w:val="20"/>
          <w:lang w:eastAsia="en-US"/>
        </w:rPr>
        <w:sectPr w:rsidR="00A80CC1" w:rsidSect="00224F8A">
          <w:footnotePr>
            <w:numRestart w:val="eachPage"/>
          </w:footnotePr>
          <w:pgSz w:w="11906" w:h="16838" w:code="9"/>
          <w:pgMar w:top="1440" w:right="1440" w:bottom="1440" w:left="1440" w:header="1080" w:footer="835" w:gutter="0"/>
          <w:cols w:space="360"/>
          <w:noEndnote/>
          <w:docGrid w:linePitch="299"/>
        </w:sectPr>
      </w:pPr>
      <w:r>
        <w:rPr>
          <w:rFonts w:ascii="Garamond" w:hAnsi="Garamond"/>
          <w:szCs w:val="20"/>
          <w:lang w:eastAsia="en-US"/>
        </w:rPr>
        <w:t>This work was presented at a</w:t>
      </w:r>
      <w:r w:rsidRPr="00FF60B3">
        <w:rPr>
          <w:rFonts w:ascii="Garamond" w:hAnsi="Garamond"/>
          <w:szCs w:val="20"/>
          <w:lang w:eastAsia="en-US"/>
        </w:rPr>
        <w:t>n international conference on Sediment Dynamics: From the Summit to the Sea was held in New Orleans, USA, 11 – 14 December, 2014. Wayne Erskine attended and gave the following paper, “Do suspended sediment and bedload move progressively from the summit to the sea along Magela Creek, northern Australia?” by Wayne D. Erskine, Mike Saynor, Kate Turner, Tim Whiteside, James Boyden and K Evans.</w:t>
      </w:r>
    </w:p>
    <w:p w:rsidR="00605448" w:rsidRPr="00042D5A" w:rsidRDefault="00605448" w:rsidP="00605448"/>
    <w:p w:rsidR="00605448" w:rsidRDefault="00605448" w:rsidP="00605448">
      <w:pPr>
        <w:jc w:val="center"/>
      </w:pPr>
      <w:r w:rsidRPr="00191CD1">
        <w:rPr>
          <w:noProof/>
          <w:lang w:eastAsia="en-AU"/>
        </w:rPr>
        <w:drawing>
          <wp:inline distT="0" distB="0" distL="0" distR="0">
            <wp:extent cx="4281170" cy="5206830"/>
            <wp:effectExtent l="19050" t="0" r="5080" b="0"/>
            <wp:docPr id="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2" cstate="screen"/>
                    <a:srcRect/>
                    <a:stretch>
                      <a:fillRect/>
                    </a:stretch>
                  </pic:blipFill>
                  <pic:spPr bwMode="auto">
                    <a:xfrm>
                      <a:off x="0" y="0"/>
                      <a:ext cx="4292033" cy="5220042"/>
                    </a:xfrm>
                    <a:prstGeom prst="rect">
                      <a:avLst/>
                    </a:prstGeom>
                    <a:noFill/>
                  </pic:spPr>
                </pic:pic>
              </a:graphicData>
            </a:graphic>
          </wp:inline>
        </w:drawing>
      </w:r>
    </w:p>
    <w:p w:rsidR="00605448" w:rsidRDefault="00605448" w:rsidP="00EE3D9D">
      <w:pPr>
        <w:pStyle w:val="figurecaption"/>
      </w:pPr>
      <w:r w:rsidRPr="00191CD1">
        <w:rPr>
          <w:b/>
        </w:rPr>
        <w:t xml:space="preserve">Figure </w:t>
      </w:r>
      <w:proofErr w:type="gramStart"/>
      <w:r w:rsidRPr="00191CD1">
        <w:rPr>
          <w:b/>
        </w:rPr>
        <w:t>1</w:t>
      </w:r>
      <w:r>
        <w:t xml:space="preserve">  </w:t>
      </w:r>
      <w:r w:rsidRPr="00191CD1">
        <w:t>Mean</w:t>
      </w:r>
      <w:proofErr w:type="gramEnd"/>
      <w:r w:rsidRPr="00191CD1">
        <w:t xml:space="preserve"> annual sediment fluxes for lower Magela Creek wetlands. Wasson (1992) only cites suspended sediment load and this paper uses total sediment load for the</w:t>
      </w:r>
      <w:r w:rsidR="00DF63C3">
        <w:t xml:space="preserve"> period 2003–04 to 2012–</w:t>
      </w:r>
      <w:r w:rsidRPr="00191CD1">
        <w:t>13.</w:t>
      </w:r>
    </w:p>
    <w:p w:rsidR="00605448" w:rsidRDefault="00605448" w:rsidP="00506065">
      <w:pPr>
        <w:pStyle w:val="Heading2"/>
      </w:pPr>
      <w:r>
        <w:t>References</w:t>
      </w:r>
    </w:p>
    <w:p w:rsidR="00605448" w:rsidRPr="003B27FC" w:rsidRDefault="00605448" w:rsidP="00605448">
      <w:pPr>
        <w:pStyle w:val="referencelist10"/>
        <w:rPr>
          <w:rFonts w:ascii="Garamond" w:hAnsi="Garamond"/>
          <w:noProof/>
          <w:sz w:val="24"/>
          <w:szCs w:val="24"/>
        </w:rPr>
      </w:pPr>
      <w:r w:rsidRPr="003B27FC">
        <w:rPr>
          <w:rFonts w:ascii="Garamond" w:hAnsi="Garamond"/>
          <w:noProof/>
          <w:sz w:val="24"/>
          <w:szCs w:val="24"/>
        </w:rPr>
        <w:t xml:space="preserve">Erskine WD, Saynor MJ, Turner K, Whiteside T, Boyden JM &amp; Evans KG 2014. Do suspended sediment and bedload move progressively from the summit to the sea along Magela Creek, northern Australia? In </w:t>
      </w:r>
      <w:r w:rsidRPr="003B27FC">
        <w:rPr>
          <w:rFonts w:ascii="Garamond" w:hAnsi="Garamond"/>
          <w:i/>
          <w:noProof/>
          <w:sz w:val="24"/>
          <w:szCs w:val="24"/>
        </w:rPr>
        <w:t>Sediment Dynamics: From the Summit to the Sea</w:t>
      </w:r>
      <w:r w:rsidRPr="003B27FC">
        <w:rPr>
          <w:rFonts w:ascii="Garamond" w:hAnsi="Garamond"/>
          <w:noProof/>
          <w:sz w:val="24"/>
          <w:szCs w:val="24"/>
        </w:rPr>
        <w:t>, eds Jun Xu Y, Allison MA, Benley SJ, Collins AL, Erskine WD &amp; Golosov V367, International Association of Hydrological Sciences, Wallingford.</w:t>
      </w:r>
    </w:p>
    <w:p w:rsidR="00605448" w:rsidRPr="003B27FC" w:rsidRDefault="00605448" w:rsidP="00605448">
      <w:pPr>
        <w:pStyle w:val="referencelist10"/>
        <w:rPr>
          <w:rFonts w:ascii="Garamond" w:hAnsi="Garamond"/>
          <w:sz w:val="24"/>
          <w:szCs w:val="24"/>
        </w:rPr>
      </w:pPr>
      <w:proofErr w:type="gramStart"/>
      <w:r w:rsidRPr="003B27FC">
        <w:rPr>
          <w:rFonts w:ascii="Garamond" w:hAnsi="Garamond"/>
          <w:sz w:val="24"/>
          <w:szCs w:val="24"/>
        </w:rPr>
        <w:t>Erskine WD &amp; Saynor MJ 2000.</w:t>
      </w:r>
      <w:proofErr w:type="gramEnd"/>
      <w:r w:rsidRPr="003B27FC">
        <w:rPr>
          <w:rFonts w:ascii="Garamond" w:hAnsi="Garamond"/>
          <w:sz w:val="24"/>
          <w:szCs w:val="24"/>
        </w:rPr>
        <w:t xml:space="preserve"> </w:t>
      </w:r>
      <w:proofErr w:type="gramStart"/>
      <w:r w:rsidRPr="003B27FC">
        <w:rPr>
          <w:rFonts w:ascii="Garamond" w:hAnsi="Garamond"/>
          <w:sz w:val="24"/>
          <w:szCs w:val="24"/>
        </w:rPr>
        <w:t>Assessment of the off-site geomorphic impacts of uranium mining on Magela Creek, Northern Territory, Australia.</w:t>
      </w:r>
      <w:proofErr w:type="gramEnd"/>
      <w:r w:rsidRPr="003B27FC">
        <w:rPr>
          <w:rFonts w:ascii="Garamond" w:hAnsi="Garamond"/>
          <w:sz w:val="24"/>
          <w:szCs w:val="24"/>
        </w:rPr>
        <w:t xml:space="preserve"> Supervising Scientist Report 156, Supervising Scientist, Darwin.</w:t>
      </w:r>
    </w:p>
    <w:p w:rsidR="000A7E4E" w:rsidRDefault="00605448" w:rsidP="00605448">
      <w:pPr>
        <w:pStyle w:val="referencelist10"/>
        <w:rPr>
          <w:noProof/>
        </w:rPr>
        <w:sectPr w:rsidR="000A7E4E" w:rsidSect="00224F8A">
          <w:headerReference w:type="default" r:id="rId183"/>
          <w:pgSz w:w="11906" w:h="16838" w:code="9"/>
          <w:pgMar w:top="1440" w:right="1440" w:bottom="1440" w:left="1440" w:header="1080" w:footer="835" w:gutter="0"/>
          <w:cols w:space="360"/>
          <w:noEndnote/>
          <w:docGrid w:linePitch="299"/>
        </w:sectPr>
      </w:pPr>
      <w:r w:rsidRPr="003B27FC">
        <w:rPr>
          <w:rFonts w:ascii="Garamond" w:hAnsi="Garamond"/>
          <w:noProof/>
          <w:sz w:val="24"/>
          <w:szCs w:val="24"/>
        </w:rPr>
        <w:t>Wasson, R. J, (ed) (1992) Modern sedimentation and late Quaternary evolution of the Magela Creek plain. Research Report 6, Supervising Scientist for the Alligator Rivers Region, AGPS, Canberra</w:t>
      </w:r>
      <w:r w:rsidRPr="001965E4">
        <w:rPr>
          <w:noProof/>
        </w:rPr>
        <w:t>.</w:t>
      </w:r>
    </w:p>
    <w:p w:rsidR="00A06BC6" w:rsidRDefault="00A06BC6" w:rsidP="00A06BC6">
      <w:pPr>
        <w:pStyle w:val="Heading1"/>
      </w:pPr>
      <w:bookmarkStart w:id="222" w:name="_Toc401910192"/>
      <w:bookmarkStart w:id="223" w:name="_Toc409772817"/>
      <w:bookmarkStart w:id="224" w:name="_Toc418172716"/>
      <w:r>
        <w:t>Radon exhalation from a rehabilitated landform</w:t>
      </w:r>
      <w:bookmarkEnd w:id="222"/>
      <w:bookmarkEnd w:id="223"/>
      <w:bookmarkEnd w:id="224"/>
    </w:p>
    <w:p w:rsidR="00A06BC6" w:rsidRPr="008F3FE2" w:rsidRDefault="00A06BC6" w:rsidP="00A06BC6">
      <w:pPr>
        <w:pStyle w:val="Heading3"/>
        <w:spacing w:after="480"/>
        <w:jc w:val="center"/>
      </w:pPr>
      <w:r>
        <w:t xml:space="preserve">R Akber, </w:t>
      </w:r>
      <w:proofErr w:type="gramStart"/>
      <w:r>
        <w:t>A</w:t>
      </w:r>
      <w:proofErr w:type="gramEnd"/>
      <w:r>
        <w:t xml:space="preserve"> Bollhöfer &amp; C Doering</w:t>
      </w:r>
    </w:p>
    <w:p w:rsidR="00A06BC6" w:rsidRDefault="00A06BC6" w:rsidP="00A06BC6">
      <w:pPr>
        <w:pStyle w:val="Heading2"/>
      </w:pPr>
      <w:r>
        <w:t>Introduction</w:t>
      </w:r>
    </w:p>
    <w:p w:rsidR="00A06BC6" w:rsidRPr="001E69C9" w:rsidRDefault="00A06BC6" w:rsidP="00A06BC6">
      <w:r w:rsidRPr="001E69C9">
        <w:t>The inhalation of radon decay products is to be included as an exposure pathway in the development of a radiological dose model to estimate above background doses to the public from the rehabilitated Ranger mine site. At Jabiru or Mudginberri, inhalation doses are unlikely to be of concern given that annual mine-derived doses received via the inhalation pathway for the operating mine site at present are less than</w:t>
      </w:r>
      <w:r>
        <w:t xml:space="preserve"> 0.1 mSv (Supervising Scientist</w:t>
      </w:r>
      <w:r w:rsidRPr="001E69C9">
        <w:t xml:space="preserve"> 2103). However, people roaming the site after rehabilitation for hunting and gathering activities and camping on site, or in areas nearby, may be exposed to higher radon decay product concentrations. Knowledge of the radon exhalation fluxes from the surface of the substrate used to shape the landform is the first step to predict potential post-rehabilitation doses received via the inhalation of radon decay products.</w:t>
      </w:r>
    </w:p>
    <w:p w:rsidR="00A06BC6" w:rsidRPr="001E69C9" w:rsidRDefault="00A06BC6" w:rsidP="00A06BC6">
      <w:r w:rsidRPr="001E69C9">
        <w:t>Radon (</w:t>
      </w:r>
      <w:r w:rsidRPr="001E69C9">
        <w:rPr>
          <w:vertAlign w:val="superscript"/>
          <w:lang w:val="en-US"/>
        </w:rPr>
        <w:t>222</w:t>
      </w:r>
      <w:r w:rsidRPr="001E69C9">
        <w:rPr>
          <w:lang w:val="en-US"/>
        </w:rPr>
        <w:t>Rn</w:t>
      </w:r>
      <w:r w:rsidRPr="001E69C9">
        <w:t>) is part of the natural uranium decay chain and is produced by the decay of radium (</w:t>
      </w:r>
      <w:r w:rsidRPr="001E69C9">
        <w:rPr>
          <w:snapToGrid w:val="0"/>
          <w:position w:val="5"/>
          <w:sz w:val="13"/>
          <w:szCs w:val="2"/>
        </w:rPr>
        <w:t>226</w:t>
      </w:r>
      <w:r w:rsidRPr="001E69C9">
        <w:t xml:space="preserve">Ra) in soil particles. It is a noble gas and some of the radon emanates from the particles, migrates through the soil pore space and eventually exhales from the soil surface. Radon exhalation depends on soil </w:t>
      </w:r>
      <w:r w:rsidRPr="001E69C9">
        <w:rPr>
          <w:snapToGrid w:val="0"/>
          <w:position w:val="5"/>
          <w:sz w:val="13"/>
          <w:szCs w:val="2"/>
        </w:rPr>
        <w:t>226</w:t>
      </w:r>
      <w:r w:rsidRPr="001E69C9">
        <w:t xml:space="preserve">Ra activity concentration and the </w:t>
      </w:r>
      <w:r w:rsidRPr="001E69C9">
        <w:rPr>
          <w:vertAlign w:val="superscript"/>
          <w:lang w:val="en-US"/>
        </w:rPr>
        <w:t>222</w:t>
      </w:r>
      <w:r w:rsidRPr="001E69C9">
        <w:rPr>
          <w:lang w:val="en-US"/>
        </w:rPr>
        <w:t>Rn</w:t>
      </w:r>
      <w:r w:rsidRPr="001E69C9">
        <w:t xml:space="preserve"> diffusion length, which in turn is influenced by soil porosity, moisture and particle size (</w:t>
      </w:r>
      <w:r w:rsidRPr="001E69C9">
        <w:rPr>
          <w:szCs w:val="22"/>
        </w:rPr>
        <w:t>Porstendörfer 1994)</w:t>
      </w:r>
      <w:r w:rsidRPr="001E69C9">
        <w:t>. Radon in air decays with a half life of 3.82 days to short-lived isotopes of the metals polonium (</w:t>
      </w:r>
      <w:r w:rsidRPr="001E69C9">
        <w:rPr>
          <w:snapToGrid w:val="0"/>
          <w:position w:val="5"/>
          <w:sz w:val="13"/>
          <w:szCs w:val="2"/>
        </w:rPr>
        <w:t>218</w:t>
      </w:r>
      <w:r w:rsidRPr="001E69C9">
        <w:t xml:space="preserve">Po, </w:t>
      </w:r>
      <w:r w:rsidRPr="001E69C9">
        <w:rPr>
          <w:snapToGrid w:val="0"/>
          <w:position w:val="5"/>
          <w:sz w:val="13"/>
          <w:szCs w:val="2"/>
        </w:rPr>
        <w:t>214</w:t>
      </w:r>
      <w:r w:rsidRPr="001E69C9">
        <w:t>Po), lead (</w:t>
      </w:r>
      <w:r w:rsidRPr="001E69C9">
        <w:rPr>
          <w:snapToGrid w:val="0"/>
          <w:position w:val="5"/>
          <w:sz w:val="13"/>
          <w:szCs w:val="2"/>
        </w:rPr>
        <w:t>214</w:t>
      </w:r>
      <w:r w:rsidRPr="001E69C9">
        <w:t>Pb) and bismuth (</w:t>
      </w:r>
      <w:r w:rsidRPr="001E69C9">
        <w:rPr>
          <w:snapToGrid w:val="0"/>
          <w:position w:val="5"/>
          <w:sz w:val="13"/>
          <w:szCs w:val="2"/>
        </w:rPr>
        <w:t>214</w:t>
      </w:r>
      <w:r w:rsidRPr="001E69C9">
        <w:t xml:space="preserve">Bi). It is these radon decay products, rather than the radon gas, that can deposit in the lungs and deliver a radiation dose upon inhalation. </w:t>
      </w:r>
    </w:p>
    <w:p w:rsidR="00A06BC6" w:rsidRPr="001E69C9" w:rsidRDefault="00A06BC6" w:rsidP="00A06BC6">
      <w:r w:rsidRPr="001E69C9">
        <w:t xml:space="preserve">Previous work has </w:t>
      </w:r>
      <w:r w:rsidR="00083B61">
        <w:t>focused</w:t>
      </w:r>
      <w:r w:rsidRPr="001E69C9">
        <w:t xml:space="preserve"> on the Ranger trial landform to determine the seasonal and temporal changes in radon exhalation fluxes from different substrates (waste rock only and waste rock-laterite mix) (Bollhöfer et al</w:t>
      </w:r>
      <w:r>
        <w:t>.</w:t>
      </w:r>
      <w:r w:rsidRPr="001E69C9">
        <w:t xml:space="preserve"> 2013). In 2013–14, the focus was on the measurement of radon flux densities from various height radon columns, which were established at the Jabiru Field Station to experimentally determine the radon diffusion length for waste rock used to rehabilitate Ranger uranium mine. </w:t>
      </w:r>
    </w:p>
    <w:p w:rsidR="00A06BC6" w:rsidRDefault="00A06BC6" w:rsidP="00A06BC6">
      <w:pPr>
        <w:pStyle w:val="Heading2"/>
      </w:pPr>
      <w:r>
        <w:t>Methods</w:t>
      </w:r>
    </w:p>
    <w:p w:rsidR="00A06BC6" w:rsidRDefault="00A06BC6" w:rsidP="00A06BC6">
      <w:r>
        <w:t xml:space="preserve">Two sets of six 240 mm diameter PVC tube columns (Figure 1) were set up at the Jabiru Field Station in April 2013, in collaboration with Energy Resources of Australia Ltd and Safe Radiation, Brisbane (SafeRadiation 2013). </w:t>
      </w:r>
    </w:p>
    <w:p w:rsidR="003A3F09" w:rsidRDefault="003A3F09" w:rsidP="003A3F09">
      <w:r>
        <w:t xml:space="preserve">The columns were filled with waste rock from Ranger mine consisting of a 4:1 mix of rocks with a diameter of ~70 mm and rocks and gravel less than 40 mm, believed to reasonably represent the substrate that will be used as a cover material for the site. The six columns in each set covered a rock depth from 0.5 m to 3.0 m in 0.5 m intervals, with a 0.2 m deep head space left at the top of the columns. The open end of each column has a machined flange to attach a lid and connect to the </w:t>
      </w:r>
      <w:r>
        <w:rPr>
          <w:i/>
        </w:rPr>
        <w:t>Durridge</w:t>
      </w:r>
      <w:r>
        <w:t xml:space="preserve"> </w:t>
      </w:r>
      <w:r>
        <w:rPr>
          <w:i/>
        </w:rPr>
        <w:t>Rad7</w:t>
      </w:r>
      <w:r>
        <w:t xml:space="preserve"> radon detectors that measure the </w:t>
      </w:r>
      <w:r w:rsidRPr="00974DC5">
        <w:rPr>
          <w:vertAlign w:val="superscript"/>
          <w:lang w:val="en-US"/>
        </w:rPr>
        <w:t>222</w:t>
      </w:r>
      <w:r w:rsidRPr="0034555D">
        <w:rPr>
          <w:lang w:val="en-US"/>
        </w:rPr>
        <w:t>Rn</w:t>
      </w:r>
      <w:r>
        <w:t xml:space="preserve"> exhaling from the surface of the waste rock in the columns. </w:t>
      </w:r>
      <w:r w:rsidRPr="00974DC5">
        <w:rPr>
          <w:vertAlign w:val="superscript"/>
          <w:lang w:val="en-US"/>
        </w:rPr>
        <w:t>222</w:t>
      </w:r>
      <w:r w:rsidRPr="0034555D">
        <w:rPr>
          <w:lang w:val="en-US"/>
        </w:rPr>
        <w:t>Rn</w:t>
      </w:r>
      <w:r>
        <w:t xml:space="preserve"> activity flux density measurements were conducted in May 2013 and one year later, in April 2014, to investigate whether there is a change in diffusion length with time due to compaction effects of the material in the columns. In addition, the </w:t>
      </w:r>
      <w:r w:rsidRPr="00974DC5">
        <w:rPr>
          <w:vertAlign w:val="superscript"/>
          <w:lang w:val="en-US"/>
        </w:rPr>
        <w:t>22</w:t>
      </w:r>
      <w:r>
        <w:rPr>
          <w:vertAlign w:val="superscript"/>
          <w:lang w:val="en-US"/>
        </w:rPr>
        <w:t>6</w:t>
      </w:r>
      <w:r>
        <w:rPr>
          <w:lang w:val="en-US"/>
        </w:rPr>
        <w:t>Ra</w:t>
      </w:r>
      <w:r>
        <w:t xml:space="preserve"> activity concentration of the material used to fill each column was measured using scintillation detectors and gamma spectrometry.</w:t>
      </w:r>
    </w:p>
    <w:p w:rsidR="00A06BC6" w:rsidRDefault="00A06BC6" w:rsidP="00A06BC6"/>
    <w:p w:rsidR="00A06BC6" w:rsidRPr="0034555D" w:rsidRDefault="00A06BC6" w:rsidP="00A06BC6">
      <w:pPr>
        <w:spacing w:line="260" w:lineRule="atLeast"/>
        <w:jc w:val="center"/>
      </w:pPr>
      <w:r w:rsidRPr="0034555D">
        <w:rPr>
          <w:noProof/>
          <w:lang w:eastAsia="en-AU"/>
        </w:rPr>
        <w:drawing>
          <wp:inline distT="0" distB="0" distL="0" distR="0">
            <wp:extent cx="2815551" cy="2149104"/>
            <wp:effectExtent l="19050" t="0" r="3849" b="0"/>
            <wp:docPr id="1014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4" cstate="screen"/>
                    <a:srcRect/>
                    <a:stretch>
                      <a:fillRect/>
                    </a:stretch>
                  </pic:blipFill>
                  <pic:spPr bwMode="auto">
                    <a:xfrm>
                      <a:off x="0" y="0"/>
                      <a:ext cx="2819067" cy="2151788"/>
                    </a:xfrm>
                    <a:prstGeom prst="rect">
                      <a:avLst/>
                    </a:prstGeom>
                    <a:noFill/>
                    <a:ln w="9525">
                      <a:noFill/>
                      <a:miter lim="800000"/>
                      <a:headEnd/>
                      <a:tailEnd/>
                    </a:ln>
                  </pic:spPr>
                </pic:pic>
              </a:graphicData>
            </a:graphic>
          </wp:inline>
        </w:drawing>
      </w:r>
    </w:p>
    <w:p w:rsidR="00A06BC6" w:rsidRPr="0034555D" w:rsidRDefault="00A06BC6" w:rsidP="00A06BC6">
      <w:pPr>
        <w:pStyle w:val="figurecaption0"/>
        <w:jc w:val="center"/>
        <w:rPr>
          <w:noProof/>
          <w:lang w:val="en-US"/>
        </w:rPr>
      </w:pPr>
      <w:r w:rsidRPr="0034555D">
        <w:rPr>
          <w:b/>
          <w:noProof/>
          <w:lang w:val="en-US"/>
        </w:rPr>
        <w:t xml:space="preserve">Figure </w:t>
      </w:r>
      <w:r>
        <w:rPr>
          <w:b/>
          <w:noProof/>
          <w:lang w:val="en-US"/>
        </w:rPr>
        <w:t>1</w:t>
      </w:r>
      <w:r w:rsidRPr="0034555D">
        <w:rPr>
          <w:b/>
          <w:noProof/>
          <w:lang w:val="en-US"/>
        </w:rPr>
        <w:t xml:space="preserve">  </w:t>
      </w:r>
      <w:r w:rsidRPr="0034555D">
        <w:rPr>
          <w:noProof/>
          <w:lang w:val="en-US"/>
        </w:rPr>
        <w:t xml:space="preserve">Set up of the radon columns at the Jabiru Field Station (photo: </w:t>
      </w:r>
      <w:r w:rsidRPr="0034555D">
        <w:rPr>
          <w:i/>
          <w:noProof/>
          <w:lang w:val="en-US"/>
        </w:rPr>
        <w:t>Safe Radation</w:t>
      </w:r>
      <w:r w:rsidRPr="0034555D">
        <w:rPr>
          <w:noProof/>
          <w:lang w:val="en-US"/>
        </w:rPr>
        <w:t xml:space="preserve"> 2013)</w:t>
      </w:r>
      <w:r>
        <w:rPr>
          <w:noProof/>
          <w:lang w:val="en-US"/>
        </w:rPr>
        <w:t>.</w:t>
      </w:r>
    </w:p>
    <w:p w:rsidR="00A06BC6" w:rsidRDefault="00A06BC6" w:rsidP="00A06BC6">
      <w:pPr>
        <w:rPr>
          <w:lang w:val="en-US"/>
        </w:rPr>
      </w:pPr>
      <w:r>
        <w:rPr>
          <w:lang w:val="en-US"/>
        </w:rPr>
        <w:t xml:space="preserve">The constant replenishment of </w:t>
      </w:r>
      <w:r w:rsidRPr="00974DC5">
        <w:rPr>
          <w:vertAlign w:val="superscript"/>
          <w:lang w:val="en-US"/>
        </w:rPr>
        <w:t>222</w:t>
      </w:r>
      <w:r w:rsidRPr="0034555D">
        <w:rPr>
          <w:lang w:val="en-US"/>
        </w:rPr>
        <w:t>Rn</w:t>
      </w:r>
      <w:r>
        <w:rPr>
          <w:lang w:val="en-US"/>
        </w:rPr>
        <w:t xml:space="preserve"> through the decay of </w:t>
      </w:r>
      <w:r w:rsidRPr="00974DC5">
        <w:rPr>
          <w:vertAlign w:val="superscript"/>
          <w:lang w:val="en-US"/>
        </w:rPr>
        <w:t>22</w:t>
      </w:r>
      <w:r>
        <w:rPr>
          <w:vertAlign w:val="superscript"/>
          <w:lang w:val="en-US"/>
        </w:rPr>
        <w:t>6</w:t>
      </w:r>
      <w:r>
        <w:rPr>
          <w:lang w:val="en-US"/>
        </w:rPr>
        <w:t xml:space="preserve">Ra in the waste rock leads to the establishment of a </w:t>
      </w:r>
      <w:r w:rsidRPr="00974DC5">
        <w:rPr>
          <w:vertAlign w:val="superscript"/>
          <w:lang w:val="en-US"/>
        </w:rPr>
        <w:t>222</w:t>
      </w:r>
      <w:r w:rsidRPr="0034555D">
        <w:rPr>
          <w:lang w:val="en-US"/>
        </w:rPr>
        <w:t>Rn</w:t>
      </w:r>
      <w:r>
        <w:rPr>
          <w:lang w:val="en-US"/>
        </w:rPr>
        <w:t xml:space="preserve"> concentration gradient in the pore space of the waste rock columns. Measurements show </w:t>
      </w:r>
      <w:r w:rsidRPr="00974DC5">
        <w:rPr>
          <w:vertAlign w:val="superscript"/>
          <w:lang w:val="en-US"/>
        </w:rPr>
        <w:t>222</w:t>
      </w:r>
      <w:r w:rsidRPr="0034555D">
        <w:rPr>
          <w:lang w:val="en-US"/>
        </w:rPr>
        <w:t>Rn</w:t>
      </w:r>
      <w:r>
        <w:rPr>
          <w:lang w:val="en-US"/>
        </w:rPr>
        <w:t xml:space="preserve"> activity concentrations in the pore space in the order ~10</w:t>
      </w:r>
      <w:r>
        <w:rPr>
          <w:snapToGrid w:val="0"/>
          <w:color w:val="000000"/>
          <w:position w:val="5"/>
          <w:sz w:val="15"/>
          <w:szCs w:val="2"/>
          <w:lang w:val="en-US"/>
        </w:rPr>
        <w:t>5</w:t>
      </w:r>
      <w:r>
        <w:rPr>
          <w:lang w:val="en-US"/>
        </w:rPr>
        <w:t xml:space="preserve"> Bq·m</w:t>
      </w:r>
      <w:r>
        <w:rPr>
          <w:snapToGrid w:val="0"/>
          <w:color w:val="000000"/>
          <w:position w:val="5"/>
          <w:sz w:val="15"/>
          <w:szCs w:val="2"/>
          <w:lang w:val="en-US"/>
        </w:rPr>
        <w:t>-3</w:t>
      </w:r>
      <w:r>
        <w:rPr>
          <w:lang w:val="en-US"/>
        </w:rPr>
        <w:t xml:space="preserve"> at two metres below the surface and about 200 Bq·m</w:t>
      </w:r>
      <w:r>
        <w:rPr>
          <w:snapToGrid w:val="0"/>
          <w:color w:val="000000"/>
          <w:position w:val="5"/>
          <w:sz w:val="15"/>
          <w:szCs w:val="2"/>
          <w:lang w:val="en-US"/>
        </w:rPr>
        <w:t>-3</w:t>
      </w:r>
      <w:r>
        <w:rPr>
          <w:lang w:val="en-US"/>
        </w:rPr>
        <w:t xml:space="preserve"> at the surface. Radon diffuses along this concentration gradient and the </w:t>
      </w:r>
      <w:r w:rsidRPr="00974DC5">
        <w:rPr>
          <w:vertAlign w:val="superscript"/>
          <w:lang w:val="en-US"/>
        </w:rPr>
        <w:t>222</w:t>
      </w:r>
      <w:r w:rsidRPr="0034555D">
        <w:rPr>
          <w:lang w:val="en-US"/>
        </w:rPr>
        <w:t>Rn</w:t>
      </w:r>
      <w:r>
        <w:rPr>
          <w:lang w:val="en-US"/>
        </w:rPr>
        <w:t xml:space="preserve"> activity flux density from the surface of each of the columns is determined from the increase of the </w:t>
      </w:r>
      <w:r w:rsidRPr="00974DC5">
        <w:rPr>
          <w:vertAlign w:val="superscript"/>
          <w:lang w:val="en-US"/>
        </w:rPr>
        <w:t>222</w:t>
      </w:r>
      <w:r w:rsidRPr="0034555D">
        <w:rPr>
          <w:lang w:val="en-US"/>
        </w:rPr>
        <w:t>Rn</w:t>
      </w:r>
      <w:r>
        <w:rPr>
          <w:lang w:val="en-US"/>
        </w:rPr>
        <w:t xml:space="preserve"> activity concentration measured in air within the head space, after closing the column with the lid attached to the </w:t>
      </w:r>
      <w:r>
        <w:rPr>
          <w:i/>
          <w:lang w:val="en-US"/>
        </w:rPr>
        <w:t>Rad7</w:t>
      </w:r>
      <w:r>
        <w:rPr>
          <w:lang w:val="en-US"/>
        </w:rPr>
        <w:t xml:space="preserve"> instrument. </w:t>
      </w:r>
    </w:p>
    <w:p w:rsidR="00A06BC6" w:rsidRDefault="00A06BC6" w:rsidP="00A06BC6">
      <w:pPr>
        <w:rPr>
          <w:lang w:val="en-US"/>
        </w:rPr>
      </w:pPr>
      <w:r>
        <w:rPr>
          <w:lang w:val="en-US"/>
        </w:rPr>
        <w:t xml:space="preserve">Assuming that diffusion is the main process governing </w:t>
      </w:r>
      <w:r w:rsidRPr="00974DC5">
        <w:rPr>
          <w:vertAlign w:val="superscript"/>
          <w:lang w:val="en-US"/>
        </w:rPr>
        <w:t>222</w:t>
      </w:r>
      <w:r w:rsidRPr="0034555D">
        <w:rPr>
          <w:lang w:val="en-US"/>
        </w:rPr>
        <w:t>Rn</w:t>
      </w:r>
      <w:r>
        <w:rPr>
          <w:lang w:val="en-US"/>
        </w:rPr>
        <w:t xml:space="preserve"> migration though the pore space, the following equation can be used to determine the diffusion length </w:t>
      </w:r>
      <w:r>
        <w:rPr>
          <w:i/>
          <w:lang w:val="en-US"/>
        </w:rPr>
        <w:t>L</w:t>
      </w:r>
      <w:r>
        <w:rPr>
          <w:lang w:val="en-US"/>
        </w:rPr>
        <w:t xml:space="preserve"> in the material:</w:t>
      </w:r>
    </w:p>
    <w:p w:rsidR="00A06BC6" w:rsidRDefault="00A06BC6" w:rsidP="00A06BC6">
      <w:pPr>
        <w:jc w:val="center"/>
        <w:rPr>
          <w:i/>
          <w:lang w:val="en-US"/>
        </w:rPr>
      </w:pPr>
      <w:r>
        <w:rPr>
          <w:i/>
          <w:lang w:val="en-US"/>
        </w:rPr>
        <w:t xml:space="preserve">Equation 1: </w:t>
      </w:r>
      <w:proofErr w:type="gramStart"/>
      <w:r>
        <w:rPr>
          <w:i/>
          <w:lang w:val="en-US"/>
        </w:rPr>
        <w:t>E(</w:t>
      </w:r>
      <w:proofErr w:type="gramEnd"/>
      <w:r>
        <w:rPr>
          <w:i/>
          <w:lang w:val="en-US"/>
        </w:rPr>
        <w:t>h) = E</w:t>
      </w:r>
      <w:r>
        <w:rPr>
          <w:i/>
          <w:snapToGrid w:val="0"/>
          <w:color w:val="000000"/>
          <w:position w:val="-5"/>
          <w:sz w:val="15"/>
          <w:szCs w:val="2"/>
          <w:lang w:val="en-US"/>
        </w:rPr>
        <w:t>∞</w:t>
      </w:r>
      <w:r>
        <w:rPr>
          <w:i/>
          <w:lang w:val="en-US"/>
        </w:rPr>
        <w:t>·tanh (h/L) = E</w:t>
      </w:r>
      <w:r>
        <w:rPr>
          <w:i/>
          <w:snapToGrid w:val="0"/>
          <w:color w:val="000000"/>
          <w:position w:val="-5"/>
          <w:sz w:val="15"/>
          <w:szCs w:val="2"/>
          <w:lang w:val="en-US"/>
        </w:rPr>
        <w:t>∞</w:t>
      </w:r>
      <w:r>
        <w:rPr>
          <w:i/>
          <w:lang w:val="en-US"/>
        </w:rPr>
        <w:t>·[(1-e</w:t>
      </w:r>
      <w:r>
        <w:rPr>
          <w:i/>
          <w:snapToGrid w:val="0"/>
          <w:color w:val="000000"/>
          <w:position w:val="5"/>
          <w:sz w:val="15"/>
          <w:szCs w:val="2"/>
          <w:lang w:val="en-US"/>
        </w:rPr>
        <w:t>-2h/L</w:t>
      </w:r>
      <w:r>
        <w:rPr>
          <w:i/>
          <w:lang w:val="en-US"/>
        </w:rPr>
        <w:t>)/(1+e</w:t>
      </w:r>
      <w:r>
        <w:rPr>
          <w:i/>
          <w:snapToGrid w:val="0"/>
          <w:color w:val="000000"/>
          <w:position w:val="5"/>
          <w:sz w:val="15"/>
          <w:szCs w:val="2"/>
          <w:lang w:val="en-US"/>
        </w:rPr>
        <w:t>-2h/L</w:t>
      </w:r>
      <w:r>
        <w:rPr>
          <w:i/>
          <w:lang w:val="en-US"/>
        </w:rPr>
        <w:t>)]</w:t>
      </w:r>
    </w:p>
    <w:p w:rsidR="00A06BC6" w:rsidRDefault="00A06BC6" w:rsidP="00A06BC6">
      <w:pPr>
        <w:rPr>
          <w:lang w:val="en-US"/>
        </w:rPr>
      </w:pPr>
      <w:proofErr w:type="gramStart"/>
      <w:r>
        <w:rPr>
          <w:lang w:val="en-US"/>
        </w:rPr>
        <w:t>where</w:t>
      </w:r>
      <w:proofErr w:type="gramEnd"/>
      <w:r>
        <w:rPr>
          <w:lang w:val="en-US"/>
        </w:rPr>
        <w:t xml:space="preserve"> </w:t>
      </w:r>
      <w:r>
        <w:rPr>
          <w:i/>
          <w:lang w:val="en-US"/>
        </w:rPr>
        <w:t>E(h)</w:t>
      </w:r>
      <w:r>
        <w:rPr>
          <w:lang w:val="en-US"/>
        </w:rPr>
        <w:t xml:space="preserve"> and </w:t>
      </w:r>
      <w:r>
        <w:rPr>
          <w:i/>
          <w:lang w:val="en-US"/>
        </w:rPr>
        <w:t>E</w:t>
      </w:r>
      <w:r>
        <w:rPr>
          <w:i/>
          <w:snapToGrid w:val="0"/>
          <w:color w:val="000000"/>
          <w:position w:val="-5"/>
          <w:sz w:val="15"/>
          <w:szCs w:val="2"/>
          <w:lang w:val="en-US"/>
        </w:rPr>
        <w:t>∞</w:t>
      </w:r>
      <w:r>
        <w:rPr>
          <w:lang w:val="en-US"/>
        </w:rPr>
        <w:t xml:space="preserve"> are the </w:t>
      </w:r>
      <w:r w:rsidRPr="00974DC5">
        <w:rPr>
          <w:vertAlign w:val="superscript"/>
          <w:lang w:val="en-US"/>
        </w:rPr>
        <w:t>222</w:t>
      </w:r>
      <w:r w:rsidRPr="0034555D">
        <w:rPr>
          <w:lang w:val="en-US"/>
        </w:rPr>
        <w:t>Rn</w:t>
      </w:r>
      <w:r>
        <w:rPr>
          <w:lang w:val="en-US"/>
        </w:rPr>
        <w:t xml:space="preserve"> activity flux densities in Bq·m</w:t>
      </w:r>
      <w:r>
        <w:rPr>
          <w:snapToGrid w:val="0"/>
          <w:color w:val="000000"/>
          <w:position w:val="5"/>
          <w:sz w:val="15"/>
          <w:szCs w:val="2"/>
          <w:lang w:val="en-US"/>
        </w:rPr>
        <w:t>-2</w:t>
      </w:r>
      <w:r>
        <w:rPr>
          <w:lang w:val="en-US"/>
        </w:rPr>
        <w:t>·s</w:t>
      </w:r>
      <w:r>
        <w:rPr>
          <w:snapToGrid w:val="0"/>
          <w:color w:val="000000"/>
          <w:position w:val="5"/>
          <w:sz w:val="15"/>
          <w:szCs w:val="2"/>
          <w:lang w:val="en-US"/>
        </w:rPr>
        <w:t>-1</w:t>
      </w:r>
      <w:r>
        <w:rPr>
          <w:lang w:val="en-US"/>
        </w:rPr>
        <w:t xml:space="preserve"> from a layer of thickness </w:t>
      </w:r>
      <w:r>
        <w:rPr>
          <w:i/>
          <w:lang w:val="en-US"/>
        </w:rPr>
        <w:t>h</w:t>
      </w:r>
      <w:r>
        <w:rPr>
          <w:lang w:val="en-US"/>
        </w:rPr>
        <w:t xml:space="preserve"> (in m) or an infinitely thick layer of a particular material, and </w:t>
      </w:r>
      <w:r>
        <w:rPr>
          <w:i/>
          <w:lang w:val="en-US"/>
        </w:rPr>
        <w:t>L</w:t>
      </w:r>
      <w:r>
        <w:rPr>
          <w:lang w:val="en-US"/>
        </w:rPr>
        <w:t xml:space="preserve"> is the diffusion length, or effective relaxation length, in meters. </w:t>
      </w:r>
    </w:p>
    <w:p w:rsidR="00A06BC6" w:rsidRPr="00A2670A" w:rsidRDefault="00A06BC6" w:rsidP="00A06BC6">
      <w:pPr>
        <w:pStyle w:val="Heading2"/>
      </w:pPr>
      <w:r w:rsidRPr="00A2670A">
        <w:t>Results and Discussion</w:t>
      </w:r>
    </w:p>
    <w:p w:rsidR="00A06BC6" w:rsidRDefault="00A06BC6" w:rsidP="00A06BC6">
      <w:pPr>
        <w:rPr>
          <w:lang w:val="en-US"/>
        </w:rPr>
      </w:pPr>
      <w:r>
        <w:rPr>
          <w:lang w:val="en-US"/>
        </w:rPr>
        <w:t xml:space="preserve">The </w:t>
      </w:r>
      <w:r w:rsidRPr="00974DC5">
        <w:rPr>
          <w:vertAlign w:val="superscript"/>
          <w:lang w:val="en-US"/>
        </w:rPr>
        <w:t>222</w:t>
      </w:r>
      <w:r w:rsidRPr="0034555D">
        <w:rPr>
          <w:lang w:val="en-US"/>
        </w:rPr>
        <w:t>Rn</w:t>
      </w:r>
      <w:r>
        <w:rPr>
          <w:lang w:val="en-US"/>
        </w:rPr>
        <w:t xml:space="preserve"> activity concentration measured in the head space of a column is humidity corrected, as the relative humidity was generally above 30% during the measurements and the </w:t>
      </w:r>
      <w:r>
        <w:rPr>
          <w:i/>
          <w:lang w:val="en-US"/>
        </w:rPr>
        <w:t>Rad7</w:t>
      </w:r>
      <w:r>
        <w:rPr>
          <w:lang w:val="en-US"/>
        </w:rPr>
        <w:t xml:space="preserve"> gives low values for a relative humidity above 10%. </w:t>
      </w:r>
      <w:r>
        <w:t xml:space="preserve">Figure 2 shows a plot of the </w:t>
      </w:r>
      <w:r w:rsidRPr="00974DC5">
        <w:rPr>
          <w:vertAlign w:val="superscript"/>
          <w:lang w:val="en-US"/>
        </w:rPr>
        <w:t>222</w:t>
      </w:r>
      <w:r w:rsidRPr="0034555D">
        <w:rPr>
          <w:lang w:val="en-US"/>
        </w:rPr>
        <w:t>Rn</w:t>
      </w:r>
      <w:r>
        <w:rPr>
          <w:lang w:val="en-US"/>
        </w:rPr>
        <w:t xml:space="preserve"> activity flux densities from the various height columns, calculated from the increase of the </w:t>
      </w:r>
      <w:r w:rsidRPr="00974DC5">
        <w:rPr>
          <w:vertAlign w:val="superscript"/>
          <w:lang w:val="en-US"/>
        </w:rPr>
        <w:t>222</w:t>
      </w:r>
      <w:r w:rsidRPr="0034555D">
        <w:rPr>
          <w:lang w:val="en-US"/>
        </w:rPr>
        <w:t>Rn</w:t>
      </w:r>
      <w:r>
        <w:rPr>
          <w:lang w:val="en-US"/>
        </w:rPr>
        <w:t xml:space="preserve"> activity concentrations measured in the head space of the columns over time, plotted versus the column height. A curve of the form given in Equation 1 has been fitted to the calculated </w:t>
      </w:r>
      <w:r w:rsidRPr="00974DC5">
        <w:rPr>
          <w:vertAlign w:val="superscript"/>
          <w:lang w:val="en-US"/>
        </w:rPr>
        <w:t>222</w:t>
      </w:r>
      <w:r w:rsidRPr="0034555D">
        <w:rPr>
          <w:lang w:val="en-US"/>
        </w:rPr>
        <w:t>Rn</w:t>
      </w:r>
      <w:r>
        <w:rPr>
          <w:lang w:val="en-US"/>
        </w:rPr>
        <w:t xml:space="preserve"> activity flux densities from the various height columns. The coefficients </w:t>
      </w:r>
      <w:r>
        <w:rPr>
          <w:i/>
          <w:lang w:val="en-US"/>
        </w:rPr>
        <w:t>L</w:t>
      </w:r>
      <w:r>
        <w:rPr>
          <w:lang w:val="en-US"/>
        </w:rPr>
        <w:t xml:space="preserve"> and </w:t>
      </w:r>
      <w:r>
        <w:rPr>
          <w:i/>
          <w:lang w:val="en-US"/>
        </w:rPr>
        <w:t>E</w:t>
      </w:r>
      <w:r>
        <w:rPr>
          <w:i/>
          <w:snapToGrid w:val="0"/>
          <w:color w:val="000000"/>
          <w:position w:val="-5"/>
          <w:sz w:val="15"/>
          <w:szCs w:val="2"/>
          <w:lang w:val="en-US"/>
        </w:rPr>
        <w:t>∞</w:t>
      </w:r>
      <w:r>
        <w:rPr>
          <w:lang w:val="en-US"/>
        </w:rPr>
        <w:t xml:space="preserve"> were obtained through a Levenberg-Marquardt non-linear least square curve fit and the covariant matrix generated was used to determine the variance and coefficient of determination, R</w:t>
      </w:r>
      <w:r>
        <w:rPr>
          <w:snapToGrid w:val="0"/>
          <w:color w:val="000000"/>
          <w:position w:val="5"/>
          <w:sz w:val="15"/>
          <w:szCs w:val="2"/>
          <w:lang w:val="en-US"/>
        </w:rPr>
        <w:t>2</w:t>
      </w:r>
      <w:r>
        <w:rPr>
          <w:lang w:val="en-US"/>
        </w:rPr>
        <w:t>.</w:t>
      </w:r>
    </w:p>
    <w:p w:rsidR="003A3F09" w:rsidRPr="001E69C9" w:rsidRDefault="003A3F09" w:rsidP="003A3F09">
      <w:r w:rsidRPr="001E69C9">
        <w:t xml:space="preserve">From the fit to the experimentally derived data, a </w:t>
      </w:r>
      <w:r w:rsidRPr="001E69C9">
        <w:rPr>
          <w:vertAlign w:val="superscript"/>
          <w:lang w:val="en-US"/>
        </w:rPr>
        <w:t>222</w:t>
      </w:r>
      <w:r w:rsidRPr="001E69C9">
        <w:rPr>
          <w:lang w:val="en-US"/>
        </w:rPr>
        <w:t xml:space="preserve">Rn diffusion length </w:t>
      </w:r>
      <w:r w:rsidRPr="001E69C9">
        <w:rPr>
          <w:i/>
          <w:lang w:val="en-US"/>
        </w:rPr>
        <w:t>L</w:t>
      </w:r>
      <w:r w:rsidRPr="001E69C9">
        <w:rPr>
          <w:lang w:val="en-US"/>
        </w:rPr>
        <w:t xml:space="preserve"> of</w:t>
      </w:r>
      <w:r w:rsidRPr="001E69C9">
        <w:t xml:space="preserve"> 1.8±0.2 m and a </w:t>
      </w:r>
      <w:r w:rsidRPr="001E69C9">
        <w:rPr>
          <w:vertAlign w:val="superscript"/>
          <w:lang w:val="en-US"/>
        </w:rPr>
        <w:t>222</w:t>
      </w:r>
      <w:r w:rsidRPr="001E69C9">
        <w:rPr>
          <w:lang w:val="en-US"/>
        </w:rPr>
        <w:t xml:space="preserve">Rn activity flux density </w:t>
      </w:r>
      <w:r w:rsidRPr="001E69C9">
        <w:rPr>
          <w:i/>
          <w:lang w:val="en-US"/>
        </w:rPr>
        <w:t>E∞</w:t>
      </w:r>
      <w:r w:rsidRPr="001E69C9">
        <w:rPr>
          <w:lang w:val="en-US"/>
        </w:rPr>
        <w:t xml:space="preserve"> of </w:t>
      </w:r>
      <w:r w:rsidRPr="001E69C9">
        <w:t>0.87±0.08 Bq·m</w:t>
      </w:r>
      <w:r w:rsidRPr="001E69C9">
        <w:rPr>
          <w:snapToGrid w:val="0"/>
          <w:position w:val="5"/>
          <w:sz w:val="13"/>
          <w:szCs w:val="0"/>
          <w:u w:color="000000"/>
        </w:rPr>
        <w:t>-2</w:t>
      </w:r>
      <w:r w:rsidRPr="001E69C9">
        <w:t>·s</w:t>
      </w:r>
      <w:r w:rsidRPr="001E69C9">
        <w:rPr>
          <w:snapToGrid w:val="0"/>
          <w:position w:val="5"/>
          <w:sz w:val="13"/>
          <w:szCs w:val="0"/>
          <w:u w:color="000000"/>
          <w:vertAlign w:val="superscript"/>
        </w:rPr>
        <w:t>-1</w:t>
      </w:r>
      <w:r w:rsidRPr="001E69C9">
        <w:t xml:space="preserve"> were obtained</w:t>
      </w:r>
      <w:r w:rsidRPr="001E69C9">
        <w:rPr>
          <w:lang w:val="en-US"/>
        </w:rPr>
        <w:t xml:space="preserve"> for waste rock with a </w:t>
      </w:r>
      <w:r w:rsidRPr="001E69C9">
        <w:rPr>
          <w:vertAlign w:val="superscript"/>
          <w:lang w:val="en-US"/>
        </w:rPr>
        <w:t>226</w:t>
      </w:r>
      <w:r w:rsidRPr="001E69C9">
        <w:rPr>
          <w:lang w:val="en-US"/>
        </w:rPr>
        <w:t>Ra activity concentration of 1860</w:t>
      </w:r>
      <w:r w:rsidRPr="001E69C9">
        <w:t>±220 Bq·kg</w:t>
      </w:r>
      <w:r w:rsidRPr="001E69C9">
        <w:rPr>
          <w:vertAlign w:val="superscript"/>
        </w:rPr>
        <w:t>-1</w:t>
      </w:r>
      <w:r w:rsidRPr="001E69C9">
        <w:rPr>
          <w:lang w:val="en-US"/>
        </w:rPr>
        <w:t xml:space="preserve"> (average ± 2 stdev of waste rock </w:t>
      </w:r>
      <w:r w:rsidRPr="001E69C9">
        <w:rPr>
          <w:vertAlign w:val="superscript"/>
          <w:lang w:val="en-US"/>
        </w:rPr>
        <w:t>226</w:t>
      </w:r>
      <w:r w:rsidRPr="001E69C9">
        <w:rPr>
          <w:lang w:val="en-US"/>
        </w:rPr>
        <w:t>Ra activity concentration in the columns)</w:t>
      </w:r>
      <w:r w:rsidRPr="001E69C9">
        <w:t>. The diffusion length is a little higher than typical diffusion lengths in natural soils (</w:t>
      </w:r>
      <w:r w:rsidRPr="001E69C9">
        <w:rPr>
          <w:szCs w:val="22"/>
        </w:rPr>
        <w:t>Porstendörfer 1994</w:t>
      </w:r>
      <w:proofErr w:type="gramStart"/>
      <w:r w:rsidRPr="001E69C9">
        <w:rPr>
          <w:szCs w:val="22"/>
        </w:rPr>
        <w:t xml:space="preserve">) </w:t>
      </w:r>
      <w:r w:rsidRPr="001E69C9">
        <w:t xml:space="preserve"> most</w:t>
      </w:r>
      <w:proofErr w:type="gramEnd"/>
      <w:r w:rsidRPr="001E69C9">
        <w:t xml:space="preserve"> likely due to the more porous nature of the material compared to aged natural soils.</w:t>
      </w:r>
    </w:p>
    <w:p w:rsidR="00A06BC6" w:rsidRDefault="00A06BC6" w:rsidP="00A06BC6">
      <w:pPr>
        <w:rPr>
          <w:lang w:val="en-US"/>
        </w:rPr>
      </w:pPr>
    </w:p>
    <w:tbl>
      <w:tblPr>
        <w:tblW w:w="0" w:type="auto"/>
        <w:tblLook w:val="04A0"/>
      </w:tblPr>
      <w:tblGrid>
        <w:gridCol w:w="4266"/>
        <w:gridCol w:w="4264"/>
      </w:tblGrid>
      <w:tr w:rsidR="00A06BC6" w:rsidTr="00A06BC6">
        <w:trPr>
          <w:trHeight w:val="3818"/>
        </w:trPr>
        <w:tc>
          <w:tcPr>
            <w:tcW w:w="4264" w:type="dxa"/>
          </w:tcPr>
          <w:p w:rsidR="00A06BC6" w:rsidRDefault="00A06BC6" w:rsidP="00A06BC6">
            <w:pPr>
              <w:pStyle w:val="figurecaption"/>
              <w:jc w:val="both"/>
              <w:rPr>
                <w:b/>
              </w:rPr>
            </w:pPr>
            <w:r>
              <w:rPr>
                <w:b/>
                <w:noProof/>
                <w:lang w:eastAsia="en-AU"/>
              </w:rPr>
              <w:drawing>
                <wp:anchor distT="0" distB="0" distL="114300" distR="114300" simplePos="0" relativeHeight="251686912" behindDoc="0" locked="0" layoutInCell="1" allowOverlap="1">
                  <wp:simplePos x="0" y="0"/>
                  <wp:positionH relativeFrom="column">
                    <wp:posOffset>-131445</wp:posOffset>
                  </wp:positionH>
                  <wp:positionV relativeFrom="paragraph">
                    <wp:posOffset>-53975</wp:posOffset>
                  </wp:positionV>
                  <wp:extent cx="2548890" cy="2381250"/>
                  <wp:effectExtent l="19050" t="0" r="3810" b="0"/>
                  <wp:wrapSquare wrapText="bothSides"/>
                  <wp:docPr id="1014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5" cstate="screen"/>
                          <a:srcRect t="6790"/>
                          <a:stretch>
                            <a:fillRect/>
                          </a:stretch>
                        </pic:blipFill>
                        <pic:spPr bwMode="auto">
                          <a:xfrm>
                            <a:off x="0" y="0"/>
                            <a:ext cx="2548890" cy="2381250"/>
                          </a:xfrm>
                          <a:prstGeom prst="rect">
                            <a:avLst/>
                          </a:prstGeom>
                          <a:noFill/>
                        </pic:spPr>
                      </pic:pic>
                    </a:graphicData>
                  </a:graphic>
                </wp:anchor>
              </w:drawing>
            </w:r>
          </w:p>
        </w:tc>
        <w:tc>
          <w:tcPr>
            <w:tcW w:w="4264" w:type="dxa"/>
          </w:tcPr>
          <w:p w:rsidR="00A06BC6" w:rsidRDefault="00A06BC6" w:rsidP="00A06BC6">
            <w:pPr>
              <w:pStyle w:val="figurecaption"/>
              <w:jc w:val="both"/>
              <w:rPr>
                <w:b/>
              </w:rPr>
            </w:pPr>
          </w:p>
          <w:p w:rsidR="00A06BC6" w:rsidRDefault="00A06BC6" w:rsidP="00A06BC6">
            <w:pPr>
              <w:pStyle w:val="figurecaption"/>
              <w:jc w:val="both"/>
            </w:pPr>
            <w:r>
              <w:rPr>
                <w:b/>
              </w:rPr>
              <w:t xml:space="preserve">Figure </w:t>
            </w:r>
            <w:proofErr w:type="gramStart"/>
            <w:r>
              <w:rPr>
                <w:b/>
              </w:rPr>
              <w:t>2</w:t>
            </w:r>
            <w:r>
              <w:t xml:space="preserve"> </w:t>
            </w:r>
            <w:r>
              <w:rPr>
                <w:snapToGrid w:val="0"/>
                <w:color w:val="000000"/>
                <w:position w:val="4"/>
                <w:sz w:val="11"/>
                <w:szCs w:val="2"/>
              </w:rPr>
              <w:t>222</w:t>
            </w:r>
            <w:r>
              <w:t>Rn activity flux density E versus the height of waste rock in the columns from the April 2014 measurements</w:t>
            </w:r>
            <w:proofErr w:type="gramEnd"/>
            <w:r>
              <w:t xml:space="preserve">. The circled data belong to column 2.5M2 and have been treated as outliers for the fit. A possible explanation for the higher </w:t>
            </w:r>
            <w:r>
              <w:rPr>
                <w:snapToGrid w:val="0"/>
                <w:color w:val="000000"/>
                <w:position w:val="4"/>
                <w:sz w:val="11"/>
                <w:szCs w:val="2"/>
              </w:rPr>
              <w:t>222</w:t>
            </w:r>
            <w:r>
              <w:t>Rn activity flux density could be a higher than estimated activity concentration of the material used to fill the column, due to heterogeneities in the waste rock. The solid line is a curve fit to the data of the form given in equation 1.</w:t>
            </w:r>
          </w:p>
          <w:p w:rsidR="00A06BC6" w:rsidRDefault="00A06BC6" w:rsidP="00A06BC6">
            <w:pPr>
              <w:pStyle w:val="figurecaption"/>
              <w:jc w:val="both"/>
              <w:rPr>
                <w:b/>
              </w:rPr>
            </w:pPr>
          </w:p>
        </w:tc>
      </w:tr>
    </w:tbl>
    <w:p w:rsidR="00A06BC6" w:rsidRPr="0034555D" w:rsidRDefault="00A06BC6" w:rsidP="00A06BC6">
      <w:r w:rsidRPr="0034555D">
        <w:t xml:space="preserve">Figure </w:t>
      </w:r>
      <w:r>
        <w:t>3</w:t>
      </w:r>
      <w:r w:rsidRPr="0034555D">
        <w:t xml:space="preserve"> shows the percentage values of E/E</w:t>
      </w:r>
      <w:r w:rsidRPr="009713D2">
        <w:rPr>
          <w:snapToGrid w:val="0"/>
          <w:color w:val="000000"/>
          <w:position w:val="-5"/>
          <w:sz w:val="13"/>
          <w:szCs w:val="0"/>
          <w:u w:color="000000"/>
        </w:rPr>
        <w:t>∞</w:t>
      </w:r>
      <w:r w:rsidRPr="0034555D">
        <w:t xml:space="preserve"> plotted against </w:t>
      </w:r>
      <w:r w:rsidRPr="0034555D">
        <w:rPr>
          <w:i/>
        </w:rPr>
        <w:t>h/L</w:t>
      </w:r>
      <w:r w:rsidRPr="0034555D">
        <w:t xml:space="preserve">. This plot has been used to estimate changes in the </w:t>
      </w:r>
      <w:r w:rsidRPr="00974DC5">
        <w:rPr>
          <w:vertAlign w:val="superscript"/>
          <w:lang w:val="en-US"/>
        </w:rPr>
        <w:t>222</w:t>
      </w:r>
      <w:r w:rsidRPr="0034555D">
        <w:rPr>
          <w:lang w:val="en-US"/>
        </w:rPr>
        <w:t>Rn</w:t>
      </w:r>
      <w:r w:rsidRPr="0034555D">
        <w:t xml:space="preserve"> activity flux from the cover material with height of the material. Assuming a diffusion length of 1.8 m, there will be a less than</w:t>
      </w:r>
      <w:r>
        <w:t xml:space="preserve"> 5%</w:t>
      </w:r>
      <w:r w:rsidRPr="0034555D">
        <w:t xml:space="preserve"> increase in the </w:t>
      </w:r>
      <w:r w:rsidRPr="00974DC5">
        <w:rPr>
          <w:vertAlign w:val="superscript"/>
          <w:lang w:val="en-US"/>
        </w:rPr>
        <w:t>222</w:t>
      </w:r>
      <w:r w:rsidRPr="0034555D">
        <w:rPr>
          <w:lang w:val="en-US"/>
        </w:rPr>
        <w:t xml:space="preserve">Rn </w:t>
      </w:r>
      <w:r w:rsidRPr="0034555D">
        <w:t>activity flux from the material layers exceeding 3.3 m in thickness. Two metres of the material will exhale</w:t>
      </w:r>
      <w:r w:rsidRPr="00974DC5">
        <w:rPr>
          <w:vertAlign w:val="superscript"/>
          <w:lang w:val="en-US"/>
        </w:rPr>
        <w:t>222</w:t>
      </w:r>
      <w:r w:rsidRPr="0034555D">
        <w:rPr>
          <w:lang w:val="en-US"/>
        </w:rPr>
        <w:t>Rn</w:t>
      </w:r>
      <w:r w:rsidRPr="0034555D">
        <w:t xml:space="preserve"> at an activity flux density of ~80% of the maximum value.</w:t>
      </w:r>
    </w:p>
    <w:p w:rsidR="00A06BC6" w:rsidRPr="0034555D" w:rsidRDefault="00A06BC6" w:rsidP="00A06BC6">
      <w:pPr>
        <w:pStyle w:val="Heading3"/>
      </w:pPr>
      <w:r w:rsidRPr="0034555D">
        <w:t>Effectiveness of waste rock as a cover material</w:t>
      </w:r>
    </w:p>
    <w:p w:rsidR="00A06BC6" w:rsidRPr="0034555D" w:rsidRDefault="00A06BC6" w:rsidP="00A06BC6">
      <w:r w:rsidRPr="0034555D">
        <w:t xml:space="preserve">The obtained diffusion length also allows </w:t>
      </w:r>
      <w:proofErr w:type="gramStart"/>
      <w:r w:rsidRPr="0034555D">
        <w:t>to determine</w:t>
      </w:r>
      <w:proofErr w:type="gramEnd"/>
      <w:r w:rsidRPr="0034555D">
        <w:t xml:space="preserve"> the effectiveness of the waste rock as a substrate to reduce the </w:t>
      </w:r>
      <w:r w:rsidRPr="00974DC5">
        <w:rPr>
          <w:vertAlign w:val="superscript"/>
          <w:lang w:val="en-US"/>
        </w:rPr>
        <w:t>222</w:t>
      </w:r>
      <w:r w:rsidRPr="0034555D">
        <w:rPr>
          <w:lang w:val="en-US"/>
        </w:rPr>
        <w:t xml:space="preserve">Rn </w:t>
      </w:r>
      <w:r w:rsidRPr="0034555D">
        <w:t xml:space="preserve">exhalation from a source underneath. Equation 2 can be used to </w:t>
      </w:r>
      <w:r>
        <w:t xml:space="preserve">determine the reduction of the </w:t>
      </w:r>
      <w:r w:rsidRPr="00974DC5">
        <w:rPr>
          <w:vertAlign w:val="superscript"/>
          <w:lang w:val="en-US"/>
        </w:rPr>
        <w:t>222</w:t>
      </w:r>
      <w:r w:rsidRPr="0034555D">
        <w:rPr>
          <w:lang w:val="en-US"/>
        </w:rPr>
        <w:t>Rn</w:t>
      </w:r>
      <w:r w:rsidRPr="0034555D">
        <w:t xml:space="preserve"> activity flux density from a source (such as buried tailings) over which the waste rock is laid for capping. If a material with surface activity flux </w:t>
      </w:r>
      <w:r w:rsidRPr="0034555D">
        <w:rPr>
          <w:i/>
        </w:rPr>
        <w:t>E</w:t>
      </w:r>
      <w:r w:rsidRPr="001E69C9">
        <w:rPr>
          <w:i/>
          <w:snapToGrid w:val="0"/>
          <w:color w:val="000000"/>
          <w:position w:val="-5"/>
          <w:sz w:val="13"/>
          <w:szCs w:val="0"/>
          <w:u w:color="000000"/>
        </w:rPr>
        <w:t>0s</w:t>
      </w:r>
      <w:r w:rsidRPr="0034555D">
        <w:t xml:space="preserve"> is covered with a thickness </w:t>
      </w:r>
      <w:r w:rsidRPr="0034555D">
        <w:rPr>
          <w:i/>
        </w:rPr>
        <w:t>h</w:t>
      </w:r>
      <w:r w:rsidRPr="0034555D">
        <w:t xml:space="preserve"> of a capping material, then the flux will reduce to a value </w:t>
      </w:r>
      <w:r w:rsidRPr="0034555D">
        <w:rPr>
          <w:i/>
        </w:rPr>
        <w:t>E</w:t>
      </w:r>
      <w:r w:rsidRPr="001E69C9">
        <w:rPr>
          <w:i/>
          <w:snapToGrid w:val="0"/>
          <w:color w:val="000000"/>
          <w:position w:val="-5"/>
          <w:sz w:val="13"/>
          <w:szCs w:val="0"/>
          <w:u w:color="000000"/>
        </w:rPr>
        <w:t>hs</w:t>
      </w:r>
      <w:r w:rsidRPr="0034555D">
        <w:t xml:space="preserve"> as:</w:t>
      </w:r>
    </w:p>
    <w:p w:rsidR="00A06BC6" w:rsidRPr="0034555D" w:rsidRDefault="00A06BC6" w:rsidP="00A06BC6">
      <w:pPr>
        <w:jc w:val="center"/>
        <w:rPr>
          <w:i/>
        </w:rPr>
      </w:pPr>
      <w:r w:rsidRPr="0034555D">
        <w:rPr>
          <w:i/>
        </w:rPr>
        <w:t>Equation 2: E</w:t>
      </w:r>
      <w:r w:rsidRPr="009713D2">
        <w:rPr>
          <w:i/>
          <w:snapToGrid w:val="0"/>
          <w:color w:val="000000"/>
          <w:position w:val="-5"/>
          <w:sz w:val="13"/>
          <w:szCs w:val="0"/>
          <w:u w:color="000000"/>
        </w:rPr>
        <w:t>hs</w:t>
      </w:r>
      <w:r w:rsidRPr="0034555D">
        <w:rPr>
          <w:i/>
        </w:rPr>
        <w:t xml:space="preserve"> = E</w:t>
      </w:r>
      <w:r w:rsidRPr="009713D2">
        <w:rPr>
          <w:i/>
          <w:snapToGrid w:val="0"/>
          <w:color w:val="000000"/>
          <w:position w:val="-5"/>
          <w:sz w:val="13"/>
          <w:szCs w:val="0"/>
          <w:u w:color="000000"/>
        </w:rPr>
        <w:t>0s</w:t>
      </w:r>
      <w:r w:rsidRPr="0034555D">
        <w:rPr>
          <w:i/>
        </w:rPr>
        <w:t>·e</w:t>
      </w:r>
      <w:r w:rsidRPr="009713D2">
        <w:rPr>
          <w:i/>
          <w:snapToGrid w:val="0"/>
          <w:color w:val="000000"/>
          <w:position w:val="5"/>
          <w:sz w:val="13"/>
          <w:szCs w:val="0"/>
          <w:u w:color="000000"/>
        </w:rPr>
        <w:t>-h/L</w:t>
      </w:r>
    </w:p>
    <w:p w:rsidR="00A06BC6" w:rsidRDefault="00A06BC6" w:rsidP="003A3F09">
      <w:pPr>
        <w:jc w:val="left"/>
      </w:pPr>
      <w:proofErr w:type="gramStart"/>
      <w:r w:rsidRPr="0034555D">
        <w:t>where</w:t>
      </w:r>
      <w:proofErr w:type="gramEnd"/>
      <w:r w:rsidRPr="0034555D">
        <w:t xml:space="preserve"> </w:t>
      </w:r>
      <w:r w:rsidRPr="0034555D">
        <w:rPr>
          <w:i/>
        </w:rPr>
        <w:t>E</w:t>
      </w:r>
      <w:r w:rsidRPr="009713D2">
        <w:rPr>
          <w:i/>
          <w:snapToGrid w:val="0"/>
          <w:color w:val="000000"/>
          <w:position w:val="-5"/>
          <w:sz w:val="13"/>
          <w:szCs w:val="0"/>
          <w:u w:color="000000"/>
        </w:rPr>
        <w:t>0s</w:t>
      </w:r>
      <w:r w:rsidRPr="0034555D">
        <w:t xml:space="preserve"> and </w:t>
      </w:r>
      <w:r w:rsidRPr="0034555D">
        <w:rPr>
          <w:i/>
        </w:rPr>
        <w:t>E</w:t>
      </w:r>
      <w:r w:rsidRPr="009713D2">
        <w:rPr>
          <w:i/>
          <w:snapToGrid w:val="0"/>
          <w:color w:val="000000"/>
          <w:position w:val="-5"/>
          <w:sz w:val="13"/>
          <w:szCs w:val="0"/>
          <w:u w:color="000000"/>
        </w:rPr>
        <w:t>hs</w:t>
      </w:r>
      <w:r w:rsidRPr="0034555D">
        <w:t xml:space="preserve"> are the </w:t>
      </w:r>
      <w:r w:rsidRPr="00974DC5">
        <w:rPr>
          <w:vertAlign w:val="superscript"/>
        </w:rPr>
        <w:t>222</w:t>
      </w:r>
      <w:r w:rsidRPr="0034555D">
        <w:t xml:space="preserve">Rn activity flux densities from the surface of the uncovered material and after a waste rock capping of height </w:t>
      </w:r>
      <w:r w:rsidRPr="0034555D">
        <w:rPr>
          <w:i/>
        </w:rPr>
        <w:t>h</w:t>
      </w:r>
      <w:r w:rsidRPr="0034555D">
        <w:t xml:space="preserve"> has been applied, respectively. </w:t>
      </w:r>
      <w:r w:rsidRPr="00DD5C36">
        <w:t xml:space="preserve">Figure </w:t>
      </w:r>
      <w:r>
        <w:t>3</w:t>
      </w:r>
      <w:r w:rsidRPr="00DD5C36">
        <w:t xml:space="preserve"> shows the reduction of the </w:t>
      </w:r>
      <w:r w:rsidRPr="00974DC5">
        <w:rPr>
          <w:vertAlign w:val="superscript"/>
          <w:lang w:val="en-US"/>
        </w:rPr>
        <w:t>222</w:t>
      </w:r>
      <w:r w:rsidRPr="00DD5C36">
        <w:rPr>
          <w:lang w:val="en-US"/>
        </w:rPr>
        <w:t xml:space="preserve">Rn </w:t>
      </w:r>
      <w:r w:rsidRPr="00DD5C36">
        <w:t xml:space="preserve">exhalation by applying a waste rock cover of height </w:t>
      </w:r>
      <w:r w:rsidRPr="00DD5C36">
        <w:rPr>
          <w:i/>
        </w:rPr>
        <w:t>h</w:t>
      </w:r>
      <w:r w:rsidRPr="00DD5C36">
        <w:t xml:space="preserve"> as cover material, plotted against </w:t>
      </w:r>
      <w:r w:rsidRPr="00DD5C36">
        <w:rPr>
          <w:i/>
        </w:rPr>
        <w:t>h/L</w:t>
      </w:r>
      <w:r w:rsidRPr="00DD5C36">
        <w:t>.</w:t>
      </w:r>
    </w:p>
    <w:p w:rsidR="003A3F09" w:rsidRPr="00DD5C36" w:rsidRDefault="003A3F09" w:rsidP="003A3F09">
      <w:r w:rsidRPr="00DD5C36">
        <w:t xml:space="preserve">It is obvious from Figure </w:t>
      </w:r>
      <w:r>
        <w:t>3</w:t>
      </w:r>
      <w:r w:rsidRPr="00DD5C36">
        <w:t xml:space="preserve"> that, while waste rock is suitable as a capping material to lower </w:t>
      </w:r>
      <w:r w:rsidRPr="00974DC5">
        <w:rPr>
          <w:vertAlign w:val="superscript"/>
          <w:lang w:val="en-US"/>
        </w:rPr>
        <w:t>222</w:t>
      </w:r>
      <w:r w:rsidRPr="0034555D">
        <w:rPr>
          <w:lang w:val="en-US"/>
        </w:rPr>
        <w:t>Rn</w:t>
      </w:r>
      <w:r w:rsidRPr="00DD5C36">
        <w:rPr>
          <w:lang w:val="en-US"/>
        </w:rPr>
        <w:t xml:space="preserve"> </w:t>
      </w:r>
      <w:r w:rsidRPr="00DD5C36">
        <w:t xml:space="preserve">exhalation from buried </w:t>
      </w:r>
      <w:r w:rsidRPr="00974DC5">
        <w:rPr>
          <w:vertAlign w:val="superscript"/>
        </w:rPr>
        <w:t>226</w:t>
      </w:r>
      <w:r w:rsidRPr="00DD5C36">
        <w:t xml:space="preserve">Ra rich material, it will also be a source of  </w:t>
      </w:r>
      <w:r w:rsidRPr="00974DC5">
        <w:rPr>
          <w:vertAlign w:val="superscript"/>
          <w:lang w:val="en-US"/>
        </w:rPr>
        <w:t>222</w:t>
      </w:r>
      <w:r w:rsidRPr="00DD5C36">
        <w:rPr>
          <w:lang w:val="en-US"/>
        </w:rPr>
        <w:t xml:space="preserve">Rn due to its generally above natural background </w:t>
      </w:r>
      <w:r w:rsidRPr="00974DC5">
        <w:rPr>
          <w:vertAlign w:val="superscript"/>
          <w:lang w:val="en-US"/>
        </w:rPr>
        <w:t>226</w:t>
      </w:r>
      <w:r w:rsidRPr="00DD5C36">
        <w:rPr>
          <w:lang w:val="en-US"/>
        </w:rPr>
        <w:t>Ra activity concentration.</w:t>
      </w:r>
      <w:r w:rsidR="00BA2549">
        <w:rPr>
          <w:lang w:val="en-US"/>
        </w:rPr>
        <w:t xml:space="preserve"> </w:t>
      </w:r>
      <w:r>
        <w:rPr>
          <w:lang w:val="en-US"/>
        </w:rPr>
        <w:t>A</w:t>
      </w:r>
      <w:r w:rsidRPr="00DD5C36">
        <w:rPr>
          <w:lang w:val="en-US"/>
        </w:rPr>
        <w:t xml:space="preserve"> capping </w:t>
      </w:r>
      <w:r>
        <w:rPr>
          <w:lang w:val="en-US"/>
        </w:rPr>
        <w:t xml:space="preserve">height </w:t>
      </w:r>
      <w:r w:rsidRPr="00DD5C36">
        <w:rPr>
          <w:lang w:val="en-US"/>
        </w:rPr>
        <w:t xml:space="preserve">of about </w:t>
      </w:r>
      <w:r>
        <w:rPr>
          <w:lang w:val="en-US"/>
        </w:rPr>
        <w:t>three</w:t>
      </w:r>
      <w:r w:rsidRPr="00DD5C36">
        <w:rPr>
          <w:lang w:val="en-US"/>
        </w:rPr>
        <w:t xml:space="preserve"> times the diffusion length will reduce the source </w:t>
      </w:r>
      <w:r w:rsidRPr="00974DC5">
        <w:rPr>
          <w:vertAlign w:val="superscript"/>
          <w:lang w:val="en-US"/>
        </w:rPr>
        <w:t>222</w:t>
      </w:r>
      <w:r w:rsidRPr="00DD5C36">
        <w:rPr>
          <w:lang w:val="en-US"/>
        </w:rPr>
        <w:t xml:space="preserve">Rn </w:t>
      </w:r>
      <w:r w:rsidRPr="00DD5C36">
        <w:t xml:space="preserve">exhalation to less than 5% but, at the same time, the </w:t>
      </w:r>
      <w:r w:rsidRPr="00974DC5">
        <w:rPr>
          <w:vertAlign w:val="superscript"/>
          <w:lang w:val="en-US"/>
        </w:rPr>
        <w:t>222</w:t>
      </w:r>
      <w:r w:rsidRPr="0034555D">
        <w:rPr>
          <w:lang w:val="en-US"/>
        </w:rPr>
        <w:t>Rn</w:t>
      </w:r>
      <w:r w:rsidRPr="00DD5C36">
        <w:rPr>
          <w:lang w:val="en-US"/>
        </w:rPr>
        <w:t xml:space="preserve"> </w:t>
      </w:r>
      <w:r w:rsidRPr="00DD5C36">
        <w:t xml:space="preserve">exhalation from the capping material itself will effectively be </w:t>
      </w:r>
      <w:r w:rsidRPr="00DD5C36">
        <w:rPr>
          <w:i/>
          <w:lang w:val="en-US"/>
        </w:rPr>
        <w:t>E</w:t>
      </w:r>
      <w:r w:rsidRPr="009713D2">
        <w:rPr>
          <w:i/>
          <w:snapToGrid w:val="0"/>
          <w:color w:val="000000"/>
          <w:position w:val="-5"/>
          <w:sz w:val="13"/>
          <w:szCs w:val="0"/>
          <w:u w:color="000000"/>
          <w:lang w:val="en-US"/>
        </w:rPr>
        <w:t>∞</w:t>
      </w:r>
      <w:r w:rsidRPr="00DD5C36">
        <w:t xml:space="preserve">. The value </w:t>
      </w:r>
      <w:r w:rsidRPr="00DD5C36">
        <w:rPr>
          <w:i/>
          <w:lang w:val="en-US"/>
        </w:rPr>
        <w:t>E</w:t>
      </w:r>
      <w:r w:rsidRPr="009713D2">
        <w:rPr>
          <w:i/>
          <w:snapToGrid w:val="0"/>
          <w:color w:val="000000"/>
          <w:position w:val="-5"/>
          <w:sz w:val="13"/>
          <w:szCs w:val="0"/>
          <w:u w:color="000000"/>
          <w:lang w:val="en-US"/>
        </w:rPr>
        <w:t>∞</w:t>
      </w:r>
      <w:r w:rsidRPr="00DD5C36">
        <w:t xml:space="preserve"> for the radon activity flux density depends on the </w:t>
      </w:r>
      <w:r w:rsidRPr="00974DC5">
        <w:rPr>
          <w:vertAlign w:val="superscript"/>
          <w:lang w:val="en-US"/>
        </w:rPr>
        <w:t>226</w:t>
      </w:r>
      <w:r w:rsidRPr="00DD5C36">
        <w:rPr>
          <w:lang w:val="en-US"/>
        </w:rPr>
        <w:t xml:space="preserve">Ra </w:t>
      </w:r>
      <w:r w:rsidRPr="00DD5C36">
        <w:t>activity concentration of the capping material and, consequently, the lowest grade waste rock should be used for the surface of the rehabilitated landform.</w:t>
      </w:r>
    </w:p>
    <w:p w:rsidR="003A3F09" w:rsidRDefault="003A3F09" w:rsidP="003A3F09">
      <w:pPr>
        <w:jc w:val="left"/>
      </w:pPr>
    </w:p>
    <w:tbl>
      <w:tblPr>
        <w:tblW w:w="0" w:type="auto"/>
        <w:tblLook w:val="04A0"/>
      </w:tblPr>
      <w:tblGrid>
        <w:gridCol w:w="4596"/>
        <w:gridCol w:w="4264"/>
      </w:tblGrid>
      <w:tr w:rsidR="00A06BC6" w:rsidTr="00A06BC6">
        <w:tc>
          <w:tcPr>
            <w:tcW w:w="4596" w:type="dxa"/>
          </w:tcPr>
          <w:p w:rsidR="00A06BC6" w:rsidRDefault="00A06BC6" w:rsidP="00A06BC6">
            <w:r>
              <w:rPr>
                <w:noProof/>
                <w:lang w:eastAsia="en-AU"/>
              </w:rPr>
              <w:drawing>
                <wp:anchor distT="0" distB="0" distL="114300" distR="114300" simplePos="0" relativeHeight="251687936" behindDoc="0" locked="0" layoutInCell="1" allowOverlap="1">
                  <wp:simplePos x="0" y="0"/>
                  <wp:positionH relativeFrom="column">
                    <wp:posOffset>-252730</wp:posOffset>
                  </wp:positionH>
                  <wp:positionV relativeFrom="paragraph">
                    <wp:posOffset>-53975</wp:posOffset>
                  </wp:positionV>
                  <wp:extent cx="2755900" cy="2495550"/>
                  <wp:effectExtent l="19050" t="0" r="6350" b="0"/>
                  <wp:wrapSquare wrapText="bothSides"/>
                  <wp:docPr id="1014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6" cstate="screen"/>
                          <a:srcRect t="7581"/>
                          <a:stretch>
                            <a:fillRect/>
                          </a:stretch>
                        </pic:blipFill>
                        <pic:spPr bwMode="auto">
                          <a:xfrm>
                            <a:off x="0" y="0"/>
                            <a:ext cx="2755900" cy="2495550"/>
                          </a:xfrm>
                          <a:prstGeom prst="rect">
                            <a:avLst/>
                          </a:prstGeom>
                          <a:noFill/>
                        </pic:spPr>
                      </pic:pic>
                    </a:graphicData>
                  </a:graphic>
                </wp:anchor>
              </w:drawing>
            </w:r>
          </w:p>
        </w:tc>
        <w:tc>
          <w:tcPr>
            <w:tcW w:w="4264" w:type="dxa"/>
          </w:tcPr>
          <w:p w:rsidR="00A06BC6" w:rsidRDefault="00A06BC6" w:rsidP="00A06BC6">
            <w:pPr>
              <w:pStyle w:val="figurecaption"/>
              <w:jc w:val="both"/>
              <w:rPr>
                <w:b/>
              </w:rPr>
            </w:pPr>
          </w:p>
          <w:p w:rsidR="00A06BC6" w:rsidRDefault="00A06BC6" w:rsidP="00A06BC6">
            <w:pPr>
              <w:pStyle w:val="figurecaption"/>
              <w:jc w:val="both"/>
            </w:pPr>
            <w:r>
              <w:rPr>
                <w:b/>
              </w:rPr>
              <w:t xml:space="preserve">Figure 3 </w:t>
            </w:r>
            <w:r>
              <w:t xml:space="preserve">Relative </w:t>
            </w:r>
            <w:r>
              <w:rPr>
                <w:snapToGrid w:val="0"/>
                <w:color w:val="000000"/>
                <w:position w:val="4"/>
                <w:sz w:val="11"/>
                <w:szCs w:val="2"/>
              </w:rPr>
              <w:t>222</w:t>
            </w:r>
            <w:r>
              <w:t xml:space="preserve">Rn activity flux density plotted versus the ratio of waste rock height and diffusion length. The black line shows the increase of the </w:t>
            </w:r>
            <w:r>
              <w:rPr>
                <w:snapToGrid w:val="0"/>
                <w:color w:val="000000"/>
                <w:position w:val="4"/>
                <w:sz w:val="11"/>
                <w:szCs w:val="2"/>
              </w:rPr>
              <w:t>222</w:t>
            </w:r>
            <w:r>
              <w:t xml:space="preserve">Rn activity flux density from the waste rock itself with increasing height of the material (equation 1), the grey line shows the reduction of the </w:t>
            </w:r>
            <w:r>
              <w:rPr>
                <w:snapToGrid w:val="0"/>
                <w:color w:val="000000"/>
                <w:position w:val="4"/>
                <w:sz w:val="11"/>
                <w:szCs w:val="2"/>
              </w:rPr>
              <w:t>222</w:t>
            </w:r>
            <w:r>
              <w:t xml:space="preserve">Rn activity flux density from a capped </w:t>
            </w:r>
            <w:r>
              <w:rPr>
                <w:snapToGrid w:val="0"/>
                <w:color w:val="000000"/>
                <w:position w:val="4"/>
                <w:sz w:val="11"/>
                <w:szCs w:val="2"/>
              </w:rPr>
              <w:t>222</w:t>
            </w:r>
            <w:r>
              <w:t>Rn  source with increasing height of the capping material (equation 2).</w:t>
            </w:r>
          </w:p>
          <w:p w:rsidR="00A06BC6" w:rsidRDefault="00A06BC6" w:rsidP="00A06BC6"/>
        </w:tc>
      </w:tr>
    </w:tbl>
    <w:p w:rsidR="00A06BC6" w:rsidRPr="00DD5C36" w:rsidRDefault="00A06BC6" w:rsidP="00A06BC6">
      <w:pPr>
        <w:pStyle w:val="Heading2"/>
      </w:pPr>
      <w:r w:rsidRPr="00DD5C36">
        <w:t>Conclusions</w:t>
      </w:r>
    </w:p>
    <w:p w:rsidR="00A06BC6" w:rsidRPr="00DD5C36" w:rsidRDefault="00A06BC6" w:rsidP="00A06BC6">
      <w:r w:rsidRPr="00DD5C36">
        <w:t xml:space="preserve">We have determined the radon diffusion length one year after set-up of the radon exhalation columns to be 1.8±0.2 m. The diffusion length has decreased little, if at all, compared to initial measurements conducted in May 2013. The diffusion length has been used to examine the effectiveness of waste rock as a cover material and also the </w:t>
      </w:r>
      <w:r w:rsidRPr="003F2143">
        <w:rPr>
          <w:vertAlign w:val="superscript"/>
          <w:lang w:val="en-US"/>
        </w:rPr>
        <w:t>222</w:t>
      </w:r>
      <w:r w:rsidRPr="00DD5C36">
        <w:rPr>
          <w:lang w:val="en-US"/>
        </w:rPr>
        <w:t xml:space="preserve">Rn </w:t>
      </w:r>
      <w:r w:rsidRPr="00DD5C36">
        <w:t>exhalation from the waste rock itself. The ratio R</w:t>
      </w:r>
      <w:r w:rsidRPr="009713D2">
        <w:rPr>
          <w:i/>
          <w:snapToGrid w:val="0"/>
          <w:color w:val="000000"/>
          <w:position w:val="-5"/>
          <w:sz w:val="13"/>
          <w:szCs w:val="0"/>
          <w:u w:color="000000"/>
        </w:rPr>
        <w:t>E-R</w:t>
      </w:r>
      <w:r w:rsidRPr="00DD5C36">
        <w:t xml:space="preserve"> of </w:t>
      </w:r>
      <w:r w:rsidRPr="00DD5C36">
        <w:rPr>
          <w:i/>
          <w:lang w:val="en-US"/>
        </w:rPr>
        <w:t>E</w:t>
      </w:r>
      <w:r w:rsidRPr="009713D2">
        <w:rPr>
          <w:i/>
          <w:snapToGrid w:val="0"/>
          <w:color w:val="000000"/>
          <w:position w:val="-5"/>
          <w:sz w:val="13"/>
          <w:szCs w:val="0"/>
          <w:u w:color="000000"/>
          <w:lang w:val="en-US"/>
        </w:rPr>
        <w:t>∞</w:t>
      </w:r>
      <w:r w:rsidRPr="00DD5C36">
        <w:rPr>
          <w:lang w:val="en-US"/>
        </w:rPr>
        <w:t xml:space="preserve"> to the average </w:t>
      </w:r>
      <w:r w:rsidRPr="003F2143">
        <w:rPr>
          <w:vertAlign w:val="superscript"/>
          <w:lang w:val="en-US"/>
        </w:rPr>
        <w:t>226</w:t>
      </w:r>
      <w:r w:rsidRPr="00DD5C36">
        <w:rPr>
          <w:lang w:val="en-US"/>
        </w:rPr>
        <w:t xml:space="preserve">Ra activity concentration in the waste rock, determined in this experimental set up, is </w:t>
      </w:r>
      <w:r w:rsidRPr="0079327B">
        <w:rPr>
          <w:lang w:val="en-US"/>
        </w:rPr>
        <w:t>(0.47±0.0</w:t>
      </w:r>
      <w:r>
        <w:rPr>
          <w:lang w:val="en-US"/>
        </w:rPr>
        <w:t>7</w:t>
      </w:r>
      <w:r w:rsidRPr="0079327B">
        <w:rPr>
          <w:lang w:val="en-US"/>
        </w:rPr>
        <w:t xml:space="preserve">) </w:t>
      </w:r>
      <w:r w:rsidRPr="00DD5C36">
        <w:t>Bq·m</w:t>
      </w:r>
      <w:r w:rsidRPr="009713D2">
        <w:rPr>
          <w:snapToGrid w:val="0"/>
          <w:color w:val="000000"/>
          <w:position w:val="5"/>
          <w:sz w:val="13"/>
          <w:szCs w:val="0"/>
          <w:u w:color="000000"/>
        </w:rPr>
        <w:t>-2</w:t>
      </w:r>
      <w:r w:rsidRPr="00DD5C36">
        <w:t>·s</w:t>
      </w:r>
      <w:r w:rsidRPr="009713D2">
        <w:rPr>
          <w:snapToGrid w:val="0"/>
          <w:color w:val="000000"/>
          <w:position w:val="5"/>
          <w:sz w:val="13"/>
          <w:szCs w:val="0"/>
          <w:u w:color="000000"/>
        </w:rPr>
        <w:t>-1</w:t>
      </w:r>
      <w:r w:rsidRPr="00DD5C36">
        <w:t xml:space="preserve"> per Bq·g</w:t>
      </w:r>
      <w:r w:rsidRPr="009713D2">
        <w:rPr>
          <w:snapToGrid w:val="0"/>
          <w:color w:val="000000"/>
          <w:position w:val="5"/>
          <w:sz w:val="13"/>
          <w:szCs w:val="0"/>
          <w:u w:color="000000"/>
        </w:rPr>
        <w:t>-1</w:t>
      </w:r>
      <w:r w:rsidRPr="00DD5C36">
        <w:t xml:space="preserve">, similar to the </w:t>
      </w:r>
      <w:r>
        <w:t xml:space="preserve">maximum dry season </w:t>
      </w:r>
      <w:r w:rsidRPr="00DD5C36">
        <w:t>ratio</w:t>
      </w:r>
      <w:r>
        <w:t>s</w:t>
      </w:r>
      <w:r w:rsidRPr="00DD5C36">
        <w:t xml:space="preserve"> determined through measurements on the trial landform</w:t>
      </w:r>
      <w:r>
        <w:t xml:space="preserve">. </w:t>
      </w:r>
      <w:proofErr w:type="gramStart"/>
      <w:r>
        <w:t>(Bollhöfer &amp; Doering 2015)</w:t>
      </w:r>
      <w:r w:rsidRPr="00DD5C36">
        <w:t>.</w:t>
      </w:r>
      <w:proofErr w:type="gramEnd"/>
    </w:p>
    <w:p w:rsidR="00A06BC6" w:rsidRPr="00DD5C36" w:rsidRDefault="00A06BC6" w:rsidP="00A06BC6">
      <w:r w:rsidRPr="00DD5C36">
        <w:t xml:space="preserve">A further set of </w:t>
      </w:r>
      <w:r w:rsidRPr="003F2143">
        <w:rPr>
          <w:vertAlign w:val="superscript"/>
          <w:lang w:val="en-US"/>
        </w:rPr>
        <w:t>222</w:t>
      </w:r>
      <w:r w:rsidRPr="00DD5C36">
        <w:rPr>
          <w:lang w:val="en-US"/>
        </w:rPr>
        <w:t xml:space="preserve">Rn exhalation </w:t>
      </w:r>
      <w:r w:rsidRPr="00DD5C36">
        <w:t xml:space="preserve">measurements will be conducted in the dry season of 2015. This is to determine whether there is a statistically significant decrease in the </w:t>
      </w:r>
      <w:r w:rsidRPr="003F2143">
        <w:rPr>
          <w:vertAlign w:val="superscript"/>
          <w:lang w:val="en-US"/>
        </w:rPr>
        <w:t>222</w:t>
      </w:r>
      <w:r w:rsidRPr="00DD5C36">
        <w:rPr>
          <w:lang w:val="en-US"/>
        </w:rPr>
        <w:t xml:space="preserve">Rn diffusion length with time. Future work will include the modeling of above baseline </w:t>
      </w:r>
      <w:r w:rsidRPr="003F2143">
        <w:rPr>
          <w:vertAlign w:val="superscript"/>
          <w:lang w:val="en-US"/>
        </w:rPr>
        <w:t>222</w:t>
      </w:r>
      <w:r w:rsidRPr="00DD5C36">
        <w:rPr>
          <w:lang w:val="en-US"/>
        </w:rPr>
        <w:t xml:space="preserve">Rn exhalation fluxes from the rehabilitated landform, using pre-mining fluxes reported in </w:t>
      </w:r>
      <w:r w:rsidRPr="001E69C9">
        <w:rPr>
          <w:lang w:val="en-US"/>
        </w:rPr>
        <w:t xml:space="preserve">Bollhöfer </w:t>
      </w:r>
      <w:r>
        <w:rPr>
          <w:lang w:val="en-US"/>
        </w:rPr>
        <w:t>et al. (2014)</w:t>
      </w:r>
      <w:r w:rsidRPr="00DD5C36">
        <w:rPr>
          <w:lang w:val="en-US"/>
        </w:rPr>
        <w:t xml:space="preserve"> and various rehabilitation scenarios. Ultimately, these above background fluxes will be used to determine above background doses from the inhalation of </w:t>
      </w:r>
      <w:r w:rsidRPr="00DD5C36">
        <w:t>radon decay products.</w:t>
      </w:r>
    </w:p>
    <w:p w:rsidR="00A06BC6" w:rsidRDefault="00A06BC6" w:rsidP="00A06BC6">
      <w:pPr>
        <w:pStyle w:val="Heading2"/>
      </w:pPr>
      <w:r>
        <w:t>References</w:t>
      </w:r>
    </w:p>
    <w:p w:rsidR="00A06BC6" w:rsidRDefault="00A06BC6" w:rsidP="003A3F09">
      <w:pPr>
        <w:pStyle w:val="referencelist1"/>
        <w:spacing w:after="60"/>
      </w:pPr>
      <w:proofErr w:type="gramStart"/>
      <w:r>
        <w:t xml:space="preserve">Bollhöfer A, Doering C &amp; </w:t>
      </w:r>
      <w:r w:rsidRPr="004A03E7">
        <w:rPr>
          <w:szCs w:val="22"/>
        </w:rPr>
        <w:t>Akber</w:t>
      </w:r>
      <w:r>
        <w:t xml:space="preserve"> R 2013.</w:t>
      </w:r>
      <w:proofErr w:type="gramEnd"/>
      <w:r w:rsidRPr="00830975">
        <w:t xml:space="preserve"> </w:t>
      </w:r>
      <w:proofErr w:type="gramStart"/>
      <w:r>
        <w:t>Radon exhalation from a rehabilitated landform.</w:t>
      </w:r>
      <w:proofErr w:type="gramEnd"/>
      <w:r>
        <w:t xml:space="preserve"> </w:t>
      </w:r>
      <w:proofErr w:type="gramStart"/>
      <w:r>
        <w:t xml:space="preserve">In </w:t>
      </w:r>
      <w:r w:rsidRPr="004E6332">
        <w:rPr>
          <w:rFonts w:ascii="Times New Roman" w:hAnsi="Times New Roman"/>
          <w:b/>
          <w:i/>
          <w:iCs/>
          <w:sz w:val="26"/>
        </w:rPr>
        <w:t>eriss</w:t>
      </w:r>
      <w:r w:rsidRPr="00830975">
        <w:rPr>
          <w:rFonts w:ascii="Times New Roman" w:hAnsi="Times New Roman"/>
          <w:i/>
          <w:sz w:val="26"/>
          <w:szCs w:val="26"/>
        </w:rPr>
        <w:t xml:space="preserve"> </w:t>
      </w:r>
      <w:r w:rsidRPr="00830975">
        <w:rPr>
          <w:i/>
        </w:rPr>
        <w:t>research summary 2012–2013.</w:t>
      </w:r>
      <w:proofErr w:type="gramEnd"/>
      <w:r>
        <w:t xml:space="preserve"> Supervising Scientist Report 205, Supervising Scientist, Darwin NT, 146–152.</w:t>
      </w:r>
    </w:p>
    <w:p w:rsidR="00A06BC6" w:rsidRDefault="00A06BC6" w:rsidP="003A3F09">
      <w:pPr>
        <w:pStyle w:val="referencelist1"/>
        <w:spacing w:after="60"/>
      </w:pPr>
      <w:proofErr w:type="gramStart"/>
      <w:r>
        <w:t>Bollhöfer A &amp; Doering C 2015.</w:t>
      </w:r>
      <w:proofErr w:type="gramEnd"/>
      <w:r w:rsidRPr="00830975">
        <w:t xml:space="preserve"> </w:t>
      </w:r>
      <w:proofErr w:type="gramStart"/>
      <w:r w:rsidRPr="00EC0859">
        <w:t>Predicting the radon-222 exhalation flux from a landform covered by low uranium grade waste rock</w:t>
      </w:r>
      <w:r>
        <w:t>.</w:t>
      </w:r>
      <w:proofErr w:type="gramEnd"/>
      <w:r>
        <w:t xml:space="preserve"> </w:t>
      </w:r>
      <w:r w:rsidRPr="00DF63C3">
        <w:rPr>
          <w:i/>
        </w:rPr>
        <w:t xml:space="preserve">Journal of Environmental Radioactivity </w:t>
      </w:r>
      <w:r>
        <w:t>(submitted).</w:t>
      </w:r>
    </w:p>
    <w:p w:rsidR="00A06BC6" w:rsidRDefault="00A06BC6" w:rsidP="003A3F09">
      <w:pPr>
        <w:pStyle w:val="referencelist1"/>
        <w:spacing w:after="60"/>
      </w:pPr>
      <w:proofErr w:type="gramStart"/>
      <w:r>
        <w:t>Bollhöfer A, Beraldo A, Pfitzner K Esparon A &amp; Doering C 2014.</w:t>
      </w:r>
      <w:proofErr w:type="gramEnd"/>
      <w:r>
        <w:t xml:space="preserve"> </w:t>
      </w:r>
      <w:proofErr w:type="gramStart"/>
      <w:r>
        <w:t>Determining a pre-mining radiological baseline from historic airborne gamma surveys: A case study.</w:t>
      </w:r>
      <w:proofErr w:type="gramEnd"/>
      <w:r>
        <w:t xml:space="preserve"> </w:t>
      </w:r>
      <w:r>
        <w:rPr>
          <w:i/>
        </w:rPr>
        <w:t xml:space="preserve">Science of </w:t>
      </w:r>
      <w:proofErr w:type="gramStart"/>
      <w:r>
        <w:rPr>
          <w:i/>
        </w:rPr>
        <w:t>The</w:t>
      </w:r>
      <w:proofErr w:type="gramEnd"/>
      <w:r>
        <w:rPr>
          <w:i/>
        </w:rPr>
        <w:t xml:space="preserve"> Total Environment</w:t>
      </w:r>
      <w:r>
        <w:t xml:space="preserve"> 468–469, 764–773.</w:t>
      </w:r>
    </w:p>
    <w:p w:rsidR="00A06BC6" w:rsidRDefault="00A06BC6" w:rsidP="003A3F09">
      <w:pPr>
        <w:pStyle w:val="referencelist1"/>
        <w:spacing w:after="60"/>
      </w:pPr>
      <w:r>
        <w:t xml:space="preserve">Porstendörfer J 1994. </w:t>
      </w:r>
      <w:proofErr w:type="gramStart"/>
      <w:r>
        <w:t>Properties and behaviour of radon and thoron and their decay products in the air.</w:t>
      </w:r>
      <w:proofErr w:type="gramEnd"/>
      <w:r>
        <w:t xml:space="preserve"> </w:t>
      </w:r>
      <w:r>
        <w:rPr>
          <w:i/>
        </w:rPr>
        <w:t>Journal of Aerosol Science</w:t>
      </w:r>
      <w:r>
        <w:t xml:space="preserve"> 25(2), 219–263.</w:t>
      </w:r>
    </w:p>
    <w:p w:rsidR="00A06BC6" w:rsidRDefault="00A06BC6" w:rsidP="003A3F09">
      <w:pPr>
        <w:pStyle w:val="referencelist1"/>
        <w:spacing w:after="60"/>
      </w:pPr>
      <w:proofErr w:type="gramStart"/>
      <w:r>
        <w:t>Safe Radiation 2013.</w:t>
      </w:r>
      <w:proofErr w:type="gramEnd"/>
      <w:r>
        <w:t xml:space="preserve"> Radon exhalation rate expected from final landform at rehabilitated ERA Ranger Uranium Mine. Safe Radiation Report to ERA, SR0349 N, June 2013.</w:t>
      </w:r>
    </w:p>
    <w:p w:rsidR="003A3F09" w:rsidRDefault="00A06BC6" w:rsidP="003A3F09">
      <w:pPr>
        <w:pStyle w:val="referencelist1"/>
        <w:spacing w:after="60"/>
        <w:sectPr w:rsidR="003A3F09" w:rsidSect="00224F8A">
          <w:headerReference w:type="default" r:id="rId187"/>
          <w:footnotePr>
            <w:numRestart w:val="eachPage"/>
          </w:footnotePr>
          <w:pgSz w:w="11906" w:h="16838" w:code="9"/>
          <w:pgMar w:top="1440" w:right="1440" w:bottom="1440" w:left="1440" w:header="1080" w:footer="835" w:gutter="0"/>
          <w:cols w:space="360"/>
          <w:noEndnote/>
          <w:docGrid w:linePitch="299"/>
        </w:sectPr>
      </w:pPr>
      <w:proofErr w:type="gramStart"/>
      <w:r>
        <w:t>Supervising Scientist 2013.</w:t>
      </w:r>
      <w:proofErr w:type="gramEnd"/>
      <w:r>
        <w:t xml:space="preserve"> Annual Report 2012–13. </w:t>
      </w:r>
      <w:proofErr w:type="gramStart"/>
      <w:r>
        <w:t>Supervising Scientist, Darwin.</w:t>
      </w:r>
      <w:proofErr w:type="gramEnd"/>
    </w:p>
    <w:p w:rsidR="00A06BC6" w:rsidRDefault="00A06BC6" w:rsidP="00A06BC6">
      <w:pPr>
        <w:spacing w:after="0" w:line="240" w:lineRule="auto"/>
        <w:rPr>
          <w:rFonts w:ascii="Arial" w:hAnsi="Arial"/>
          <w:b/>
        </w:rPr>
      </w:pPr>
    </w:p>
    <w:p w:rsidR="00A06BC6" w:rsidRDefault="00A06BC6" w:rsidP="00A06BC6">
      <w:pPr>
        <w:pStyle w:val="Heading1"/>
      </w:pPr>
      <w:bookmarkStart w:id="225" w:name="_Toc401910188"/>
      <w:bookmarkStart w:id="226" w:name="_Toc409772813"/>
      <w:bookmarkStart w:id="227" w:name="_Toc418172717"/>
      <w:r w:rsidRPr="00162588">
        <w:t>Radionuclide fluxes from the Ranger Trial Landform</w:t>
      </w:r>
      <w:bookmarkEnd w:id="225"/>
      <w:bookmarkEnd w:id="226"/>
      <w:bookmarkEnd w:id="227"/>
    </w:p>
    <w:p w:rsidR="00A06BC6" w:rsidRPr="008F3FE2" w:rsidRDefault="00A06BC6" w:rsidP="00A06BC6">
      <w:pPr>
        <w:pStyle w:val="Heading3"/>
        <w:spacing w:after="480"/>
        <w:jc w:val="center"/>
      </w:pPr>
      <w:r>
        <w:t xml:space="preserve">F Evans, P Medley &amp; A Bollhöfer </w:t>
      </w:r>
    </w:p>
    <w:p w:rsidR="00A06BC6" w:rsidRDefault="00A06BC6" w:rsidP="00A06BC6">
      <w:pPr>
        <w:pStyle w:val="Heading2"/>
      </w:pPr>
      <w:r>
        <w:t>Introduction</w:t>
      </w:r>
    </w:p>
    <w:p w:rsidR="00A06BC6" w:rsidRPr="002D7BEF" w:rsidRDefault="00A06BC6" w:rsidP="00A06BC6">
      <w:pPr>
        <w:rPr>
          <w:lang w:eastAsia="en-AU"/>
        </w:rPr>
      </w:pPr>
      <w:r w:rsidRPr="002D7BEF">
        <w:t xml:space="preserve">Construction of the Trial Landform </w:t>
      </w:r>
      <w:r>
        <w:t xml:space="preserve">(TLF) </w:t>
      </w:r>
      <w:r w:rsidRPr="002D7BEF">
        <w:t>started in late 2008 to investigate the generation and transport of sediments and solutes, and the ability to sustain growth of plant species native to the region (Saynor et al</w:t>
      </w:r>
      <w:r>
        <w:t>. 2009,</w:t>
      </w:r>
      <w:r w:rsidRPr="002D7BEF">
        <w:t xml:space="preserve"> Saynor et al</w:t>
      </w:r>
      <w:r>
        <w:t>.</w:t>
      </w:r>
      <w:r w:rsidRPr="002D7BEF">
        <w:t xml:space="preserve"> 2013). </w:t>
      </w:r>
      <w:r>
        <w:t>The TLF</w:t>
      </w:r>
      <w:r w:rsidRPr="002D7BEF">
        <w:t xml:space="preserve"> has</w:t>
      </w:r>
      <w:r>
        <w:t xml:space="preserve"> also</w:t>
      </w:r>
      <w:r w:rsidRPr="002D7BEF">
        <w:t xml:space="preserve"> been used to assess radon exhalation and its temporal variability from different capping materials, (i) waste rock, and (ii) waste rock blended with approximately 30% fine-grained lateritic material (Bollhöfer et al</w:t>
      </w:r>
      <w:r>
        <w:t>.</w:t>
      </w:r>
      <w:r w:rsidRPr="002D7BEF">
        <w:t xml:space="preserve"> 201</w:t>
      </w:r>
      <w:r>
        <w:t>3</w:t>
      </w:r>
      <w:r w:rsidRPr="002D7BEF">
        <w:t xml:space="preserve">).  </w:t>
      </w:r>
      <w:r w:rsidRPr="002D7BEF">
        <w:rPr>
          <w:lang w:eastAsia="en-AU"/>
        </w:rPr>
        <w:t xml:space="preserve">Erosion plots were installed on the </w:t>
      </w:r>
      <w:r>
        <w:rPr>
          <w:lang w:eastAsia="en-AU"/>
        </w:rPr>
        <w:t>TLF</w:t>
      </w:r>
      <w:r w:rsidRPr="002D7BEF">
        <w:rPr>
          <w:lang w:eastAsia="en-AU"/>
        </w:rPr>
        <w:t xml:space="preserve"> and instrumented with a range of sensors that are described in detail in Saynor et al. (2012).</w:t>
      </w:r>
      <w:r w:rsidRPr="002D7BEF">
        <w:t xml:space="preserve"> </w:t>
      </w:r>
      <w:proofErr w:type="gramStart"/>
      <w:r w:rsidRPr="002D7BEF">
        <w:t>An important feature of the instrumentation are</w:t>
      </w:r>
      <w:proofErr w:type="gramEnd"/>
      <w:r w:rsidRPr="002D7BEF">
        <w:t xml:space="preserve"> </w:t>
      </w:r>
      <w:r w:rsidRPr="002D7BEF">
        <w:rPr>
          <w:lang w:eastAsia="en-AU"/>
        </w:rPr>
        <w:t xml:space="preserve">electrical conductivity (EC) probes located at the inlet to the stilling basin and at the entry to the flume (outlet of the stilling basin). These EC probes </w:t>
      </w:r>
      <w:proofErr w:type="gramStart"/>
      <w:r w:rsidRPr="002D7BEF">
        <w:rPr>
          <w:lang w:eastAsia="en-AU"/>
        </w:rPr>
        <w:t>measure  the</w:t>
      </w:r>
      <w:proofErr w:type="gramEnd"/>
      <w:r w:rsidRPr="002D7BEF">
        <w:rPr>
          <w:lang w:eastAsia="en-AU"/>
        </w:rPr>
        <w:t xml:space="preserve"> concentration of dissolved solutes in the runoff and trigger an automatic pump sampler to collect event based water samples by predetermined changes in EC and turbidity readings (Saynor et al</w:t>
      </w:r>
      <w:r>
        <w:rPr>
          <w:lang w:eastAsia="en-AU"/>
        </w:rPr>
        <w:t>.</w:t>
      </w:r>
      <w:r w:rsidRPr="002D7BEF">
        <w:rPr>
          <w:lang w:eastAsia="en-AU"/>
        </w:rPr>
        <w:t xml:space="preserve"> 2013).</w:t>
      </w:r>
    </w:p>
    <w:p w:rsidR="00A06BC6" w:rsidRPr="002D7BEF" w:rsidRDefault="00A06BC6" w:rsidP="00A06BC6">
      <w:r w:rsidRPr="002D7BEF">
        <w:t>Saynor et al</w:t>
      </w:r>
      <w:r>
        <w:t>.</w:t>
      </w:r>
      <w:r w:rsidRPr="002D7BEF">
        <w:t xml:space="preserve"> (2013) and Supervising Scientist (2013) provide</w:t>
      </w:r>
      <w:r>
        <w:t>d</w:t>
      </w:r>
      <w:r w:rsidRPr="002D7BEF">
        <w:t xml:space="preserve"> the first assessment of the generation and transport of key chemical solutes on </w:t>
      </w:r>
      <w:r>
        <w:t xml:space="preserve">erosion </w:t>
      </w:r>
      <w:r w:rsidRPr="002D7BEF">
        <w:t>plot 1 since monitoring commenced</w:t>
      </w:r>
      <w:r>
        <w:t>.</w:t>
      </w:r>
      <w:r w:rsidRPr="002D7BEF">
        <w:t xml:space="preserve"> </w:t>
      </w:r>
      <w:r>
        <w:t>They showed</w:t>
      </w:r>
      <w:r w:rsidRPr="002D7BEF">
        <w:t xml:space="preserve"> that a number of analytes, including dissolved U concentrations, decrease with the cumulative runoff volume over a wet season, most likely an effect of exhaustion of available soluble metals from the substrate of the </w:t>
      </w:r>
      <w:r>
        <w:t>TLF</w:t>
      </w:r>
      <w:r w:rsidRPr="002D7BEF">
        <w:t xml:space="preserve">. </w:t>
      </w:r>
      <w:r>
        <w:t>I</w:t>
      </w:r>
      <w:r w:rsidRPr="002D7BEF">
        <w:t>t has</w:t>
      </w:r>
      <w:r>
        <w:t xml:space="preserve"> also</w:t>
      </w:r>
      <w:r w:rsidRPr="002D7BEF">
        <w:t xml:space="preserve"> been reported that annual mean concentrations of U have decreased</w:t>
      </w:r>
      <w:r>
        <w:t xml:space="preserve"> compared to the first wet season</w:t>
      </w:r>
      <w:r w:rsidRPr="002D7BEF">
        <w:t>, from 10 µg L</w:t>
      </w:r>
      <w:r w:rsidRPr="002D7BEF">
        <w:rPr>
          <w:snapToGrid w:val="0"/>
          <w:color w:val="000000"/>
          <w:position w:val="6"/>
          <w:sz w:val="15"/>
          <w:szCs w:val="15"/>
          <w:u w:color="000000"/>
        </w:rPr>
        <w:t>-1</w:t>
      </w:r>
      <w:r w:rsidRPr="002D7BEF">
        <w:t xml:space="preserve"> (124 mBq L</w:t>
      </w:r>
      <w:r w:rsidRPr="002D7BEF">
        <w:rPr>
          <w:snapToGrid w:val="0"/>
          <w:color w:val="000000"/>
          <w:position w:val="6"/>
          <w:sz w:val="15"/>
          <w:szCs w:val="15"/>
          <w:u w:color="000000"/>
        </w:rPr>
        <w:t>-1</w:t>
      </w:r>
      <w:r w:rsidRPr="002D7BEF">
        <w:t xml:space="preserve"> </w:t>
      </w:r>
      <w:r w:rsidRPr="002D7BEF">
        <w:rPr>
          <w:snapToGrid w:val="0"/>
          <w:color w:val="000000"/>
          <w:position w:val="6"/>
          <w:sz w:val="15"/>
          <w:szCs w:val="15"/>
          <w:u w:color="000000"/>
        </w:rPr>
        <w:t>238</w:t>
      </w:r>
      <w:r>
        <w:t>U) in the 2009–</w:t>
      </w:r>
      <w:r w:rsidRPr="002D7BEF">
        <w:t>10 wet season to 4.7 µg L</w:t>
      </w:r>
      <w:r w:rsidRPr="002D7BEF">
        <w:rPr>
          <w:snapToGrid w:val="0"/>
          <w:color w:val="000000"/>
          <w:position w:val="6"/>
          <w:sz w:val="15"/>
          <w:szCs w:val="15"/>
          <w:u w:color="000000"/>
        </w:rPr>
        <w:t>-1</w:t>
      </w:r>
      <w:r w:rsidRPr="002D7BEF">
        <w:t xml:space="preserve"> (58 mBq L</w:t>
      </w:r>
      <w:r w:rsidRPr="002D7BEF">
        <w:rPr>
          <w:snapToGrid w:val="0"/>
          <w:color w:val="000000"/>
          <w:position w:val="6"/>
          <w:sz w:val="15"/>
          <w:szCs w:val="15"/>
          <w:u w:color="000000"/>
        </w:rPr>
        <w:t>-1</w:t>
      </w:r>
      <w:r w:rsidRPr="002D7BEF">
        <w:t xml:space="preserve"> </w:t>
      </w:r>
      <w:r w:rsidRPr="002D7BEF">
        <w:rPr>
          <w:snapToGrid w:val="0"/>
          <w:color w:val="000000"/>
          <w:position w:val="6"/>
          <w:sz w:val="15"/>
          <w:szCs w:val="15"/>
          <w:u w:color="000000"/>
        </w:rPr>
        <w:t>238</w:t>
      </w:r>
      <w:r w:rsidRPr="002D7BEF">
        <w:t>U) in 2010-11 and 6.4 µg L</w:t>
      </w:r>
      <w:r w:rsidRPr="002D7BEF">
        <w:rPr>
          <w:snapToGrid w:val="0"/>
          <w:color w:val="000000"/>
          <w:position w:val="6"/>
          <w:sz w:val="15"/>
          <w:szCs w:val="15"/>
          <w:u w:color="000000"/>
        </w:rPr>
        <w:t>-1</w:t>
      </w:r>
      <w:r w:rsidRPr="002D7BEF">
        <w:t xml:space="preserve"> (79 mBq L</w:t>
      </w:r>
      <w:r w:rsidRPr="00EC74C7">
        <w:rPr>
          <w:snapToGrid w:val="0"/>
          <w:color w:val="000000"/>
          <w:position w:val="6"/>
          <w:sz w:val="15"/>
          <w:szCs w:val="15"/>
          <w:u w:color="000000"/>
        </w:rPr>
        <w:t>-1</w:t>
      </w:r>
      <w:r w:rsidRPr="002D7BEF">
        <w:t xml:space="preserve"> </w:t>
      </w:r>
      <w:r w:rsidRPr="002D7BEF">
        <w:rPr>
          <w:snapToGrid w:val="0"/>
          <w:color w:val="000000"/>
          <w:position w:val="6"/>
          <w:sz w:val="15"/>
          <w:szCs w:val="15"/>
          <w:u w:color="000000"/>
        </w:rPr>
        <w:t>238</w:t>
      </w:r>
      <w:r>
        <w:t>U) in 2011–</w:t>
      </w:r>
      <w:r w:rsidRPr="002D7BEF">
        <w:t xml:space="preserve">12. </w:t>
      </w:r>
    </w:p>
    <w:p w:rsidR="00A06BC6" w:rsidRPr="002D7BEF" w:rsidRDefault="00A06BC6" w:rsidP="00A06BC6">
      <w:r>
        <w:t xml:space="preserve">From the decrease in </w:t>
      </w:r>
      <w:r w:rsidRPr="002D7BEF">
        <w:t>dissolved U</w:t>
      </w:r>
      <w:r>
        <w:t xml:space="preserve"> concentrations, i</w:t>
      </w:r>
      <w:r w:rsidRPr="002D7BEF">
        <w:t xml:space="preserve">t was assumed that a similar temporal decline </w:t>
      </w:r>
      <w:r>
        <w:t>would</w:t>
      </w:r>
      <w:r w:rsidRPr="002D7BEF">
        <w:t xml:space="preserve"> be observed for total U concentrations measured in TLF runoff samples. However, the total sample concentration (filtered through &lt; 0.45 µm plus the residual, or &gt; 0.45 µm, fraction) is not routinely analysed. Consequently, total U concentrations associated with TLF surface runoff </w:t>
      </w:r>
      <w:r>
        <w:t>were</w:t>
      </w:r>
      <w:r w:rsidRPr="002D7BEF">
        <w:t xml:space="preserve"> not calculated. As the residual sample fractions from the routine in-situ monitoring have been archived, mainly to inform an estimate of total suspended sediment in the runoff (Saynor et al</w:t>
      </w:r>
      <w:r>
        <w:t>.</w:t>
      </w:r>
      <w:r w:rsidRPr="002D7BEF">
        <w:t xml:space="preserve"> 201</w:t>
      </w:r>
      <w:r>
        <w:t>1</w:t>
      </w:r>
      <w:r w:rsidRPr="002D7BEF">
        <w:t xml:space="preserve">), these filters have been retrospectively analysed in this project for U and other </w:t>
      </w:r>
      <w:r>
        <w:t>metals</w:t>
      </w:r>
      <w:r w:rsidRPr="002D7BEF">
        <w:t xml:space="preserve">. </w:t>
      </w:r>
    </w:p>
    <w:p w:rsidR="00A06BC6" w:rsidRPr="002D7BEF" w:rsidRDefault="00A06BC6" w:rsidP="00A06BC6">
      <w:r w:rsidRPr="002D7BEF">
        <w:t>Radio</w:t>
      </w:r>
      <w:r>
        <w:t xml:space="preserve">nuclide </w:t>
      </w:r>
      <w:r w:rsidRPr="002D7BEF">
        <w:t>analys</w:t>
      </w:r>
      <w:r>
        <w:t>is</w:t>
      </w:r>
      <w:r w:rsidRPr="002D7BEF">
        <w:t xml:space="preserve"> </w:t>
      </w:r>
      <w:r>
        <w:t>was</w:t>
      </w:r>
      <w:r w:rsidRPr="002D7BEF">
        <w:t xml:space="preserve"> also conducted </w:t>
      </w:r>
      <w:r>
        <w:t xml:space="preserve">in 2010 </w:t>
      </w:r>
      <w:r w:rsidRPr="002D7BEF">
        <w:t xml:space="preserve">on samples (filtered and residual fractions </w:t>
      </w:r>
      <w:r w:rsidR="00BA2549" w:rsidRPr="002D7BEF">
        <w:t>separately</w:t>
      </w:r>
      <w:r w:rsidRPr="002D7BEF">
        <w:t>) collected from all fou</w:t>
      </w:r>
      <w:r>
        <w:t>r erosion plots during the 2009–</w:t>
      </w:r>
      <w:r w:rsidRPr="002D7BEF">
        <w:t xml:space="preserve">10 wet season.  These samples showed that activity concentrations of </w:t>
      </w:r>
      <w:r>
        <w:t>uranium-series</w:t>
      </w:r>
      <w:r w:rsidRPr="002D7BEF">
        <w:t xml:space="preserve"> radionuclides in the dissolved fraction generally followed the </w:t>
      </w:r>
      <w:proofErr w:type="gramStart"/>
      <w:r w:rsidRPr="002D7BEF">
        <w:t xml:space="preserve">order  </w:t>
      </w:r>
      <w:r w:rsidRPr="002D7BEF">
        <w:rPr>
          <w:snapToGrid w:val="0"/>
          <w:color w:val="000000"/>
          <w:position w:val="6"/>
          <w:sz w:val="15"/>
          <w:szCs w:val="15"/>
          <w:u w:color="000000"/>
        </w:rPr>
        <w:t>238</w:t>
      </w:r>
      <w:r w:rsidRPr="002D7BEF">
        <w:t>U</w:t>
      </w:r>
      <w:proofErr w:type="gramEnd"/>
      <w:r w:rsidRPr="002D7BEF">
        <w:t xml:space="preserve"> &gt; </w:t>
      </w:r>
      <w:r w:rsidRPr="002D7BEF">
        <w:rPr>
          <w:snapToGrid w:val="0"/>
          <w:color w:val="000000"/>
          <w:position w:val="6"/>
          <w:sz w:val="15"/>
          <w:szCs w:val="15"/>
          <w:u w:color="000000"/>
        </w:rPr>
        <w:t>226</w:t>
      </w:r>
      <w:r w:rsidRPr="002D7BEF">
        <w:t xml:space="preserve">Ra &gt; </w:t>
      </w:r>
      <w:r w:rsidRPr="002D7BEF">
        <w:rPr>
          <w:snapToGrid w:val="0"/>
          <w:color w:val="000000"/>
          <w:position w:val="6"/>
          <w:sz w:val="15"/>
          <w:szCs w:val="15"/>
          <w:u w:color="000000"/>
        </w:rPr>
        <w:t>210</w:t>
      </w:r>
      <w:r w:rsidRPr="002D7BEF">
        <w:t xml:space="preserve">Po. The data, although limited, also suggested a decline in uranium-series radionuclide activity concentrations over the course of a single rainfall event and across successive rainfall events. </w:t>
      </w:r>
    </w:p>
    <w:p w:rsidR="00A06BC6" w:rsidRPr="002D7BEF" w:rsidRDefault="00A06BC6" w:rsidP="00A06BC6">
      <w:pPr>
        <w:pStyle w:val="Heading3"/>
      </w:pPr>
      <w:r w:rsidRPr="002D7BEF">
        <w:t>Project objectives:</w:t>
      </w:r>
    </w:p>
    <w:p w:rsidR="00A06BC6" w:rsidRPr="002D7BEF" w:rsidRDefault="00A06BC6" w:rsidP="00A06BC6">
      <w:pPr>
        <w:pStyle w:val="bulletlist1"/>
        <w:spacing w:after="0"/>
      </w:pPr>
      <w:r w:rsidRPr="002D7BEF">
        <w:t>To derive total U concentration values for selected surface water runoff sa</w:t>
      </w:r>
      <w:r>
        <w:t>mples collected during the 2009–10, 2010–</w:t>
      </w:r>
      <w:r w:rsidRPr="002D7BEF">
        <w:t>11</w:t>
      </w:r>
      <w:r>
        <w:t>, 2011–</w:t>
      </w:r>
      <w:r w:rsidRPr="002D7BEF">
        <w:t>12</w:t>
      </w:r>
      <w:r>
        <w:t xml:space="preserve"> and 2012–13</w:t>
      </w:r>
      <w:r w:rsidRPr="002D7BEF">
        <w:t xml:space="preserve"> wet seasons</w:t>
      </w:r>
      <w:r>
        <w:t>.</w:t>
      </w:r>
    </w:p>
    <w:p w:rsidR="00A06BC6" w:rsidRPr="002D7BEF" w:rsidRDefault="00A06BC6" w:rsidP="00A06BC6">
      <w:pPr>
        <w:pStyle w:val="bulletlist1"/>
        <w:spacing w:after="0"/>
      </w:pPr>
      <w:r w:rsidRPr="002D7BEF">
        <w:t>To investigate the temporal trend of water U concentrations (total and particulate fractions) over the course of a single wet season and across successive wet seasons</w:t>
      </w:r>
      <w:r>
        <w:t>.</w:t>
      </w:r>
    </w:p>
    <w:p w:rsidR="00A06BC6" w:rsidRPr="002D7BEF" w:rsidRDefault="00A06BC6" w:rsidP="00A06BC6">
      <w:pPr>
        <w:pStyle w:val="bulletlist1"/>
        <w:spacing w:after="0"/>
      </w:pPr>
      <w:r w:rsidRPr="002D7BEF">
        <w:t xml:space="preserve">To analyse </w:t>
      </w:r>
      <w:r>
        <w:t xml:space="preserve">radionuclide </w:t>
      </w:r>
      <w:r w:rsidRPr="002D7BEF">
        <w:t xml:space="preserve">data to determine </w:t>
      </w:r>
      <w:r>
        <w:t>uranium-series</w:t>
      </w:r>
      <w:r w:rsidRPr="002D7BEF">
        <w:t xml:space="preserve"> radionuclide relationships.</w:t>
      </w:r>
    </w:p>
    <w:p w:rsidR="00A06BC6" w:rsidRDefault="00A06BC6" w:rsidP="00A06BC6">
      <w:pPr>
        <w:pStyle w:val="Heading2"/>
      </w:pPr>
      <w:r>
        <w:t xml:space="preserve">Methods </w:t>
      </w:r>
    </w:p>
    <w:p w:rsidR="00A06BC6" w:rsidRPr="002D7BEF" w:rsidRDefault="00A06BC6" w:rsidP="00A06BC6">
      <w:r w:rsidRPr="002D7BEF">
        <w:t xml:space="preserve">Hundreds of filters containing the residual fraction of event triggered samples have been archived over the period of routine TLF runoff monitoring. Only filters from erosion plot 1 were selected for this study, as only data from </w:t>
      </w:r>
      <w:r>
        <w:t xml:space="preserve">this </w:t>
      </w:r>
      <w:r w:rsidRPr="002D7BEF">
        <w:t>erosion plot ha</w:t>
      </w:r>
      <w:r>
        <w:t>ve</w:t>
      </w:r>
      <w:r w:rsidRPr="002D7BEF">
        <w:t xml:space="preserve"> undergone appropriate validation and reporting (Saynor et al</w:t>
      </w:r>
      <w:r>
        <w:t>.</w:t>
      </w:r>
      <w:r w:rsidRPr="002D7BEF">
        <w:t xml:space="preserve"> 2013)</w:t>
      </w:r>
      <w:r>
        <w:t>, and waste rock only is assumed to be the most likely substrate for rehabilitation of the Ranger mine site</w:t>
      </w:r>
      <w:r w:rsidRPr="002D7BEF">
        <w:t xml:space="preserve">. Samples have been selected for analysis of the residual fraction on the following basis: (1) filters were chosen from those samples collected during runoff events with a difference in EC between in-flowing and out-flowing water from the stilling basin of less </w:t>
      </w:r>
      <w:r w:rsidR="00BA2549" w:rsidRPr="002D7BEF">
        <w:t>than</w:t>
      </w:r>
      <w:r w:rsidRPr="002D7BEF">
        <w:t xml:space="preserve"> 20 percent. This yielded an insufficient number of samples for analysis, and the following </w:t>
      </w:r>
      <w:r>
        <w:t>less restrictive</w:t>
      </w:r>
      <w:r w:rsidRPr="002D7BEF">
        <w:t xml:space="preserve"> selection criteria were established: (</w:t>
      </w:r>
      <w:r>
        <w:t>2</w:t>
      </w:r>
      <w:r w:rsidRPr="002D7BEF">
        <w:t>) sitting times of the EC triggered water sample in the Gamet sampler was less than 6 weeks</w:t>
      </w:r>
      <w:r>
        <w:t>, and</w:t>
      </w:r>
      <w:r w:rsidRPr="002D7BEF">
        <w:t xml:space="preserve"> (</w:t>
      </w:r>
      <w:r>
        <w:t>3</w:t>
      </w:r>
      <w:r w:rsidRPr="002D7BEF">
        <w:t>) soluble U data w</w:t>
      </w:r>
      <w:r>
        <w:t>ere</w:t>
      </w:r>
      <w:r w:rsidRPr="002D7BEF">
        <w:t xml:space="preserve"> available</w:t>
      </w:r>
      <w:r>
        <w:t xml:space="preserve"> over the event</w:t>
      </w:r>
      <w:r w:rsidRPr="002D7BEF">
        <w:t xml:space="preserve">. Based on the </w:t>
      </w:r>
      <w:r>
        <w:t>sample selection criteria</w:t>
      </w:r>
      <w:r w:rsidRPr="002D7BEF">
        <w:t xml:space="preserve"> steps 1-3 above, only a limited number of samples were identified and deemed appropriate for further investigation</w:t>
      </w:r>
      <w:r>
        <w:t>,</w:t>
      </w:r>
      <w:r w:rsidRPr="002D7BEF">
        <w:t xml:space="preserve"> </w:t>
      </w:r>
      <w:r>
        <w:t>resulting in</w:t>
      </w:r>
      <w:r w:rsidRPr="002D7BEF">
        <w:t xml:space="preserve"> 4</w:t>
      </w:r>
      <w:r>
        <w:t>9</w:t>
      </w:r>
      <w:r w:rsidRPr="002D7BEF">
        <w:t xml:space="preserve"> samples for further analyses.</w:t>
      </w:r>
    </w:p>
    <w:p w:rsidR="00A06BC6" w:rsidRPr="002D7BEF" w:rsidRDefault="00A06BC6" w:rsidP="00A06BC6">
      <w:r w:rsidRPr="002D7BEF">
        <w:t xml:space="preserve">As part of the routine monitoring of TLF runoff, the filtered fractions of EC triggered, event based samples from erosion plot 1 over the three consecutive wet seasons </w:t>
      </w:r>
      <w:r>
        <w:t xml:space="preserve">(2009–10, 2010–11, 2011–12) </w:t>
      </w:r>
      <w:r w:rsidRPr="002D7BEF">
        <w:t xml:space="preserve">have been analysed for trace elements via inductively coupled plasma mass spectrometry (ICP-MS). </w:t>
      </w:r>
      <w:r>
        <w:t>F</w:t>
      </w:r>
      <w:r w:rsidRPr="002D7BEF">
        <w:t xml:space="preserve">or the purposes of deriving total values, the residual fractions for this project </w:t>
      </w:r>
      <w:r>
        <w:t xml:space="preserve">were analysed in 2014 </w:t>
      </w:r>
      <w:r w:rsidRPr="002D7BEF">
        <w:t>via ICP-MS. Radio</w:t>
      </w:r>
      <w:r>
        <w:t xml:space="preserve">nuclide </w:t>
      </w:r>
      <w:r w:rsidRPr="002D7BEF">
        <w:t>analyses were conducted in-house following methods published in Martin &amp; Hancock (2004) and Medley et al</w:t>
      </w:r>
      <w:r>
        <w:t>.</w:t>
      </w:r>
      <w:r w:rsidRPr="002D7BEF">
        <w:t xml:space="preserve"> (2005).</w:t>
      </w:r>
    </w:p>
    <w:p w:rsidR="00A06BC6" w:rsidRDefault="00A06BC6" w:rsidP="00A06BC6">
      <w:pPr>
        <w:pStyle w:val="Heading2"/>
      </w:pPr>
      <w:r>
        <w:t>Results and Discussion</w:t>
      </w:r>
    </w:p>
    <w:p w:rsidR="00A06BC6" w:rsidRDefault="00A06BC6" w:rsidP="00A06BC6">
      <w:r w:rsidRPr="002D7BEF">
        <w:t xml:space="preserve">Figure 1 shows the results of the </w:t>
      </w:r>
      <w:r w:rsidRPr="002D7BEF">
        <w:rPr>
          <w:snapToGrid w:val="0"/>
          <w:color w:val="000000"/>
          <w:position w:val="6"/>
          <w:sz w:val="15"/>
          <w:szCs w:val="15"/>
          <w:u w:color="000000"/>
        </w:rPr>
        <w:t>238</w:t>
      </w:r>
      <w:r w:rsidRPr="002D7BEF">
        <w:t>U activity concentrations measured in the dissolved and total fractions (mBq L</w:t>
      </w:r>
      <w:r w:rsidRPr="002D7BEF">
        <w:rPr>
          <w:snapToGrid w:val="0"/>
          <w:color w:val="000000"/>
          <w:position w:val="6"/>
          <w:sz w:val="15"/>
          <w:szCs w:val="15"/>
          <w:u w:color="000000"/>
        </w:rPr>
        <w:t>-1</w:t>
      </w:r>
      <w:r w:rsidRPr="002D7BEF">
        <w:t>), their ratio and the activity concentration (Bq kg</w:t>
      </w:r>
      <w:r w:rsidRPr="002D7BEF">
        <w:rPr>
          <w:snapToGrid w:val="0"/>
          <w:color w:val="000000"/>
          <w:position w:val="6"/>
          <w:sz w:val="15"/>
          <w:szCs w:val="15"/>
          <w:u w:color="000000"/>
        </w:rPr>
        <w:t>-1</w:t>
      </w:r>
      <w:r w:rsidRPr="002D7BEF">
        <w:t>) in the particulate matter. Table 1 shows the results of uranium-series radionuclide activity concentrations measured in samples collected from the four erosion plots in April 2010.</w:t>
      </w:r>
    </w:p>
    <w:p w:rsidR="00A06BC6" w:rsidRDefault="00A06BC6" w:rsidP="00A06BC6">
      <w:r w:rsidRPr="002D7BEF">
        <w:t>The analysed residual fractions of the filter papers do not usually cover an entire runoff event, nor do they cover an entire wet</w:t>
      </w:r>
      <w:r>
        <w:t xml:space="preserve"> </w:t>
      </w:r>
      <w:r w:rsidRPr="002D7BEF">
        <w:t>seaso</w:t>
      </w:r>
      <w:r>
        <w:t xml:space="preserve">n. For example, out of the 815 </w:t>
      </w:r>
      <w:r w:rsidRPr="002D7BEF">
        <w:t>filtered water samples collected between 2009 and 2012</w:t>
      </w:r>
      <w:r>
        <w:t>,</w:t>
      </w:r>
      <w:r w:rsidRPr="002D7BEF">
        <w:t xml:space="preserve"> only 40 samples compl</w:t>
      </w:r>
      <w:r>
        <w:t>ied</w:t>
      </w:r>
      <w:r w:rsidRPr="002D7BEF">
        <w:t xml:space="preserve"> with QA step 1 (Turner, pers comm.)</w:t>
      </w:r>
      <w:r>
        <w:t xml:space="preserve"> and </w:t>
      </w:r>
      <w:r w:rsidRPr="002D7BEF">
        <w:t>Sup</w:t>
      </w:r>
      <w:r>
        <w:t>ervising Scientist (2013) noted</w:t>
      </w:r>
      <w:r w:rsidRPr="002D7BEF">
        <w:t xml:space="preserve"> that less than three good </w:t>
      </w:r>
      <w:r w:rsidR="00BA2549" w:rsidRPr="002D7BEF">
        <w:t>quality</w:t>
      </w:r>
      <w:r w:rsidRPr="002D7BEF">
        <w:t xml:space="preserve"> water samples were collected over the majority of runoff events. However, some observations can be made based on the less confounding sample selection procedure outlined</w:t>
      </w:r>
      <w:r>
        <w:t xml:space="preserve"> above.</w:t>
      </w:r>
    </w:p>
    <w:p w:rsidR="00A06BC6" w:rsidRDefault="00A06BC6" w:rsidP="00A06BC6">
      <w:r w:rsidRPr="002D7BEF">
        <w:t xml:space="preserve">Dissolved </w:t>
      </w:r>
      <w:r w:rsidRPr="002D7BEF">
        <w:rPr>
          <w:snapToGrid w:val="0"/>
          <w:color w:val="000000"/>
          <w:position w:val="6"/>
          <w:sz w:val="15"/>
          <w:szCs w:val="15"/>
          <w:u w:color="000000"/>
        </w:rPr>
        <w:t>238</w:t>
      </w:r>
      <w:r w:rsidRPr="002D7BEF">
        <w:t>U activity concentrations shown in Figure 1 over the course of an individual rain event and throughout a wet season are highly variable. Concentrations depend on the intensity of rainfall that triggers an event, but also on total wet season cumulative runoff itself (Saynor et al</w:t>
      </w:r>
      <w:r>
        <w:t xml:space="preserve">. 2013). </w:t>
      </w:r>
      <w:r w:rsidRPr="002D7BEF">
        <w:t xml:space="preserve">It has been reported that dissolved </w:t>
      </w:r>
      <w:r w:rsidRPr="002D7BEF">
        <w:rPr>
          <w:snapToGrid w:val="0"/>
          <w:color w:val="000000"/>
          <w:position w:val="6"/>
          <w:sz w:val="15"/>
          <w:szCs w:val="15"/>
          <w:u w:color="000000"/>
        </w:rPr>
        <w:t>238</w:t>
      </w:r>
      <w:r w:rsidRPr="002D7BEF">
        <w:t>U activity concentrati</w:t>
      </w:r>
      <w:r>
        <w:t>ons have decreased between 2009–10 and 2011–</w:t>
      </w:r>
      <w:r w:rsidRPr="002D7BEF">
        <w:t>12</w:t>
      </w:r>
      <w:r>
        <w:t>. O</w:t>
      </w:r>
      <w:r w:rsidRPr="002D7BEF">
        <w:t>ur data</w:t>
      </w:r>
      <w:r>
        <w:t xml:space="preserve"> also</w:t>
      </w:r>
      <w:r w:rsidRPr="002D7BEF">
        <w:t xml:space="preserve"> indicate </w:t>
      </w:r>
      <w:r>
        <w:t>a decrease</w:t>
      </w:r>
      <w:r w:rsidRPr="002D7BEF">
        <w:t xml:space="preserve"> </w:t>
      </w:r>
      <w:r>
        <w:t>of</w:t>
      </w:r>
      <w:r w:rsidRPr="002D7BEF">
        <w:t xml:space="preserve"> total </w:t>
      </w:r>
      <w:r w:rsidRPr="002D7BEF">
        <w:rPr>
          <w:snapToGrid w:val="0"/>
          <w:color w:val="000000"/>
          <w:position w:val="6"/>
          <w:sz w:val="15"/>
          <w:szCs w:val="15"/>
          <w:u w:color="000000"/>
        </w:rPr>
        <w:t>238</w:t>
      </w:r>
      <w:r w:rsidRPr="002D7BEF">
        <w:t xml:space="preserve">U activity concentrations, both within a wet season and across successive wet seasons. The ratio of the total to dissolved </w:t>
      </w:r>
      <w:r w:rsidRPr="002D7BEF">
        <w:rPr>
          <w:snapToGrid w:val="0"/>
          <w:color w:val="000000"/>
          <w:position w:val="6"/>
          <w:sz w:val="15"/>
          <w:szCs w:val="15"/>
          <w:u w:color="000000"/>
        </w:rPr>
        <w:t>238</w:t>
      </w:r>
      <w:r w:rsidRPr="002D7BEF">
        <w:t xml:space="preserve">U </w:t>
      </w:r>
      <w:r>
        <w:t xml:space="preserve">uranium </w:t>
      </w:r>
      <w:r w:rsidRPr="002D7BEF">
        <w:t xml:space="preserve">activity concentrations measured over time decreases, as the amount of suspended sediment in the runoff from the landform decreases compared to the first wet season. </w:t>
      </w:r>
      <w:proofErr w:type="gramStart"/>
      <w:r w:rsidRPr="002D7BEF">
        <w:t>However, th</w:t>
      </w:r>
      <w:r>
        <w:t>e</w:t>
      </w:r>
      <w:r w:rsidRPr="002D7BEF">
        <w:t xml:space="preserve"> particulate matter’s </w:t>
      </w:r>
      <w:r w:rsidRPr="002D7BEF">
        <w:rPr>
          <w:snapToGrid w:val="0"/>
          <w:color w:val="000000"/>
          <w:position w:val="6"/>
          <w:sz w:val="15"/>
          <w:szCs w:val="15"/>
          <w:u w:color="000000"/>
        </w:rPr>
        <w:t>238</w:t>
      </w:r>
      <w:r w:rsidRPr="002D7BEF">
        <w:t xml:space="preserve">U activity concentration </w:t>
      </w:r>
      <w:r>
        <w:t>(in Bq kg</w:t>
      </w:r>
      <w:r w:rsidRPr="00E801B6">
        <w:rPr>
          <w:snapToGrid w:val="0"/>
          <w:color w:val="000000"/>
          <w:position w:val="5"/>
          <w:sz w:val="15"/>
          <w:szCs w:val="0"/>
          <w:u w:color="000000"/>
        </w:rPr>
        <w:t>-1</w:t>
      </w:r>
      <w:r>
        <w:t xml:space="preserve">) </w:t>
      </w:r>
      <w:r w:rsidRPr="002D7BEF">
        <w:t>increases.</w:t>
      </w:r>
      <w:proofErr w:type="gramEnd"/>
      <w:r w:rsidRPr="002D7BEF">
        <w:t xml:space="preserve"> This increase most likely </w:t>
      </w:r>
      <w:proofErr w:type="gramStart"/>
      <w:r w:rsidRPr="002D7BEF">
        <w:t>reflects  that</w:t>
      </w:r>
      <w:proofErr w:type="gramEnd"/>
      <w:r>
        <w:t xml:space="preserve">, although the amount of </w:t>
      </w:r>
      <w:r w:rsidRPr="002D7BEF">
        <w:t xml:space="preserve">suspended sediment </w:t>
      </w:r>
      <w:r>
        <w:t>decreases, it consists of relatively more fine particulates wh</w:t>
      </w:r>
      <w:r w:rsidRPr="002D7BEF">
        <w:t xml:space="preserve">ich generally show higher activity concentrations of </w:t>
      </w:r>
      <w:r>
        <w:t>uranium-series</w:t>
      </w:r>
      <w:r w:rsidRPr="002D7BEF">
        <w:t xml:space="preserve"> elements than the coarser sediments (Bollhöfer et al</w:t>
      </w:r>
      <w:r>
        <w:t>.</w:t>
      </w:r>
      <w:r w:rsidRPr="002D7BEF">
        <w:t xml:space="preserve"> 2011). </w:t>
      </w:r>
      <w:r>
        <w:t>Activity concentrations in the suspended sediment are up to 10 times higher than those measured in the substrate (</w:t>
      </w:r>
      <w:r w:rsidRPr="0058696F">
        <w:t xml:space="preserve">Bollhöfer </w:t>
      </w:r>
      <w:r>
        <w:t>&amp; Doering 2013).</w:t>
      </w:r>
    </w:p>
    <w:p w:rsidR="00A06BC6" w:rsidRPr="002D7BEF" w:rsidRDefault="00A06BC6" w:rsidP="00A06BC6">
      <w:r w:rsidRPr="002D7BEF">
        <w:t>Table 1</w:t>
      </w:r>
      <w:r>
        <w:t xml:space="preserve"> </w:t>
      </w:r>
      <w:r w:rsidRPr="002D7BEF">
        <w:t xml:space="preserve">shows the results of activity concentration measurements of </w:t>
      </w:r>
      <w:r>
        <w:t>uranium-series</w:t>
      </w:r>
      <w:r w:rsidRPr="002D7BEF">
        <w:t xml:space="preserve"> radionuclides in the dissolved</w:t>
      </w:r>
      <w:proofErr w:type="gramStart"/>
      <w:r>
        <w:t xml:space="preserve">, </w:t>
      </w:r>
      <w:r w:rsidRPr="002D7BEF">
        <w:t xml:space="preserve"> residual</w:t>
      </w:r>
      <w:proofErr w:type="gramEnd"/>
      <w:r>
        <w:t>,</w:t>
      </w:r>
      <w:r w:rsidRPr="002D7BEF">
        <w:t xml:space="preserve"> total and particulate fractions in surface water runoff from erosion plots 1 to 4. Samples were collected at</w:t>
      </w:r>
      <w:r>
        <w:t xml:space="preserve"> the end of the wet season 2009–</w:t>
      </w:r>
      <w:r w:rsidRPr="002D7BEF">
        <w:t>10. In addition, activity ratios of U</w:t>
      </w:r>
      <w:proofErr w:type="gramStart"/>
      <w:r w:rsidRPr="002D7BEF">
        <w:t>:Ra:Po</w:t>
      </w:r>
      <w:proofErr w:type="gramEnd"/>
      <w:r w:rsidRPr="002D7BEF">
        <w:t xml:space="preserve"> are shown. </w:t>
      </w:r>
    </w:p>
    <w:p w:rsidR="00A06BC6" w:rsidRPr="002D7BEF" w:rsidRDefault="00A06BC6" w:rsidP="00A06BC6">
      <w:r w:rsidRPr="002D7BEF">
        <w:t>The average</w:t>
      </w:r>
      <w:r>
        <w:t xml:space="preserve"> ratio</w:t>
      </w:r>
      <w:r w:rsidRPr="002D7BEF">
        <w:t xml:space="preserve"> U:Ra:Po for runoff from a waste rock cover in the dissolved fraction was 138(</w:t>
      </w:r>
      <w:r w:rsidRPr="002D7BEF">
        <w:rPr>
          <w:i/>
        </w:rPr>
        <w:t>27</w:t>
      </w:r>
      <w:r w:rsidRPr="002D7BEF">
        <w:t>):19(</w:t>
      </w:r>
      <w:r w:rsidRPr="002D7BEF">
        <w:rPr>
          <w:i/>
        </w:rPr>
        <w:t>4</w:t>
      </w:r>
      <w:r w:rsidRPr="002D7BEF">
        <w:t>):1 (</w:t>
      </w:r>
      <w:r w:rsidRPr="002D7BEF">
        <w:rPr>
          <w:i/>
        </w:rPr>
        <w:t>numbers in brackets represent the standard error</w:t>
      </w:r>
      <w:r w:rsidRPr="002D7BEF">
        <w:t xml:space="preserve">), illustrating a substantial disequilibrium between </w:t>
      </w:r>
      <w:r>
        <w:t>uranium-series</w:t>
      </w:r>
      <w:r w:rsidRPr="002D7BEF">
        <w:t xml:space="preserve"> elements in the dissolved phase with </w:t>
      </w:r>
      <w:r w:rsidRPr="002D7BEF">
        <w:rPr>
          <w:snapToGrid w:val="0"/>
          <w:color w:val="000000"/>
          <w:position w:val="6"/>
          <w:sz w:val="15"/>
          <w:szCs w:val="15"/>
          <w:u w:color="000000"/>
        </w:rPr>
        <w:t>238</w:t>
      </w:r>
      <w:r w:rsidRPr="002D7BEF">
        <w:t xml:space="preserve">U activity concentrations being on average 138 times and </w:t>
      </w:r>
      <w:r w:rsidRPr="002D7BEF">
        <w:rPr>
          <w:snapToGrid w:val="0"/>
          <w:color w:val="000000"/>
          <w:position w:val="6"/>
          <w:sz w:val="15"/>
          <w:szCs w:val="15"/>
          <w:u w:color="000000"/>
        </w:rPr>
        <w:t>226</w:t>
      </w:r>
      <w:r w:rsidRPr="002D7BEF">
        <w:t xml:space="preserve">Ra being 19 times greater than </w:t>
      </w:r>
      <w:r w:rsidRPr="002D7BEF">
        <w:rPr>
          <w:snapToGrid w:val="0"/>
          <w:color w:val="000000"/>
          <w:position w:val="6"/>
          <w:sz w:val="15"/>
          <w:szCs w:val="15"/>
          <w:u w:color="000000"/>
        </w:rPr>
        <w:t>210</w:t>
      </w:r>
      <w:r w:rsidRPr="002D7BEF">
        <w:t xml:space="preserve">Po activity concentrations. This disequilibrium is </w:t>
      </w:r>
      <w:r>
        <w:t>much</w:t>
      </w:r>
      <w:r w:rsidRPr="002D7BEF">
        <w:t xml:space="preserve"> smaller in runoff from the waste rock - laterite erosion plots with a U</w:t>
      </w:r>
      <w:proofErr w:type="gramStart"/>
      <w:r w:rsidRPr="002D7BEF">
        <w:t>:Ra:Po</w:t>
      </w:r>
      <w:proofErr w:type="gramEnd"/>
      <w:r w:rsidRPr="002D7BEF">
        <w:t xml:space="preserve"> of 21(</w:t>
      </w:r>
      <w:r w:rsidRPr="002D7BEF">
        <w:rPr>
          <w:i/>
        </w:rPr>
        <w:t>2</w:t>
      </w:r>
      <w:r w:rsidRPr="002D7BEF">
        <w:t>):7(</w:t>
      </w:r>
      <w:r w:rsidRPr="002D7BEF">
        <w:rPr>
          <w:i/>
        </w:rPr>
        <w:t>2</w:t>
      </w:r>
      <w:r w:rsidRPr="002D7BEF">
        <w:t xml:space="preserve">):1. The difference of </w:t>
      </w:r>
      <w:r>
        <w:t>uranium-series</w:t>
      </w:r>
      <w:r w:rsidRPr="002D7BEF">
        <w:t xml:space="preserve"> element activity concentrations measured in the dissolved phase of runoff from the waste rock treatments shows that uranium is more </w:t>
      </w:r>
      <w:r>
        <w:t>readily dissolved</w:t>
      </w:r>
      <w:r w:rsidRPr="002D7BEF">
        <w:t xml:space="preserve"> than radium or polonium. Differences in activity concentrations in the particulates themselves are much smaller with </w:t>
      </w:r>
      <w:r w:rsidRPr="002D7BEF">
        <w:rPr>
          <w:snapToGrid w:val="0"/>
          <w:color w:val="000000"/>
          <w:position w:val="6"/>
          <w:sz w:val="15"/>
          <w:szCs w:val="15"/>
          <w:u w:color="000000"/>
        </w:rPr>
        <w:t>238</w:t>
      </w:r>
      <w:r w:rsidRPr="002D7BEF">
        <w:t xml:space="preserve">U being </w:t>
      </w:r>
      <w:r>
        <w:t>on average</w:t>
      </w:r>
      <w:r w:rsidRPr="002D7BEF">
        <w:t xml:space="preserve"> twice as high as </w:t>
      </w:r>
      <w:r w:rsidRPr="002D7BEF">
        <w:rPr>
          <w:snapToGrid w:val="0"/>
          <w:color w:val="000000"/>
          <w:position w:val="6"/>
          <w:sz w:val="15"/>
          <w:szCs w:val="15"/>
          <w:u w:color="000000"/>
        </w:rPr>
        <w:t>226</w:t>
      </w:r>
      <w:r w:rsidRPr="002D7BEF">
        <w:t xml:space="preserve">Ra and </w:t>
      </w:r>
      <w:r w:rsidRPr="002D7BEF">
        <w:rPr>
          <w:snapToGrid w:val="0"/>
          <w:color w:val="000000"/>
          <w:position w:val="6"/>
          <w:sz w:val="15"/>
          <w:szCs w:val="15"/>
          <w:u w:color="000000"/>
        </w:rPr>
        <w:t>210</w:t>
      </w:r>
      <w:r w:rsidRPr="002D7BEF">
        <w:t xml:space="preserve">Po activity concentrations.  </w:t>
      </w:r>
    </w:p>
    <w:p w:rsidR="00A06BC6" w:rsidRPr="002D7BEF" w:rsidRDefault="00A06BC6" w:rsidP="00A06BC6"/>
    <w:tbl>
      <w:tblPr>
        <w:tblW w:w="0" w:type="auto"/>
        <w:tblLook w:val="04A0"/>
      </w:tblPr>
      <w:tblGrid>
        <w:gridCol w:w="4303"/>
        <w:gridCol w:w="4360"/>
      </w:tblGrid>
      <w:tr w:rsidR="00A06BC6" w:rsidTr="00A06BC6">
        <w:tc>
          <w:tcPr>
            <w:tcW w:w="4236" w:type="dxa"/>
          </w:tcPr>
          <w:p w:rsidR="00A06BC6" w:rsidRDefault="00A06BC6" w:rsidP="00A06BC6">
            <w:r>
              <w:rPr>
                <w:noProof/>
                <w:lang w:eastAsia="en-AU"/>
              </w:rPr>
              <w:drawing>
                <wp:inline distT="0" distB="0" distL="0" distR="0">
                  <wp:extent cx="2576036" cy="1709547"/>
                  <wp:effectExtent l="19050" t="0" r="0" b="0"/>
                  <wp:docPr id="1015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8" cstate="screen">
                            <a:grayscl/>
                          </a:blip>
                          <a:srcRect l="1391"/>
                          <a:stretch>
                            <a:fillRect/>
                          </a:stretch>
                        </pic:blipFill>
                        <pic:spPr bwMode="auto">
                          <a:xfrm>
                            <a:off x="0" y="0"/>
                            <a:ext cx="2576036" cy="1709547"/>
                          </a:xfrm>
                          <a:prstGeom prst="rect">
                            <a:avLst/>
                          </a:prstGeom>
                          <a:noFill/>
                          <a:ln w="9525">
                            <a:noFill/>
                            <a:miter lim="800000"/>
                            <a:headEnd/>
                            <a:tailEnd/>
                          </a:ln>
                        </pic:spPr>
                      </pic:pic>
                    </a:graphicData>
                  </a:graphic>
                </wp:inline>
              </w:drawing>
            </w:r>
          </w:p>
        </w:tc>
        <w:tc>
          <w:tcPr>
            <w:tcW w:w="4292" w:type="dxa"/>
          </w:tcPr>
          <w:p w:rsidR="00A06BC6" w:rsidRDefault="00A06BC6" w:rsidP="00A06BC6">
            <w:r w:rsidRPr="0054714E">
              <w:rPr>
                <w:noProof/>
                <w:lang w:eastAsia="en-AU"/>
              </w:rPr>
              <w:drawing>
                <wp:inline distT="0" distB="0" distL="0" distR="0">
                  <wp:extent cx="2612374" cy="1709547"/>
                  <wp:effectExtent l="19050" t="0" r="0" b="0"/>
                  <wp:docPr id="1015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9" cstate="screen">
                            <a:grayscl/>
                          </a:blip>
                          <a:srcRect/>
                          <a:stretch>
                            <a:fillRect/>
                          </a:stretch>
                        </pic:blipFill>
                        <pic:spPr bwMode="auto">
                          <a:xfrm>
                            <a:off x="0" y="0"/>
                            <a:ext cx="2612374" cy="1709547"/>
                          </a:xfrm>
                          <a:prstGeom prst="rect">
                            <a:avLst/>
                          </a:prstGeom>
                          <a:noFill/>
                          <a:ln w="9525">
                            <a:noFill/>
                            <a:miter lim="800000"/>
                            <a:headEnd/>
                            <a:tailEnd/>
                          </a:ln>
                        </pic:spPr>
                      </pic:pic>
                    </a:graphicData>
                  </a:graphic>
                </wp:inline>
              </w:drawing>
            </w:r>
          </w:p>
        </w:tc>
      </w:tr>
      <w:tr w:rsidR="00A06BC6" w:rsidTr="00A06BC6">
        <w:tc>
          <w:tcPr>
            <w:tcW w:w="4236" w:type="dxa"/>
          </w:tcPr>
          <w:p w:rsidR="00A06BC6" w:rsidRDefault="00A06BC6" w:rsidP="00A06BC6">
            <w:r>
              <w:rPr>
                <w:noProof/>
                <w:lang w:eastAsia="en-AU"/>
              </w:rPr>
              <w:drawing>
                <wp:inline distT="0" distB="0" distL="0" distR="0">
                  <wp:extent cx="2569218" cy="1709547"/>
                  <wp:effectExtent l="19050" t="0" r="2532" b="0"/>
                  <wp:docPr id="10152"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90" cstate="screen">
                            <a:grayscl/>
                          </a:blip>
                          <a:srcRect l="1652"/>
                          <a:stretch>
                            <a:fillRect/>
                          </a:stretch>
                        </pic:blipFill>
                        <pic:spPr bwMode="auto">
                          <a:xfrm>
                            <a:off x="0" y="0"/>
                            <a:ext cx="2569218" cy="1709547"/>
                          </a:xfrm>
                          <a:prstGeom prst="rect">
                            <a:avLst/>
                          </a:prstGeom>
                          <a:noFill/>
                          <a:ln w="9525">
                            <a:noFill/>
                            <a:miter lim="800000"/>
                            <a:headEnd/>
                            <a:tailEnd/>
                          </a:ln>
                        </pic:spPr>
                      </pic:pic>
                    </a:graphicData>
                  </a:graphic>
                </wp:inline>
              </w:drawing>
            </w:r>
          </w:p>
        </w:tc>
        <w:tc>
          <w:tcPr>
            <w:tcW w:w="4292" w:type="dxa"/>
          </w:tcPr>
          <w:p w:rsidR="00A06BC6" w:rsidRDefault="00A06BC6" w:rsidP="00A06BC6">
            <w:r>
              <w:rPr>
                <w:noProof/>
                <w:lang w:eastAsia="en-AU"/>
              </w:rPr>
              <w:drawing>
                <wp:inline distT="0" distB="0" distL="0" distR="0">
                  <wp:extent cx="2612374" cy="1709547"/>
                  <wp:effectExtent l="19050" t="0" r="0" b="0"/>
                  <wp:docPr id="1015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91" cstate="screen">
                            <a:grayscl/>
                          </a:blip>
                          <a:srcRect/>
                          <a:stretch>
                            <a:fillRect/>
                          </a:stretch>
                        </pic:blipFill>
                        <pic:spPr bwMode="auto">
                          <a:xfrm>
                            <a:off x="0" y="0"/>
                            <a:ext cx="2612374" cy="1709547"/>
                          </a:xfrm>
                          <a:prstGeom prst="rect">
                            <a:avLst/>
                          </a:prstGeom>
                          <a:noFill/>
                          <a:ln w="9525">
                            <a:noFill/>
                            <a:miter lim="800000"/>
                            <a:headEnd/>
                            <a:tailEnd/>
                          </a:ln>
                        </pic:spPr>
                      </pic:pic>
                    </a:graphicData>
                  </a:graphic>
                </wp:inline>
              </w:drawing>
            </w:r>
          </w:p>
        </w:tc>
      </w:tr>
    </w:tbl>
    <w:p w:rsidR="00A06BC6" w:rsidRDefault="00A06BC6" w:rsidP="00A06BC6">
      <w:pPr>
        <w:pStyle w:val="figurecaption"/>
        <w:jc w:val="both"/>
      </w:pPr>
      <w:r w:rsidRPr="00093598">
        <w:rPr>
          <w:b/>
        </w:rPr>
        <w:t>Figure 1</w:t>
      </w:r>
      <w:r>
        <w:t xml:space="preserve">  Activity concentration of </w:t>
      </w:r>
      <w:r w:rsidRPr="003648C4">
        <w:rPr>
          <w:snapToGrid w:val="0"/>
          <w:color w:val="000000"/>
          <w:position w:val="4"/>
          <w:sz w:val="12"/>
          <w:szCs w:val="0"/>
          <w:u w:color="000000"/>
        </w:rPr>
        <w:t>238</w:t>
      </w:r>
      <w:r>
        <w:t>U in the dissolved (mBq L</w:t>
      </w:r>
      <w:r w:rsidRPr="00F41480">
        <w:rPr>
          <w:snapToGrid w:val="0"/>
          <w:color w:val="000000"/>
          <w:position w:val="4"/>
          <w:sz w:val="12"/>
          <w:szCs w:val="0"/>
          <w:u w:color="000000"/>
        </w:rPr>
        <w:t>-1</w:t>
      </w:r>
      <w:r w:rsidRPr="00F41480">
        <w:rPr>
          <w:snapToGrid w:val="0"/>
          <w:color w:val="000000"/>
          <w:position w:val="-4"/>
          <w:sz w:val="12"/>
          <w:szCs w:val="0"/>
          <w:u w:color="000000"/>
        </w:rPr>
        <w:t>d</w:t>
      </w:r>
      <w:r>
        <w:t>) and total (mBq L</w:t>
      </w:r>
      <w:r w:rsidRPr="00F41480">
        <w:rPr>
          <w:snapToGrid w:val="0"/>
          <w:color w:val="000000"/>
          <w:position w:val="4"/>
          <w:sz w:val="12"/>
          <w:szCs w:val="0"/>
          <w:u w:color="000000"/>
        </w:rPr>
        <w:t>-1</w:t>
      </w:r>
      <w:r>
        <w:rPr>
          <w:snapToGrid w:val="0"/>
          <w:color w:val="000000"/>
          <w:position w:val="-4"/>
          <w:sz w:val="12"/>
          <w:szCs w:val="0"/>
          <w:u w:color="000000"/>
        </w:rPr>
        <w:t>tot</w:t>
      </w:r>
      <w:r>
        <w:t>) fractions, their ratios, and the sediment activity concentration (Bq kg</w:t>
      </w:r>
      <w:r w:rsidRPr="00F41480">
        <w:rPr>
          <w:snapToGrid w:val="0"/>
          <w:color w:val="000000"/>
          <w:position w:val="4"/>
          <w:sz w:val="12"/>
          <w:szCs w:val="0"/>
          <w:u w:color="000000"/>
        </w:rPr>
        <w:t>-1</w:t>
      </w:r>
      <w:r>
        <w:rPr>
          <w:snapToGrid w:val="0"/>
          <w:color w:val="000000"/>
          <w:position w:val="-4"/>
          <w:sz w:val="12"/>
          <w:szCs w:val="0"/>
          <w:u w:color="000000"/>
        </w:rPr>
        <w:t>p</w:t>
      </w:r>
      <w:r>
        <w:t xml:space="preserve">) in surface water runoff from erosion plot 1, collected over three successive wet seasons. The dashed lines show the average dissolved </w:t>
      </w:r>
      <w:r w:rsidRPr="00B765E9">
        <w:rPr>
          <w:snapToGrid w:val="0"/>
          <w:color w:val="000000"/>
          <w:position w:val="4"/>
          <w:sz w:val="12"/>
          <w:szCs w:val="0"/>
          <w:u w:color="000000"/>
        </w:rPr>
        <w:t>238</w:t>
      </w:r>
      <w:r>
        <w:t>U activity concentration over the three wet seasons as reported in Saynor et al. (2013). The grey area gives the magnitude of the cumulative rainfall over one wet season.</w:t>
      </w:r>
    </w:p>
    <w:p w:rsidR="00A06BC6" w:rsidRDefault="00A06BC6" w:rsidP="00A06BC6">
      <w:pPr>
        <w:spacing w:after="0" w:line="240" w:lineRule="auto"/>
        <w:jc w:val="left"/>
      </w:pPr>
      <w:r>
        <w:br w:type="page"/>
      </w:r>
    </w:p>
    <w:p w:rsidR="00A06BC6" w:rsidRDefault="00A06BC6" w:rsidP="00A06BC6">
      <w:pPr>
        <w:pStyle w:val="tablecaption"/>
        <w:jc w:val="both"/>
      </w:pPr>
      <w:r w:rsidRPr="00093598">
        <w:rPr>
          <w:b/>
        </w:rPr>
        <w:t>Table 1</w:t>
      </w:r>
      <w:r>
        <w:t xml:space="preserve">  Activity concentrations of uranium-series radionuclides in the dissolved (mBq L</w:t>
      </w:r>
      <w:r w:rsidRPr="00F41480">
        <w:rPr>
          <w:snapToGrid w:val="0"/>
          <w:color w:val="000000"/>
          <w:position w:val="4"/>
          <w:sz w:val="12"/>
          <w:szCs w:val="0"/>
          <w:u w:color="000000"/>
        </w:rPr>
        <w:t>-1</w:t>
      </w:r>
      <w:r w:rsidRPr="00F41480">
        <w:rPr>
          <w:snapToGrid w:val="0"/>
          <w:color w:val="000000"/>
          <w:position w:val="-4"/>
          <w:sz w:val="12"/>
          <w:szCs w:val="0"/>
          <w:u w:color="000000"/>
        </w:rPr>
        <w:t>d</w:t>
      </w:r>
      <w:r>
        <w:t>), residual (mBq L</w:t>
      </w:r>
      <w:r w:rsidRPr="00F41480">
        <w:rPr>
          <w:snapToGrid w:val="0"/>
          <w:color w:val="000000"/>
          <w:position w:val="4"/>
          <w:sz w:val="12"/>
          <w:szCs w:val="0"/>
          <w:u w:color="000000"/>
        </w:rPr>
        <w:t>-1</w:t>
      </w:r>
      <w:r>
        <w:rPr>
          <w:snapToGrid w:val="0"/>
          <w:color w:val="000000"/>
          <w:position w:val="-4"/>
          <w:sz w:val="12"/>
          <w:szCs w:val="0"/>
          <w:u w:color="000000"/>
        </w:rPr>
        <w:t>res</w:t>
      </w:r>
      <w:r>
        <w:t>), total (mBq L</w:t>
      </w:r>
      <w:r w:rsidRPr="00F41480">
        <w:rPr>
          <w:snapToGrid w:val="0"/>
          <w:color w:val="000000"/>
          <w:position w:val="4"/>
          <w:sz w:val="12"/>
          <w:szCs w:val="0"/>
          <w:u w:color="000000"/>
        </w:rPr>
        <w:t>-1</w:t>
      </w:r>
      <w:r>
        <w:rPr>
          <w:snapToGrid w:val="0"/>
          <w:color w:val="000000"/>
          <w:position w:val="-4"/>
          <w:sz w:val="12"/>
          <w:szCs w:val="0"/>
          <w:u w:color="000000"/>
        </w:rPr>
        <w:t>tot</w:t>
      </w:r>
      <w:r>
        <w:t>) and particulate (Bq kg</w:t>
      </w:r>
      <w:r w:rsidRPr="00F41480">
        <w:rPr>
          <w:snapToGrid w:val="0"/>
          <w:color w:val="000000"/>
          <w:position w:val="4"/>
          <w:sz w:val="12"/>
          <w:szCs w:val="0"/>
          <w:u w:color="000000"/>
        </w:rPr>
        <w:t>-1</w:t>
      </w:r>
      <w:r>
        <w:rPr>
          <w:snapToGrid w:val="0"/>
          <w:color w:val="000000"/>
          <w:position w:val="-4"/>
          <w:sz w:val="12"/>
          <w:szCs w:val="0"/>
          <w:u w:color="000000"/>
        </w:rPr>
        <w:t>p</w:t>
      </w:r>
      <w:r>
        <w:t>) fractions in surface water runoff from erosion plots (EP) 1 to 4, collected in April 2010, and activity ratios of U:Ra:Po.</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90"/>
        <w:gridCol w:w="839"/>
        <w:gridCol w:w="605"/>
        <w:gridCol w:w="927"/>
        <w:gridCol w:w="879"/>
        <w:gridCol w:w="855"/>
        <w:gridCol w:w="927"/>
        <w:gridCol w:w="1021"/>
        <w:gridCol w:w="1021"/>
      </w:tblGrid>
      <w:tr w:rsidR="00A06BC6" w:rsidRPr="00EF7EA3" w:rsidTr="00A06BC6">
        <w:trPr>
          <w:trHeight w:val="255"/>
        </w:trPr>
        <w:tc>
          <w:tcPr>
            <w:tcW w:w="0" w:type="auto"/>
            <w:shd w:val="clear" w:color="auto" w:fill="auto"/>
            <w:noWrap/>
            <w:vAlign w:val="bottom"/>
            <w:hideMark/>
          </w:tcPr>
          <w:p w:rsidR="00A06BC6" w:rsidRPr="00EF7EA3" w:rsidRDefault="00A06BC6" w:rsidP="00A06BC6">
            <w:pPr>
              <w:pStyle w:val="table2"/>
              <w:jc w:val="both"/>
              <w:rPr>
                <w:rFonts w:cs="Arial"/>
                <w:b/>
                <w:lang w:eastAsia="en-AU"/>
              </w:rPr>
            </w:pPr>
            <w:r w:rsidRPr="00EF7EA3">
              <w:rPr>
                <w:rFonts w:cs="Arial"/>
                <w:b/>
                <w:lang w:eastAsia="en-AU"/>
              </w:rPr>
              <w:t>Sample ID</w:t>
            </w:r>
          </w:p>
        </w:tc>
        <w:tc>
          <w:tcPr>
            <w:tcW w:w="0" w:type="auto"/>
            <w:shd w:val="clear" w:color="auto" w:fill="auto"/>
            <w:noWrap/>
            <w:vAlign w:val="bottom"/>
            <w:hideMark/>
          </w:tcPr>
          <w:p w:rsidR="00A06BC6" w:rsidRPr="00EF7EA3" w:rsidRDefault="00A06BC6" w:rsidP="00A06BC6">
            <w:pPr>
              <w:pStyle w:val="table2"/>
              <w:jc w:val="both"/>
              <w:rPr>
                <w:rFonts w:cs="Arial"/>
                <w:b/>
                <w:lang w:eastAsia="en-AU"/>
              </w:rPr>
            </w:pPr>
            <w:r w:rsidRPr="00EF7EA3">
              <w:rPr>
                <w:rFonts w:cs="Arial"/>
                <w:b/>
                <w:lang w:eastAsia="en-AU"/>
              </w:rPr>
              <w:t xml:space="preserve">Date </w:t>
            </w:r>
          </w:p>
        </w:tc>
        <w:tc>
          <w:tcPr>
            <w:tcW w:w="0" w:type="auto"/>
            <w:shd w:val="clear" w:color="auto" w:fill="auto"/>
            <w:noWrap/>
            <w:vAlign w:val="bottom"/>
            <w:hideMark/>
          </w:tcPr>
          <w:p w:rsidR="00A06BC6" w:rsidRPr="00EF7EA3" w:rsidRDefault="00A06BC6" w:rsidP="00A06BC6">
            <w:pPr>
              <w:pStyle w:val="table2"/>
              <w:jc w:val="both"/>
              <w:rPr>
                <w:rFonts w:cs="Arial"/>
                <w:b/>
                <w:lang w:eastAsia="en-AU"/>
              </w:rPr>
            </w:pPr>
          </w:p>
        </w:tc>
        <w:tc>
          <w:tcPr>
            <w:tcW w:w="0" w:type="auto"/>
            <w:vAlign w:val="bottom"/>
          </w:tcPr>
          <w:p w:rsidR="00A06BC6" w:rsidRPr="00EF7EA3" w:rsidRDefault="00A06BC6" w:rsidP="00A06BC6">
            <w:pPr>
              <w:pStyle w:val="table2"/>
              <w:jc w:val="both"/>
              <w:rPr>
                <w:rFonts w:cs="Arial"/>
                <w:b/>
              </w:rPr>
            </w:pPr>
            <w:r w:rsidRPr="00EF7EA3">
              <w:rPr>
                <w:rFonts w:cs="Arial"/>
                <w:b/>
              </w:rPr>
              <w:t>mBq/L</w:t>
            </w:r>
            <w:r w:rsidRPr="00EF7EA3">
              <w:rPr>
                <w:rFonts w:cs="Arial"/>
                <w:b/>
                <w:snapToGrid w:val="0"/>
                <w:color w:val="000000"/>
                <w:position w:val="-4"/>
                <w:sz w:val="11"/>
                <w:szCs w:val="0"/>
                <w:u w:color="000000"/>
              </w:rPr>
              <w:t>d</w:t>
            </w:r>
          </w:p>
        </w:tc>
        <w:tc>
          <w:tcPr>
            <w:tcW w:w="0" w:type="auto"/>
            <w:vAlign w:val="bottom"/>
          </w:tcPr>
          <w:p w:rsidR="00A06BC6" w:rsidRPr="00EF7EA3" w:rsidRDefault="00A06BC6" w:rsidP="00A06BC6">
            <w:pPr>
              <w:pStyle w:val="table2"/>
              <w:jc w:val="both"/>
              <w:rPr>
                <w:rFonts w:cs="Arial"/>
                <w:b/>
              </w:rPr>
            </w:pPr>
            <w:r w:rsidRPr="00EF7EA3">
              <w:rPr>
                <w:rFonts w:cs="Arial"/>
                <w:b/>
              </w:rPr>
              <w:t>mBq/L</w:t>
            </w:r>
            <w:r w:rsidRPr="00EF7EA3">
              <w:rPr>
                <w:rFonts w:cs="Arial"/>
                <w:b/>
                <w:snapToGrid w:val="0"/>
                <w:color w:val="000000"/>
                <w:position w:val="-4"/>
                <w:sz w:val="11"/>
                <w:szCs w:val="0"/>
                <w:u w:color="000000"/>
              </w:rPr>
              <w:t>res</w:t>
            </w:r>
          </w:p>
        </w:tc>
        <w:tc>
          <w:tcPr>
            <w:tcW w:w="0" w:type="auto"/>
            <w:vAlign w:val="bottom"/>
          </w:tcPr>
          <w:p w:rsidR="00A06BC6" w:rsidRPr="00EF7EA3" w:rsidRDefault="00A06BC6" w:rsidP="00A06BC6">
            <w:pPr>
              <w:pStyle w:val="table2"/>
              <w:jc w:val="both"/>
              <w:rPr>
                <w:rFonts w:cs="Arial"/>
                <w:b/>
              </w:rPr>
            </w:pPr>
            <w:r w:rsidRPr="00EF7EA3">
              <w:rPr>
                <w:rFonts w:cs="Arial"/>
                <w:b/>
              </w:rPr>
              <w:t>mBq/L</w:t>
            </w:r>
            <w:r w:rsidRPr="00EF7EA3">
              <w:rPr>
                <w:rFonts w:cs="Arial"/>
                <w:b/>
                <w:snapToGrid w:val="0"/>
                <w:color w:val="000000"/>
                <w:position w:val="-4"/>
                <w:sz w:val="11"/>
                <w:szCs w:val="0"/>
                <w:u w:color="000000"/>
              </w:rPr>
              <w:t>tot</w:t>
            </w:r>
          </w:p>
        </w:tc>
        <w:tc>
          <w:tcPr>
            <w:tcW w:w="0" w:type="auto"/>
            <w:vAlign w:val="bottom"/>
          </w:tcPr>
          <w:p w:rsidR="00A06BC6" w:rsidRPr="00EF7EA3" w:rsidRDefault="00A06BC6" w:rsidP="00A06BC6">
            <w:pPr>
              <w:pStyle w:val="table2"/>
              <w:jc w:val="both"/>
              <w:rPr>
                <w:rFonts w:cs="Arial"/>
                <w:b/>
              </w:rPr>
            </w:pPr>
            <w:r w:rsidRPr="00EF7EA3">
              <w:rPr>
                <w:rFonts w:cs="Arial"/>
                <w:b/>
              </w:rPr>
              <w:t>Bq/kg</w:t>
            </w:r>
            <w:r w:rsidRPr="00EF7EA3">
              <w:rPr>
                <w:rFonts w:cs="Arial"/>
                <w:b/>
                <w:snapToGrid w:val="0"/>
                <w:color w:val="000000"/>
                <w:position w:val="-4"/>
                <w:sz w:val="11"/>
                <w:szCs w:val="0"/>
                <w:u w:color="000000"/>
              </w:rPr>
              <w:t>p</w:t>
            </w:r>
          </w:p>
        </w:tc>
        <w:tc>
          <w:tcPr>
            <w:tcW w:w="0" w:type="auto"/>
            <w:vAlign w:val="bottom"/>
          </w:tcPr>
          <w:p w:rsidR="00A06BC6" w:rsidRPr="00EF7EA3" w:rsidRDefault="00A06BC6" w:rsidP="00A06BC6">
            <w:pPr>
              <w:pStyle w:val="table2"/>
              <w:jc w:val="both"/>
              <w:rPr>
                <w:rFonts w:cs="Arial"/>
                <w:b/>
                <w:lang w:eastAsia="en-AU"/>
              </w:rPr>
            </w:pPr>
            <w:r w:rsidRPr="00EF7EA3">
              <w:rPr>
                <w:rFonts w:cs="Arial"/>
                <w:b/>
                <w:lang w:eastAsia="en-AU"/>
              </w:rPr>
              <w:t>(U:Ra:Po)</w:t>
            </w:r>
            <w:r w:rsidRPr="00EF7EA3">
              <w:rPr>
                <w:rFonts w:cs="Arial"/>
                <w:b/>
                <w:snapToGrid w:val="0"/>
                <w:color w:val="000000"/>
                <w:position w:val="-4"/>
                <w:sz w:val="11"/>
                <w:szCs w:val="0"/>
                <w:u w:color="000000"/>
                <w:lang w:eastAsia="en-AU"/>
              </w:rPr>
              <w:t>d</w:t>
            </w:r>
          </w:p>
        </w:tc>
        <w:tc>
          <w:tcPr>
            <w:tcW w:w="1004" w:type="dxa"/>
            <w:vAlign w:val="bottom"/>
          </w:tcPr>
          <w:p w:rsidR="00A06BC6" w:rsidRPr="00EF7EA3" w:rsidRDefault="00A06BC6" w:rsidP="00A06BC6">
            <w:pPr>
              <w:pStyle w:val="table2"/>
              <w:jc w:val="both"/>
              <w:rPr>
                <w:rFonts w:cs="Arial"/>
                <w:b/>
                <w:lang w:eastAsia="en-AU"/>
              </w:rPr>
            </w:pPr>
            <w:r w:rsidRPr="00EF7EA3">
              <w:rPr>
                <w:rFonts w:cs="Arial"/>
                <w:b/>
                <w:lang w:eastAsia="en-AU"/>
              </w:rPr>
              <w:t>(U:Ra:Po)</w:t>
            </w:r>
            <w:r w:rsidRPr="00EF7EA3">
              <w:rPr>
                <w:rFonts w:cs="Arial"/>
                <w:b/>
                <w:snapToGrid w:val="0"/>
                <w:color w:val="000000"/>
                <w:position w:val="-4"/>
                <w:sz w:val="11"/>
                <w:szCs w:val="0"/>
                <w:u w:color="000000"/>
                <w:lang w:eastAsia="en-AU"/>
              </w:rPr>
              <w:t>p</w:t>
            </w:r>
          </w:p>
        </w:tc>
      </w:tr>
      <w:tr w:rsidR="00A06BC6" w:rsidRPr="00EF7EA3" w:rsidTr="00A06BC6">
        <w:trPr>
          <w:trHeight w:val="255"/>
        </w:trPr>
        <w:tc>
          <w:tcPr>
            <w:tcW w:w="0" w:type="auto"/>
            <w:vMerge w:val="restart"/>
            <w:shd w:val="clear" w:color="auto" w:fill="auto"/>
            <w:noWrap/>
            <w:vAlign w:val="center"/>
            <w:hideMark/>
          </w:tcPr>
          <w:p w:rsidR="00A06BC6" w:rsidRPr="00EF7EA3" w:rsidRDefault="00A06BC6" w:rsidP="00A06BC6">
            <w:pPr>
              <w:pStyle w:val="table2"/>
              <w:jc w:val="both"/>
              <w:rPr>
                <w:rFonts w:cs="Arial"/>
                <w:lang w:eastAsia="en-AU"/>
              </w:rPr>
            </w:pPr>
            <w:r w:rsidRPr="00EF7EA3">
              <w:rPr>
                <w:rFonts w:cs="Arial"/>
                <w:lang w:eastAsia="en-AU"/>
              </w:rPr>
              <w:t>TL10001</w:t>
            </w:r>
          </w:p>
          <w:p w:rsidR="00A06BC6" w:rsidRPr="00EF7EA3" w:rsidRDefault="00A06BC6" w:rsidP="00A06BC6">
            <w:pPr>
              <w:pStyle w:val="table2"/>
              <w:jc w:val="both"/>
              <w:rPr>
                <w:rFonts w:cs="Arial"/>
                <w:lang w:eastAsia="en-AU"/>
              </w:rPr>
            </w:pPr>
            <w:r w:rsidRPr="00EF7EA3">
              <w:rPr>
                <w:rFonts w:cs="Arial"/>
                <w:lang w:eastAsia="en-AU"/>
              </w:rPr>
              <w:t>(EP1)</w:t>
            </w:r>
          </w:p>
        </w:tc>
        <w:tc>
          <w:tcPr>
            <w:tcW w:w="0" w:type="auto"/>
            <w:vMerge w:val="restart"/>
            <w:shd w:val="clear" w:color="auto" w:fill="auto"/>
            <w:noWrap/>
            <w:vAlign w:val="center"/>
            <w:hideMark/>
          </w:tcPr>
          <w:p w:rsidR="00A06BC6" w:rsidRPr="00EF7EA3" w:rsidRDefault="00A06BC6" w:rsidP="00A06BC6">
            <w:pPr>
              <w:pStyle w:val="table2"/>
              <w:jc w:val="both"/>
              <w:rPr>
                <w:rFonts w:cs="Arial"/>
                <w:lang w:eastAsia="en-AU"/>
              </w:rPr>
            </w:pPr>
            <w:r w:rsidRPr="00EF7EA3">
              <w:rPr>
                <w:rFonts w:cs="Arial"/>
                <w:lang w:eastAsia="en-AU"/>
              </w:rPr>
              <w:t>9/04/10</w:t>
            </w:r>
          </w:p>
        </w:tc>
        <w:tc>
          <w:tcPr>
            <w:tcW w:w="0" w:type="auto"/>
            <w:shd w:val="clear" w:color="auto" w:fill="auto"/>
            <w:noWrap/>
            <w:vAlign w:val="bottom"/>
            <w:hideMark/>
          </w:tcPr>
          <w:p w:rsidR="00A06BC6" w:rsidRPr="00EF7EA3" w:rsidRDefault="00A06BC6" w:rsidP="00A06BC6">
            <w:pPr>
              <w:pStyle w:val="table2"/>
              <w:jc w:val="both"/>
              <w:rPr>
                <w:rFonts w:cs="Arial"/>
                <w:lang w:eastAsia="en-AU"/>
              </w:rPr>
            </w:pPr>
            <w:r w:rsidRPr="00EF7EA3">
              <w:rPr>
                <w:rFonts w:cs="Arial"/>
                <w:snapToGrid w:val="0"/>
                <w:color w:val="000000"/>
                <w:position w:val="4"/>
                <w:sz w:val="11"/>
                <w:szCs w:val="0"/>
                <w:u w:color="000000"/>
                <w:lang w:eastAsia="en-AU"/>
              </w:rPr>
              <w:t>238</w:t>
            </w:r>
            <w:r w:rsidRPr="00EF7EA3">
              <w:rPr>
                <w:rFonts w:cs="Arial"/>
                <w:lang w:eastAsia="en-AU"/>
              </w:rPr>
              <w:t>U</w:t>
            </w:r>
          </w:p>
        </w:tc>
        <w:tc>
          <w:tcPr>
            <w:tcW w:w="0" w:type="auto"/>
            <w:vAlign w:val="bottom"/>
          </w:tcPr>
          <w:p w:rsidR="00A06BC6" w:rsidRPr="00EF7EA3" w:rsidRDefault="00A06BC6" w:rsidP="00A06BC6">
            <w:pPr>
              <w:pStyle w:val="table2"/>
              <w:jc w:val="both"/>
              <w:rPr>
                <w:rFonts w:cs="Arial"/>
              </w:rPr>
            </w:pPr>
            <w:r w:rsidRPr="00EF7EA3">
              <w:rPr>
                <w:rFonts w:cs="Arial"/>
              </w:rPr>
              <w:t>157±16</w:t>
            </w:r>
          </w:p>
        </w:tc>
        <w:tc>
          <w:tcPr>
            <w:tcW w:w="0" w:type="auto"/>
            <w:vAlign w:val="bottom"/>
          </w:tcPr>
          <w:p w:rsidR="00A06BC6" w:rsidRPr="00EF7EA3" w:rsidRDefault="00A06BC6" w:rsidP="00A06BC6">
            <w:pPr>
              <w:pStyle w:val="table2"/>
              <w:jc w:val="both"/>
              <w:rPr>
                <w:rFonts w:cs="Arial"/>
              </w:rPr>
            </w:pPr>
            <w:r w:rsidRPr="00EF7EA3">
              <w:rPr>
                <w:rFonts w:cs="Arial"/>
              </w:rPr>
              <w:t>258±26</w:t>
            </w:r>
          </w:p>
        </w:tc>
        <w:tc>
          <w:tcPr>
            <w:tcW w:w="0" w:type="auto"/>
            <w:vAlign w:val="bottom"/>
          </w:tcPr>
          <w:p w:rsidR="00A06BC6" w:rsidRPr="00EF7EA3" w:rsidRDefault="00A06BC6" w:rsidP="00A06BC6">
            <w:pPr>
              <w:pStyle w:val="table2"/>
              <w:jc w:val="both"/>
              <w:rPr>
                <w:rFonts w:cs="Arial"/>
              </w:rPr>
            </w:pPr>
            <w:r w:rsidRPr="00EF7EA3">
              <w:rPr>
                <w:rFonts w:cs="Arial"/>
              </w:rPr>
              <w:t>414±30</w:t>
            </w:r>
          </w:p>
        </w:tc>
        <w:tc>
          <w:tcPr>
            <w:tcW w:w="0" w:type="auto"/>
            <w:vAlign w:val="bottom"/>
          </w:tcPr>
          <w:p w:rsidR="00A06BC6" w:rsidRPr="00EF7EA3" w:rsidRDefault="00A06BC6" w:rsidP="00A06BC6">
            <w:pPr>
              <w:pStyle w:val="table2"/>
              <w:jc w:val="both"/>
              <w:rPr>
                <w:rFonts w:cs="Arial"/>
              </w:rPr>
            </w:pPr>
            <w:r w:rsidRPr="00EF7EA3">
              <w:rPr>
                <w:rFonts w:cs="Arial"/>
              </w:rPr>
              <w:t>1254±125</w:t>
            </w:r>
          </w:p>
        </w:tc>
        <w:tc>
          <w:tcPr>
            <w:tcW w:w="0" w:type="auto"/>
            <w:vMerge w:val="restart"/>
            <w:vAlign w:val="center"/>
          </w:tcPr>
          <w:p w:rsidR="00A06BC6" w:rsidRPr="00EF7EA3" w:rsidRDefault="00A06BC6" w:rsidP="00A06BC6">
            <w:pPr>
              <w:pStyle w:val="table2"/>
              <w:jc w:val="both"/>
              <w:rPr>
                <w:rFonts w:cs="Arial"/>
                <w:szCs w:val="16"/>
              </w:rPr>
            </w:pPr>
            <w:r w:rsidRPr="00EF7EA3">
              <w:rPr>
                <w:rFonts w:cs="Arial"/>
                <w:szCs w:val="16"/>
              </w:rPr>
              <w:t>126:20:1</w:t>
            </w:r>
          </w:p>
        </w:tc>
        <w:tc>
          <w:tcPr>
            <w:tcW w:w="1004" w:type="dxa"/>
            <w:vMerge w:val="restart"/>
            <w:vAlign w:val="center"/>
          </w:tcPr>
          <w:p w:rsidR="00A06BC6" w:rsidRPr="00EF7EA3" w:rsidRDefault="00A06BC6" w:rsidP="00A06BC6">
            <w:pPr>
              <w:pStyle w:val="table2"/>
              <w:jc w:val="both"/>
              <w:rPr>
                <w:rFonts w:cs="Arial"/>
                <w:szCs w:val="16"/>
              </w:rPr>
            </w:pPr>
            <w:r w:rsidRPr="00EF7EA3">
              <w:rPr>
                <w:rFonts w:cs="Arial"/>
                <w:szCs w:val="16"/>
              </w:rPr>
              <w:t>2.6:1.4:1</w:t>
            </w:r>
          </w:p>
        </w:tc>
      </w:tr>
      <w:tr w:rsidR="00A06BC6" w:rsidRPr="00EF7EA3" w:rsidTr="00A06BC6">
        <w:trPr>
          <w:trHeight w:val="255"/>
        </w:trPr>
        <w:tc>
          <w:tcPr>
            <w:tcW w:w="0" w:type="auto"/>
            <w:vMerge/>
            <w:shd w:val="clear" w:color="auto" w:fill="auto"/>
            <w:noWrap/>
            <w:vAlign w:val="center"/>
            <w:hideMark/>
          </w:tcPr>
          <w:p w:rsidR="00A06BC6" w:rsidRPr="00EF7EA3" w:rsidRDefault="00A06BC6" w:rsidP="00A06BC6">
            <w:pPr>
              <w:pStyle w:val="table2"/>
              <w:jc w:val="both"/>
              <w:rPr>
                <w:rFonts w:cs="Arial"/>
                <w:lang w:eastAsia="en-AU"/>
              </w:rPr>
            </w:pPr>
          </w:p>
        </w:tc>
        <w:tc>
          <w:tcPr>
            <w:tcW w:w="0" w:type="auto"/>
            <w:vMerge/>
            <w:shd w:val="clear" w:color="auto" w:fill="auto"/>
            <w:noWrap/>
            <w:vAlign w:val="center"/>
            <w:hideMark/>
          </w:tcPr>
          <w:p w:rsidR="00A06BC6" w:rsidRPr="00EF7EA3" w:rsidRDefault="00A06BC6" w:rsidP="00A06BC6">
            <w:pPr>
              <w:pStyle w:val="table2"/>
              <w:jc w:val="both"/>
              <w:rPr>
                <w:rFonts w:cs="Arial"/>
                <w:lang w:eastAsia="en-AU"/>
              </w:rPr>
            </w:pPr>
          </w:p>
        </w:tc>
        <w:tc>
          <w:tcPr>
            <w:tcW w:w="0" w:type="auto"/>
            <w:shd w:val="clear" w:color="auto" w:fill="auto"/>
            <w:noWrap/>
            <w:vAlign w:val="bottom"/>
            <w:hideMark/>
          </w:tcPr>
          <w:p w:rsidR="00A06BC6" w:rsidRPr="00EF7EA3" w:rsidRDefault="00A06BC6" w:rsidP="00A06BC6">
            <w:pPr>
              <w:pStyle w:val="table2"/>
              <w:jc w:val="both"/>
              <w:rPr>
                <w:rFonts w:cs="Arial"/>
                <w:lang w:eastAsia="en-AU"/>
              </w:rPr>
            </w:pPr>
            <w:r w:rsidRPr="00EF7EA3">
              <w:rPr>
                <w:rFonts w:cs="Arial"/>
                <w:snapToGrid w:val="0"/>
                <w:color w:val="000000"/>
                <w:position w:val="4"/>
                <w:sz w:val="11"/>
                <w:szCs w:val="0"/>
                <w:u w:color="000000"/>
                <w:lang w:eastAsia="en-AU"/>
              </w:rPr>
              <w:t>226</w:t>
            </w:r>
            <w:r w:rsidRPr="00EF7EA3">
              <w:rPr>
                <w:rFonts w:cs="Arial"/>
                <w:lang w:eastAsia="en-AU"/>
              </w:rPr>
              <w:t>Ra</w:t>
            </w:r>
          </w:p>
        </w:tc>
        <w:tc>
          <w:tcPr>
            <w:tcW w:w="0" w:type="auto"/>
            <w:vAlign w:val="bottom"/>
          </w:tcPr>
          <w:p w:rsidR="00A06BC6" w:rsidRPr="00EF7EA3" w:rsidRDefault="00A06BC6" w:rsidP="00A06BC6">
            <w:pPr>
              <w:pStyle w:val="table2"/>
              <w:jc w:val="both"/>
              <w:rPr>
                <w:rFonts w:cs="Arial"/>
              </w:rPr>
            </w:pPr>
            <w:r w:rsidRPr="00EF7EA3">
              <w:rPr>
                <w:rFonts w:cs="Arial"/>
              </w:rPr>
              <w:t>24.6±1</w:t>
            </w:r>
          </w:p>
        </w:tc>
        <w:tc>
          <w:tcPr>
            <w:tcW w:w="0" w:type="auto"/>
            <w:vAlign w:val="bottom"/>
          </w:tcPr>
          <w:p w:rsidR="00A06BC6" w:rsidRPr="00EF7EA3" w:rsidRDefault="00A06BC6" w:rsidP="00A06BC6">
            <w:pPr>
              <w:pStyle w:val="table2"/>
              <w:jc w:val="both"/>
              <w:rPr>
                <w:rFonts w:cs="Arial"/>
              </w:rPr>
            </w:pPr>
            <w:r w:rsidRPr="00EF7EA3">
              <w:rPr>
                <w:rFonts w:cs="Arial"/>
              </w:rPr>
              <w:t>136±5</w:t>
            </w:r>
          </w:p>
        </w:tc>
        <w:tc>
          <w:tcPr>
            <w:tcW w:w="0" w:type="auto"/>
            <w:vAlign w:val="bottom"/>
          </w:tcPr>
          <w:p w:rsidR="00A06BC6" w:rsidRPr="00EF7EA3" w:rsidRDefault="00A06BC6" w:rsidP="00A06BC6">
            <w:pPr>
              <w:pStyle w:val="table2"/>
              <w:jc w:val="both"/>
              <w:rPr>
                <w:rFonts w:cs="Arial"/>
              </w:rPr>
            </w:pPr>
            <w:r w:rsidRPr="00EF7EA3">
              <w:rPr>
                <w:rFonts w:cs="Arial"/>
              </w:rPr>
              <w:t>161±5</w:t>
            </w:r>
          </w:p>
        </w:tc>
        <w:tc>
          <w:tcPr>
            <w:tcW w:w="0" w:type="auto"/>
            <w:vAlign w:val="bottom"/>
          </w:tcPr>
          <w:p w:rsidR="00A06BC6" w:rsidRPr="00EF7EA3" w:rsidRDefault="00A06BC6" w:rsidP="00A06BC6">
            <w:pPr>
              <w:pStyle w:val="table2"/>
              <w:jc w:val="both"/>
              <w:rPr>
                <w:rFonts w:cs="Arial"/>
              </w:rPr>
            </w:pPr>
            <w:r w:rsidRPr="00EF7EA3">
              <w:rPr>
                <w:rFonts w:cs="Arial"/>
              </w:rPr>
              <w:t>662±24</w:t>
            </w:r>
          </w:p>
        </w:tc>
        <w:tc>
          <w:tcPr>
            <w:tcW w:w="0" w:type="auto"/>
            <w:vMerge/>
            <w:vAlign w:val="bottom"/>
          </w:tcPr>
          <w:p w:rsidR="00A06BC6" w:rsidRPr="00EF7EA3" w:rsidRDefault="00A06BC6" w:rsidP="00A06BC6">
            <w:pPr>
              <w:pStyle w:val="table2"/>
              <w:jc w:val="both"/>
              <w:rPr>
                <w:rFonts w:cs="Arial"/>
                <w:szCs w:val="16"/>
              </w:rPr>
            </w:pPr>
          </w:p>
        </w:tc>
        <w:tc>
          <w:tcPr>
            <w:tcW w:w="1004" w:type="dxa"/>
            <w:vMerge/>
            <w:vAlign w:val="center"/>
          </w:tcPr>
          <w:p w:rsidR="00A06BC6" w:rsidRPr="00EF7EA3" w:rsidRDefault="00A06BC6" w:rsidP="00A06BC6">
            <w:pPr>
              <w:pStyle w:val="table2"/>
              <w:jc w:val="both"/>
              <w:rPr>
                <w:rFonts w:cs="Arial"/>
                <w:szCs w:val="16"/>
              </w:rPr>
            </w:pPr>
          </w:p>
        </w:tc>
      </w:tr>
      <w:tr w:rsidR="00A06BC6" w:rsidRPr="00EF7EA3" w:rsidTr="00A06BC6">
        <w:trPr>
          <w:trHeight w:val="255"/>
        </w:trPr>
        <w:tc>
          <w:tcPr>
            <w:tcW w:w="0" w:type="auto"/>
            <w:vMerge/>
            <w:shd w:val="clear" w:color="auto" w:fill="auto"/>
            <w:noWrap/>
            <w:vAlign w:val="center"/>
            <w:hideMark/>
          </w:tcPr>
          <w:p w:rsidR="00A06BC6" w:rsidRPr="00EF7EA3" w:rsidRDefault="00A06BC6" w:rsidP="00A06BC6">
            <w:pPr>
              <w:pStyle w:val="table2"/>
              <w:jc w:val="both"/>
              <w:rPr>
                <w:rFonts w:cs="Arial"/>
                <w:lang w:eastAsia="en-AU"/>
              </w:rPr>
            </w:pPr>
          </w:p>
        </w:tc>
        <w:tc>
          <w:tcPr>
            <w:tcW w:w="0" w:type="auto"/>
            <w:vMerge/>
            <w:shd w:val="clear" w:color="auto" w:fill="auto"/>
            <w:noWrap/>
            <w:vAlign w:val="center"/>
            <w:hideMark/>
          </w:tcPr>
          <w:p w:rsidR="00A06BC6" w:rsidRPr="00EF7EA3" w:rsidRDefault="00A06BC6" w:rsidP="00A06BC6">
            <w:pPr>
              <w:pStyle w:val="table2"/>
              <w:jc w:val="both"/>
              <w:rPr>
                <w:rFonts w:cs="Arial"/>
                <w:lang w:eastAsia="en-AU"/>
              </w:rPr>
            </w:pPr>
          </w:p>
        </w:tc>
        <w:tc>
          <w:tcPr>
            <w:tcW w:w="0" w:type="auto"/>
            <w:shd w:val="clear" w:color="auto" w:fill="auto"/>
            <w:noWrap/>
            <w:vAlign w:val="bottom"/>
            <w:hideMark/>
          </w:tcPr>
          <w:p w:rsidR="00A06BC6" w:rsidRPr="00EF7EA3" w:rsidRDefault="00A06BC6" w:rsidP="00A06BC6">
            <w:pPr>
              <w:pStyle w:val="table2"/>
              <w:jc w:val="both"/>
              <w:rPr>
                <w:rFonts w:cs="Arial"/>
                <w:lang w:eastAsia="en-AU"/>
              </w:rPr>
            </w:pPr>
            <w:r w:rsidRPr="00EF7EA3">
              <w:rPr>
                <w:rFonts w:cs="Arial"/>
                <w:snapToGrid w:val="0"/>
                <w:color w:val="000000"/>
                <w:position w:val="4"/>
                <w:sz w:val="11"/>
                <w:szCs w:val="0"/>
                <w:u w:color="000000"/>
                <w:lang w:eastAsia="en-AU"/>
              </w:rPr>
              <w:t>210</w:t>
            </w:r>
            <w:r w:rsidRPr="00EF7EA3">
              <w:rPr>
                <w:rFonts w:cs="Arial"/>
                <w:lang w:eastAsia="en-AU"/>
              </w:rPr>
              <w:t>Po</w:t>
            </w:r>
          </w:p>
        </w:tc>
        <w:tc>
          <w:tcPr>
            <w:tcW w:w="0" w:type="auto"/>
            <w:vAlign w:val="bottom"/>
          </w:tcPr>
          <w:p w:rsidR="00A06BC6" w:rsidRPr="00EF7EA3" w:rsidRDefault="00A06BC6" w:rsidP="00A06BC6">
            <w:pPr>
              <w:pStyle w:val="table2"/>
              <w:jc w:val="both"/>
              <w:rPr>
                <w:rFonts w:cs="Arial"/>
              </w:rPr>
            </w:pPr>
            <w:r w:rsidRPr="00EF7EA3">
              <w:rPr>
                <w:rFonts w:cs="Arial"/>
              </w:rPr>
              <w:t>1.24±0.18</w:t>
            </w:r>
          </w:p>
        </w:tc>
        <w:tc>
          <w:tcPr>
            <w:tcW w:w="0" w:type="auto"/>
            <w:vAlign w:val="bottom"/>
          </w:tcPr>
          <w:p w:rsidR="00A06BC6" w:rsidRPr="00EF7EA3" w:rsidRDefault="00A06BC6" w:rsidP="00A06BC6">
            <w:pPr>
              <w:pStyle w:val="table2"/>
              <w:jc w:val="both"/>
              <w:rPr>
                <w:rFonts w:cs="Arial"/>
              </w:rPr>
            </w:pPr>
            <w:r w:rsidRPr="00EF7EA3">
              <w:rPr>
                <w:rFonts w:cs="Arial"/>
              </w:rPr>
              <w:t>100±4</w:t>
            </w:r>
          </w:p>
        </w:tc>
        <w:tc>
          <w:tcPr>
            <w:tcW w:w="0" w:type="auto"/>
            <w:vAlign w:val="bottom"/>
          </w:tcPr>
          <w:p w:rsidR="00A06BC6" w:rsidRPr="00EF7EA3" w:rsidRDefault="00A06BC6" w:rsidP="00A06BC6">
            <w:pPr>
              <w:pStyle w:val="table2"/>
              <w:jc w:val="both"/>
              <w:rPr>
                <w:rFonts w:cs="Arial"/>
              </w:rPr>
            </w:pPr>
            <w:r w:rsidRPr="00EF7EA3">
              <w:rPr>
                <w:rFonts w:cs="Arial"/>
              </w:rPr>
              <w:t>101±4</w:t>
            </w:r>
          </w:p>
        </w:tc>
        <w:tc>
          <w:tcPr>
            <w:tcW w:w="0" w:type="auto"/>
            <w:vAlign w:val="bottom"/>
          </w:tcPr>
          <w:p w:rsidR="00A06BC6" w:rsidRPr="00EF7EA3" w:rsidRDefault="00A06BC6" w:rsidP="00A06BC6">
            <w:pPr>
              <w:pStyle w:val="table2"/>
              <w:jc w:val="both"/>
              <w:rPr>
                <w:rFonts w:cs="Arial"/>
              </w:rPr>
            </w:pPr>
            <w:r w:rsidRPr="00EF7EA3">
              <w:rPr>
                <w:rFonts w:cs="Arial"/>
              </w:rPr>
              <w:t>487±21</w:t>
            </w:r>
          </w:p>
        </w:tc>
        <w:tc>
          <w:tcPr>
            <w:tcW w:w="0" w:type="auto"/>
            <w:vMerge/>
            <w:vAlign w:val="bottom"/>
          </w:tcPr>
          <w:p w:rsidR="00A06BC6" w:rsidRPr="00EF7EA3" w:rsidRDefault="00A06BC6" w:rsidP="00A06BC6">
            <w:pPr>
              <w:pStyle w:val="table2"/>
              <w:jc w:val="both"/>
              <w:rPr>
                <w:rFonts w:cs="Arial"/>
                <w:szCs w:val="16"/>
              </w:rPr>
            </w:pPr>
          </w:p>
        </w:tc>
        <w:tc>
          <w:tcPr>
            <w:tcW w:w="1004" w:type="dxa"/>
            <w:vMerge/>
            <w:vAlign w:val="center"/>
          </w:tcPr>
          <w:p w:rsidR="00A06BC6" w:rsidRPr="00EF7EA3" w:rsidRDefault="00A06BC6" w:rsidP="00A06BC6">
            <w:pPr>
              <w:pStyle w:val="table2"/>
              <w:jc w:val="both"/>
              <w:rPr>
                <w:rFonts w:cs="Arial"/>
                <w:szCs w:val="16"/>
              </w:rPr>
            </w:pPr>
          </w:p>
        </w:tc>
      </w:tr>
      <w:tr w:rsidR="00A06BC6" w:rsidRPr="00EF7EA3" w:rsidTr="00A06BC6">
        <w:trPr>
          <w:trHeight w:val="255"/>
        </w:trPr>
        <w:tc>
          <w:tcPr>
            <w:tcW w:w="0" w:type="auto"/>
            <w:vMerge w:val="restart"/>
            <w:shd w:val="clear" w:color="auto" w:fill="auto"/>
            <w:noWrap/>
            <w:vAlign w:val="center"/>
            <w:hideMark/>
          </w:tcPr>
          <w:p w:rsidR="00A06BC6" w:rsidRPr="00EF7EA3" w:rsidRDefault="00A06BC6" w:rsidP="00A06BC6">
            <w:pPr>
              <w:pStyle w:val="table2"/>
              <w:jc w:val="both"/>
              <w:rPr>
                <w:rFonts w:cs="Arial"/>
                <w:lang w:eastAsia="en-AU"/>
              </w:rPr>
            </w:pPr>
            <w:r w:rsidRPr="00EF7EA3">
              <w:rPr>
                <w:rFonts w:cs="Arial"/>
                <w:lang w:eastAsia="en-AU"/>
              </w:rPr>
              <w:t>TL10002</w:t>
            </w:r>
          </w:p>
          <w:p w:rsidR="00A06BC6" w:rsidRPr="00EF7EA3" w:rsidRDefault="00A06BC6" w:rsidP="00A06BC6">
            <w:pPr>
              <w:pStyle w:val="table2"/>
              <w:jc w:val="both"/>
              <w:rPr>
                <w:rFonts w:cs="Arial"/>
                <w:lang w:eastAsia="en-AU"/>
              </w:rPr>
            </w:pPr>
            <w:r w:rsidRPr="00EF7EA3">
              <w:rPr>
                <w:rFonts w:cs="Arial"/>
                <w:lang w:eastAsia="en-AU"/>
              </w:rPr>
              <w:t>(EP1)</w:t>
            </w:r>
          </w:p>
        </w:tc>
        <w:tc>
          <w:tcPr>
            <w:tcW w:w="0" w:type="auto"/>
            <w:vMerge w:val="restart"/>
            <w:shd w:val="clear" w:color="auto" w:fill="auto"/>
            <w:noWrap/>
            <w:vAlign w:val="center"/>
            <w:hideMark/>
          </w:tcPr>
          <w:p w:rsidR="00A06BC6" w:rsidRPr="00EF7EA3" w:rsidRDefault="00A06BC6" w:rsidP="00A06BC6">
            <w:pPr>
              <w:pStyle w:val="table2"/>
              <w:jc w:val="both"/>
              <w:rPr>
                <w:rFonts w:cs="Arial"/>
                <w:lang w:eastAsia="en-AU"/>
              </w:rPr>
            </w:pPr>
            <w:r w:rsidRPr="00EF7EA3">
              <w:rPr>
                <w:rFonts w:cs="Arial"/>
                <w:lang w:eastAsia="en-AU"/>
              </w:rPr>
              <w:t>9/04/10</w:t>
            </w:r>
          </w:p>
        </w:tc>
        <w:tc>
          <w:tcPr>
            <w:tcW w:w="0" w:type="auto"/>
            <w:shd w:val="clear" w:color="auto" w:fill="auto"/>
            <w:noWrap/>
            <w:vAlign w:val="bottom"/>
            <w:hideMark/>
          </w:tcPr>
          <w:p w:rsidR="00A06BC6" w:rsidRPr="00EF7EA3" w:rsidRDefault="00A06BC6" w:rsidP="00A06BC6">
            <w:pPr>
              <w:pStyle w:val="table2"/>
              <w:jc w:val="both"/>
              <w:rPr>
                <w:rFonts w:cs="Arial"/>
                <w:lang w:eastAsia="en-AU"/>
              </w:rPr>
            </w:pPr>
            <w:r w:rsidRPr="00EF7EA3">
              <w:rPr>
                <w:rFonts w:cs="Arial"/>
                <w:snapToGrid w:val="0"/>
                <w:color w:val="000000"/>
                <w:position w:val="4"/>
                <w:sz w:val="11"/>
                <w:szCs w:val="0"/>
                <w:u w:color="000000"/>
                <w:lang w:eastAsia="en-AU"/>
              </w:rPr>
              <w:t>238</w:t>
            </w:r>
            <w:r w:rsidRPr="00EF7EA3">
              <w:rPr>
                <w:rFonts w:cs="Arial"/>
                <w:lang w:eastAsia="en-AU"/>
              </w:rPr>
              <w:t>U</w:t>
            </w:r>
          </w:p>
        </w:tc>
        <w:tc>
          <w:tcPr>
            <w:tcW w:w="0" w:type="auto"/>
            <w:vAlign w:val="bottom"/>
          </w:tcPr>
          <w:p w:rsidR="00A06BC6" w:rsidRPr="00EF7EA3" w:rsidRDefault="00A06BC6" w:rsidP="00A06BC6">
            <w:pPr>
              <w:pStyle w:val="table2"/>
              <w:jc w:val="both"/>
              <w:rPr>
                <w:rFonts w:cs="Arial"/>
              </w:rPr>
            </w:pPr>
            <w:r w:rsidRPr="00EF7EA3">
              <w:rPr>
                <w:rFonts w:cs="Arial"/>
              </w:rPr>
              <w:t>79±8</w:t>
            </w:r>
          </w:p>
        </w:tc>
        <w:tc>
          <w:tcPr>
            <w:tcW w:w="0" w:type="auto"/>
            <w:vAlign w:val="bottom"/>
          </w:tcPr>
          <w:p w:rsidR="00A06BC6" w:rsidRPr="00EF7EA3" w:rsidRDefault="00A06BC6" w:rsidP="00A06BC6">
            <w:pPr>
              <w:pStyle w:val="table2"/>
              <w:jc w:val="both"/>
              <w:rPr>
                <w:rFonts w:cs="Arial"/>
              </w:rPr>
            </w:pPr>
            <w:r w:rsidRPr="00EF7EA3">
              <w:rPr>
                <w:rFonts w:cs="Arial"/>
              </w:rPr>
              <w:t>313±31</w:t>
            </w:r>
          </w:p>
        </w:tc>
        <w:tc>
          <w:tcPr>
            <w:tcW w:w="0" w:type="auto"/>
            <w:vAlign w:val="bottom"/>
          </w:tcPr>
          <w:p w:rsidR="00A06BC6" w:rsidRPr="00EF7EA3" w:rsidRDefault="00A06BC6" w:rsidP="00A06BC6">
            <w:pPr>
              <w:pStyle w:val="table2"/>
              <w:jc w:val="both"/>
              <w:rPr>
                <w:rFonts w:cs="Arial"/>
              </w:rPr>
            </w:pPr>
            <w:r w:rsidRPr="00EF7EA3">
              <w:rPr>
                <w:rFonts w:cs="Arial"/>
              </w:rPr>
              <w:t>392±32</w:t>
            </w:r>
          </w:p>
        </w:tc>
        <w:tc>
          <w:tcPr>
            <w:tcW w:w="0" w:type="auto"/>
            <w:vAlign w:val="bottom"/>
          </w:tcPr>
          <w:p w:rsidR="00A06BC6" w:rsidRPr="00EF7EA3" w:rsidRDefault="00A06BC6" w:rsidP="00A06BC6">
            <w:pPr>
              <w:pStyle w:val="table2"/>
              <w:jc w:val="both"/>
              <w:rPr>
                <w:rFonts w:cs="Arial"/>
              </w:rPr>
            </w:pPr>
            <w:r w:rsidRPr="00EF7EA3">
              <w:rPr>
                <w:rFonts w:cs="Arial"/>
              </w:rPr>
              <w:t>931±93</w:t>
            </w:r>
          </w:p>
        </w:tc>
        <w:tc>
          <w:tcPr>
            <w:tcW w:w="0" w:type="auto"/>
            <w:vMerge w:val="restart"/>
            <w:vAlign w:val="center"/>
          </w:tcPr>
          <w:p w:rsidR="00A06BC6" w:rsidRPr="00EF7EA3" w:rsidRDefault="00A06BC6" w:rsidP="00A06BC6">
            <w:pPr>
              <w:pStyle w:val="table2"/>
              <w:jc w:val="both"/>
              <w:rPr>
                <w:rFonts w:cs="Arial"/>
                <w:szCs w:val="16"/>
              </w:rPr>
            </w:pPr>
            <w:r w:rsidRPr="00EF7EA3">
              <w:rPr>
                <w:rFonts w:cs="Arial"/>
                <w:szCs w:val="16"/>
              </w:rPr>
              <w:t>68:9:1</w:t>
            </w:r>
          </w:p>
        </w:tc>
        <w:tc>
          <w:tcPr>
            <w:tcW w:w="1004" w:type="dxa"/>
            <w:vMerge w:val="restart"/>
            <w:vAlign w:val="center"/>
          </w:tcPr>
          <w:p w:rsidR="00A06BC6" w:rsidRPr="00EF7EA3" w:rsidRDefault="00A06BC6" w:rsidP="00A06BC6">
            <w:pPr>
              <w:pStyle w:val="table2"/>
              <w:jc w:val="both"/>
              <w:rPr>
                <w:rFonts w:cs="Arial"/>
                <w:szCs w:val="16"/>
              </w:rPr>
            </w:pPr>
            <w:r w:rsidRPr="00EF7EA3">
              <w:rPr>
                <w:rFonts w:cs="Arial"/>
                <w:szCs w:val="16"/>
              </w:rPr>
              <w:t>1.8:1.5:1</w:t>
            </w:r>
          </w:p>
        </w:tc>
      </w:tr>
      <w:tr w:rsidR="00A06BC6" w:rsidRPr="00EF7EA3" w:rsidTr="00A06BC6">
        <w:trPr>
          <w:trHeight w:val="255"/>
        </w:trPr>
        <w:tc>
          <w:tcPr>
            <w:tcW w:w="0" w:type="auto"/>
            <w:vMerge/>
            <w:shd w:val="clear" w:color="auto" w:fill="auto"/>
            <w:noWrap/>
            <w:vAlign w:val="center"/>
            <w:hideMark/>
          </w:tcPr>
          <w:p w:rsidR="00A06BC6" w:rsidRPr="00EF7EA3" w:rsidRDefault="00A06BC6" w:rsidP="00A06BC6">
            <w:pPr>
              <w:pStyle w:val="table2"/>
              <w:jc w:val="both"/>
              <w:rPr>
                <w:rFonts w:cs="Arial"/>
                <w:lang w:eastAsia="en-AU"/>
              </w:rPr>
            </w:pPr>
          </w:p>
        </w:tc>
        <w:tc>
          <w:tcPr>
            <w:tcW w:w="0" w:type="auto"/>
            <w:vMerge/>
            <w:shd w:val="clear" w:color="auto" w:fill="auto"/>
            <w:noWrap/>
            <w:vAlign w:val="center"/>
            <w:hideMark/>
          </w:tcPr>
          <w:p w:rsidR="00A06BC6" w:rsidRPr="00EF7EA3" w:rsidRDefault="00A06BC6" w:rsidP="00A06BC6">
            <w:pPr>
              <w:pStyle w:val="table2"/>
              <w:jc w:val="both"/>
              <w:rPr>
                <w:rFonts w:cs="Arial"/>
                <w:lang w:eastAsia="en-AU"/>
              </w:rPr>
            </w:pPr>
          </w:p>
        </w:tc>
        <w:tc>
          <w:tcPr>
            <w:tcW w:w="0" w:type="auto"/>
            <w:shd w:val="clear" w:color="auto" w:fill="auto"/>
            <w:noWrap/>
            <w:vAlign w:val="bottom"/>
            <w:hideMark/>
          </w:tcPr>
          <w:p w:rsidR="00A06BC6" w:rsidRPr="00EF7EA3" w:rsidRDefault="00A06BC6" w:rsidP="00A06BC6">
            <w:pPr>
              <w:pStyle w:val="table2"/>
              <w:jc w:val="both"/>
              <w:rPr>
                <w:rFonts w:cs="Arial"/>
                <w:lang w:eastAsia="en-AU"/>
              </w:rPr>
            </w:pPr>
            <w:r w:rsidRPr="00EF7EA3">
              <w:rPr>
                <w:rFonts w:cs="Arial"/>
                <w:snapToGrid w:val="0"/>
                <w:color w:val="000000"/>
                <w:position w:val="4"/>
                <w:sz w:val="11"/>
                <w:szCs w:val="0"/>
                <w:u w:color="000000"/>
                <w:lang w:eastAsia="en-AU"/>
              </w:rPr>
              <w:t>226</w:t>
            </w:r>
            <w:r w:rsidRPr="00EF7EA3">
              <w:rPr>
                <w:rFonts w:cs="Arial"/>
                <w:lang w:eastAsia="en-AU"/>
              </w:rPr>
              <w:t>Ra</w:t>
            </w:r>
          </w:p>
        </w:tc>
        <w:tc>
          <w:tcPr>
            <w:tcW w:w="0" w:type="auto"/>
            <w:vAlign w:val="bottom"/>
          </w:tcPr>
          <w:p w:rsidR="00A06BC6" w:rsidRPr="00EF7EA3" w:rsidRDefault="00A06BC6" w:rsidP="00A06BC6">
            <w:pPr>
              <w:pStyle w:val="table2"/>
              <w:jc w:val="both"/>
              <w:rPr>
                <w:rFonts w:cs="Arial"/>
              </w:rPr>
            </w:pPr>
            <w:r w:rsidRPr="00EF7EA3">
              <w:rPr>
                <w:rFonts w:cs="Arial"/>
              </w:rPr>
              <w:t>10.6±0.6</w:t>
            </w:r>
          </w:p>
        </w:tc>
        <w:tc>
          <w:tcPr>
            <w:tcW w:w="0" w:type="auto"/>
            <w:vAlign w:val="bottom"/>
          </w:tcPr>
          <w:p w:rsidR="00A06BC6" w:rsidRPr="00EF7EA3" w:rsidRDefault="00A06BC6" w:rsidP="00A06BC6">
            <w:pPr>
              <w:pStyle w:val="table2"/>
              <w:jc w:val="both"/>
              <w:rPr>
                <w:rFonts w:cs="Arial"/>
              </w:rPr>
            </w:pPr>
            <w:r w:rsidRPr="00EF7EA3">
              <w:rPr>
                <w:rFonts w:cs="Arial"/>
              </w:rPr>
              <w:t>253±7</w:t>
            </w:r>
          </w:p>
        </w:tc>
        <w:tc>
          <w:tcPr>
            <w:tcW w:w="0" w:type="auto"/>
            <w:vAlign w:val="bottom"/>
          </w:tcPr>
          <w:p w:rsidR="00A06BC6" w:rsidRPr="00EF7EA3" w:rsidRDefault="00A06BC6" w:rsidP="00A06BC6">
            <w:pPr>
              <w:pStyle w:val="table2"/>
              <w:jc w:val="both"/>
              <w:rPr>
                <w:rFonts w:cs="Arial"/>
              </w:rPr>
            </w:pPr>
            <w:r w:rsidRPr="00EF7EA3">
              <w:rPr>
                <w:rFonts w:cs="Arial"/>
              </w:rPr>
              <w:t>264±7</w:t>
            </w:r>
          </w:p>
        </w:tc>
        <w:tc>
          <w:tcPr>
            <w:tcW w:w="0" w:type="auto"/>
            <w:vAlign w:val="bottom"/>
          </w:tcPr>
          <w:p w:rsidR="00A06BC6" w:rsidRPr="00EF7EA3" w:rsidRDefault="00A06BC6" w:rsidP="00A06BC6">
            <w:pPr>
              <w:pStyle w:val="table2"/>
              <w:jc w:val="both"/>
              <w:rPr>
                <w:rFonts w:cs="Arial"/>
              </w:rPr>
            </w:pPr>
            <w:r w:rsidRPr="00EF7EA3">
              <w:rPr>
                <w:rFonts w:cs="Arial"/>
              </w:rPr>
              <w:t>754±21</w:t>
            </w:r>
          </w:p>
        </w:tc>
        <w:tc>
          <w:tcPr>
            <w:tcW w:w="0" w:type="auto"/>
            <w:vMerge/>
            <w:vAlign w:val="bottom"/>
          </w:tcPr>
          <w:p w:rsidR="00A06BC6" w:rsidRPr="00EF7EA3" w:rsidRDefault="00A06BC6" w:rsidP="00A06BC6">
            <w:pPr>
              <w:pStyle w:val="table2"/>
              <w:jc w:val="both"/>
              <w:rPr>
                <w:rFonts w:cs="Arial"/>
                <w:szCs w:val="16"/>
              </w:rPr>
            </w:pPr>
          </w:p>
        </w:tc>
        <w:tc>
          <w:tcPr>
            <w:tcW w:w="1004" w:type="dxa"/>
            <w:vMerge/>
            <w:vAlign w:val="center"/>
          </w:tcPr>
          <w:p w:rsidR="00A06BC6" w:rsidRPr="00EF7EA3" w:rsidRDefault="00A06BC6" w:rsidP="00A06BC6">
            <w:pPr>
              <w:pStyle w:val="table2"/>
              <w:jc w:val="both"/>
              <w:rPr>
                <w:rFonts w:cs="Arial"/>
                <w:szCs w:val="16"/>
              </w:rPr>
            </w:pPr>
          </w:p>
        </w:tc>
      </w:tr>
      <w:tr w:rsidR="00A06BC6" w:rsidRPr="00EF7EA3" w:rsidTr="00A06BC6">
        <w:trPr>
          <w:trHeight w:val="255"/>
        </w:trPr>
        <w:tc>
          <w:tcPr>
            <w:tcW w:w="0" w:type="auto"/>
            <w:vMerge/>
            <w:shd w:val="clear" w:color="auto" w:fill="auto"/>
            <w:noWrap/>
            <w:vAlign w:val="center"/>
            <w:hideMark/>
          </w:tcPr>
          <w:p w:rsidR="00A06BC6" w:rsidRPr="00EF7EA3" w:rsidRDefault="00A06BC6" w:rsidP="00A06BC6">
            <w:pPr>
              <w:pStyle w:val="table2"/>
              <w:jc w:val="both"/>
              <w:rPr>
                <w:rFonts w:cs="Arial"/>
                <w:lang w:eastAsia="en-AU"/>
              </w:rPr>
            </w:pPr>
          </w:p>
        </w:tc>
        <w:tc>
          <w:tcPr>
            <w:tcW w:w="0" w:type="auto"/>
            <w:vMerge/>
            <w:shd w:val="clear" w:color="auto" w:fill="auto"/>
            <w:noWrap/>
            <w:vAlign w:val="center"/>
            <w:hideMark/>
          </w:tcPr>
          <w:p w:rsidR="00A06BC6" w:rsidRPr="00EF7EA3" w:rsidRDefault="00A06BC6" w:rsidP="00A06BC6">
            <w:pPr>
              <w:pStyle w:val="table2"/>
              <w:jc w:val="both"/>
              <w:rPr>
                <w:rFonts w:cs="Arial"/>
                <w:lang w:eastAsia="en-AU"/>
              </w:rPr>
            </w:pPr>
          </w:p>
        </w:tc>
        <w:tc>
          <w:tcPr>
            <w:tcW w:w="0" w:type="auto"/>
            <w:shd w:val="clear" w:color="auto" w:fill="auto"/>
            <w:noWrap/>
            <w:vAlign w:val="bottom"/>
            <w:hideMark/>
          </w:tcPr>
          <w:p w:rsidR="00A06BC6" w:rsidRPr="00EF7EA3" w:rsidRDefault="00A06BC6" w:rsidP="00A06BC6">
            <w:pPr>
              <w:pStyle w:val="table2"/>
              <w:jc w:val="both"/>
              <w:rPr>
                <w:rFonts w:cs="Arial"/>
                <w:lang w:eastAsia="en-AU"/>
              </w:rPr>
            </w:pPr>
            <w:r w:rsidRPr="00EF7EA3">
              <w:rPr>
                <w:rFonts w:cs="Arial"/>
                <w:snapToGrid w:val="0"/>
                <w:color w:val="000000"/>
                <w:position w:val="4"/>
                <w:sz w:val="11"/>
                <w:szCs w:val="0"/>
                <w:u w:color="000000"/>
                <w:lang w:eastAsia="en-AU"/>
              </w:rPr>
              <w:t>210</w:t>
            </w:r>
            <w:r w:rsidRPr="00EF7EA3">
              <w:rPr>
                <w:rFonts w:cs="Arial"/>
                <w:lang w:eastAsia="en-AU"/>
              </w:rPr>
              <w:t>Po</w:t>
            </w:r>
          </w:p>
        </w:tc>
        <w:tc>
          <w:tcPr>
            <w:tcW w:w="0" w:type="auto"/>
            <w:vAlign w:val="bottom"/>
          </w:tcPr>
          <w:p w:rsidR="00A06BC6" w:rsidRPr="00EF7EA3" w:rsidRDefault="00A06BC6" w:rsidP="00A06BC6">
            <w:pPr>
              <w:pStyle w:val="table2"/>
              <w:jc w:val="both"/>
              <w:rPr>
                <w:rFonts w:cs="Arial"/>
              </w:rPr>
            </w:pPr>
            <w:r w:rsidRPr="00EF7EA3">
              <w:rPr>
                <w:rFonts w:cs="Arial"/>
              </w:rPr>
              <w:t>1.16±0.2</w:t>
            </w:r>
          </w:p>
        </w:tc>
        <w:tc>
          <w:tcPr>
            <w:tcW w:w="0" w:type="auto"/>
            <w:vAlign w:val="bottom"/>
          </w:tcPr>
          <w:p w:rsidR="00A06BC6" w:rsidRPr="00EF7EA3" w:rsidRDefault="00A06BC6" w:rsidP="00A06BC6">
            <w:pPr>
              <w:pStyle w:val="table2"/>
              <w:jc w:val="both"/>
              <w:rPr>
                <w:rFonts w:cs="Arial"/>
              </w:rPr>
            </w:pPr>
            <w:r w:rsidRPr="00EF7EA3">
              <w:rPr>
                <w:rFonts w:cs="Arial"/>
              </w:rPr>
              <w:t>170±9</w:t>
            </w:r>
          </w:p>
        </w:tc>
        <w:tc>
          <w:tcPr>
            <w:tcW w:w="0" w:type="auto"/>
            <w:vAlign w:val="bottom"/>
          </w:tcPr>
          <w:p w:rsidR="00A06BC6" w:rsidRPr="00EF7EA3" w:rsidRDefault="00A06BC6" w:rsidP="00A06BC6">
            <w:pPr>
              <w:pStyle w:val="table2"/>
              <w:jc w:val="both"/>
              <w:rPr>
                <w:rFonts w:cs="Arial"/>
              </w:rPr>
            </w:pPr>
            <w:r w:rsidRPr="00EF7EA3">
              <w:rPr>
                <w:rFonts w:cs="Arial"/>
              </w:rPr>
              <w:t>171±9</w:t>
            </w:r>
          </w:p>
        </w:tc>
        <w:tc>
          <w:tcPr>
            <w:tcW w:w="0" w:type="auto"/>
            <w:vAlign w:val="bottom"/>
          </w:tcPr>
          <w:p w:rsidR="00A06BC6" w:rsidRPr="00EF7EA3" w:rsidRDefault="00A06BC6" w:rsidP="00A06BC6">
            <w:pPr>
              <w:pStyle w:val="table2"/>
              <w:jc w:val="both"/>
              <w:rPr>
                <w:rFonts w:cs="Arial"/>
              </w:rPr>
            </w:pPr>
            <w:r w:rsidRPr="00EF7EA3">
              <w:rPr>
                <w:rFonts w:cs="Arial"/>
              </w:rPr>
              <w:t>507±28</w:t>
            </w:r>
          </w:p>
        </w:tc>
        <w:tc>
          <w:tcPr>
            <w:tcW w:w="0" w:type="auto"/>
            <w:vMerge/>
            <w:vAlign w:val="bottom"/>
          </w:tcPr>
          <w:p w:rsidR="00A06BC6" w:rsidRPr="00EF7EA3" w:rsidRDefault="00A06BC6" w:rsidP="00A06BC6">
            <w:pPr>
              <w:pStyle w:val="table2"/>
              <w:jc w:val="both"/>
              <w:rPr>
                <w:rFonts w:cs="Arial"/>
                <w:szCs w:val="16"/>
              </w:rPr>
            </w:pPr>
          </w:p>
        </w:tc>
        <w:tc>
          <w:tcPr>
            <w:tcW w:w="1004" w:type="dxa"/>
            <w:vMerge/>
            <w:vAlign w:val="center"/>
          </w:tcPr>
          <w:p w:rsidR="00A06BC6" w:rsidRPr="00EF7EA3" w:rsidRDefault="00A06BC6" w:rsidP="00A06BC6">
            <w:pPr>
              <w:pStyle w:val="table2"/>
              <w:jc w:val="both"/>
              <w:rPr>
                <w:rFonts w:cs="Arial"/>
                <w:szCs w:val="16"/>
              </w:rPr>
            </w:pPr>
          </w:p>
        </w:tc>
      </w:tr>
      <w:tr w:rsidR="00A06BC6" w:rsidRPr="00EF7EA3" w:rsidTr="00A06BC6">
        <w:trPr>
          <w:trHeight w:val="255"/>
        </w:trPr>
        <w:tc>
          <w:tcPr>
            <w:tcW w:w="0" w:type="auto"/>
            <w:vMerge w:val="restart"/>
            <w:shd w:val="clear" w:color="auto" w:fill="auto"/>
            <w:noWrap/>
            <w:vAlign w:val="center"/>
            <w:hideMark/>
          </w:tcPr>
          <w:p w:rsidR="00A06BC6" w:rsidRPr="00EF7EA3" w:rsidRDefault="00A06BC6" w:rsidP="00A06BC6">
            <w:pPr>
              <w:pStyle w:val="table2"/>
              <w:jc w:val="both"/>
              <w:rPr>
                <w:rFonts w:cs="Arial"/>
                <w:lang w:eastAsia="en-AU"/>
              </w:rPr>
            </w:pPr>
            <w:r w:rsidRPr="00EF7EA3">
              <w:rPr>
                <w:rFonts w:cs="Arial"/>
                <w:lang w:eastAsia="en-AU"/>
              </w:rPr>
              <w:t>TL10003</w:t>
            </w:r>
          </w:p>
          <w:p w:rsidR="00A06BC6" w:rsidRPr="00EF7EA3" w:rsidRDefault="00A06BC6" w:rsidP="00A06BC6">
            <w:pPr>
              <w:pStyle w:val="table2"/>
              <w:jc w:val="both"/>
              <w:rPr>
                <w:rFonts w:cs="Arial"/>
                <w:lang w:eastAsia="en-AU"/>
              </w:rPr>
            </w:pPr>
            <w:r w:rsidRPr="00EF7EA3">
              <w:rPr>
                <w:rFonts w:cs="Arial"/>
                <w:lang w:eastAsia="en-AU"/>
              </w:rPr>
              <w:t>(EP1)</w:t>
            </w:r>
          </w:p>
        </w:tc>
        <w:tc>
          <w:tcPr>
            <w:tcW w:w="0" w:type="auto"/>
            <w:vMerge w:val="restart"/>
            <w:shd w:val="clear" w:color="auto" w:fill="auto"/>
            <w:noWrap/>
            <w:vAlign w:val="center"/>
            <w:hideMark/>
          </w:tcPr>
          <w:p w:rsidR="00A06BC6" w:rsidRPr="00EF7EA3" w:rsidRDefault="00A06BC6" w:rsidP="00A06BC6">
            <w:pPr>
              <w:pStyle w:val="table2"/>
              <w:jc w:val="both"/>
              <w:rPr>
                <w:rFonts w:cs="Arial"/>
                <w:lang w:eastAsia="en-AU"/>
              </w:rPr>
            </w:pPr>
            <w:r w:rsidRPr="00EF7EA3">
              <w:rPr>
                <w:rFonts w:cs="Arial"/>
                <w:lang w:eastAsia="en-AU"/>
              </w:rPr>
              <w:t>13/04/10</w:t>
            </w:r>
          </w:p>
        </w:tc>
        <w:tc>
          <w:tcPr>
            <w:tcW w:w="0" w:type="auto"/>
            <w:shd w:val="clear" w:color="auto" w:fill="auto"/>
            <w:noWrap/>
            <w:vAlign w:val="bottom"/>
            <w:hideMark/>
          </w:tcPr>
          <w:p w:rsidR="00A06BC6" w:rsidRPr="00EF7EA3" w:rsidRDefault="00A06BC6" w:rsidP="00A06BC6">
            <w:pPr>
              <w:pStyle w:val="table2"/>
              <w:jc w:val="both"/>
              <w:rPr>
                <w:rFonts w:cs="Arial"/>
                <w:lang w:eastAsia="en-AU"/>
              </w:rPr>
            </w:pPr>
            <w:r w:rsidRPr="00EF7EA3">
              <w:rPr>
                <w:rFonts w:cs="Arial"/>
                <w:snapToGrid w:val="0"/>
                <w:color w:val="000000"/>
                <w:position w:val="4"/>
                <w:sz w:val="11"/>
                <w:szCs w:val="0"/>
                <w:u w:color="000000"/>
                <w:lang w:eastAsia="en-AU"/>
              </w:rPr>
              <w:t>238</w:t>
            </w:r>
            <w:r w:rsidRPr="00EF7EA3">
              <w:rPr>
                <w:rFonts w:cs="Arial"/>
                <w:lang w:eastAsia="en-AU"/>
              </w:rPr>
              <w:t>U</w:t>
            </w:r>
          </w:p>
        </w:tc>
        <w:tc>
          <w:tcPr>
            <w:tcW w:w="0" w:type="auto"/>
            <w:vAlign w:val="bottom"/>
          </w:tcPr>
          <w:p w:rsidR="00A06BC6" w:rsidRPr="00EF7EA3" w:rsidRDefault="00A06BC6" w:rsidP="00A06BC6">
            <w:pPr>
              <w:pStyle w:val="table2"/>
              <w:jc w:val="both"/>
              <w:rPr>
                <w:rFonts w:cs="Arial"/>
              </w:rPr>
            </w:pPr>
            <w:r w:rsidRPr="00EF7EA3">
              <w:rPr>
                <w:rFonts w:cs="Arial"/>
              </w:rPr>
              <w:t>48±5</w:t>
            </w:r>
          </w:p>
        </w:tc>
        <w:tc>
          <w:tcPr>
            <w:tcW w:w="0" w:type="auto"/>
            <w:vAlign w:val="bottom"/>
          </w:tcPr>
          <w:p w:rsidR="00A06BC6" w:rsidRPr="00EF7EA3" w:rsidRDefault="00A06BC6" w:rsidP="00A06BC6">
            <w:pPr>
              <w:pStyle w:val="table2"/>
              <w:jc w:val="both"/>
              <w:rPr>
                <w:rFonts w:cs="Arial"/>
              </w:rPr>
            </w:pPr>
            <w:r w:rsidRPr="00EF7EA3">
              <w:rPr>
                <w:rFonts w:cs="Arial"/>
              </w:rPr>
              <w:t>325±32</w:t>
            </w:r>
          </w:p>
        </w:tc>
        <w:tc>
          <w:tcPr>
            <w:tcW w:w="0" w:type="auto"/>
            <w:vAlign w:val="bottom"/>
          </w:tcPr>
          <w:p w:rsidR="00A06BC6" w:rsidRPr="00EF7EA3" w:rsidRDefault="00A06BC6" w:rsidP="00A06BC6">
            <w:pPr>
              <w:pStyle w:val="table2"/>
              <w:jc w:val="both"/>
              <w:rPr>
                <w:rFonts w:cs="Arial"/>
              </w:rPr>
            </w:pPr>
            <w:r w:rsidRPr="00EF7EA3">
              <w:rPr>
                <w:rFonts w:cs="Arial"/>
              </w:rPr>
              <w:t>372±33</w:t>
            </w:r>
          </w:p>
        </w:tc>
        <w:tc>
          <w:tcPr>
            <w:tcW w:w="0" w:type="auto"/>
            <w:vAlign w:val="bottom"/>
          </w:tcPr>
          <w:p w:rsidR="00A06BC6" w:rsidRPr="00EF7EA3" w:rsidRDefault="00A06BC6" w:rsidP="00A06BC6">
            <w:pPr>
              <w:pStyle w:val="table2"/>
              <w:jc w:val="both"/>
              <w:rPr>
                <w:rFonts w:cs="Arial"/>
              </w:rPr>
            </w:pPr>
            <w:r w:rsidRPr="00EF7EA3">
              <w:rPr>
                <w:rFonts w:cs="Arial"/>
              </w:rPr>
              <w:t>1384±138</w:t>
            </w:r>
          </w:p>
        </w:tc>
        <w:tc>
          <w:tcPr>
            <w:tcW w:w="0" w:type="auto"/>
            <w:vMerge w:val="restart"/>
            <w:vAlign w:val="center"/>
          </w:tcPr>
          <w:p w:rsidR="00A06BC6" w:rsidRPr="00EF7EA3" w:rsidRDefault="00A06BC6" w:rsidP="00A06BC6">
            <w:pPr>
              <w:pStyle w:val="table2"/>
              <w:jc w:val="both"/>
              <w:rPr>
                <w:rFonts w:cs="Arial"/>
                <w:szCs w:val="16"/>
              </w:rPr>
            </w:pPr>
            <w:r w:rsidRPr="00EF7EA3">
              <w:rPr>
                <w:rFonts w:cs="Arial"/>
                <w:szCs w:val="16"/>
              </w:rPr>
              <w:t>43:5:1</w:t>
            </w:r>
          </w:p>
        </w:tc>
        <w:tc>
          <w:tcPr>
            <w:tcW w:w="1004" w:type="dxa"/>
            <w:vMerge w:val="restart"/>
            <w:vAlign w:val="center"/>
          </w:tcPr>
          <w:p w:rsidR="00A06BC6" w:rsidRPr="00EF7EA3" w:rsidRDefault="00A06BC6" w:rsidP="00A06BC6">
            <w:pPr>
              <w:pStyle w:val="table2"/>
              <w:jc w:val="both"/>
              <w:rPr>
                <w:rFonts w:cs="Arial"/>
                <w:szCs w:val="16"/>
              </w:rPr>
            </w:pPr>
            <w:r w:rsidRPr="00EF7EA3">
              <w:rPr>
                <w:rFonts w:cs="Arial"/>
                <w:szCs w:val="16"/>
              </w:rPr>
              <w:t>1.6:1.3:1</w:t>
            </w:r>
          </w:p>
        </w:tc>
      </w:tr>
      <w:tr w:rsidR="00A06BC6" w:rsidRPr="00EF7EA3" w:rsidTr="00A06BC6">
        <w:trPr>
          <w:trHeight w:val="255"/>
        </w:trPr>
        <w:tc>
          <w:tcPr>
            <w:tcW w:w="0" w:type="auto"/>
            <w:vMerge/>
            <w:shd w:val="clear" w:color="auto" w:fill="auto"/>
            <w:noWrap/>
            <w:vAlign w:val="center"/>
            <w:hideMark/>
          </w:tcPr>
          <w:p w:rsidR="00A06BC6" w:rsidRPr="00EF7EA3" w:rsidRDefault="00A06BC6" w:rsidP="00A06BC6">
            <w:pPr>
              <w:pStyle w:val="table2"/>
              <w:jc w:val="both"/>
              <w:rPr>
                <w:rFonts w:cs="Arial"/>
                <w:lang w:eastAsia="en-AU"/>
              </w:rPr>
            </w:pPr>
          </w:p>
        </w:tc>
        <w:tc>
          <w:tcPr>
            <w:tcW w:w="0" w:type="auto"/>
            <w:vMerge/>
            <w:shd w:val="clear" w:color="auto" w:fill="auto"/>
            <w:noWrap/>
            <w:vAlign w:val="center"/>
            <w:hideMark/>
          </w:tcPr>
          <w:p w:rsidR="00A06BC6" w:rsidRPr="00EF7EA3" w:rsidRDefault="00A06BC6" w:rsidP="00A06BC6">
            <w:pPr>
              <w:pStyle w:val="table2"/>
              <w:jc w:val="both"/>
              <w:rPr>
                <w:rFonts w:cs="Arial"/>
                <w:lang w:eastAsia="en-AU"/>
              </w:rPr>
            </w:pPr>
          </w:p>
        </w:tc>
        <w:tc>
          <w:tcPr>
            <w:tcW w:w="0" w:type="auto"/>
            <w:shd w:val="clear" w:color="auto" w:fill="auto"/>
            <w:noWrap/>
            <w:vAlign w:val="bottom"/>
            <w:hideMark/>
          </w:tcPr>
          <w:p w:rsidR="00A06BC6" w:rsidRPr="00EF7EA3" w:rsidRDefault="00A06BC6" w:rsidP="00A06BC6">
            <w:pPr>
              <w:pStyle w:val="table2"/>
              <w:jc w:val="both"/>
              <w:rPr>
                <w:rFonts w:cs="Arial"/>
                <w:lang w:eastAsia="en-AU"/>
              </w:rPr>
            </w:pPr>
            <w:r w:rsidRPr="00EF7EA3">
              <w:rPr>
                <w:rFonts w:cs="Arial"/>
                <w:snapToGrid w:val="0"/>
                <w:color w:val="000000"/>
                <w:position w:val="4"/>
                <w:sz w:val="11"/>
                <w:szCs w:val="0"/>
                <w:u w:color="000000"/>
                <w:lang w:eastAsia="en-AU"/>
              </w:rPr>
              <w:t>226</w:t>
            </w:r>
            <w:r w:rsidRPr="00EF7EA3">
              <w:rPr>
                <w:rFonts w:cs="Arial"/>
                <w:lang w:eastAsia="en-AU"/>
              </w:rPr>
              <w:t>Ra</w:t>
            </w:r>
          </w:p>
        </w:tc>
        <w:tc>
          <w:tcPr>
            <w:tcW w:w="0" w:type="auto"/>
            <w:vAlign w:val="bottom"/>
          </w:tcPr>
          <w:p w:rsidR="00A06BC6" w:rsidRPr="00EF7EA3" w:rsidRDefault="00A06BC6" w:rsidP="00A06BC6">
            <w:pPr>
              <w:pStyle w:val="table2"/>
              <w:jc w:val="both"/>
              <w:rPr>
                <w:rFonts w:cs="Arial"/>
              </w:rPr>
            </w:pPr>
            <w:r w:rsidRPr="00EF7EA3">
              <w:rPr>
                <w:rFonts w:cs="Arial"/>
              </w:rPr>
              <w:t>5.3±0.5</w:t>
            </w:r>
          </w:p>
        </w:tc>
        <w:tc>
          <w:tcPr>
            <w:tcW w:w="0" w:type="auto"/>
            <w:vAlign w:val="bottom"/>
          </w:tcPr>
          <w:p w:rsidR="00A06BC6" w:rsidRPr="00EF7EA3" w:rsidRDefault="00A06BC6" w:rsidP="00A06BC6">
            <w:pPr>
              <w:pStyle w:val="table2"/>
              <w:jc w:val="both"/>
              <w:rPr>
                <w:rFonts w:cs="Arial"/>
              </w:rPr>
            </w:pPr>
            <w:r w:rsidRPr="00EF7EA3">
              <w:rPr>
                <w:rFonts w:cs="Arial"/>
              </w:rPr>
              <w:t>257±11</w:t>
            </w:r>
          </w:p>
        </w:tc>
        <w:tc>
          <w:tcPr>
            <w:tcW w:w="0" w:type="auto"/>
            <w:vAlign w:val="bottom"/>
          </w:tcPr>
          <w:p w:rsidR="00A06BC6" w:rsidRPr="00EF7EA3" w:rsidRDefault="00A06BC6" w:rsidP="00A06BC6">
            <w:pPr>
              <w:pStyle w:val="table2"/>
              <w:jc w:val="both"/>
              <w:rPr>
                <w:rFonts w:cs="Arial"/>
              </w:rPr>
            </w:pPr>
            <w:r w:rsidRPr="00EF7EA3">
              <w:rPr>
                <w:rFonts w:cs="Arial"/>
              </w:rPr>
              <w:t>262±11</w:t>
            </w:r>
          </w:p>
        </w:tc>
        <w:tc>
          <w:tcPr>
            <w:tcW w:w="0" w:type="auto"/>
            <w:vAlign w:val="bottom"/>
          </w:tcPr>
          <w:p w:rsidR="00A06BC6" w:rsidRPr="00EF7EA3" w:rsidRDefault="00A06BC6" w:rsidP="00A06BC6">
            <w:pPr>
              <w:pStyle w:val="table2"/>
              <w:jc w:val="both"/>
              <w:rPr>
                <w:rFonts w:cs="Arial"/>
              </w:rPr>
            </w:pPr>
            <w:r w:rsidRPr="00EF7EA3">
              <w:rPr>
                <w:rFonts w:cs="Arial"/>
              </w:rPr>
              <w:t>1095±47</w:t>
            </w:r>
          </w:p>
        </w:tc>
        <w:tc>
          <w:tcPr>
            <w:tcW w:w="0" w:type="auto"/>
            <w:vMerge/>
            <w:vAlign w:val="center"/>
          </w:tcPr>
          <w:p w:rsidR="00A06BC6" w:rsidRPr="00EF7EA3" w:rsidRDefault="00A06BC6" w:rsidP="00A06BC6">
            <w:pPr>
              <w:pStyle w:val="table2"/>
              <w:jc w:val="both"/>
              <w:rPr>
                <w:rFonts w:cs="Arial"/>
                <w:szCs w:val="16"/>
              </w:rPr>
            </w:pPr>
          </w:p>
        </w:tc>
        <w:tc>
          <w:tcPr>
            <w:tcW w:w="1004" w:type="dxa"/>
            <w:vMerge/>
            <w:vAlign w:val="center"/>
          </w:tcPr>
          <w:p w:rsidR="00A06BC6" w:rsidRPr="00EF7EA3" w:rsidRDefault="00A06BC6" w:rsidP="00A06BC6">
            <w:pPr>
              <w:pStyle w:val="table2"/>
              <w:jc w:val="both"/>
              <w:rPr>
                <w:rFonts w:cs="Arial"/>
                <w:szCs w:val="16"/>
              </w:rPr>
            </w:pPr>
          </w:p>
        </w:tc>
      </w:tr>
      <w:tr w:rsidR="00A06BC6" w:rsidRPr="00EF7EA3" w:rsidTr="00A06BC6">
        <w:trPr>
          <w:trHeight w:val="255"/>
        </w:trPr>
        <w:tc>
          <w:tcPr>
            <w:tcW w:w="0" w:type="auto"/>
            <w:vMerge/>
            <w:shd w:val="clear" w:color="auto" w:fill="auto"/>
            <w:noWrap/>
            <w:vAlign w:val="center"/>
            <w:hideMark/>
          </w:tcPr>
          <w:p w:rsidR="00A06BC6" w:rsidRPr="00EF7EA3" w:rsidRDefault="00A06BC6" w:rsidP="00A06BC6">
            <w:pPr>
              <w:pStyle w:val="table2"/>
              <w:jc w:val="both"/>
              <w:rPr>
                <w:rFonts w:cs="Arial"/>
                <w:lang w:eastAsia="en-AU"/>
              </w:rPr>
            </w:pPr>
          </w:p>
        </w:tc>
        <w:tc>
          <w:tcPr>
            <w:tcW w:w="0" w:type="auto"/>
            <w:vMerge/>
            <w:shd w:val="clear" w:color="auto" w:fill="auto"/>
            <w:noWrap/>
            <w:vAlign w:val="center"/>
            <w:hideMark/>
          </w:tcPr>
          <w:p w:rsidR="00A06BC6" w:rsidRPr="00EF7EA3" w:rsidRDefault="00A06BC6" w:rsidP="00A06BC6">
            <w:pPr>
              <w:pStyle w:val="table2"/>
              <w:jc w:val="both"/>
              <w:rPr>
                <w:rFonts w:cs="Arial"/>
                <w:lang w:eastAsia="en-AU"/>
              </w:rPr>
            </w:pPr>
          </w:p>
        </w:tc>
        <w:tc>
          <w:tcPr>
            <w:tcW w:w="0" w:type="auto"/>
            <w:shd w:val="clear" w:color="auto" w:fill="auto"/>
            <w:noWrap/>
            <w:vAlign w:val="bottom"/>
            <w:hideMark/>
          </w:tcPr>
          <w:p w:rsidR="00A06BC6" w:rsidRPr="00EF7EA3" w:rsidRDefault="00A06BC6" w:rsidP="00A06BC6">
            <w:pPr>
              <w:pStyle w:val="table2"/>
              <w:jc w:val="both"/>
              <w:rPr>
                <w:rFonts w:cs="Arial"/>
                <w:lang w:eastAsia="en-AU"/>
              </w:rPr>
            </w:pPr>
            <w:r w:rsidRPr="00EF7EA3">
              <w:rPr>
                <w:rFonts w:cs="Arial"/>
                <w:snapToGrid w:val="0"/>
                <w:color w:val="000000"/>
                <w:position w:val="4"/>
                <w:sz w:val="11"/>
                <w:szCs w:val="0"/>
                <w:u w:color="000000"/>
                <w:lang w:eastAsia="en-AU"/>
              </w:rPr>
              <w:t>210</w:t>
            </w:r>
            <w:r w:rsidRPr="00EF7EA3">
              <w:rPr>
                <w:rFonts w:cs="Arial"/>
                <w:lang w:eastAsia="en-AU"/>
              </w:rPr>
              <w:t>Po</w:t>
            </w:r>
          </w:p>
        </w:tc>
        <w:tc>
          <w:tcPr>
            <w:tcW w:w="0" w:type="auto"/>
            <w:vAlign w:val="bottom"/>
          </w:tcPr>
          <w:p w:rsidR="00A06BC6" w:rsidRPr="00EF7EA3" w:rsidRDefault="00A06BC6" w:rsidP="00A06BC6">
            <w:pPr>
              <w:pStyle w:val="table2"/>
              <w:jc w:val="both"/>
              <w:rPr>
                <w:rFonts w:cs="Arial"/>
              </w:rPr>
            </w:pPr>
            <w:r w:rsidRPr="00EF7EA3">
              <w:rPr>
                <w:rFonts w:cs="Arial"/>
              </w:rPr>
              <w:t>1.11±0.21</w:t>
            </w:r>
          </w:p>
        </w:tc>
        <w:tc>
          <w:tcPr>
            <w:tcW w:w="0" w:type="auto"/>
            <w:vAlign w:val="bottom"/>
          </w:tcPr>
          <w:p w:rsidR="00A06BC6" w:rsidRPr="00EF7EA3" w:rsidRDefault="00A06BC6" w:rsidP="00A06BC6">
            <w:pPr>
              <w:pStyle w:val="table2"/>
              <w:jc w:val="both"/>
              <w:rPr>
                <w:rFonts w:cs="Arial"/>
              </w:rPr>
            </w:pPr>
            <w:r w:rsidRPr="00EF7EA3">
              <w:rPr>
                <w:rFonts w:cs="Arial"/>
              </w:rPr>
              <w:t>197±11</w:t>
            </w:r>
          </w:p>
        </w:tc>
        <w:tc>
          <w:tcPr>
            <w:tcW w:w="0" w:type="auto"/>
            <w:vAlign w:val="bottom"/>
          </w:tcPr>
          <w:p w:rsidR="00A06BC6" w:rsidRPr="00EF7EA3" w:rsidRDefault="00A06BC6" w:rsidP="00A06BC6">
            <w:pPr>
              <w:pStyle w:val="table2"/>
              <w:jc w:val="both"/>
              <w:rPr>
                <w:rFonts w:cs="Arial"/>
              </w:rPr>
            </w:pPr>
            <w:r w:rsidRPr="00EF7EA3">
              <w:rPr>
                <w:rFonts w:cs="Arial"/>
              </w:rPr>
              <w:t>198±11</w:t>
            </w:r>
          </w:p>
        </w:tc>
        <w:tc>
          <w:tcPr>
            <w:tcW w:w="0" w:type="auto"/>
            <w:vAlign w:val="bottom"/>
          </w:tcPr>
          <w:p w:rsidR="00A06BC6" w:rsidRPr="00EF7EA3" w:rsidRDefault="00A06BC6" w:rsidP="00A06BC6">
            <w:pPr>
              <w:pStyle w:val="table2"/>
              <w:jc w:val="both"/>
              <w:rPr>
                <w:rFonts w:cs="Arial"/>
              </w:rPr>
            </w:pPr>
            <w:r w:rsidRPr="00EF7EA3">
              <w:rPr>
                <w:rFonts w:cs="Arial"/>
              </w:rPr>
              <w:t>839±46</w:t>
            </w:r>
          </w:p>
        </w:tc>
        <w:tc>
          <w:tcPr>
            <w:tcW w:w="0" w:type="auto"/>
            <w:vMerge/>
            <w:vAlign w:val="center"/>
          </w:tcPr>
          <w:p w:rsidR="00A06BC6" w:rsidRPr="00EF7EA3" w:rsidRDefault="00A06BC6" w:rsidP="00A06BC6">
            <w:pPr>
              <w:pStyle w:val="table2"/>
              <w:jc w:val="both"/>
              <w:rPr>
                <w:rFonts w:cs="Arial"/>
                <w:szCs w:val="16"/>
              </w:rPr>
            </w:pPr>
          </w:p>
        </w:tc>
        <w:tc>
          <w:tcPr>
            <w:tcW w:w="1004" w:type="dxa"/>
            <w:vMerge/>
            <w:vAlign w:val="center"/>
          </w:tcPr>
          <w:p w:rsidR="00A06BC6" w:rsidRPr="00EF7EA3" w:rsidRDefault="00A06BC6" w:rsidP="00A06BC6">
            <w:pPr>
              <w:pStyle w:val="table2"/>
              <w:jc w:val="both"/>
              <w:rPr>
                <w:rFonts w:cs="Arial"/>
                <w:szCs w:val="16"/>
              </w:rPr>
            </w:pPr>
          </w:p>
        </w:tc>
      </w:tr>
      <w:tr w:rsidR="00A06BC6" w:rsidRPr="00EF7EA3" w:rsidTr="00A06BC6">
        <w:trPr>
          <w:trHeight w:val="255"/>
        </w:trPr>
        <w:tc>
          <w:tcPr>
            <w:tcW w:w="0" w:type="auto"/>
            <w:vMerge w:val="restart"/>
            <w:shd w:val="clear" w:color="auto" w:fill="auto"/>
            <w:noWrap/>
            <w:vAlign w:val="center"/>
            <w:hideMark/>
          </w:tcPr>
          <w:p w:rsidR="00A06BC6" w:rsidRPr="00EF7EA3" w:rsidRDefault="00A06BC6" w:rsidP="00A06BC6">
            <w:pPr>
              <w:pStyle w:val="table2"/>
              <w:jc w:val="both"/>
              <w:rPr>
                <w:rFonts w:cs="Arial"/>
                <w:lang w:eastAsia="en-AU"/>
              </w:rPr>
            </w:pPr>
            <w:r w:rsidRPr="00EF7EA3">
              <w:rPr>
                <w:rFonts w:cs="Arial"/>
                <w:lang w:eastAsia="en-AU"/>
              </w:rPr>
              <w:t>TL10004</w:t>
            </w:r>
          </w:p>
          <w:p w:rsidR="00A06BC6" w:rsidRPr="00EF7EA3" w:rsidRDefault="00A06BC6" w:rsidP="00A06BC6">
            <w:pPr>
              <w:pStyle w:val="table2"/>
              <w:jc w:val="both"/>
              <w:rPr>
                <w:rFonts w:cs="Arial"/>
                <w:lang w:eastAsia="en-AU"/>
              </w:rPr>
            </w:pPr>
            <w:r w:rsidRPr="00EF7EA3">
              <w:rPr>
                <w:rFonts w:cs="Arial"/>
                <w:lang w:eastAsia="en-AU"/>
              </w:rPr>
              <w:t>(EP1)</w:t>
            </w:r>
          </w:p>
        </w:tc>
        <w:tc>
          <w:tcPr>
            <w:tcW w:w="0" w:type="auto"/>
            <w:vMerge w:val="restart"/>
            <w:shd w:val="clear" w:color="auto" w:fill="auto"/>
            <w:noWrap/>
            <w:vAlign w:val="center"/>
            <w:hideMark/>
          </w:tcPr>
          <w:p w:rsidR="00A06BC6" w:rsidRPr="00EF7EA3" w:rsidRDefault="00A06BC6" w:rsidP="00A06BC6">
            <w:pPr>
              <w:pStyle w:val="table2"/>
              <w:jc w:val="both"/>
              <w:rPr>
                <w:rFonts w:cs="Arial"/>
                <w:lang w:eastAsia="en-AU"/>
              </w:rPr>
            </w:pPr>
            <w:r w:rsidRPr="00EF7EA3">
              <w:rPr>
                <w:rFonts w:cs="Arial"/>
                <w:lang w:eastAsia="en-AU"/>
              </w:rPr>
              <w:t>13/04/10</w:t>
            </w:r>
          </w:p>
        </w:tc>
        <w:tc>
          <w:tcPr>
            <w:tcW w:w="0" w:type="auto"/>
            <w:shd w:val="clear" w:color="auto" w:fill="auto"/>
            <w:noWrap/>
            <w:vAlign w:val="bottom"/>
            <w:hideMark/>
          </w:tcPr>
          <w:p w:rsidR="00A06BC6" w:rsidRPr="00EF7EA3" w:rsidRDefault="00A06BC6" w:rsidP="00A06BC6">
            <w:pPr>
              <w:pStyle w:val="table2"/>
              <w:jc w:val="both"/>
              <w:rPr>
                <w:rFonts w:cs="Arial"/>
                <w:lang w:eastAsia="en-AU"/>
              </w:rPr>
            </w:pPr>
            <w:r w:rsidRPr="00EF7EA3">
              <w:rPr>
                <w:rFonts w:cs="Arial"/>
                <w:snapToGrid w:val="0"/>
                <w:color w:val="000000"/>
                <w:position w:val="4"/>
                <w:sz w:val="11"/>
                <w:szCs w:val="0"/>
                <w:u w:color="000000"/>
                <w:lang w:eastAsia="en-AU"/>
              </w:rPr>
              <w:t>238</w:t>
            </w:r>
            <w:r w:rsidRPr="00EF7EA3">
              <w:rPr>
                <w:rFonts w:cs="Arial"/>
                <w:lang w:eastAsia="en-AU"/>
              </w:rPr>
              <w:t>U</w:t>
            </w:r>
          </w:p>
        </w:tc>
        <w:tc>
          <w:tcPr>
            <w:tcW w:w="0" w:type="auto"/>
            <w:vAlign w:val="bottom"/>
          </w:tcPr>
          <w:p w:rsidR="00A06BC6" w:rsidRPr="00EF7EA3" w:rsidRDefault="00A06BC6" w:rsidP="00A06BC6">
            <w:pPr>
              <w:pStyle w:val="table2"/>
              <w:jc w:val="both"/>
              <w:rPr>
                <w:rFonts w:cs="Arial"/>
              </w:rPr>
            </w:pPr>
            <w:r w:rsidRPr="00EF7EA3">
              <w:rPr>
                <w:rFonts w:cs="Arial"/>
              </w:rPr>
              <w:t>36±4</w:t>
            </w:r>
          </w:p>
        </w:tc>
        <w:tc>
          <w:tcPr>
            <w:tcW w:w="0" w:type="auto"/>
            <w:vAlign w:val="bottom"/>
          </w:tcPr>
          <w:p w:rsidR="00A06BC6" w:rsidRPr="00EF7EA3" w:rsidRDefault="00A06BC6" w:rsidP="00A06BC6">
            <w:pPr>
              <w:pStyle w:val="table2"/>
              <w:jc w:val="both"/>
              <w:rPr>
                <w:rFonts w:cs="Arial"/>
              </w:rPr>
            </w:pPr>
            <w:r w:rsidRPr="00EF7EA3">
              <w:rPr>
                <w:rFonts w:cs="Arial"/>
              </w:rPr>
              <w:t>290±29</w:t>
            </w:r>
          </w:p>
        </w:tc>
        <w:tc>
          <w:tcPr>
            <w:tcW w:w="0" w:type="auto"/>
            <w:vAlign w:val="bottom"/>
          </w:tcPr>
          <w:p w:rsidR="00A06BC6" w:rsidRPr="00EF7EA3" w:rsidRDefault="00A06BC6" w:rsidP="00A06BC6">
            <w:pPr>
              <w:pStyle w:val="table2"/>
              <w:jc w:val="both"/>
              <w:rPr>
                <w:rFonts w:cs="Arial"/>
              </w:rPr>
            </w:pPr>
            <w:r w:rsidRPr="00EF7EA3">
              <w:rPr>
                <w:rFonts w:cs="Arial"/>
              </w:rPr>
              <w:t>325±29</w:t>
            </w:r>
          </w:p>
        </w:tc>
        <w:tc>
          <w:tcPr>
            <w:tcW w:w="0" w:type="auto"/>
            <w:vAlign w:val="bottom"/>
          </w:tcPr>
          <w:p w:rsidR="00A06BC6" w:rsidRPr="00EF7EA3" w:rsidRDefault="00A06BC6" w:rsidP="00A06BC6">
            <w:pPr>
              <w:pStyle w:val="table2"/>
              <w:jc w:val="both"/>
              <w:rPr>
                <w:rFonts w:cs="Arial"/>
              </w:rPr>
            </w:pPr>
            <w:r w:rsidRPr="00EF7EA3">
              <w:rPr>
                <w:rFonts w:cs="Arial"/>
              </w:rPr>
              <w:t>1440±144</w:t>
            </w:r>
          </w:p>
        </w:tc>
        <w:tc>
          <w:tcPr>
            <w:tcW w:w="0" w:type="auto"/>
            <w:vMerge w:val="restart"/>
            <w:vAlign w:val="center"/>
          </w:tcPr>
          <w:p w:rsidR="00A06BC6" w:rsidRPr="00EF7EA3" w:rsidRDefault="00A06BC6" w:rsidP="00A06BC6">
            <w:pPr>
              <w:pStyle w:val="table2"/>
              <w:jc w:val="both"/>
              <w:rPr>
                <w:rFonts w:cs="Arial"/>
                <w:szCs w:val="16"/>
              </w:rPr>
            </w:pPr>
            <w:r w:rsidRPr="00EF7EA3">
              <w:rPr>
                <w:rFonts w:cs="Arial"/>
                <w:szCs w:val="16"/>
              </w:rPr>
              <w:t>222:26:1</w:t>
            </w:r>
          </w:p>
        </w:tc>
        <w:tc>
          <w:tcPr>
            <w:tcW w:w="1004" w:type="dxa"/>
            <w:vMerge w:val="restart"/>
            <w:vAlign w:val="center"/>
          </w:tcPr>
          <w:p w:rsidR="00A06BC6" w:rsidRPr="00EF7EA3" w:rsidRDefault="00A06BC6" w:rsidP="00A06BC6">
            <w:pPr>
              <w:pStyle w:val="table2"/>
              <w:jc w:val="both"/>
              <w:rPr>
                <w:rFonts w:cs="Arial"/>
                <w:szCs w:val="16"/>
              </w:rPr>
            </w:pPr>
            <w:r w:rsidRPr="00EF7EA3">
              <w:rPr>
                <w:rFonts w:cs="Arial"/>
                <w:szCs w:val="16"/>
              </w:rPr>
              <w:t>2.0:1.8:1</w:t>
            </w:r>
          </w:p>
        </w:tc>
      </w:tr>
      <w:tr w:rsidR="00A06BC6" w:rsidRPr="00EF7EA3" w:rsidTr="00A06BC6">
        <w:trPr>
          <w:trHeight w:val="255"/>
        </w:trPr>
        <w:tc>
          <w:tcPr>
            <w:tcW w:w="0" w:type="auto"/>
            <w:vMerge/>
            <w:shd w:val="clear" w:color="auto" w:fill="auto"/>
            <w:noWrap/>
            <w:vAlign w:val="center"/>
            <w:hideMark/>
          </w:tcPr>
          <w:p w:rsidR="00A06BC6" w:rsidRPr="00EF7EA3" w:rsidRDefault="00A06BC6" w:rsidP="00A06BC6">
            <w:pPr>
              <w:pStyle w:val="table2"/>
              <w:jc w:val="both"/>
              <w:rPr>
                <w:rFonts w:cs="Arial"/>
                <w:lang w:eastAsia="en-AU"/>
              </w:rPr>
            </w:pPr>
          </w:p>
        </w:tc>
        <w:tc>
          <w:tcPr>
            <w:tcW w:w="0" w:type="auto"/>
            <w:vMerge/>
            <w:shd w:val="clear" w:color="auto" w:fill="auto"/>
            <w:noWrap/>
            <w:vAlign w:val="center"/>
            <w:hideMark/>
          </w:tcPr>
          <w:p w:rsidR="00A06BC6" w:rsidRPr="00EF7EA3" w:rsidRDefault="00A06BC6" w:rsidP="00A06BC6">
            <w:pPr>
              <w:pStyle w:val="table2"/>
              <w:jc w:val="both"/>
              <w:rPr>
                <w:rFonts w:cs="Arial"/>
                <w:lang w:eastAsia="en-AU"/>
              </w:rPr>
            </w:pPr>
          </w:p>
        </w:tc>
        <w:tc>
          <w:tcPr>
            <w:tcW w:w="0" w:type="auto"/>
            <w:shd w:val="clear" w:color="auto" w:fill="auto"/>
            <w:noWrap/>
            <w:vAlign w:val="bottom"/>
            <w:hideMark/>
          </w:tcPr>
          <w:p w:rsidR="00A06BC6" w:rsidRPr="00EF7EA3" w:rsidRDefault="00A06BC6" w:rsidP="00A06BC6">
            <w:pPr>
              <w:pStyle w:val="table2"/>
              <w:jc w:val="both"/>
              <w:rPr>
                <w:rFonts w:cs="Arial"/>
                <w:lang w:eastAsia="en-AU"/>
              </w:rPr>
            </w:pPr>
            <w:r w:rsidRPr="00EF7EA3">
              <w:rPr>
                <w:rFonts w:cs="Arial"/>
                <w:snapToGrid w:val="0"/>
                <w:color w:val="000000"/>
                <w:position w:val="4"/>
                <w:sz w:val="11"/>
                <w:szCs w:val="0"/>
                <w:u w:color="000000"/>
                <w:lang w:eastAsia="en-AU"/>
              </w:rPr>
              <w:t>226</w:t>
            </w:r>
            <w:r w:rsidRPr="00EF7EA3">
              <w:rPr>
                <w:rFonts w:cs="Arial"/>
                <w:lang w:eastAsia="en-AU"/>
              </w:rPr>
              <w:t>Ra</w:t>
            </w:r>
          </w:p>
        </w:tc>
        <w:tc>
          <w:tcPr>
            <w:tcW w:w="0" w:type="auto"/>
            <w:vAlign w:val="bottom"/>
          </w:tcPr>
          <w:p w:rsidR="00A06BC6" w:rsidRPr="00EF7EA3" w:rsidRDefault="00A06BC6" w:rsidP="00A06BC6">
            <w:pPr>
              <w:pStyle w:val="table2"/>
              <w:jc w:val="both"/>
              <w:rPr>
                <w:rFonts w:cs="Arial"/>
              </w:rPr>
            </w:pPr>
            <w:r w:rsidRPr="00EF7EA3">
              <w:rPr>
                <w:rFonts w:cs="Arial"/>
              </w:rPr>
              <w:t>4.2±0.4</w:t>
            </w:r>
          </w:p>
        </w:tc>
        <w:tc>
          <w:tcPr>
            <w:tcW w:w="0" w:type="auto"/>
            <w:vAlign w:val="bottom"/>
          </w:tcPr>
          <w:p w:rsidR="00A06BC6" w:rsidRPr="00EF7EA3" w:rsidRDefault="00A06BC6" w:rsidP="00A06BC6">
            <w:pPr>
              <w:pStyle w:val="table2"/>
              <w:jc w:val="both"/>
              <w:rPr>
                <w:rFonts w:cs="Arial"/>
              </w:rPr>
            </w:pPr>
            <w:r w:rsidRPr="00EF7EA3">
              <w:rPr>
                <w:rFonts w:cs="Arial"/>
              </w:rPr>
              <w:t>259±8</w:t>
            </w:r>
          </w:p>
        </w:tc>
        <w:tc>
          <w:tcPr>
            <w:tcW w:w="0" w:type="auto"/>
            <w:vAlign w:val="bottom"/>
          </w:tcPr>
          <w:p w:rsidR="00A06BC6" w:rsidRPr="00EF7EA3" w:rsidRDefault="00A06BC6" w:rsidP="00A06BC6">
            <w:pPr>
              <w:pStyle w:val="table2"/>
              <w:jc w:val="both"/>
              <w:rPr>
                <w:rFonts w:cs="Arial"/>
              </w:rPr>
            </w:pPr>
            <w:r w:rsidRPr="00EF7EA3">
              <w:rPr>
                <w:rFonts w:cs="Arial"/>
              </w:rPr>
              <w:t>263±8</w:t>
            </w:r>
          </w:p>
        </w:tc>
        <w:tc>
          <w:tcPr>
            <w:tcW w:w="0" w:type="auto"/>
            <w:vAlign w:val="bottom"/>
          </w:tcPr>
          <w:p w:rsidR="00A06BC6" w:rsidRPr="00EF7EA3" w:rsidRDefault="00A06BC6" w:rsidP="00A06BC6">
            <w:pPr>
              <w:pStyle w:val="table2"/>
              <w:jc w:val="both"/>
              <w:rPr>
                <w:rFonts w:cs="Arial"/>
              </w:rPr>
            </w:pPr>
            <w:r w:rsidRPr="00EF7EA3">
              <w:rPr>
                <w:rFonts w:cs="Arial"/>
              </w:rPr>
              <w:t>1286±40</w:t>
            </w:r>
          </w:p>
        </w:tc>
        <w:tc>
          <w:tcPr>
            <w:tcW w:w="0" w:type="auto"/>
            <w:vMerge/>
            <w:vAlign w:val="center"/>
          </w:tcPr>
          <w:p w:rsidR="00A06BC6" w:rsidRPr="00EF7EA3" w:rsidRDefault="00A06BC6" w:rsidP="00A06BC6">
            <w:pPr>
              <w:pStyle w:val="table2"/>
              <w:jc w:val="both"/>
              <w:rPr>
                <w:rFonts w:cs="Arial"/>
                <w:szCs w:val="16"/>
              </w:rPr>
            </w:pPr>
          </w:p>
        </w:tc>
        <w:tc>
          <w:tcPr>
            <w:tcW w:w="1004" w:type="dxa"/>
            <w:vMerge/>
            <w:vAlign w:val="center"/>
          </w:tcPr>
          <w:p w:rsidR="00A06BC6" w:rsidRPr="00EF7EA3" w:rsidRDefault="00A06BC6" w:rsidP="00A06BC6">
            <w:pPr>
              <w:pStyle w:val="table2"/>
              <w:jc w:val="both"/>
              <w:rPr>
                <w:rFonts w:cs="Arial"/>
                <w:szCs w:val="16"/>
              </w:rPr>
            </w:pPr>
          </w:p>
        </w:tc>
      </w:tr>
      <w:tr w:rsidR="00A06BC6" w:rsidRPr="00EF7EA3" w:rsidTr="00A06BC6">
        <w:trPr>
          <w:trHeight w:val="255"/>
        </w:trPr>
        <w:tc>
          <w:tcPr>
            <w:tcW w:w="0" w:type="auto"/>
            <w:vMerge/>
            <w:shd w:val="clear" w:color="auto" w:fill="auto"/>
            <w:noWrap/>
            <w:vAlign w:val="center"/>
            <w:hideMark/>
          </w:tcPr>
          <w:p w:rsidR="00A06BC6" w:rsidRPr="00EF7EA3" w:rsidRDefault="00A06BC6" w:rsidP="00A06BC6">
            <w:pPr>
              <w:pStyle w:val="table2"/>
              <w:jc w:val="both"/>
              <w:rPr>
                <w:rFonts w:cs="Arial"/>
                <w:lang w:eastAsia="en-AU"/>
              </w:rPr>
            </w:pPr>
          </w:p>
        </w:tc>
        <w:tc>
          <w:tcPr>
            <w:tcW w:w="0" w:type="auto"/>
            <w:vMerge/>
            <w:shd w:val="clear" w:color="auto" w:fill="auto"/>
            <w:noWrap/>
            <w:vAlign w:val="center"/>
            <w:hideMark/>
          </w:tcPr>
          <w:p w:rsidR="00A06BC6" w:rsidRPr="00EF7EA3" w:rsidRDefault="00A06BC6" w:rsidP="00A06BC6">
            <w:pPr>
              <w:pStyle w:val="table2"/>
              <w:jc w:val="both"/>
              <w:rPr>
                <w:rFonts w:cs="Arial"/>
                <w:lang w:eastAsia="en-AU"/>
              </w:rPr>
            </w:pPr>
          </w:p>
        </w:tc>
        <w:tc>
          <w:tcPr>
            <w:tcW w:w="0" w:type="auto"/>
            <w:shd w:val="clear" w:color="auto" w:fill="auto"/>
            <w:noWrap/>
            <w:vAlign w:val="bottom"/>
            <w:hideMark/>
          </w:tcPr>
          <w:p w:rsidR="00A06BC6" w:rsidRPr="00EF7EA3" w:rsidRDefault="00A06BC6" w:rsidP="00A06BC6">
            <w:pPr>
              <w:pStyle w:val="table2"/>
              <w:jc w:val="both"/>
              <w:rPr>
                <w:rFonts w:cs="Arial"/>
                <w:lang w:eastAsia="en-AU"/>
              </w:rPr>
            </w:pPr>
            <w:r w:rsidRPr="00EF7EA3">
              <w:rPr>
                <w:rFonts w:cs="Arial"/>
                <w:snapToGrid w:val="0"/>
                <w:color w:val="000000"/>
                <w:position w:val="4"/>
                <w:sz w:val="11"/>
                <w:szCs w:val="0"/>
                <w:u w:color="000000"/>
                <w:lang w:eastAsia="en-AU"/>
              </w:rPr>
              <w:t>210</w:t>
            </w:r>
            <w:r w:rsidRPr="00EF7EA3">
              <w:rPr>
                <w:rFonts w:cs="Arial"/>
                <w:lang w:eastAsia="en-AU"/>
              </w:rPr>
              <w:t>Po</w:t>
            </w:r>
          </w:p>
        </w:tc>
        <w:tc>
          <w:tcPr>
            <w:tcW w:w="0" w:type="auto"/>
            <w:vAlign w:val="bottom"/>
          </w:tcPr>
          <w:p w:rsidR="00A06BC6" w:rsidRPr="00EF7EA3" w:rsidRDefault="00A06BC6" w:rsidP="00A06BC6">
            <w:pPr>
              <w:pStyle w:val="table2"/>
              <w:jc w:val="both"/>
              <w:rPr>
                <w:rFonts w:cs="Arial"/>
              </w:rPr>
            </w:pPr>
            <w:r w:rsidRPr="00EF7EA3">
              <w:rPr>
                <w:rFonts w:cs="Arial"/>
              </w:rPr>
              <w:t>0.16±0.27</w:t>
            </w:r>
          </w:p>
        </w:tc>
        <w:tc>
          <w:tcPr>
            <w:tcW w:w="0" w:type="auto"/>
            <w:vAlign w:val="bottom"/>
          </w:tcPr>
          <w:p w:rsidR="00A06BC6" w:rsidRPr="00EF7EA3" w:rsidRDefault="00A06BC6" w:rsidP="00A06BC6">
            <w:pPr>
              <w:pStyle w:val="table2"/>
              <w:jc w:val="both"/>
              <w:rPr>
                <w:rFonts w:cs="Arial"/>
              </w:rPr>
            </w:pPr>
            <w:r w:rsidRPr="00EF7EA3">
              <w:rPr>
                <w:rFonts w:cs="Arial"/>
              </w:rPr>
              <w:t>143±6</w:t>
            </w:r>
          </w:p>
        </w:tc>
        <w:tc>
          <w:tcPr>
            <w:tcW w:w="0" w:type="auto"/>
            <w:vAlign w:val="bottom"/>
          </w:tcPr>
          <w:p w:rsidR="00A06BC6" w:rsidRPr="00EF7EA3" w:rsidRDefault="00A06BC6" w:rsidP="00A06BC6">
            <w:pPr>
              <w:pStyle w:val="table2"/>
              <w:jc w:val="both"/>
              <w:rPr>
                <w:rFonts w:cs="Arial"/>
              </w:rPr>
            </w:pPr>
            <w:r w:rsidRPr="00EF7EA3">
              <w:rPr>
                <w:rFonts w:cs="Arial"/>
              </w:rPr>
              <w:t>143±6</w:t>
            </w:r>
          </w:p>
        </w:tc>
        <w:tc>
          <w:tcPr>
            <w:tcW w:w="0" w:type="auto"/>
            <w:vAlign w:val="bottom"/>
          </w:tcPr>
          <w:p w:rsidR="00A06BC6" w:rsidRPr="00EF7EA3" w:rsidRDefault="00A06BC6" w:rsidP="00A06BC6">
            <w:pPr>
              <w:pStyle w:val="table2"/>
              <w:jc w:val="both"/>
              <w:rPr>
                <w:rFonts w:cs="Arial"/>
              </w:rPr>
            </w:pPr>
            <w:r w:rsidRPr="00EF7EA3">
              <w:rPr>
                <w:rFonts w:cs="Arial"/>
              </w:rPr>
              <w:t>711±32</w:t>
            </w:r>
          </w:p>
        </w:tc>
        <w:tc>
          <w:tcPr>
            <w:tcW w:w="0" w:type="auto"/>
            <w:vMerge/>
            <w:vAlign w:val="center"/>
          </w:tcPr>
          <w:p w:rsidR="00A06BC6" w:rsidRPr="00EF7EA3" w:rsidRDefault="00A06BC6" w:rsidP="00A06BC6">
            <w:pPr>
              <w:pStyle w:val="table2"/>
              <w:jc w:val="both"/>
              <w:rPr>
                <w:rFonts w:cs="Arial"/>
                <w:szCs w:val="16"/>
              </w:rPr>
            </w:pPr>
          </w:p>
        </w:tc>
        <w:tc>
          <w:tcPr>
            <w:tcW w:w="1004" w:type="dxa"/>
            <w:vMerge/>
            <w:vAlign w:val="center"/>
          </w:tcPr>
          <w:p w:rsidR="00A06BC6" w:rsidRPr="00EF7EA3" w:rsidRDefault="00A06BC6" w:rsidP="00A06BC6">
            <w:pPr>
              <w:pStyle w:val="table2"/>
              <w:jc w:val="both"/>
              <w:rPr>
                <w:rFonts w:cs="Arial"/>
                <w:szCs w:val="16"/>
              </w:rPr>
            </w:pPr>
          </w:p>
        </w:tc>
      </w:tr>
      <w:tr w:rsidR="00A06BC6" w:rsidRPr="00EF7EA3" w:rsidTr="00A06BC6">
        <w:trPr>
          <w:trHeight w:val="255"/>
        </w:trPr>
        <w:tc>
          <w:tcPr>
            <w:tcW w:w="0" w:type="auto"/>
            <w:vMerge w:val="restart"/>
            <w:shd w:val="clear" w:color="auto" w:fill="auto"/>
            <w:noWrap/>
            <w:vAlign w:val="center"/>
            <w:hideMark/>
          </w:tcPr>
          <w:p w:rsidR="00A06BC6" w:rsidRPr="00EF7EA3" w:rsidRDefault="00A06BC6" w:rsidP="00A06BC6">
            <w:pPr>
              <w:pStyle w:val="table2"/>
              <w:jc w:val="both"/>
              <w:rPr>
                <w:rFonts w:cs="Arial"/>
                <w:lang w:eastAsia="en-AU"/>
              </w:rPr>
            </w:pPr>
            <w:r w:rsidRPr="00EF7EA3">
              <w:rPr>
                <w:rFonts w:cs="Arial"/>
                <w:lang w:eastAsia="en-AU"/>
              </w:rPr>
              <w:t>TL10005</w:t>
            </w:r>
          </w:p>
          <w:p w:rsidR="00A06BC6" w:rsidRPr="00EF7EA3" w:rsidRDefault="00A06BC6" w:rsidP="00A06BC6">
            <w:pPr>
              <w:pStyle w:val="table2"/>
              <w:jc w:val="both"/>
              <w:rPr>
                <w:rFonts w:cs="Arial"/>
                <w:lang w:eastAsia="en-AU"/>
              </w:rPr>
            </w:pPr>
            <w:r w:rsidRPr="00EF7EA3">
              <w:rPr>
                <w:rFonts w:cs="Arial"/>
                <w:lang w:eastAsia="en-AU"/>
              </w:rPr>
              <w:t>(EP2)</w:t>
            </w:r>
          </w:p>
        </w:tc>
        <w:tc>
          <w:tcPr>
            <w:tcW w:w="0" w:type="auto"/>
            <w:vMerge w:val="restart"/>
            <w:shd w:val="clear" w:color="auto" w:fill="auto"/>
            <w:noWrap/>
            <w:vAlign w:val="center"/>
            <w:hideMark/>
          </w:tcPr>
          <w:p w:rsidR="00A06BC6" w:rsidRPr="00EF7EA3" w:rsidRDefault="00A06BC6" w:rsidP="00A06BC6">
            <w:pPr>
              <w:pStyle w:val="table2"/>
              <w:jc w:val="both"/>
              <w:rPr>
                <w:rFonts w:cs="Arial"/>
                <w:lang w:eastAsia="en-AU"/>
              </w:rPr>
            </w:pPr>
            <w:r w:rsidRPr="00EF7EA3">
              <w:rPr>
                <w:rFonts w:cs="Arial"/>
                <w:lang w:eastAsia="en-AU"/>
              </w:rPr>
              <w:t>9/04/10</w:t>
            </w:r>
          </w:p>
        </w:tc>
        <w:tc>
          <w:tcPr>
            <w:tcW w:w="0" w:type="auto"/>
            <w:shd w:val="clear" w:color="auto" w:fill="auto"/>
            <w:noWrap/>
            <w:vAlign w:val="bottom"/>
            <w:hideMark/>
          </w:tcPr>
          <w:p w:rsidR="00A06BC6" w:rsidRPr="00EF7EA3" w:rsidRDefault="00A06BC6" w:rsidP="00A06BC6">
            <w:pPr>
              <w:pStyle w:val="table2"/>
              <w:jc w:val="both"/>
              <w:rPr>
                <w:rFonts w:cs="Arial"/>
                <w:lang w:eastAsia="en-AU"/>
              </w:rPr>
            </w:pPr>
            <w:r w:rsidRPr="00EF7EA3">
              <w:rPr>
                <w:rFonts w:cs="Arial"/>
                <w:snapToGrid w:val="0"/>
                <w:color w:val="000000"/>
                <w:position w:val="4"/>
                <w:sz w:val="11"/>
                <w:szCs w:val="0"/>
                <w:u w:color="000000"/>
                <w:lang w:eastAsia="en-AU"/>
              </w:rPr>
              <w:t>238</w:t>
            </w:r>
            <w:r w:rsidRPr="00EF7EA3">
              <w:rPr>
                <w:rFonts w:cs="Arial"/>
                <w:lang w:eastAsia="en-AU"/>
              </w:rPr>
              <w:t>U</w:t>
            </w:r>
          </w:p>
        </w:tc>
        <w:tc>
          <w:tcPr>
            <w:tcW w:w="0" w:type="auto"/>
            <w:vAlign w:val="bottom"/>
          </w:tcPr>
          <w:p w:rsidR="00A06BC6" w:rsidRPr="00EF7EA3" w:rsidRDefault="00A06BC6" w:rsidP="00A06BC6">
            <w:pPr>
              <w:pStyle w:val="table2"/>
              <w:jc w:val="both"/>
              <w:rPr>
                <w:rFonts w:cs="Arial"/>
              </w:rPr>
            </w:pPr>
            <w:r w:rsidRPr="00EF7EA3">
              <w:rPr>
                <w:rFonts w:cs="Arial"/>
              </w:rPr>
              <w:t>147±15</w:t>
            </w:r>
          </w:p>
        </w:tc>
        <w:tc>
          <w:tcPr>
            <w:tcW w:w="0" w:type="auto"/>
            <w:vAlign w:val="bottom"/>
          </w:tcPr>
          <w:p w:rsidR="00A06BC6" w:rsidRPr="00EF7EA3" w:rsidRDefault="00A06BC6" w:rsidP="00A06BC6">
            <w:pPr>
              <w:pStyle w:val="table2"/>
              <w:jc w:val="both"/>
              <w:rPr>
                <w:rFonts w:cs="Arial"/>
              </w:rPr>
            </w:pPr>
            <w:r w:rsidRPr="00EF7EA3">
              <w:rPr>
                <w:rFonts w:cs="Arial"/>
              </w:rPr>
              <w:t>735±74</w:t>
            </w:r>
          </w:p>
        </w:tc>
        <w:tc>
          <w:tcPr>
            <w:tcW w:w="0" w:type="auto"/>
            <w:vAlign w:val="bottom"/>
          </w:tcPr>
          <w:p w:rsidR="00A06BC6" w:rsidRPr="00EF7EA3" w:rsidRDefault="00A06BC6" w:rsidP="00A06BC6">
            <w:pPr>
              <w:pStyle w:val="table2"/>
              <w:jc w:val="both"/>
              <w:rPr>
                <w:rFonts w:cs="Arial"/>
              </w:rPr>
            </w:pPr>
            <w:r w:rsidRPr="00EF7EA3">
              <w:rPr>
                <w:rFonts w:cs="Arial"/>
              </w:rPr>
              <w:t>882±75</w:t>
            </w:r>
          </w:p>
        </w:tc>
        <w:tc>
          <w:tcPr>
            <w:tcW w:w="0" w:type="auto"/>
            <w:vAlign w:val="bottom"/>
          </w:tcPr>
          <w:p w:rsidR="00A06BC6" w:rsidRPr="00EF7EA3" w:rsidRDefault="00A06BC6" w:rsidP="00A06BC6">
            <w:pPr>
              <w:pStyle w:val="table2"/>
              <w:jc w:val="both"/>
              <w:rPr>
                <w:rFonts w:cs="Arial"/>
              </w:rPr>
            </w:pPr>
            <w:r w:rsidRPr="00EF7EA3">
              <w:rPr>
                <w:rFonts w:cs="Arial"/>
              </w:rPr>
              <w:t>3287±329</w:t>
            </w:r>
          </w:p>
        </w:tc>
        <w:tc>
          <w:tcPr>
            <w:tcW w:w="0" w:type="auto"/>
            <w:vMerge w:val="restart"/>
            <w:vAlign w:val="center"/>
          </w:tcPr>
          <w:p w:rsidR="00A06BC6" w:rsidRPr="00EF7EA3" w:rsidRDefault="00A06BC6" w:rsidP="00A06BC6">
            <w:pPr>
              <w:pStyle w:val="table2"/>
              <w:jc w:val="both"/>
              <w:rPr>
                <w:rFonts w:cs="Arial"/>
                <w:szCs w:val="16"/>
              </w:rPr>
            </w:pPr>
            <w:r w:rsidRPr="00EF7EA3">
              <w:rPr>
                <w:rFonts w:cs="Arial"/>
                <w:szCs w:val="16"/>
              </w:rPr>
              <w:t>130:13:1</w:t>
            </w:r>
          </w:p>
        </w:tc>
        <w:tc>
          <w:tcPr>
            <w:tcW w:w="1004" w:type="dxa"/>
            <w:vMerge w:val="restart"/>
            <w:vAlign w:val="center"/>
          </w:tcPr>
          <w:p w:rsidR="00A06BC6" w:rsidRPr="00EF7EA3" w:rsidRDefault="00A06BC6" w:rsidP="00A06BC6">
            <w:pPr>
              <w:pStyle w:val="table2"/>
              <w:jc w:val="both"/>
              <w:rPr>
                <w:rFonts w:cs="Arial"/>
                <w:szCs w:val="16"/>
              </w:rPr>
            </w:pPr>
            <w:r w:rsidRPr="00EF7EA3">
              <w:rPr>
                <w:rFonts w:cs="Arial"/>
                <w:szCs w:val="16"/>
              </w:rPr>
              <w:t>2.5:1.7:1</w:t>
            </w:r>
          </w:p>
        </w:tc>
      </w:tr>
      <w:tr w:rsidR="00A06BC6" w:rsidRPr="00EF7EA3" w:rsidTr="00A06BC6">
        <w:trPr>
          <w:trHeight w:val="255"/>
        </w:trPr>
        <w:tc>
          <w:tcPr>
            <w:tcW w:w="0" w:type="auto"/>
            <w:vMerge/>
            <w:shd w:val="clear" w:color="auto" w:fill="auto"/>
            <w:noWrap/>
            <w:vAlign w:val="center"/>
            <w:hideMark/>
          </w:tcPr>
          <w:p w:rsidR="00A06BC6" w:rsidRPr="00EF7EA3" w:rsidRDefault="00A06BC6" w:rsidP="00A06BC6">
            <w:pPr>
              <w:pStyle w:val="table2"/>
              <w:jc w:val="both"/>
              <w:rPr>
                <w:rFonts w:cs="Arial"/>
                <w:lang w:eastAsia="en-AU"/>
              </w:rPr>
            </w:pPr>
          </w:p>
        </w:tc>
        <w:tc>
          <w:tcPr>
            <w:tcW w:w="0" w:type="auto"/>
            <w:vMerge/>
            <w:shd w:val="clear" w:color="auto" w:fill="auto"/>
            <w:noWrap/>
            <w:vAlign w:val="center"/>
            <w:hideMark/>
          </w:tcPr>
          <w:p w:rsidR="00A06BC6" w:rsidRPr="00EF7EA3" w:rsidRDefault="00A06BC6" w:rsidP="00A06BC6">
            <w:pPr>
              <w:pStyle w:val="table2"/>
              <w:jc w:val="both"/>
              <w:rPr>
                <w:rFonts w:cs="Arial"/>
                <w:lang w:eastAsia="en-AU"/>
              </w:rPr>
            </w:pPr>
          </w:p>
        </w:tc>
        <w:tc>
          <w:tcPr>
            <w:tcW w:w="0" w:type="auto"/>
            <w:shd w:val="clear" w:color="auto" w:fill="auto"/>
            <w:noWrap/>
            <w:vAlign w:val="bottom"/>
            <w:hideMark/>
          </w:tcPr>
          <w:p w:rsidR="00A06BC6" w:rsidRPr="00EF7EA3" w:rsidRDefault="00A06BC6" w:rsidP="00A06BC6">
            <w:pPr>
              <w:pStyle w:val="table2"/>
              <w:jc w:val="both"/>
              <w:rPr>
                <w:rFonts w:cs="Arial"/>
                <w:lang w:eastAsia="en-AU"/>
              </w:rPr>
            </w:pPr>
            <w:r w:rsidRPr="00EF7EA3">
              <w:rPr>
                <w:rFonts w:cs="Arial"/>
                <w:snapToGrid w:val="0"/>
                <w:color w:val="000000"/>
                <w:position w:val="4"/>
                <w:sz w:val="11"/>
                <w:szCs w:val="0"/>
                <w:u w:color="000000"/>
                <w:lang w:eastAsia="en-AU"/>
              </w:rPr>
              <w:t>226</w:t>
            </w:r>
            <w:r w:rsidRPr="00EF7EA3">
              <w:rPr>
                <w:rFonts w:cs="Arial"/>
                <w:lang w:eastAsia="en-AU"/>
              </w:rPr>
              <w:t>Ra</w:t>
            </w:r>
          </w:p>
        </w:tc>
        <w:tc>
          <w:tcPr>
            <w:tcW w:w="0" w:type="auto"/>
            <w:vAlign w:val="bottom"/>
          </w:tcPr>
          <w:p w:rsidR="00A06BC6" w:rsidRPr="00EF7EA3" w:rsidRDefault="00A06BC6" w:rsidP="00A06BC6">
            <w:pPr>
              <w:pStyle w:val="table2"/>
              <w:jc w:val="both"/>
              <w:rPr>
                <w:rFonts w:cs="Arial"/>
              </w:rPr>
            </w:pPr>
            <w:r w:rsidRPr="00EF7EA3">
              <w:rPr>
                <w:rFonts w:cs="Arial"/>
              </w:rPr>
              <w:t>14.6±0.7</w:t>
            </w:r>
          </w:p>
        </w:tc>
        <w:tc>
          <w:tcPr>
            <w:tcW w:w="0" w:type="auto"/>
            <w:vAlign w:val="bottom"/>
          </w:tcPr>
          <w:p w:rsidR="00A06BC6" w:rsidRPr="00EF7EA3" w:rsidRDefault="00A06BC6" w:rsidP="00A06BC6">
            <w:pPr>
              <w:pStyle w:val="table2"/>
              <w:jc w:val="both"/>
              <w:rPr>
                <w:rFonts w:cs="Arial"/>
              </w:rPr>
            </w:pPr>
            <w:r w:rsidRPr="00EF7EA3">
              <w:rPr>
                <w:rFonts w:cs="Arial"/>
              </w:rPr>
              <w:t>480±18</w:t>
            </w:r>
          </w:p>
        </w:tc>
        <w:tc>
          <w:tcPr>
            <w:tcW w:w="0" w:type="auto"/>
            <w:vAlign w:val="bottom"/>
          </w:tcPr>
          <w:p w:rsidR="00A06BC6" w:rsidRPr="00EF7EA3" w:rsidRDefault="00A06BC6" w:rsidP="00A06BC6">
            <w:pPr>
              <w:pStyle w:val="table2"/>
              <w:jc w:val="both"/>
              <w:rPr>
                <w:rFonts w:cs="Arial"/>
              </w:rPr>
            </w:pPr>
            <w:r w:rsidRPr="00EF7EA3">
              <w:rPr>
                <w:rFonts w:cs="Arial"/>
              </w:rPr>
              <w:t>495±18</w:t>
            </w:r>
          </w:p>
        </w:tc>
        <w:tc>
          <w:tcPr>
            <w:tcW w:w="0" w:type="auto"/>
            <w:vAlign w:val="bottom"/>
          </w:tcPr>
          <w:p w:rsidR="00A06BC6" w:rsidRPr="00EF7EA3" w:rsidRDefault="00A06BC6" w:rsidP="00A06BC6">
            <w:pPr>
              <w:pStyle w:val="table2"/>
              <w:jc w:val="both"/>
              <w:rPr>
                <w:rFonts w:cs="Arial"/>
              </w:rPr>
            </w:pPr>
            <w:r w:rsidRPr="00EF7EA3">
              <w:rPr>
                <w:rFonts w:cs="Arial"/>
              </w:rPr>
              <w:t>2146±80</w:t>
            </w:r>
          </w:p>
        </w:tc>
        <w:tc>
          <w:tcPr>
            <w:tcW w:w="0" w:type="auto"/>
            <w:vMerge/>
            <w:vAlign w:val="center"/>
          </w:tcPr>
          <w:p w:rsidR="00A06BC6" w:rsidRPr="00EF7EA3" w:rsidRDefault="00A06BC6" w:rsidP="00A06BC6">
            <w:pPr>
              <w:pStyle w:val="table2"/>
              <w:jc w:val="both"/>
              <w:rPr>
                <w:rFonts w:cs="Arial"/>
                <w:szCs w:val="16"/>
              </w:rPr>
            </w:pPr>
          </w:p>
        </w:tc>
        <w:tc>
          <w:tcPr>
            <w:tcW w:w="1004" w:type="dxa"/>
            <w:vMerge/>
            <w:vAlign w:val="center"/>
          </w:tcPr>
          <w:p w:rsidR="00A06BC6" w:rsidRPr="00EF7EA3" w:rsidRDefault="00A06BC6" w:rsidP="00A06BC6">
            <w:pPr>
              <w:pStyle w:val="table2"/>
              <w:jc w:val="both"/>
              <w:rPr>
                <w:rFonts w:cs="Arial"/>
                <w:szCs w:val="16"/>
              </w:rPr>
            </w:pPr>
          </w:p>
        </w:tc>
      </w:tr>
      <w:tr w:rsidR="00A06BC6" w:rsidRPr="00EF7EA3" w:rsidTr="00A06BC6">
        <w:trPr>
          <w:trHeight w:val="255"/>
        </w:trPr>
        <w:tc>
          <w:tcPr>
            <w:tcW w:w="0" w:type="auto"/>
            <w:vMerge/>
            <w:shd w:val="clear" w:color="auto" w:fill="auto"/>
            <w:noWrap/>
            <w:vAlign w:val="center"/>
            <w:hideMark/>
          </w:tcPr>
          <w:p w:rsidR="00A06BC6" w:rsidRPr="00EF7EA3" w:rsidRDefault="00A06BC6" w:rsidP="00A06BC6">
            <w:pPr>
              <w:pStyle w:val="table2"/>
              <w:jc w:val="both"/>
              <w:rPr>
                <w:rFonts w:cs="Arial"/>
                <w:lang w:eastAsia="en-AU"/>
              </w:rPr>
            </w:pPr>
          </w:p>
        </w:tc>
        <w:tc>
          <w:tcPr>
            <w:tcW w:w="0" w:type="auto"/>
            <w:vMerge/>
            <w:shd w:val="clear" w:color="auto" w:fill="auto"/>
            <w:noWrap/>
            <w:vAlign w:val="center"/>
            <w:hideMark/>
          </w:tcPr>
          <w:p w:rsidR="00A06BC6" w:rsidRPr="00EF7EA3" w:rsidRDefault="00A06BC6" w:rsidP="00A06BC6">
            <w:pPr>
              <w:pStyle w:val="table2"/>
              <w:jc w:val="both"/>
              <w:rPr>
                <w:rFonts w:cs="Arial"/>
                <w:lang w:eastAsia="en-AU"/>
              </w:rPr>
            </w:pPr>
          </w:p>
        </w:tc>
        <w:tc>
          <w:tcPr>
            <w:tcW w:w="0" w:type="auto"/>
            <w:shd w:val="clear" w:color="auto" w:fill="auto"/>
            <w:noWrap/>
            <w:vAlign w:val="bottom"/>
            <w:hideMark/>
          </w:tcPr>
          <w:p w:rsidR="00A06BC6" w:rsidRPr="00EF7EA3" w:rsidRDefault="00A06BC6" w:rsidP="00A06BC6">
            <w:pPr>
              <w:pStyle w:val="table2"/>
              <w:jc w:val="both"/>
              <w:rPr>
                <w:rFonts w:cs="Arial"/>
                <w:lang w:eastAsia="en-AU"/>
              </w:rPr>
            </w:pPr>
            <w:r w:rsidRPr="00EF7EA3">
              <w:rPr>
                <w:rFonts w:cs="Arial"/>
                <w:snapToGrid w:val="0"/>
                <w:color w:val="000000"/>
                <w:position w:val="4"/>
                <w:sz w:val="11"/>
                <w:szCs w:val="0"/>
                <w:u w:color="000000"/>
                <w:lang w:eastAsia="en-AU"/>
              </w:rPr>
              <w:t>210</w:t>
            </w:r>
            <w:r w:rsidRPr="00EF7EA3">
              <w:rPr>
                <w:rFonts w:cs="Arial"/>
                <w:lang w:eastAsia="en-AU"/>
              </w:rPr>
              <w:t>Po</w:t>
            </w:r>
          </w:p>
        </w:tc>
        <w:tc>
          <w:tcPr>
            <w:tcW w:w="0" w:type="auto"/>
            <w:vAlign w:val="bottom"/>
          </w:tcPr>
          <w:p w:rsidR="00A06BC6" w:rsidRPr="00EF7EA3" w:rsidRDefault="00A06BC6" w:rsidP="00A06BC6">
            <w:pPr>
              <w:pStyle w:val="table2"/>
              <w:jc w:val="both"/>
              <w:rPr>
                <w:rFonts w:cs="Arial"/>
              </w:rPr>
            </w:pPr>
            <w:r w:rsidRPr="00EF7EA3">
              <w:rPr>
                <w:rFonts w:cs="Arial"/>
              </w:rPr>
              <w:t>1.13±0.29</w:t>
            </w:r>
          </w:p>
        </w:tc>
        <w:tc>
          <w:tcPr>
            <w:tcW w:w="0" w:type="auto"/>
            <w:vAlign w:val="bottom"/>
          </w:tcPr>
          <w:p w:rsidR="00A06BC6" w:rsidRPr="00EF7EA3" w:rsidRDefault="00A06BC6" w:rsidP="00A06BC6">
            <w:pPr>
              <w:pStyle w:val="table2"/>
              <w:jc w:val="both"/>
              <w:rPr>
                <w:rFonts w:cs="Arial"/>
              </w:rPr>
            </w:pPr>
            <w:r w:rsidRPr="00EF7EA3">
              <w:rPr>
                <w:rFonts w:cs="Arial"/>
              </w:rPr>
              <w:t>291±11</w:t>
            </w:r>
          </w:p>
        </w:tc>
        <w:tc>
          <w:tcPr>
            <w:tcW w:w="0" w:type="auto"/>
            <w:vAlign w:val="bottom"/>
          </w:tcPr>
          <w:p w:rsidR="00A06BC6" w:rsidRPr="00EF7EA3" w:rsidRDefault="00A06BC6" w:rsidP="00A06BC6">
            <w:pPr>
              <w:pStyle w:val="table2"/>
              <w:jc w:val="both"/>
              <w:rPr>
                <w:rFonts w:cs="Arial"/>
              </w:rPr>
            </w:pPr>
            <w:r w:rsidRPr="00EF7EA3">
              <w:rPr>
                <w:rFonts w:cs="Arial"/>
              </w:rPr>
              <w:t>292±11</w:t>
            </w:r>
          </w:p>
        </w:tc>
        <w:tc>
          <w:tcPr>
            <w:tcW w:w="0" w:type="auto"/>
            <w:vAlign w:val="bottom"/>
          </w:tcPr>
          <w:p w:rsidR="00A06BC6" w:rsidRPr="00EF7EA3" w:rsidRDefault="00A06BC6" w:rsidP="00A06BC6">
            <w:pPr>
              <w:pStyle w:val="table2"/>
              <w:jc w:val="both"/>
              <w:rPr>
                <w:rFonts w:cs="Arial"/>
              </w:rPr>
            </w:pPr>
            <w:r w:rsidRPr="00EF7EA3">
              <w:rPr>
                <w:rFonts w:cs="Arial"/>
              </w:rPr>
              <w:t>1299±47</w:t>
            </w:r>
          </w:p>
        </w:tc>
        <w:tc>
          <w:tcPr>
            <w:tcW w:w="0" w:type="auto"/>
            <w:vMerge/>
            <w:vAlign w:val="center"/>
          </w:tcPr>
          <w:p w:rsidR="00A06BC6" w:rsidRPr="00EF7EA3" w:rsidRDefault="00A06BC6" w:rsidP="00A06BC6">
            <w:pPr>
              <w:pStyle w:val="table2"/>
              <w:jc w:val="both"/>
              <w:rPr>
                <w:rFonts w:cs="Arial"/>
                <w:szCs w:val="16"/>
              </w:rPr>
            </w:pPr>
          </w:p>
        </w:tc>
        <w:tc>
          <w:tcPr>
            <w:tcW w:w="1004" w:type="dxa"/>
            <w:vMerge/>
            <w:vAlign w:val="center"/>
          </w:tcPr>
          <w:p w:rsidR="00A06BC6" w:rsidRPr="00EF7EA3" w:rsidRDefault="00A06BC6" w:rsidP="00A06BC6">
            <w:pPr>
              <w:pStyle w:val="table2"/>
              <w:jc w:val="both"/>
              <w:rPr>
                <w:rFonts w:cs="Arial"/>
                <w:szCs w:val="16"/>
              </w:rPr>
            </w:pPr>
          </w:p>
        </w:tc>
      </w:tr>
      <w:tr w:rsidR="00A06BC6" w:rsidRPr="00EF7EA3" w:rsidTr="00A06BC6">
        <w:trPr>
          <w:trHeight w:val="255"/>
        </w:trPr>
        <w:tc>
          <w:tcPr>
            <w:tcW w:w="0" w:type="auto"/>
            <w:vMerge w:val="restart"/>
            <w:shd w:val="clear" w:color="auto" w:fill="auto"/>
            <w:noWrap/>
            <w:vAlign w:val="center"/>
            <w:hideMark/>
          </w:tcPr>
          <w:p w:rsidR="00A06BC6" w:rsidRPr="00EF7EA3" w:rsidRDefault="00A06BC6" w:rsidP="00A06BC6">
            <w:pPr>
              <w:pStyle w:val="table2"/>
              <w:jc w:val="both"/>
              <w:rPr>
                <w:rFonts w:cs="Arial"/>
                <w:lang w:eastAsia="en-AU"/>
              </w:rPr>
            </w:pPr>
            <w:r w:rsidRPr="00EF7EA3">
              <w:rPr>
                <w:rFonts w:cs="Arial"/>
                <w:lang w:eastAsia="en-AU"/>
              </w:rPr>
              <w:t>TL10006</w:t>
            </w:r>
          </w:p>
          <w:p w:rsidR="00A06BC6" w:rsidRPr="00EF7EA3" w:rsidRDefault="00A06BC6" w:rsidP="00A06BC6">
            <w:pPr>
              <w:pStyle w:val="table2"/>
              <w:jc w:val="both"/>
              <w:rPr>
                <w:rFonts w:cs="Arial"/>
                <w:lang w:eastAsia="en-AU"/>
              </w:rPr>
            </w:pPr>
            <w:r w:rsidRPr="00EF7EA3">
              <w:rPr>
                <w:rFonts w:cs="Arial"/>
                <w:lang w:eastAsia="en-AU"/>
              </w:rPr>
              <w:t>(EP2)</w:t>
            </w:r>
          </w:p>
        </w:tc>
        <w:tc>
          <w:tcPr>
            <w:tcW w:w="0" w:type="auto"/>
            <w:vMerge w:val="restart"/>
            <w:shd w:val="clear" w:color="auto" w:fill="auto"/>
            <w:noWrap/>
            <w:vAlign w:val="center"/>
            <w:hideMark/>
          </w:tcPr>
          <w:p w:rsidR="00A06BC6" w:rsidRPr="00EF7EA3" w:rsidRDefault="00A06BC6" w:rsidP="00A06BC6">
            <w:pPr>
              <w:pStyle w:val="table2"/>
              <w:jc w:val="both"/>
              <w:rPr>
                <w:rFonts w:cs="Arial"/>
                <w:lang w:eastAsia="en-AU"/>
              </w:rPr>
            </w:pPr>
            <w:r w:rsidRPr="00EF7EA3">
              <w:rPr>
                <w:rFonts w:cs="Arial"/>
                <w:lang w:eastAsia="en-AU"/>
              </w:rPr>
              <w:t>12/04/10</w:t>
            </w:r>
          </w:p>
        </w:tc>
        <w:tc>
          <w:tcPr>
            <w:tcW w:w="0" w:type="auto"/>
            <w:shd w:val="clear" w:color="auto" w:fill="auto"/>
            <w:noWrap/>
            <w:vAlign w:val="bottom"/>
            <w:hideMark/>
          </w:tcPr>
          <w:p w:rsidR="00A06BC6" w:rsidRPr="00EF7EA3" w:rsidRDefault="00A06BC6" w:rsidP="00A06BC6">
            <w:pPr>
              <w:pStyle w:val="table2"/>
              <w:jc w:val="both"/>
              <w:rPr>
                <w:rFonts w:cs="Arial"/>
                <w:lang w:eastAsia="en-AU"/>
              </w:rPr>
            </w:pPr>
            <w:r w:rsidRPr="00EF7EA3">
              <w:rPr>
                <w:rFonts w:cs="Arial"/>
                <w:snapToGrid w:val="0"/>
                <w:color w:val="000000"/>
                <w:position w:val="4"/>
                <w:sz w:val="11"/>
                <w:szCs w:val="0"/>
                <w:u w:color="000000"/>
                <w:lang w:eastAsia="en-AU"/>
              </w:rPr>
              <w:t>238</w:t>
            </w:r>
            <w:r w:rsidRPr="00EF7EA3">
              <w:rPr>
                <w:rFonts w:cs="Arial"/>
                <w:lang w:eastAsia="en-AU"/>
              </w:rPr>
              <w:t>U</w:t>
            </w:r>
          </w:p>
        </w:tc>
        <w:tc>
          <w:tcPr>
            <w:tcW w:w="0" w:type="auto"/>
            <w:vAlign w:val="bottom"/>
          </w:tcPr>
          <w:p w:rsidR="00A06BC6" w:rsidRPr="00EF7EA3" w:rsidRDefault="00A06BC6" w:rsidP="00A06BC6">
            <w:pPr>
              <w:pStyle w:val="table2"/>
              <w:jc w:val="both"/>
              <w:rPr>
                <w:rFonts w:cs="Arial"/>
              </w:rPr>
            </w:pPr>
            <w:r w:rsidRPr="00EF7EA3">
              <w:rPr>
                <w:rFonts w:cs="Arial"/>
              </w:rPr>
              <w:t>350±35</w:t>
            </w:r>
          </w:p>
        </w:tc>
        <w:tc>
          <w:tcPr>
            <w:tcW w:w="0" w:type="auto"/>
            <w:vAlign w:val="bottom"/>
          </w:tcPr>
          <w:p w:rsidR="00A06BC6" w:rsidRPr="00EF7EA3" w:rsidRDefault="00A06BC6" w:rsidP="00A06BC6">
            <w:pPr>
              <w:pStyle w:val="table2"/>
              <w:jc w:val="both"/>
              <w:rPr>
                <w:rFonts w:cs="Arial"/>
              </w:rPr>
            </w:pPr>
            <w:r w:rsidRPr="00EF7EA3">
              <w:rPr>
                <w:rFonts w:cs="Arial"/>
              </w:rPr>
              <w:t>385±39</w:t>
            </w:r>
          </w:p>
        </w:tc>
        <w:tc>
          <w:tcPr>
            <w:tcW w:w="0" w:type="auto"/>
            <w:vAlign w:val="bottom"/>
          </w:tcPr>
          <w:p w:rsidR="00A06BC6" w:rsidRPr="00EF7EA3" w:rsidRDefault="00A06BC6" w:rsidP="00A06BC6">
            <w:pPr>
              <w:pStyle w:val="table2"/>
              <w:jc w:val="both"/>
              <w:rPr>
                <w:rFonts w:cs="Arial"/>
              </w:rPr>
            </w:pPr>
            <w:r w:rsidRPr="00EF7EA3">
              <w:rPr>
                <w:rFonts w:cs="Arial"/>
              </w:rPr>
              <w:t>735±52</w:t>
            </w:r>
          </w:p>
        </w:tc>
        <w:tc>
          <w:tcPr>
            <w:tcW w:w="0" w:type="auto"/>
            <w:vAlign w:val="bottom"/>
          </w:tcPr>
          <w:p w:rsidR="00A06BC6" w:rsidRPr="00EF7EA3" w:rsidRDefault="00A06BC6" w:rsidP="00A06BC6">
            <w:pPr>
              <w:pStyle w:val="table2"/>
              <w:jc w:val="both"/>
              <w:rPr>
                <w:rFonts w:cs="Arial"/>
              </w:rPr>
            </w:pPr>
            <w:r w:rsidRPr="00EF7EA3">
              <w:rPr>
                <w:rFonts w:cs="Arial"/>
              </w:rPr>
              <w:t>3870±387</w:t>
            </w:r>
          </w:p>
        </w:tc>
        <w:tc>
          <w:tcPr>
            <w:tcW w:w="0" w:type="auto"/>
            <w:vMerge w:val="restart"/>
            <w:vAlign w:val="center"/>
          </w:tcPr>
          <w:p w:rsidR="00A06BC6" w:rsidRPr="00EF7EA3" w:rsidRDefault="00A06BC6" w:rsidP="00A06BC6">
            <w:pPr>
              <w:pStyle w:val="table2"/>
              <w:jc w:val="both"/>
              <w:rPr>
                <w:rFonts w:cs="Arial"/>
                <w:szCs w:val="16"/>
              </w:rPr>
            </w:pPr>
            <w:r w:rsidRPr="00EF7EA3">
              <w:rPr>
                <w:rFonts w:cs="Arial"/>
                <w:szCs w:val="16"/>
              </w:rPr>
              <w:t>170:28:1</w:t>
            </w:r>
          </w:p>
        </w:tc>
        <w:tc>
          <w:tcPr>
            <w:tcW w:w="1004" w:type="dxa"/>
            <w:vMerge w:val="restart"/>
            <w:vAlign w:val="center"/>
          </w:tcPr>
          <w:p w:rsidR="00A06BC6" w:rsidRPr="00EF7EA3" w:rsidRDefault="00A06BC6" w:rsidP="00A06BC6">
            <w:pPr>
              <w:pStyle w:val="table2"/>
              <w:jc w:val="both"/>
              <w:rPr>
                <w:rFonts w:cs="Arial"/>
                <w:szCs w:val="16"/>
              </w:rPr>
            </w:pPr>
            <w:r w:rsidRPr="00EF7EA3">
              <w:rPr>
                <w:rFonts w:cs="Arial"/>
                <w:szCs w:val="16"/>
              </w:rPr>
              <w:t>3.9:1.1:1</w:t>
            </w:r>
          </w:p>
        </w:tc>
      </w:tr>
      <w:tr w:rsidR="00A06BC6" w:rsidRPr="00EF7EA3" w:rsidTr="00A06BC6">
        <w:trPr>
          <w:trHeight w:val="255"/>
        </w:trPr>
        <w:tc>
          <w:tcPr>
            <w:tcW w:w="0" w:type="auto"/>
            <w:vMerge/>
            <w:shd w:val="clear" w:color="auto" w:fill="auto"/>
            <w:noWrap/>
            <w:vAlign w:val="center"/>
            <w:hideMark/>
          </w:tcPr>
          <w:p w:rsidR="00A06BC6" w:rsidRPr="00EF7EA3" w:rsidRDefault="00A06BC6" w:rsidP="00A06BC6">
            <w:pPr>
              <w:pStyle w:val="table2"/>
              <w:jc w:val="both"/>
              <w:rPr>
                <w:rFonts w:cs="Arial"/>
                <w:lang w:eastAsia="en-AU"/>
              </w:rPr>
            </w:pPr>
          </w:p>
        </w:tc>
        <w:tc>
          <w:tcPr>
            <w:tcW w:w="0" w:type="auto"/>
            <w:vMerge/>
            <w:shd w:val="clear" w:color="auto" w:fill="auto"/>
            <w:noWrap/>
            <w:vAlign w:val="center"/>
            <w:hideMark/>
          </w:tcPr>
          <w:p w:rsidR="00A06BC6" w:rsidRPr="00EF7EA3" w:rsidRDefault="00A06BC6" w:rsidP="00A06BC6">
            <w:pPr>
              <w:pStyle w:val="table2"/>
              <w:jc w:val="both"/>
              <w:rPr>
                <w:rFonts w:cs="Arial"/>
                <w:lang w:eastAsia="en-AU"/>
              </w:rPr>
            </w:pPr>
          </w:p>
        </w:tc>
        <w:tc>
          <w:tcPr>
            <w:tcW w:w="0" w:type="auto"/>
            <w:shd w:val="clear" w:color="auto" w:fill="auto"/>
            <w:noWrap/>
            <w:vAlign w:val="bottom"/>
            <w:hideMark/>
          </w:tcPr>
          <w:p w:rsidR="00A06BC6" w:rsidRPr="00EF7EA3" w:rsidRDefault="00A06BC6" w:rsidP="00A06BC6">
            <w:pPr>
              <w:pStyle w:val="table2"/>
              <w:jc w:val="both"/>
              <w:rPr>
                <w:rFonts w:cs="Arial"/>
                <w:lang w:eastAsia="en-AU"/>
              </w:rPr>
            </w:pPr>
            <w:r w:rsidRPr="00EF7EA3">
              <w:rPr>
                <w:rFonts w:cs="Arial"/>
                <w:snapToGrid w:val="0"/>
                <w:color w:val="000000"/>
                <w:position w:val="4"/>
                <w:sz w:val="11"/>
                <w:szCs w:val="0"/>
                <w:u w:color="000000"/>
                <w:lang w:eastAsia="en-AU"/>
              </w:rPr>
              <w:t>226</w:t>
            </w:r>
            <w:r w:rsidRPr="00EF7EA3">
              <w:rPr>
                <w:rFonts w:cs="Arial"/>
                <w:lang w:eastAsia="en-AU"/>
              </w:rPr>
              <w:t>Ra</w:t>
            </w:r>
          </w:p>
        </w:tc>
        <w:tc>
          <w:tcPr>
            <w:tcW w:w="0" w:type="auto"/>
            <w:vAlign w:val="bottom"/>
          </w:tcPr>
          <w:p w:rsidR="00A06BC6" w:rsidRPr="00EF7EA3" w:rsidRDefault="00A06BC6" w:rsidP="00A06BC6">
            <w:pPr>
              <w:pStyle w:val="table2"/>
              <w:jc w:val="both"/>
              <w:rPr>
                <w:rFonts w:cs="Arial"/>
              </w:rPr>
            </w:pPr>
            <w:r w:rsidRPr="00EF7EA3">
              <w:rPr>
                <w:rFonts w:cs="Arial"/>
              </w:rPr>
              <w:t>58.7±2.9</w:t>
            </w:r>
          </w:p>
        </w:tc>
        <w:tc>
          <w:tcPr>
            <w:tcW w:w="0" w:type="auto"/>
            <w:vAlign w:val="bottom"/>
          </w:tcPr>
          <w:p w:rsidR="00A06BC6" w:rsidRPr="00EF7EA3" w:rsidRDefault="00A06BC6" w:rsidP="00A06BC6">
            <w:pPr>
              <w:pStyle w:val="table2"/>
              <w:jc w:val="both"/>
              <w:rPr>
                <w:rFonts w:cs="Arial"/>
              </w:rPr>
            </w:pPr>
            <w:r w:rsidRPr="00EF7EA3">
              <w:rPr>
                <w:rFonts w:cs="Arial"/>
              </w:rPr>
              <w:t>111±5</w:t>
            </w:r>
          </w:p>
        </w:tc>
        <w:tc>
          <w:tcPr>
            <w:tcW w:w="0" w:type="auto"/>
            <w:vAlign w:val="bottom"/>
          </w:tcPr>
          <w:p w:rsidR="00A06BC6" w:rsidRPr="00EF7EA3" w:rsidRDefault="00A06BC6" w:rsidP="00A06BC6">
            <w:pPr>
              <w:pStyle w:val="table2"/>
              <w:jc w:val="both"/>
              <w:rPr>
                <w:rFonts w:cs="Arial"/>
              </w:rPr>
            </w:pPr>
            <w:r w:rsidRPr="00EF7EA3">
              <w:rPr>
                <w:rFonts w:cs="Arial"/>
              </w:rPr>
              <w:t>170±6</w:t>
            </w:r>
          </w:p>
        </w:tc>
        <w:tc>
          <w:tcPr>
            <w:tcW w:w="0" w:type="auto"/>
            <w:vAlign w:val="bottom"/>
          </w:tcPr>
          <w:p w:rsidR="00A06BC6" w:rsidRPr="00EF7EA3" w:rsidRDefault="00A06BC6" w:rsidP="00A06BC6">
            <w:pPr>
              <w:pStyle w:val="table2"/>
              <w:jc w:val="both"/>
              <w:rPr>
                <w:rFonts w:cs="Arial"/>
              </w:rPr>
            </w:pPr>
            <w:r w:rsidRPr="00EF7EA3">
              <w:rPr>
                <w:rFonts w:cs="Arial"/>
              </w:rPr>
              <w:t>1115±50</w:t>
            </w:r>
          </w:p>
        </w:tc>
        <w:tc>
          <w:tcPr>
            <w:tcW w:w="0" w:type="auto"/>
            <w:vMerge/>
            <w:vAlign w:val="center"/>
          </w:tcPr>
          <w:p w:rsidR="00A06BC6" w:rsidRPr="00EF7EA3" w:rsidRDefault="00A06BC6" w:rsidP="00A06BC6">
            <w:pPr>
              <w:pStyle w:val="table2"/>
              <w:jc w:val="both"/>
              <w:rPr>
                <w:rFonts w:cs="Arial"/>
                <w:szCs w:val="16"/>
              </w:rPr>
            </w:pPr>
          </w:p>
        </w:tc>
        <w:tc>
          <w:tcPr>
            <w:tcW w:w="1004" w:type="dxa"/>
            <w:vMerge/>
            <w:vAlign w:val="center"/>
          </w:tcPr>
          <w:p w:rsidR="00A06BC6" w:rsidRPr="00EF7EA3" w:rsidRDefault="00A06BC6" w:rsidP="00A06BC6">
            <w:pPr>
              <w:pStyle w:val="table2"/>
              <w:jc w:val="both"/>
              <w:rPr>
                <w:rFonts w:cs="Arial"/>
                <w:szCs w:val="16"/>
              </w:rPr>
            </w:pPr>
          </w:p>
        </w:tc>
      </w:tr>
      <w:tr w:rsidR="00A06BC6" w:rsidRPr="00EF7EA3" w:rsidTr="00A06BC6">
        <w:trPr>
          <w:trHeight w:val="255"/>
        </w:trPr>
        <w:tc>
          <w:tcPr>
            <w:tcW w:w="0" w:type="auto"/>
            <w:vMerge/>
            <w:shd w:val="clear" w:color="auto" w:fill="auto"/>
            <w:noWrap/>
            <w:vAlign w:val="center"/>
            <w:hideMark/>
          </w:tcPr>
          <w:p w:rsidR="00A06BC6" w:rsidRPr="00EF7EA3" w:rsidRDefault="00A06BC6" w:rsidP="00A06BC6">
            <w:pPr>
              <w:pStyle w:val="table2"/>
              <w:jc w:val="both"/>
              <w:rPr>
                <w:rFonts w:cs="Arial"/>
                <w:lang w:eastAsia="en-AU"/>
              </w:rPr>
            </w:pPr>
          </w:p>
        </w:tc>
        <w:tc>
          <w:tcPr>
            <w:tcW w:w="0" w:type="auto"/>
            <w:vMerge/>
            <w:shd w:val="clear" w:color="auto" w:fill="auto"/>
            <w:noWrap/>
            <w:vAlign w:val="center"/>
            <w:hideMark/>
          </w:tcPr>
          <w:p w:rsidR="00A06BC6" w:rsidRPr="00EF7EA3" w:rsidRDefault="00A06BC6" w:rsidP="00A06BC6">
            <w:pPr>
              <w:pStyle w:val="table2"/>
              <w:jc w:val="both"/>
              <w:rPr>
                <w:rFonts w:cs="Arial"/>
                <w:lang w:eastAsia="en-AU"/>
              </w:rPr>
            </w:pPr>
          </w:p>
        </w:tc>
        <w:tc>
          <w:tcPr>
            <w:tcW w:w="0" w:type="auto"/>
            <w:shd w:val="clear" w:color="auto" w:fill="auto"/>
            <w:noWrap/>
            <w:vAlign w:val="bottom"/>
            <w:hideMark/>
          </w:tcPr>
          <w:p w:rsidR="00A06BC6" w:rsidRPr="00EF7EA3" w:rsidRDefault="00A06BC6" w:rsidP="00A06BC6">
            <w:pPr>
              <w:pStyle w:val="table2"/>
              <w:jc w:val="both"/>
              <w:rPr>
                <w:rFonts w:cs="Arial"/>
                <w:lang w:eastAsia="en-AU"/>
              </w:rPr>
            </w:pPr>
            <w:r w:rsidRPr="00EF7EA3">
              <w:rPr>
                <w:rFonts w:cs="Arial"/>
                <w:snapToGrid w:val="0"/>
                <w:color w:val="000000"/>
                <w:position w:val="4"/>
                <w:sz w:val="11"/>
                <w:szCs w:val="0"/>
                <w:u w:color="000000"/>
                <w:lang w:eastAsia="en-AU"/>
              </w:rPr>
              <w:t>210</w:t>
            </w:r>
            <w:r w:rsidRPr="00EF7EA3">
              <w:rPr>
                <w:rFonts w:cs="Arial"/>
                <w:lang w:eastAsia="en-AU"/>
              </w:rPr>
              <w:t>Po</w:t>
            </w:r>
          </w:p>
        </w:tc>
        <w:tc>
          <w:tcPr>
            <w:tcW w:w="0" w:type="auto"/>
            <w:vAlign w:val="bottom"/>
          </w:tcPr>
          <w:p w:rsidR="00A06BC6" w:rsidRPr="00EF7EA3" w:rsidRDefault="00A06BC6" w:rsidP="00A06BC6">
            <w:pPr>
              <w:pStyle w:val="table2"/>
              <w:jc w:val="both"/>
              <w:rPr>
                <w:rFonts w:cs="Arial"/>
              </w:rPr>
            </w:pPr>
            <w:r w:rsidRPr="00EF7EA3">
              <w:rPr>
                <w:rFonts w:cs="Arial"/>
              </w:rPr>
              <w:t>2.06±0.42</w:t>
            </w:r>
          </w:p>
        </w:tc>
        <w:tc>
          <w:tcPr>
            <w:tcW w:w="0" w:type="auto"/>
            <w:vAlign w:val="bottom"/>
          </w:tcPr>
          <w:p w:rsidR="00A06BC6" w:rsidRPr="00EF7EA3" w:rsidRDefault="00A06BC6" w:rsidP="00A06BC6">
            <w:pPr>
              <w:pStyle w:val="table2"/>
              <w:jc w:val="both"/>
              <w:rPr>
                <w:rFonts w:cs="Arial"/>
              </w:rPr>
            </w:pPr>
            <w:r w:rsidRPr="00EF7EA3">
              <w:rPr>
                <w:rFonts w:cs="Arial"/>
              </w:rPr>
              <w:t>99±4</w:t>
            </w:r>
          </w:p>
        </w:tc>
        <w:tc>
          <w:tcPr>
            <w:tcW w:w="0" w:type="auto"/>
            <w:vAlign w:val="bottom"/>
          </w:tcPr>
          <w:p w:rsidR="00A06BC6" w:rsidRPr="00EF7EA3" w:rsidRDefault="00A06BC6" w:rsidP="00A06BC6">
            <w:pPr>
              <w:pStyle w:val="table2"/>
              <w:jc w:val="both"/>
              <w:rPr>
                <w:rFonts w:cs="Arial"/>
              </w:rPr>
            </w:pPr>
            <w:r w:rsidRPr="00EF7EA3">
              <w:rPr>
                <w:rFonts w:cs="Arial"/>
              </w:rPr>
              <w:t>101±4</w:t>
            </w:r>
          </w:p>
        </w:tc>
        <w:tc>
          <w:tcPr>
            <w:tcW w:w="0" w:type="auto"/>
            <w:vAlign w:val="bottom"/>
          </w:tcPr>
          <w:p w:rsidR="00A06BC6" w:rsidRPr="00EF7EA3" w:rsidRDefault="00A06BC6" w:rsidP="00A06BC6">
            <w:pPr>
              <w:pStyle w:val="table2"/>
              <w:jc w:val="both"/>
              <w:rPr>
                <w:rFonts w:cs="Arial"/>
              </w:rPr>
            </w:pPr>
            <w:r w:rsidRPr="00EF7EA3">
              <w:rPr>
                <w:rFonts w:cs="Arial"/>
              </w:rPr>
              <w:t>991±38</w:t>
            </w:r>
          </w:p>
        </w:tc>
        <w:tc>
          <w:tcPr>
            <w:tcW w:w="0" w:type="auto"/>
            <w:vMerge/>
            <w:vAlign w:val="center"/>
          </w:tcPr>
          <w:p w:rsidR="00A06BC6" w:rsidRPr="00EF7EA3" w:rsidRDefault="00A06BC6" w:rsidP="00A06BC6">
            <w:pPr>
              <w:pStyle w:val="table2"/>
              <w:jc w:val="both"/>
              <w:rPr>
                <w:rFonts w:cs="Arial"/>
                <w:szCs w:val="16"/>
              </w:rPr>
            </w:pPr>
          </w:p>
        </w:tc>
        <w:tc>
          <w:tcPr>
            <w:tcW w:w="1004" w:type="dxa"/>
            <w:vMerge/>
            <w:vAlign w:val="center"/>
          </w:tcPr>
          <w:p w:rsidR="00A06BC6" w:rsidRPr="00EF7EA3" w:rsidRDefault="00A06BC6" w:rsidP="00A06BC6">
            <w:pPr>
              <w:pStyle w:val="table2"/>
              <w:jc w:val="both"/>
              <w:rPr>
                <w:rFonts w:cs="Arial"/>
                <w:szCs w:val="16"/>
              </w:rPr>
            </w:pPr>
          </w:p>
        </w:tc>
      </w:tr>
      <w:tr w:rsidR="00A06BC6" w:rsidRPr="00EF7EA3" w:rsidTr="00A06BC6">
        <w:trPr>
          <w:trHeight w:val="255"/>
        </w:trPr>
        <w:tc>
          <w:tcPr>
            <w:tcW w:w="0" w:type="auto"/>
            <w:vMerge w:val="restart"/>
            <w:shd w:val="clear" w:color="auto" w:fill="auto"/>
            <w:noWrap/>
            <w:vAlign w:val="center"/>
            <w:hideMark/>
          </w:tcPr>
          <w:p w:rsidR="00A06BC6" w:rsidRPr="00EF7EA3" w:rsidRDefault="00A06BC6" w:rsidP="00A06BC6">
            <w:pPr>
              <w:pStyle w:val="table2"/>
              <w:jc w:val="both"/>
              <w:rPr>
                <w:rFonts w:cs="Arial"/>
                <w:lang w:eastAsia="en-AU"/>
              </w:rPr>
            </w:pPr>
            <w:r w:rsidRPr="00EF7EA3">
              <w:rPr>
                <w:rFonts w:cs="Arial"/>
                <w:lang w:eastAsia="en-AU"/>
              </w:rPr>
              <w:t>TL10007</w:t>
            </w:r>
          </w:p>
          <w:p w:rsidR="00A06BC6" w:rsidRPr="00EF7EA3" w:rsidRDefault="00A06BC6" w:rsidP="00A06BC6">
            <w:pPr>
              <w:pStyle w:val="table2"/>
              <w:jc w:val="both"/>
              <w:rPr>
                <w:rFonts w:cs="Arial"/>
                <w:lang w:eastAsia="en-AU"/>
              </w:rPr>
            </w:pPr>
            <w:r w:rsidRPr="00EF7EA3">
              <w:rPr>
                <w:rFonts w:cs="Arial"/>
                <w:lang w:eastAsia="en-AU"/>
              </w:rPr>
              <w:t>(EP2)</w:t>
            </w:r>
          </w:p>
        </w:tc>
        <w:tc>
          <w:tcPr>
            <w:tcW w:w="0" w:type="auto"/>
            <w:vMerge w:val="restart"/>
            <w:shd w:val="clear" w:color="auto" w:fill="auto"/>
            <w:noWrap/>
            <w:vAlign w:val="center"/>
            <w:hideMark/>
          </w:tcPr>
          <w:p w:rsidR="00A06BC6" w:rsidRPr="00EF7EA3" w:rsidRDefault="00A06BC6" w:rsidP="00A06BC6">
            <w:pPr>
              <w:pStyle w:val="table2"/>
              <w:jc w:val="both"/>
              <w:rPr>
                <w:rFonts w:cs="Arial"/>
                <w:lang w:eastAsia="en-AU"/>
              </w:rPr>
            </w:pPr>
            <w:r w:rsidRPr="00EF7EA3">
              <w:rPr>
                <w:rFonts w:cs="Arial"/>
                <w:lang w:eastAsia="en-AU"/>
              </w:rPr>
              <w:t>12/04/10</w:t>
            </w:r>
          </w:p>
        </w:tc>
        <w:tc>
          <w:tcPr>
            <w:tcW w:w="0" w:type="auto"/>
            <w:shd w:val="clear" w:color="auto" w:fill="auto"/>
            <w:noWrap/>
            <w:vAlign w:val="bottom"/>
            <w:hideMark/>
          </w:tcPr>
          <w:p w:rsidR="00A06BC6" w:rsidRPr="00EF7EA3" w:rsidRDefault="00A06BC6" w:rsidP="00A06BC6">
            <w:pPr>
              <w:pStyle w:val="table2"/>
              <w:jc w:val="both"/>
              <w:rPr>
                <w:rFonts w:cs="Arial"/>
                <w:lang w:eastAsia="en-AU"/>
              </w:rPr>
            </w:pPr>
            <w:r w:rsidRPr="00EF7EA3">
              <w:rPr>
                <w:rFonts w:cs="Arial"/>
                <w:snapToGrid w:val="0"/>
                <w:color w:val="000000"/>
                <w:position w:val="4"/>
                <w:sz w:val="11"/>
                <w:szCs w:val="0"/>
                <w:u w:color="000000"/>
                <w:lang w:eastAsia="en-AU"/>
              </w:rPr>
              <w:t>238</w:t>
            </w:r>
            <w:r w:rsidRPr="00EF7EA3">
              <w:rPr>
                <w:rFonts w:cs="Arial"/>
                <w:lang w:eastAsia="en-AU"/>
              </w:rPr>
              <w:t>U</w:t>
            </w:r>
          </w:p>
        </w:tc>
        <w:tc>
          <w:tcPr>
            <w:tcW w:w="0" w:type="auto"/>
            <w:vAlign w:val="bottom"/>
          </w:tcPr>
          <w:p w:rsidR="00A06BC6" w:rsidRPr="00EF7EA3" w:rsidRDefault="00A06BC6" w:rsidP="00A06BC6">
            <w:pPr>
              <w:pStyle w:val="table2"/>
              <w:jc w:val="both"/>
              <w:rPr>
                <w:rFonts w:cs="Arial"/>
              </w:rPr>
            </w:pPr>
            <w:r w:rsidRPr="00EF7EA3">
              <w:rPr>
                <w:rFonts w:cs="Arial"/>
              </w:rPr>
              <w:t>220±22</w:t>
            </w:r>
          </w:p>
        </w:tc>
        <w:tc>
          <w:tcPr>
            <w:tcW w:w="0" w:type="auto"/>
            <w:vAlign w:val="bottom"/>
          </w:tcPr>
          <w:p w:rsidR="00A06BC6" w:rsidRPr="00EF7EA3" w:rsidRDefault="00A06BC6" w:rsidP="00A06BC6">
            <w:pPr>
              <w:pStyle w:val="table2"/>
              <w:jc w:val="both"/>
              <w:rPr>
                <w:rFonts w:cs="Arial"/>
              </w:rPr>
            </w:pPr>
            <w:r w:rsidRPr="00EF7EA3">
              <w:rPr>
                <w:rFonts w:cs="Arial"/>
              </w:rPr>
              <w:t>522±52</w:t>
            </w:r>
          </w:p>
        </w:tc>
        <w:tc>
          <w:tcPr>
            <w:tcW w:w="0" w:type="auto"/>
            <w:vAlign w:val="bottom"/>
          </w:tcPr>
          <w:p w:rsidR="00A06BC6" w:rsidRPr="00EF7EA3" w:rsidRDefault="00A06BC6" w:rsidP="00A06BC6">
            <w:pPr>
              <w:pStyle w:val="table2"/>
              <w:jc w:val="both"/>
              <w:rPr>
                <w:rFonts w:cs="Arial"/>
              </w:rPr>
            </w:pPr>
            <w:r w:rsidRPr="00EF7EA3">
              <w:rPr>
                <w:rFonts w:cs="Arial"/>
              </w:rPr>
              <w:t>742±57</w:t>
            </w:r>
          </w:p>
        </w:tc>
        <w:tc>
          <w:tcPr>
            <w:tcW w:w="0" w:type="auto"/>
            <w:vAlign w:val="bottom"/>
          </w:tcPr>
          <w:p w:rsidR="00A06BC6" w:rsidRPr="00EF7EA3" w:rsidRDefault="00A06BC6" w:rsidP="00A06BC6">
            <w:pPr>
              <w:pStyle w:val="table2"/>
              <w:jc w:val="both"/>
              <w:rPr>
                <w:rFonts w:cs="Arial"/>
              </w:rPr>
            </w:pPr>
            <w:r w:rsidRPr="00EF7EA3">
              <w:rPr>
                <w:rFonts w:cs="Arial"/>
              </w:rPr>
              <w:t>4116±412</w:t>
            </w:r>
          </w:p>
        </w:tc>
        <w:tc>
          <w:tcPr>
            <w:tcW w:w="0" w:type="auto"/>
            <w:vMerge w:val="restart"/>
            <w:vAlign w:val="center"/>
          </w:tcPr>
          <w:p w:rsidR="00A06BC6" w:rsidRPr="00EF7EA3" w:rsidRDefault="00A06BC6" w:rsidP="00A06BC6">
            <w:pPr>
              <w:pStyle w:val="table2"/>
              <w:jc w:val="both"/>
              <w:rPr>
                <w:rFonts w:cs="Arial"/>
                <w:szCs w:val="16"/>
              </w:rPr>
            </w:pPr>
            <w:r w:rsidRPr="00EF7EA3">
              <w:rPr>
                <w:rFonts w:cs="Arial"/>
                <w:szCs w:val="16"/>
              </w:rPr>
              <w:t>207:29:1</w:t>
            </w:r>
          </w:p>
        </w:tc>
        <w:tc>
          <w:tcPr>
            <w:tcW w:w="1004" w:type="dxa"/>
            <w:vMerge w:val="restart"/>
            <w:vAlign w:val="center"/>
          </w:tcPr>
          <w:p w:rsidR="00A06BC6" w:rsidRPr="00EF7EA3" w:rsidRDefault="00A06BC6" w:rsidP="00A06BC6">
            <w:pPr>
              <w:pStyle w:val="table2"/>
              <w:jc w:val="both"/>
              <w:rPr>
                <w:rFonts w:cs="Arial"/>
                <w:szCs w:val="16"/>
              </w:rPr>
            </w:pPr>
            <w:r w:rsidRPr="00EF7EA3">
              <w:rPr>
                <w:rFonts w:cs="Arial"/>
                <w:szCs w:val="16"/>
              </w:rPr>
              <w:t>3.3:1.3:1</w:t>
            </w:r>
          </w:p>
        </w:tc>
      </w:tr>
      <w:tr w:rsidR="00A06BC6" w:rsidRPr="00EF7EA3" w:rsidTr="00A06BC6">
        <w:trPr>
          <w:trHeight w:val="255"/>
        </w:trPr>
        <w:tc>
          <w:tcPr>
            <w:tcW w:w="0" w:type="auto"/>
            <w:vMerge/>
            <w:shd w:val="clear" w:color="auto" w:fill="auto"/>
            <w:noWrap/>
            <w:vAlign w:val="center"/>
            <w:hideMark/>
          </w:tcPr>
          <w:p w:rsidR="00A06BC6" w:rsidRPr="00EF7EA3" w:rsidRDefault="00A06BC6" w:rsidP="00A06BC6">
            <w:pPr>
              <w:pStyle w:val="table2"/>
              <w:jc w:val="both"/>
              <w:rPr>
                <w:rFonts w:cs="Arial"/>
                <w:lang w:eastAsia="en-AU"/>
              </w:rPr>
            </w:pPr>
          </w:p>
        </w:tc>
        <w:tc>
          <w:tcPr>
            <w:tcW w:w="0" w:type="auto"/>
            <w:vMerge/>
            <w:shd w:val="clear" w:color="auto" w:fill="auto"/>
            <w:noWrap/>
            <w:vAlign w:val="center"/>
            <w:hideMark/>
          </w:tcPr>
          <w:p w:rsidR="00A06BC6" w:rsidRPr="00EF7EA3" w:rsidRDefault="00A06BC6" w:rsidP="00A06BC6">
            <w:pPr>
              <w:pStyle w:val="table2"/>
              <w:jc w:val="both"/>
              <w:rPr>
                <w:rFonts w:cs="Arial"/>
                <w:lang w:eastAsia="en-AU"/>
              </w:rPr>
            </w:pPr>
          </w:p>
        </w:tc>
        <w:tc>
          <w:tcPr>
            <w:tcW w:w="0" w:type="auto"/>
            <w:shd w:val="clear" w:color="auto" w:fill="auto"/>
            <w:noWrap/>
            <w:vAlign w:val="bottom"/>
            <w:hideMark/>
          </w:tcPr>
          <w:p w:rsidR="00A06BC6" w:rsidRPr="00EF7EA3" w:rsidRDefault="00A06BC6" w:rsidP="00A06BC6">
            <w:pPr>
              <w:pStyle w:val="table2"/>
              <w:jc w:val="both"/>
              <w:rPr>
                <w:rFonts w:cs="Arial"/>
                <w:lang w:eastAsia="en-AU"/>
              </w:rPr>
            </w:pPr>
            <w:r w:rsidRPr="00EF7EA3">
              <w:rPr>
                <w:rFonts w:cs="Arial"/>
                <w:snapToGrid w:val="0"/>
                <w:color w:val="000000"/>
                <w:position w:val="4"/>
                <w:sz w:val="11"/>
                <w:szCs w:val="0"/>
                <w:u w:color="000000"/>
                <w:lang w:eastAsia="en-AU"/>
              </w:rPr>
              <w:t>226</w:t>
            </w:r>
            <w:r w:rsidRPr="00EF7EA3">
              <w:rPr>
                <w:rFonts w:cs="Arial"/>
                <w:lang w:eastAsia="en-AU"/>
              </w:rPr>
              <w:t>Ra</w:t>
            </w:r>
          </w:p>
        </w:tc>
        <w:tc>
          <w:tcPr>
            <w:tcW w:w="0" w:type="auto"/>
            <w:vAlign w:val="bottom"/>
          </w:tcPr>
          <w:p w:rsidR="00A06BC6" w:rsidRPr="00EF7EA3" w:rsidRDefault="00A06BC6" w:rsidP="00A06BC6">
            <w:pPr>
              <w:pStyle w:val="table2"/>
              <w:jc w:val="both"/>
              <w:rPr>
                <w:rFonts w:cs="Arial"/>
              </w:rPr>
            </w:pPr>
            <w:r w:rsidRPr="00EF7EA3">
              <w:rPr>
                <w:rFonts w:cs="Arial"/>
              </w:rPr>
              <w:t>31±1.3</w:t>
            </w:r>
          </w:p>
        </w:tc>
        <w:tc>
          <w:tcPr>
            <w:tcW w:w="0" w:type="auto"/>
            <w:vAlign w:val="bottom"/>
          </w:tcPr>
          <w:p w:rsidR="00A06BC6" w:rsidRPr="00EF7EA3" w:rsidRDefault="00A06BC6" w:rsidP="00A06BC6">
            <w:pPr>
              <w:pStyle w:val="table2"/>
              <w:jc w:val="both"/>
              <w:rPr>
                <w:rFonts w:cs="Arial"/>
              </w:rPr>
            </w:pPr>
            <w:r w:rsidRPr="00EF7EA3">
              <w:rPr>
                <w:rFonts w:cs="Arial"/>
              </w:rPr>
              <w:t>200±7</w:t>
            </w:r>
          </w:p>
        </w:tc>
        <w:tc>
          <w:tcPr>
            <w:tcW w:w="0" w:type="auto"/>
            <w:vAlign w:val="bottom"/>
          </w:tcPr>
          <w:p w:rsidR="00A06BC6" w:rsidRPr="00EF7EA3" w:rsidRDefault="00A06BC6" w:rsidP="00A06BC6">
            <w:pPr>
              <w:pStyle w:val="table2"/>
              <w:jc w:val="both"/>
              <w:rPr>
                <w:rFonts w:cs="Arial"/>
              </w:rPr>
            </w:pPr>
            <w:r w:rsidRPr="00EF7EA3">
              <w:rPr>
                <w:rFonts w:cs="Arial"/>
              </w:rPr>
              <w:t>231±7</w:t>
            </w:r>
          </w:p>
        </w:tc>
        <w:tc>
          <w:tcPr>
            <w:tcW w:w="0" w:type="auto"/>
            <w:vAlign w:val="bottom"/>
          </w:tcPr>
          <w:p w:rsidR="00A06BC6" w:rsidRPr="00EF7EA3" w:rsidRDefault="00A06BC6" w:rsidP="00A06BC6">
            <w:pPr>
              <w:pStyle w:val="table2"/>
              <w:jc w:val="both"/>
              <w:rPr>
                <w:rFonts w:cs="Arial"/>
              </w:rPr>
            </w:pPr>
            <w:r w:rsidRPr="00EF7EA3">
              <w:rPr>
                <w:rFonts w:cs="Arial"/>
              </w:rPr>
              <w:t>1578±55</w:t>
            </w:r>
          </w:p>
        </w:tc>
        <w:tc>
          <w:tcPr>
            <w:tcW w:w="0" w:type="auto"/>
            <w:vMerge/>
            <w:vAlign w:val="center"/>
          </w:tcPr>
          <w:p w:rsidR="00A06BC6" w:rsidRPr="00EF7EA3" w:rsidRDefault="00A06BC6" w:rsidP="00A06BC6">
            <w:pPr>
              <w:pStyle w:val="table2"/>
              <w:jc w:val="both"/>
              <w:rPr>
                <w:rFonts w:cs="Arial"/>
                <w:szCs w:val="16"/>
              </w:rPr>
            </w:pPr>
          </w:p>
        </w:tc>
        <w:tc>
          <w:tcPr>
            <w:tcW w:w="1004" w:type="dxa"/>
            <w:vMerge/>
            <w:vAlign w:val="center"/>
          </w:tcPr>
          <w:p w:rsidR="00A06BC6" w:rsidRPr="00EF7EA3" w:rsidRDefault="00A06BC6" w:rsidP="00A06BC6">
            <w:pPr>
              <w:pStyle w:val="table2"/>
              <w:jc w:val="both"/>
              <w:rPr>
                <w:rFonts w:cs="Arial"/>
                <w:szCs w:val="16"/>
              </w:rPr>
            </w:pPr>
          </w:p>
        </w:tc>
      </w:tr>
      <w:tr w:rsidR="00A06BC6" w:rsidRPr="00EF7EA3" w:rsidTr="00A06BC6">
        <w:trPr>
          <w:trHeight w:val="255"/>
        </w:trPr>
        <w:tc>
          <w:tcPr>
            <w:tcW w:w="0" w:type="auto"/>
            <w:vMerge/>
            <w:shd w:val="clear" w:color="auto" w:fill="auto"/>
            <w:noWrap/>
            <w:vAlign w:val="center"/>
            <w:hideMark/>
          </w:tcPr>
          <w:p w:rsidR="00A06BC6" w:rsidRPr="00EF7EA3" w:rsidRDefault="00A06BC6" w:rsidP="00A06BC6">
            <w:pPr>
              <w:pStyle w:val="table2"/>
              <w:jc w:val="both"/>
              <w:rPr>
                <w:rFonts w:cs="Arial"/>
                <w:lang w:eastAsia="en-AU"/>
              </w:rPr>
            </w:pPr>
          </w:p>
        </w:tc>
        <w:tc>
          <w:tcPr>
            <w:tcW w:w="0" w:type="auto"/>
            <w:vMerge/>
            <w:shd w:val="clear" w:color="auto" w:fill="auto"/>
            <w:noWrap/>
            <w:vAlign w:val="center"/>
            <w:hideMark/>
          </w:tcPr>
          <w:p w:rsidR="00A06BC6" w:rsidRPr="00EF7EA3" w:rsidRDefault="00A06BC6" w:rsidP="00A06BC6">
            <w:pPr>
              <w:pStyle w:val="table2"/>
              <w:jc w:val="both"/>
              <w:rPr>
                <w:rFonts w:cs="Arial"/>
                <w:lang w:eastAsia="en-AU"/>
              </w:rPr>
            </w:pPr>
          </w:p>
        </w:tc>
        <w:tc>
          <w:tcPr>
            <w:tcW w:w="0" w:type="auto"/>
            <w:shd w:val="clear" w:color="auto" w:fill="auto"/>
            <w:noWrap/>
            <w:vAlign w:val="bottom"/>
            <w:hideMark/>
          </w:tcPr>
          <w:p w:rsidR="00A06BC6" w:rsidRPr="00EF7EA3" w:rsidRDefault="00A06BC6" w:rsidP="00A06BC6">
            <w:pPr>
              <w:pStyle w:val="table2"/>
              <w:jc w:val="both"/>
              <w:rPr>
                <w:rFonts w:cs="Arial"/>
                <w:lang w:eastAsia="en-AU"/>
              </w:rPr>
            </w:pPr>
            <w:r w:rsidRPr="00EF7EA3">
              <w:rPr>
                <w:rFonts w:cs="Arial"/>
                <w:snapToGrid w:val="0"/>
                <w:color w:val="000000"/>
                <w:position w:val="4"/>
                <w:sz w:val="11"/>
                <w:szCs w:val="0"/>
                <w:u w:color="000000"/>
                <w:lang w:eastAsia="en-AU"/>
              </w:rPr>
              <w:t>210</w:t>
            </w:r>
            <w:r w:rsidRPr="00EF7EA3">
              <w:rPr>
                <w:rFonts w:cs="Arial"/>
                <w:lang w:eastAsia="en-AU"/>
              </w:rPr>
              <w:t>Po</w:t>
            </w:r>
          </w:p>
        </w:tc>
        <w:tc>
          <w:tcPr>
            <w:tcW w:w="0" w:type="auto"/>
            <w:vAlign w:val="bottom"/>
          </w:tcPr>
          <w:p w:rsidR="00A06BC6" w:rsidRPr="00EF7EA3" w:rsidRDefault="00A06BC6" w:rsidP="00A06BC6">
            <w:pPr>
              <w:pStyle w:val="table2"/>
              <w:jc w:val="both"/>
              <w:rPr>
                <w:rFonts w:cs="Arial"/>
              </w:rPr>
            </w:pPr>
            <w:r w:rsidRPr="00EF7EA3">
              <w:rPr>
                <w:rFonts w:cs="Arial"/>
              </w:rPr>
              <w:t>1.06±0.4</w:t>
            </w:r>
          </w:p>
        </w:tc>
        <w:tc>
          <w:tcPr>
            <w:tcW w:w="0" w:type="auto"/>
            <w:vAlign w:val="bottom"/>
          </w:tcPr>
          <w:p w:rsidR="00A06BC6" w:rsidRPr="00EF7EA3" w:rsidRDefault="00A06BC6" w:rsidP="00A06BC6">
            <w:pPr>
              <w:pStyle w:val="table2"/>
              <w:jc w:val="both"/>
              <w:rPr>
                <w:rFonts w:cs="Arial"/>
              </w:rPr>
            </w:pPr>
            <w:r w:rsidRPr="00EF7EA3">
              <w:rPr>
                <w:rFonts w:cs="Arial"/>
              </w:rPr>
              <w:t>158±5</w:t>
            </w:r>
          </w:p>
        </w:tc>
        <w:tc>
          <w:tcPr>
            <w:tcW w:w="0" w:type="auto"/>
            <w:vAlign w:val="bottom"/>
          </w:tcPr>
          <w:p w:rsidR="00A06BC6" w:rsidRPr="00EF7EA3" w:rsidRDefault="00A06BC6" w:rsidP="00A06BC6">
            <w:pPr>
              <w:pStyle w:val="table2"/>
              <w:jc w:val="both"/>
              <w:rPr>
                <w:rFonts w:cs="Arial"/>
              </w:rPr>
            </w:pPr>
            <w:r w:rsidRPr="00EF7EA3">
              <w:rPr>
                <w:rFonts w:cs="Arial"/>
              </w:rPr>
              <w:t>159±5</w:t>
            </w:r>
          </w:p>
        </w:tc>
        <w:tc>
          <w:tcPr>
            <w:tcW w:w="0" w:type="auto"/>
            <w:vAlign w:val="bottom"/>
          </w:tcPr>
          <w:p w:rsidR="00A06BC6" w:rsidRPr="00EF7EA3" w:rsidRDefault="00A06BC6" w:rsidP="00A06BC6">
            <w:pPr>
              <w:pStyle w:val="table2"/>
              <w:jc w:val="both"/>
              <w:rPr>
                <w:rFonts w:cs="Arial"/>
              </w:rPr>
            </w:pPr>
            <w:r w:rsidRPr="00EF7EA3">
              <w:rPr>
                <w:rFonts w:cs="Arial"/>
              </w:rPr>
              <w:t>1245±40</w:t>
            </w:r>
          </w:p>
        </w:tc>
        <w:tc>
          <w:tcPr>
            <w:tcW w:w="0" w:type="auto"/>
            <w:vMerge/>
            <w:vAlign w:val="center"/>
          </w:tcPr>
          <w:p w:rsidR="00A06BC6" w:rsidRPr="00EF7EA3" w:rsidRDefault="00A06BC6" w:rsidP="00A06BC6">
            <w:pPr>
              <w:pStyle w:val="table2"/>
              <w:jc w:val="both"/>
              <w:rPr>
                <w:rFonts w:cs="Arial"/>
                <w:szCs w:val="16"/>
              </w:rPr>
            </w:pPr>
          </w:p>
        </w:tc>
        <w:tc>
          <w:tcPr>
            <w:tcW w:w="1004" w:type="dxa"/>
            <w:vMerge/>
            <w:vAlign w:val="center"/>
          </w:tcPr>
          <w:p w:rsidR="00A06BC6" w:rsidRPr="00EF7EA3" w:rsidRDefault="00A06BC6" w:rsidP="00A06BC6">
            <w:pPr>
              <w:pStyle w:val="table2"/>
              <w:jc w:val="both"/>
              <w:rPr>
                <w:rFonts w:cs="Arial"/>
                <w:szCs w:val="16"/>
              </w:rPr>
            </w:pPr>
          </w:p>
        </w:tc>
      </w:tr>
      <w:tr w:rsidR="00A06BC6" w:rsidRPr="00EF7EA3" w:rsidTr="00A06BC6">
        <w:trPr>
          <w:trHeight w:val="255"/>
        </w:trPr>
        <w:tc>
          <w:tcPr>
            <w:tcW w:w="0" w:type="auto"/>
            <w:vMerge w:val="restart"/>
            <w:shd w:val="clear" w:color="auto" w:fill="auto"/>
            <w:noWrap/>
            <w:vAlign w:val="center"/>
            <w:hideMark/>
          </w:tcPr>
          <w:p w:rsidR="00A06BC6" w:rsidRPr="00EF7EA3" w:rsidRDefault="00A06BC6" w:rsidP="00A06BC6">
            <w:pPr>
              <w:pStyle w:val="table2"/>
              <w:jc w:val="both"/>
              <w:rPr>
                <w:rFonts w:cs="Arial"/>
                <w:lang w:eastAsia="en-AU"/>
              </w:rPr>
            </w:pPr>
            <w:r w:rsidRPr="00EF7EA3">
              <w:rPr>
                <w:rFonts w:cs="Arial"/>
                <w:lang w:eastAsia="en-AU"/>
              </w:rPr>
              <w:t>TL10008</w:t>
            </w:r>
          </w:p>
          <w:p w:rsidR="00A06BC6" w:rsidRPr="00EF7EA3" w:rsidRDefault="00A06BC6" w:rsidP="00A06BC6">
            <w:pPr>
              <w:pStyle w:val="table2"/>
              <w:jc w:val="both"/>
              <w:rPr>
                <w:rFonts w:cs="Arial"/>
                <w:lang w:eastAsia="en-AU"/>
              </w:rPr>
            </w:pPr>
            <w:r w:rsidRPr="00EF7EA3">
              <w:rPr>
                <w:rFonts w:cs="Arial"/>
                <w:lang w:eastAsia="en-AU"/>
              </w:rPr>
              <w:t>(EP3)</w:t>
            </w:r>
          </w:p>
        </w:tc>
        <w:tc>
          <w:tcPr>
            <w:tcW w:w="0" w:type="auto"/>
            <w:vMerge w:val="restart"/>
            <w:shd w:val="clear" w:color="auto" w:fill="auto"/>
            <w:noWrap/>
            <w:vAlign w:val="center"/>
            <w:hideMark/>
          </w:tcPr>
          <w:p w:rsidR="00A06BC6" w:rsidRPr="00EF7EA3" w:rsidRDefault="00A06BC6" w:rsidP="00A06BC6">
            <w:pPr>
              <w:pStyle w:val="table2"/>
              <w:jc w:val="both"/>
              <w:rPr>
                <w:rFonts w:cs="Arial"/>
                <w:lang w:eastAsia="en-AU"/>
              </w:rPr>
            </w:pPr>
            <w:r w:rsidRPr="00EF7EA3">
              <w:rPr>
                <w:rFonts w:cs="Arial"/>
                <w:lang w:eastAsia="en-AU"/>
              </w:rPr>
              <w:t>9/04/10</w:t>
            </w:r>
          </w:p>
        </w:tc>
        <w:tc>
          <w:tcPr>
            <w:tcW w:w="0" w:type="auto"/>
            <w:shd w:val="clear" w:color="auto" w:fill="auto"/>
            <w:noWrap/>
            <w:vAlign w:val="bottom"/>
            <w:hideMark/>
          </w:tcPr>
          <w:p w:rsidR="00A06BC6" w:rsidRPr="00EF7EA3" w:rsidRDefault="00A06BC6" w:rsidP="00A06BC6">
            <w:pPr>
              <w:pStyle w:val="table2"/>
              <w:jc w:val="both"/>
              <w:rPr>
                <w:rFonts w:cs="Arial"/>
                <w:lang w:eastAsia="en-AU"/>
              </w:rPr>
            </w:pPr>
            <w:r w:rsidRPr="00EF7EA3">
              <w:rPr>
                <w:rFonts w:cs="Arial"/>
                <w:snapToGrid w:val="0"/>
                <w:color w:val="000000"/>
                <w:position w:val="4"/>
                <w:sz w:val="11"/>
                <w:szCs w:val="0"/>
                <w:u w:color="000000"/>
                <w:lang w:eastAsia="en-AU"/>
              </w:rPr>
              <w:t>238</w:t>
            </w:r>
            <w:r w:rsidRPr="00EF7EA3">
              <w:rPr>
                <w:rFonts w:cs="Arial"/>
                <w:lang w:eastAsia="en-AU"/>
              </w:rPr>
              <w:t>U</w:t>
            </w:r>
          </w:p>
        </w:tc>
        <w:tc>
          <w:tcPr>
            <w:tcW w:w="0" w:type="auto"/>
            <w:vAlign w:val="bottom"/>
          </w:tcPr>
          <w:p w:rsidR="00A06BC6" w:rsidRPr="00EF7EA3" w:rsidRDefault="00A06BC6" w:rsidP="00A06BC6">
            <w:pPr>
              <w:pStyle w:val="table2"/>
              <w:jc w:val="both"/>
              <w:rPr>
                <w:rFonts w:cs="Arial"/>
              </w:rPr>
            </w:pPr>
            <w:r w:rsidRPr="00EF7EA3">
              <w:rPr>
                <w:rFonts w:cs="Arial"/>
              </w:rPr>
              <w:t>20±2</w:t>
            </w:r>
          </w:p>
        </w:tc>
        <w:tc>
          <w:tcPr>
            <w:tcW w:w="0" w:type="auto"/>
            <w:vAlign w:val="bottom"/>
          </w:tcPr>
          <w:p w:rsidR="00A06BC6" w:rsidRPr="00EF7EA3" w:rsidRDefault="00A06BC6" w:rsidP="00A06BC6">
            <w:pPr>
              <w:pStyle w:val="table2"/>
              <w:jc w:val="both"/>
              <w:rPr>
                <w:rFonts w:cs="Arial"/>
              </w:rPr>
            </w:pPr>
            <w:r w:rsidRPr="00EF7EA3">
              <w:rPr>
                <w:rFonts w:cs="Arial"/>
              </w:rPr>
              <w:t>669±67</w:t>
            </w:r>
          </w:p>
        </w:tc>
        <w:tc>
          <w:tcPr>
            <w:tcW w:w="0" w:type="auto"/>
            <w:vAlign w:val="bottom"/>
          </w:tcPr>
          <w:p w:rsidR="00A06BC6" w:rsidRPr="00EF7EA3" w:rsidRDefault="00A06BC6" w:rsidP="00A06BC6">
            <w:pPr>
              <w:pStyle w:val="table2"/>
              <w:jc w:val="both"/>
              <w:rPr>
                <w:rFonts w:cs="Arial"/>
              </w:rPr>
            </w:pPr>
            <w:r w:rsidRPr="00EF7EA3">
              <w:rPr>
                <w:rFonts w:cs="Arial"/>
              </w:rPr>
              <w:t>689±67</w:t>
            </w:r>
          </w:p>
        </w:tc>
        <w:tc>
          <w:tcPr>
            <w:tcW w:w="0" w:type="auto"/>
            <w:vAlign w:val="bottom"/>
          </w:tcPr>
          <w:p w:rsidR="00A06BC6" w:rsidRPr="00EF7EA3" w:rsidRDefault="00A06BC6" w:rsidP="00A06BC6">
            <w:pPr>
              <w:pStyle w:val="table2"/>
              <w:jc w:val="both"/>
              <w:rPr>
                <w:rFonts w:cs="Arial"/>
              </w:rPr>
            </w:pPr>
            <w:r w:rsidRPr="00EF7EA3">
              <w:rPr>
                <w:rFonts w:cs="Arial"/>
              </w:rPr>
              <w:t>1588±159</w:t>
            </w:r>
          </w:p>
        </w:tc>
        <w:tc>
          <w:tcPr>
            <w:tcW w:w="0" w:type="auto"/>
            <w:vMerge w:val="restart"/>
            <w:vAlign w:val="center"/>
          </w:tcPr>
          <w:p w:rsidR="00A06BC6" w:rsidRPr="00EF7EA3" w:rsidRDefault="00A06BC6" w:rsidP="00A06BC6">
            <w:pPr>
              <w:pStyle w:val="table2"/>
              <w:jc w:val="both"/>
              <w:rPr>
                <w:rFonts w:cs="Arial"/>
                <w:szCs w:val="16"/>
              </w:rPr>
            </w:pPr>
            <w:r w:rsidRPr="00EF7EA3">
              <w:rPr>
                <w:rFonts w:cs="Arial"/>
                <w:szCs w:val="16"/>
              </w:rPr>
              <w:t>22:9:1</w:t>
            </w:r>
          </w:p>
        </w:tc>
        <w:tc>
          <w:tcPr>
            <w:tcW w:w="1004" w:type="dxa"/>
            <w:vMerge w:val="restart"/>
            <w:vAlign w:val="center"/>
          </w:tcPr>
          <w:p w:rsidR="00A06BC6" w:rsidRPr="00EF7EA3" w:rsidRDefault="00A06BC6" w:rsidP="00A06BC6">
            <w:pPr>
              <w:pStyle w:val="table2"/>
              <w:jc w:val="both"/>
              <w:rPr>
                <w:rFonts w:cs="Arial"/>
                <w:szCs w:val="16"/>
              </w:rPr>
            </w:pPr>
            <w:r w:rsidRPr="00EF7EA3">
              <w:rPr>
                <w:rFonts w:cs="Arial"/>
                <w:szCs w:val="16"/>
              </w:rPr>
              <w:t>1.5:1:1</w:t>
            </w:r>
          </w:p>
        </w:tc>
      </w:tr>
      <w:tr w:rsidR="00A06BC6" w:rsidRPr="00EF7EA3" w:rsidTr="00A06BC6">
        <w:trPr>
          <w:trHeight w:val="255"/>
        </w:trPr>
        <w:tc>
          <w:tcPr>
            <w:tcW w:w="0" w:type="auto"/>
            <w:vMerge/>
            <w:shd w:val="clear" w:color="auto" w:fill="auto"/>
            <w:noWrap/>
            <w:vAlign w:val="center"/>
            <w:hideMark/>
          </w:tcPr>
          <w:p w:rsidR="00A06BC6" w:rsidRPr="00EF7EA3" w:rsidRDefault="00A06BC6" w:rsidP="00A06BC6">
            <w:pPr>
              <w:pStyle w:val="table2"/>
              <w:jc w:val="both"/>
              <w:rPr>
                <w:rFonts w:cs="Arial"/>
                <w:lang w:eastAsia="en-AU"/>
              </w:rPr>
            </w:pPr>
          </w:p>
        </w:tc>
        <w:tc>
          <w:tcPr>
            <w:tcW w:w="0" w:type="auto"/>
            <w:vMerge/>
            <w:shd w:val="clear" w:color="auto" w:fill="auto"/>
            <w:noWrap/>
            <w:vAlign w:val="center"/>
            <w:hideMark/>
          </w:tcPr>
          <w:p w:rsidR="00A06BC6" w:rsidRPr="00EF7EA3" w:rsidRDefault="00A06BC6" w:rsidP="00A06BC6">
            <w:pPr>
              <w:pStyle w:val="table2"/>
              <w:jc w:val="both"/>
              <w:rPr>
                <w:rFonts w:cs="Arial"/>
                <w:lang w:eastAsia="en-AU"/>
              </w:rPr>
            </w:pPr>
          </w:p>
        </w:tc>
        <w:tc>
          <w:tcPr>
            <w:tcW w:w="0" w:type="auto"/>
            <w:shd w:val="clear" w:color="auto" w:fill="auto"/>
            <w:noWrap/>
            <w:vAlign w:val="bottom"/>
            <w:hideMark/>
          </w:tcPr>
          <w:p w:rsidR="00A06BC6" w:rsidRPr="00EF7EA3" w:rsidRDefault="00A06BC6" w:rsidP="00A06BC6">
            <w:pPr>
              <w:pStyle w:val="table2"/>
              <w:jc w:val="both"/>
              <w:rPr>
                <w:rFonts w:cs="Arial"/>
                <w:lang w:eastAsia="en-AU"/>
              </w:rPr>
            </w:pPr>
            <w:r w:rsidRPr="00EF7EA3">
              <w:rPr>
                <w:rFonts w:cs="Arial"/>
                <w:snapToGrid w:val="0"/>
                <w:color w:val="000000"/>
                <w:position w:val="4"/>
                <w:sz w:val="11"/>
                <w:szCs w:val="0"/>
                <w:u w:color="000000"/>
                <w:lang w:eastAsia="en-AU"/>
              </w:rPr>
              <w:t>226</w:t>
            </w:r>
            <w:r w:rsidRPr="00EF7EA3">
              <w:rPr>
                <w:rFonts w:cs="Arial"/>
                <w:lang w:eastAsia="en-AU"/>
              </w:rPr>
              <w:t>Ra</w:t>
            </w:r>
          </w:p>
        </w:tc>
        <w:tc>
          <w:tcPr>
            <w:tcW w:w="0" w:type="auto"/>
            <w:vAlign w:val="bottom"/>
          </w:tcPr>
          <w:p w:rsidR="00A06BC6" w:rsidRPr="00EF7EA3" w:rsidRDefault="00A06BC6" w:rsidP="00A06BC6">
            <w:pPr>
              <w:pStyle w:val="table2"/>
              <w:jc w:val="both"/>
              <w:rPr>
                <w:rFonts w:cs="Arial"/>
              </w:rPr>
            </w:pPr>
            <w:r w:rsidRPr="00EF7EA3">
              <w:rPr>
                <w:rFonts w:cs="Arial"/>
              </w:rPr>
              <w:t>7.9±0.4</w:t>
            </w:r>
          </w:p>
        </w:tc>
        <w:tc>
          <w:tcPr>
            <w:tcW w:w="0" w:type="auto"/>
            <w:vAlign w:val="bottom"/>
          </w:tcPr>
          <w:p w:rsidR="00A06BC6" w:rsidRPr="00EF7EA3" w:rsidRDefault="00A06BC6" w:rsidP="00A06BC6">
            <w:pPr>
              <w:pStyle w:val="table2"/>
              <w:jc w:val="both"/>
              <w:rPr>
                <w:rFonts w:cs="Arial"/>
              </w:rPr>
            </w:pPr>
            <w:r w:rsidRPr="00EF7EA3">
              <w:rPr>
                <w:rFonts w:cs="Arial"/>
              </w:rPr>
              <w:t>452±18</w:t>
            </w:r>
          </w:p>
        </w:tc>
        <w:tc>
          <w:tcPr>
            <w:tcW w:w="0" w:type="auto"/>
            <w:vAlign w:val="bottom"/>
          </w:tcPr>
          <w:p w:rsidR="00A06BC6" w:rsidRPr="00EF7EA3" w:rsidRDefault="00A06BC6" w:rsidP="00A06BC6">
            <w:pPr>
              <w:pStyle w:val="table2"/>
              <w:jc w:val="both"/>
              <w:rPr>
                <w:rFonts w:cs="Arial"/>
              </w:rPr>
            </w:pPr>
            <w:r w:rsidRPr="00EF7EA3">
              <w:rPr>
                <w:rFonts w:cs="Arial"/>
              </w:rPr>
              <w:t>460±18</w:t>
            </w:r>
          </w:p>
        </w:tc>
        <w:tc>
          <w:tcPr>
            <w:tcW w:w="0" w:type="auto"/>
            <w:vAlign w:val="bottom"/>
          </w:tcPr>
          <w:p w:rsidR="00A06BC6" w:rsidRPr="00EF7EA3" w:rsidRDefault="00A06BC6" w:rsidP="00A06BC6">
            <w:pPr>
              <w:pStyle w:val="table2"/>
              <w:jc w:val="both"/>
              <w:rPr>
                <w:rFonts w:cs="Arial"/>
              </w:rPr>
            </w:pPr>
            <w:r w:rsidRPr="00EF7EA3">
              <w:rPr>
                <w:rFonts w:cs="Arial"/>
              </w:rPr>
              <w:t>1073±43</w:t>
            </w:r>
          </w:p>
        </w:tc>
        <w:tc>
          <w:tcPr>
            <w:tcW w:w="0" w:type="auto"/>
            <w:vMerge/>
            <w:vAlign w:val="center"/>
          </w:tcPr>
          <w:p w:rsidR="00A06BC6" w:rsidRPr="00EF7EA3" w:rsidRDefault="00A06BC6" w:rsidP="00A06BC6">
            <w:pPr>
              <w:pStyle w:val="table2"/>
              <w:jc w:val="both"/>
              <w:rPr>
                <w:rFonts w:cs="Arial"/>
                <w:szCs w:val="16"/>
              </w:rPr>
            </w:pPr>
          </w:p>
        </w:tc>
        <w:tc>
          <w:tcPr>
            <w:tcW w:w="1004" w:type="dxa"/>
            <w:vMerge/>
            <w:vAlign w:val="center"/>
          </w:tcPr>
          <w:p w:rsidR="00A06BC6" w:rsidRPr="00EF7EA3" w:rsidRDefault="00A06BC6" w:rsidP="00A06BC6">
            <w:pPr>
              <w:pStyle w:val="table2"/>
              <w:jc w:val="both"/>
              <w:rPr>
                <w:rFonts w:cs="Arial"/>
                <w:szCs w:val="16"/>
              </w:rPr>
            </w:pPr>
          </w:p>
        </w:tc>
      </w:tr>
      <w:tr w:rsidR="00A06BC6" w:rsidRPr="00EF7EA3" w:rsidTr="00A06BC6">
        <w:trPr>
          <w:trHeight w:val="255"/>
        </w:trPr>
        <w:tc>
          <w:tcPr>
            <w:tcW w:w="0" w:type="auto"/>
            <w:vMerge/>
            <w:shd w:val="clear" w:color="auto" w:fill="auto"/>
            <w:noWrap/>
            <w:vAlign w:val="center"/>
            <w:hideMark/>
          </w:tcPr>
          <w:p w:rsidR="00A06BC6" w:rsidRPr="00EF7EA3" w:rsidRDefault="00A06BC6" w:rsidP="00A06BC6">
            <w:pPr>
              <w:pStyle w:val="table2"/>
              <w:jc w:val="both"/>
              <w:rPr>
                <w:rFonts w:cs="Arial"/>
                <w:lang w:eastAsia="en-AU"/>
              </w:rPr>
            </w:pPr>
          </w:p>
        </w:tc>
        <w:tc>
          <w:tcPr>
            <w:tcW w:w="0" w:type="auto"/>
            <w:vMerge/>
            <w:shd w:val="clear" w:color="auto" w:fill="auto"/>
            <w:noWrap/>
            <w:vAlign w:val="center"/>
            <w:hideMark/>
          </w:tcPr>
          <w:p w:rsidR="00A06BC6" w:rsidRPr="00EF7EA3" w:rsidRDefault="00A06BC6" w:rsidP="00A06BC6">
            <w:pPr>
              <w:pStyle w:val="table2"/>
              <w:jc w:val="both"/>
              <w:rPr>
                <w:rFonts w:cs="Arial"/>
                <w:lang w:eastAsia="en-AU"/>
              </w:rPr>
            </w:pPr>
          </w:p>
        </w:tc>
        <w:tc>
          <w:tcPr>
            <w:tcW w:w="0" w:type="auto"/>
            <w:shd w:val="clear" w:color="auto" w:fill="auto"/>
            <w:noWrap/>
            <w:vAlign w:val="bottom"/>
            <w:hideMark/>
          </w:tcPr>
          <w:p w:rsidR="00A06BC6" w:rsidRPr="00EF7EA3" w:rsidRDefault="00A06BC6" w:rsidP="00A06BC6">
            <w:pPr>
              <w:pStyle w:val="table2"/>
              <w:jc w:val="both"/>
              <w:rPr>
                <w:rFonts w:cs="Arial"/>
                <w:lang w:eastAsia="en-AU"/>
              </w:rPr>
            </w:pPr>
            <w:r w:rsidRPr="00EF7EA3">
              <w:rPr>
                <w:rFonts w:cs="Arial"/>
                <w:snapToGrid w:val="0"/>
                <w:color w:val="000000"/>
                <w:position w:val="4"/>
                <w:sz w:val="11"/>
                <w:szCs w:val="0"/>
                <w:u w:color="000000"/>
                <w:lang w:eastAsia="en-AU"/>
              </w:rPr>
              <w:t>210</w:t>
            </w:r>
            <w:r w:rsidRPr="00EF7EA3">
              <w:rPr>
                <w:rFonts w:cs="Arial"/>
                <w:lang w:eastAsia="en-AU"/>
              </w:rPr>
              <w:t>Po</w:t>
            </w:r>
          </w:p>
        </w:tc>
        <w:tc>
          <w:tcPr>
            <w:tcW w:w="0" w:type="auto"/>
            <w:vAlign w:val="bottom"/>
          </w:tcPr>
          <w:p w:rsidR="00A06BC6" w:rsidRPr="00EF7EA3" w:rsidRDefault="00A06BC6" w:rsidP="00A06BC6">
            <w:pPr>
              <w:pStyle w:val="table2"/>
              <w:jc w:val="both"/>
              <w:rPr>
                <w:rFonts w:cs="Arial"/>
              </w:rPr>
            </w:pPr>
            <w:r w:rsidRPr="00EF7EA3">
              <w:rPr>
                <w:rFonts w:cs="Arial"/>
              </w:rPr>
              <w:t>0.92±0.27</w:t>
            </w:r>
          </w:p>
        </w:tc>
        <w:tc>
          <w:tcPr>
            <w:tcW w:w="0" w:type="auto"/>
            <w:vAlign w:val="bottom"/>
          </w:tcPr>
          <w:p w:rsidR="00A06BC6" w:rsidRPr="00EF7EA3" w:rsidRDefault="00A06BC6" w:rsidP="00A06BC6">
            <w:pPr>
              <w:pStyle w:val="table2"/>
              <w:jc w:val="both"/>
              <w:rPr>
                <w:rFonts w:cs="Arial"/>
              </w:rPr>
            </w:pPr>
            <w:r w:rsidRPr="00EF7EA3">
              <w:rPr>
                <w:rFonts w:cs="Arial"/>
              </w:rPr>
              <w:t>444±35</w:t>
            </w:r>
          </w:p>
        </w:tc>
        <w:tc>
          <w:tcPr>
            <w:tcW w:w="0" w:type="auto"/>
            <w:vAlign w:val="bottom"/>
          </w:tcPr>
          <w:p w:rsidR="00A06BC6" w:rsidRPr="00EF7EA3" w:rsidRDefault="00A06BC6" w:rsidP="00A06BC6">
            <w:pPr>
              <w:pStyle w:val="table2"/>
              <w:jc w:val="both"/>
              <w:rPr>
                <w:rFonts w:cs="Arial"/>
              </w:rPr>
            </w:pPr>
            <w:r w:rsidRPr="00EF7EA3">
              <w:rPr>
                <w:rFonts w:cs="Arial"/>
              </w:rPr>
              <w:t>445±35</w:t>
            </w:r>
          </w:p>
        </w:tc>
        <w:tc>
          <w:tcPr>
            <w:tcW w:w="0" w:type="auto"/>
            <w:vAlign w:val="bottom"/>
          </w:tcPr>
          <w:p w:rsidR="00A06BC6" w:rsidRPr="00EF7EA3" w:rsidRDefault="00A06BC6" w:rsidP="00A06BC6">
            <w:pPr>
              <w:pStyle w:val="table2"/>
              <w:jc w:val="both"/>
              <w:rPr>
                <w:rFonts w:cs="Arial"/>
              </w:rPr>
            </w:pPr>
            <w:r w:rsidRPr="00EF7EA3">
              <w:rPr>
                <w:rFonts w:cs="Arial"/>
              </w:rPr>
              <w:t>1054±84</w:t>
            </w:r>
          </w:p>
        </w:tc>
        <w:tc>
          <w:tcPr>
            <w:tcW w:w="0" w:type="auto"/>
            <w:vMerge/>
            <w:vAlign w:val="center"/>
          </w:tcPr>
          <w:p w:rsidR="00A06BC6" w:rsidRPr="00EF7EA3" w:rsidRDefault="00A06BC6" w:rsidP="00A06BC6">
            <w:pPr>
              <w:pStyle w:val="table2"/>
              <w:jc w:val="both"/>
              <w:rPr>
                <w:rFonts w:cs="Arial"/>
                <w:szCs w:val="16"/>
              </w:rPr>
            </w:pPr>
          </w:p>
        </w:tc>
        <w:tc>
          <w:tcPr>
            <w:tcW w:w="1004" w:type="dxa"/>
            <w:vMerge/>
            <w:vAlign w:val="center"/>
          </w:tcPr>
          <w:p w:rsidR="00A06BC6" w:rsidRPr="00EF7EA3" w:rsidRDefault="00A06BC6" w:rsidP="00A06BC6">
            <w:pPr>
              <w:pStyle w:val="table2"/>
              <w:jc w:val="both"/>
              <w:rPr>
                <w:rFonts w:cs="Arial"/>
                <w:szCs w:val="16"/>
              </w:rPr>
            </w:pPr>
          </w:p>
        </w:tc>
      </w:tr>
      <w:tr w:rsidR="00A06BC6" w:rsidRPr="00EF7EA3" w:rsidTr="00A06BC6">
        <w:trPr>
          <w:trHeight w:val="255"/>
        </w:trPr>
        <w:tc>
          <w:tcPr>
            <w:tcW w:w="0" w:type="auto"/>
            <w:vMerge w:val="restart"/>
            <w:shd w:val="clear" w:color="auto" w:fill="auto"/>
            <w:noWrap/>
            <w:vAlign w:val="center"/>
            <w:hideMark/>
          </w:tcPr>
          <w:p w:rsidR="00A06BC6" w:rsidRPr="00EF7EA3" w:rsidRDefault="00A06BC6" w:rsidP="00A06BC6">
            <w:pPr>
              <w:pStyle w:val="table2"/>
              <w:jc w:val="both"/>
              <w:rPr>
                <w:rFonts w:cs="Arial"/>
                <w:lang w:eastAsia="en-AU"/>
              </w:rPr>
            </w:pPr>
            <w:r w:rsidRPr="00EF7EA3">
              <w:rPr>
                <w:rFonts w:cs="Arial"/>
                <w:lang w:eastAsia="en-AU"/>
              </w:rPr>
              <w:t>TL10009</w:t>
            </w:r>
          </w:p>
          <w:p w:rsidR="00A06BC6" w:rsidRPr="00EF7EA3" w:rsidRDefault="00A06BC6" w:rsidP="00A06BC6">
            <w:pPr>
              <w:pStyle w:val="table2"/>
              <w:jc w:val="both"/>
              <w:rPr>
                <w:rFonts w:cs="Arial"/>
                <w:lang w:eastAsia="en-AU"/>
              </w:rPr>
            </w:pPr>
            <w:r w:rsidRPr="00EF7EA3">
              <w:rPr>
                <w:rFonts w:cs="Arial"/>
                <w:lang w:eastAsia="en-AU"/>
              </w:rPr>
              <w:t>(EP3)</w:t>
            </w:r>
          </w:p>
        </w:tc>
        <w:tc>
          <w:tcPr>
            <w:tcW w:w="0" w:type="auto"/>
            <w:vMerge w:val="restart"/>
            <w:shd w:val="clear" w:color="auto" w:fill="auto"/>
            <w:noWrap/>
            <w:vAlign w:val="center"/>
            <w:hideMark/>
          </w:tcPr>
          <w:p w:rsidR="00A06BC6" w:rsidRPr="00EF7EA3" w:rsidRDefault="00A06BC6" w:rsidP="00A06BC6">
            <w:pPr>
              <w:pStyle w:val="table2"/>
              <w:jc w:val="both"/>
              <w:rPr>
                <w:rFonts w:cs="Arial"/>
                <w:lang w:eastAsia="en-AU"/>
              </w:rPr>
            </w:pPr>
            <w:r w:rsidRPr="00EF7EA3">
              <w:rPr>
                <w:rFonts w:cs="Arial"/>
                <w:lang w:eastAsia="en-AU"/>
              </w:rPr>
              <w:t>9/04/10</w:t>
            </w:r>
          </w:p>
        </w:tc>
        <w:tc>
          <w:tcPr>
            <w:tcW w:w="0" w:type="auto"/>
            <w:shd w:val="clear" w:color="auto" w:fill="auto"/>
            <w:noWrap/>
            <w:vAlign w:val="bottom"/>
            <w:hideMark/>
          </w:tcPr>
          <w:p w:rsidR="00A06BC6" w:rsidRPr="00EF7EA3" w:rsidRDefault="00A06BC6" w:rsidP="00A06BC6">
            <w:pPr>
              <w:pStyle w:val="table2"/>
              <w:jc w:val="both"/>
              <w:rPr>
                <w:rFonts w:cs="Arial"/>
                <w:lang w:eastAsia="en-AU"/>
              </w:rPr>
            </w:pPr>
            <w:r w:rsidRPr="00EF7EA3">
              <w:rPr>
                <w:rFonts w:cs="Arial"/>
                <w:snapToGrid w:val="0"/>
                <w:color w:val="000000"/>
                <w:position w:val="4"/>
                <w:sz w:val="11"/>
                <w:szCs w:val="0"/>
                <w:u w:color="000000"/>
                <w:lang w:eastAsia="en-AU"/>
              </w:rPr>
              <w:t>238</w:t>
            </w:r>
            <w:r w:rsidRPr="00EF7EA3">
              <w:rPr>
                <w:rFonts w:cs="Arial"/>
                <w:lang w:eastAsia="en-AU"/>
              </w:rPr>
              <w:t>U</w:t>
            </w:r>
          </w:p>
        </w:tc>
        <w:tc>
          <w:tcPr>
            <w:tcW w:w="0" w:type="auto"/>
            <w:vAlign w:val="bottom"/>
          </w:tcPr>
          <w:p w:rsidR="00A06BC6" w:rsidRPr="00EF7EA3" w:rsidRDefault="00A06BC6" w:rsidP="00A06BC6">
            <w:pPr>
              <w:pStyle w:val="table2"/>
              <w:jc w:val="both"/>
              <w:rPr>
                <w:rFonts w:cs="Arial"/>
              </w:rPr>
            </w:pPr>
            <w:r w:rsidRPr="00EF7EA3">
              <w:rPr>
                <w:rFonts w:cs="Arial"/>
              </w:rPr>
              <w:t>20±2</w:t>
            </w:r>
          </w:p>
        </w:tc>
        <w:tc>
          <w:tcPr>
            <w:tcW w:w="0" w:type="auto"/>
            <w:vAlign w:val="bottom"/>
          </w:tcPr>
          <w:p w:rsidR="00A06BC6" w:rsidRPr="00EF7EA3" w:rsidRDefault="00A06BC6" w:rsidP="00A06BC6">
            <w:pPr>
              <w:pStyle w:val="table2"/>
              <w:jc w:val="both"/>
              <w:rPr>
                <w:rFonts w:cs="Arial"/>
              </w:rPr>
            </w:pPr>
            <w:r w:rsidRPr="00EF7EA3">
              <w:rPr>
                <w:rFonts w:cs="Arial"/>
              </w:rPr>
              <w:t>728±73</w:t>
            </w:r>
          </w:p>
        </w:tc>
        <w:tc>
          <w:tcPr>
            <w:tcW w:w="0" w:type="auto"/>
            <w:vAlign w:val="bottom"/>
          </w:tcPr>
          <w:p w:rsidR="00A06BC6" w:rsidRPr="00EF7EA3" w:rsidRDefault="00A06BC6" w:rsidP="00A06BC6">
            <w:pPr>
              <w:pStyle w:val="table2"/>
              <w:jc w:val="both"/>
              <w:rPr>
                <w:rFonts w:cs="Arial"/>
              </w:rPr>
            </w:pPr>
            <w:r w:rsidRPr="00EF7EA3">
              <w:rPr>
                <w:rFonts w:cs="Arial"/>
              </w:rPr>
              <w:t>748±73</w:t>
            </w:r>
          </w:p>
        </w:tc>
        <w:tc>
          <w:tcPr>
            <w:tcW w:w="0" w:type="auto"/>
            <w:vAlign w:val="bottom"/>
          </w:tcPr>
          <w:p w:rsidR="00A06BC6" w:rsidRPr="00EF7EA3" w:rsidRDefault="00A06BC6" w:rsidP="00A06BC6">
            <w:pPr>
              <w:pStyle w:val="table2"/>
              <w:jc w:val="both"/>
              <w:rPr>
                <w:rFonts w:cs="Arial"/>
              </w:rPr>
            </w:pPr>
            <w:r w:rsidRPr="00EF7EA3">
              <w:rPr>
                <w:rFonts w:cs="Arial"/>
              </w:rPr>
              <w:t>1628±163</w:t>
            </w:r>
          </w:p>
        </w:tc>
        <w:tc>
          <w:tcPr>
            <w:tcW w:w="0" w:type="auto"/>
            <w:vMerge w:val="restart"/>
            <w:vAlign w:val="center"/>
          </w:tcPr>
          <w:p w:rsidR="00A06BC6" w:rsidRPr="00EF7EA3" w:rsidRDefault="00A06BC6" w:rsidP="00A06BC6">
            <w:pPr>
              <w:pStyle w:val="table2"/>
              <w:jc w:val="both"/>
              <w:rPr>
                <w:rFonts w:cs="Arial"/>
                <w:szCs w:val="16"/>
              </w:rPr>
            </w:pPr>
            <w:r w:rsidRPr="00EF7EA3">
              <w:rPr>
                <w:rFonts w:cs="Arial"/>
                <w:szCs w:val="16"/>
              </w:rPr>
              <w:t>18:7:1</w:t>
            </w:r>
          </w:p>
        </w:tc>
        <w:tc>
          <w:tcPr>
            <w:tcW w:w="1004" w:type="dxa"/>
            <w:vMerge w:val="restart"/>
            <w:vAlign w:val="center"/>
          </w:tcPr>
          <w:p w:rsidR="00A06BC6" w:rsidRPr="00EF7EA3" w:rsidRDefault="00A06BC6" w:rsidP="00A06BC6">
            <w:pPr>
              <w:pStyle w:val="table2"/>
              <w:jc w:val="both"/>
              <w:rPr>
                <w:rFonts w:cs="Arial"/>
                <w:szCs w:val="16"/>
              </w:rPr>
            </w:pPr>
            <w:r w:rsidRPr="00EF7EA3">
              <w:rPr>
                <w:rFonts w:cs="Arial"/>
                <w:szCs w:val="16"/>
              </w:rPr>
              <w:t>1.7:1.1:1</w:t>
            </w:r>
          </w:p>
        </w:tc>
      </w:tr>
      <w:tr w:rsidR="00A06BC6" w:rsidRPr="00EF7EA3" w:rsidTr="00A06BC6">
        <w:trPr>
          <w:trHeight w:val="255"/>
        </w:trPr>
        <w:tc>
          <w:tcPr>
            <w:tcW w:w="0" w:type="auto"/>
            <w:vMerge/>
            <w:shd w:val="clear" w:color="auto" w:fill="auto"/>
            <w:noWrap/>
            <w:vAlign w:val="center"/>
            <w:hideMark/>
          </w:tcPr>
          <w:p w:rsidR="00A06BC6" w:rsidRPr="00EF7EA3" w:rsidRDefault="00A06BC6" w:rsidP="00A06BC6">
            <w:pPr>
              <w:pStyle w:val="table2"/>
              <w:jc w:val="both"/>
              <w:rPr>
                <w:rFonts w:cs="Arial"/>
                <w:lang w:eastAsia="en-AU"/>
              </w:rPr>
            </w:pPr>
          </w:p>
        </w:tc>
        <w:tc>
          <w:tcPr>
            <w:tcW w:w="0" w:type="auto"/>
            <w:vMerge/>
            <w:shd w:val="clear" w:color="auto" w:fill="auto"/>
            <w:noWrap/>
            <w:vAlign w:val="center"/>
            <w:hideMark/>
          </w:tcPr>
          <w:p w:rsidR="00A06BC6" w:rsidRPr="00EF7EA3" w:rsidRDefault="00A06BC6" w:rsidP="00A06BC6">
            <w:pPr>
              <w:pStyle w:val="table2"/>
              <w:jc w:val="both"/>
              <w:rPr>
                <w:rFonts w:cs="Arial"/>
                <w:lang w:eastAsia="en-AU"/>
              </w:rPr>
            </w:pPr>
          </w:p>
        </w:tc>
        <w:tc>
          <w:tcPr>
            <w:tcW w:w="0" w:type="auto"/>
            <w:shd w:val="clear" w:color="auto" w:fill="auto"/>
            <w:noWrap/>
            <w:vAlign w:val="bottom"/>
            <w:hideMark/>
          </w:tcPr>
          <w:p w:rsidR="00A06BC6" w:rsidRPr="00EF7EA3" w:rsidRDefault="00A06BC6" w:rsidP="00A06BC6">
            <w:pPr>
              <w:pStyle w:val="table2"/>
              <w:jc w:val="both"/>
              <w:rPr>
                <w:rFonts w:cs="Arial"/>
                <w:lang w:eastAsia="en-AU"/>
              </w:rPr>
            </w:pPr>
            <w:r w:rsidRPr="00EF7EA3">
              <w:rPr>
                <w:rFonts w:cs="Arial"/>
                <w:snapToGrid w:val="0"/>
                <w:color w:val="000000"/>
                <w:position w:val="4"/>
                <w:sz w:val="11"/>
                <w:szCs w:val="0"/>
                <w:u w:color="000000"/>
                <w:lang w:eastAsia="en-AU"/>
              </w:rPr>
              <w:t>226</w:t>
            </w:r>
            <w:r w:rsidRPr="00EF7EA3">
              <w:rPr>
                <w:rFonts w:cs="Arial"/>
                <w:lang w:eastAsia="en-AU"/>
              </w:rPr>
              <w:t>Ra</w:t>
            </w:r>
          </w:p>
        </w:tc>
        <w:tc>
          <w:tcPr>
            <w:tcW w:w="0" w:type="auto"/>
            <w:vAlign w:val="bottom"/>
          </w:tcPr>
          <w:p w:rsidR="00A06BC6" w:rsidRPr="00EF7EA3" w:rsidRDefault="00A06BC6" w:rsidP="00A06BC6">
            <w:pPr>
              <w:pStyle w:val="table2"/>
              <w:jc w:val="both"/>
              <w:rPr>
                <w:rFonts w:cs="Arial"/>
              </w:rPr>
            </w:pPr>
            <w:r w:rsidRPr="00EF7EA3">
              <w:rPr>
                <w:rFonts w:cs="Arial"/>
              </w:rPr>
              <w:t>7.4±0.5</w:t>
            </w:r>
          </w:p>
        </w:tc>
        <w:tc>
          <w:tcPr>
            <w:tcW w:w="0" w:type="auto"/>
            <w:vAlign w:val="bottom"/>
          </w:tcPr>
          <w:p w:rsidR="00A06BC6" w:rsidRPr="00EF7EA3" w:rsidRDefault="00A06BC6" w:rsidP="00A06BC6">
            <w:pPr>
              <w:pStyle w:val="table2"/>
              <w:jc w:val="both"/>
              <w:rPr>
                <w:rFonts w:cs="Arial"/>
              </w:rPr>
            </w:pPr>
            <w:r w:rsidRPr="00EF7EA3">
              <w:rPr>
                <w:rFonts w:cs="Arial"/>
              </w:rPr>
              <w:t>480±19</w:t>
            </w:r>
          </w:p>
        </w:tc>
        <w:tc>
          <w:tcPr>
            <w:tcW w:w="0" w:type="auto"/>
            <w:vAlign w:val="bottom"/>
          </w:tcPr>
          <w:p w:rsidR="00A06BC6" w:rsidRPr="00EF7EA3" w:rsidRDefault="00A06BC6" w:rsidP="00A06BC6">
            <w:pPr>
              <w:pStyle w:val="table2"/>
              <w:jc w:val="both"/>
              <w:rPr>
                <w:rFonts w:cs="Arial"/>
              </w:rPr>
            </w:pPr>
            <w:r w:rsidRPr="00EF7EA3">
              <w:rPr>
                <w:rFonts w:cs="Arial"/>
              </w:rPr>
              <w:t>487±19</w:t>
            </w:r>
          </w:p>
        </w:tc>
        <w:tc>
          <w:tcPr>
            <w:tcW w:w="0" w:type="auto"/>
            <w:vAlign w:val="bottom"/>
          </w:tcPr>
          <w:p w:rsidR="00A06BC6" w:rsidRPr="00EF7EA3" w:rsidRDefault="00A06BC6" w:rsidP="00A06BC6">
            <w:pPr>
              <w:pStyle w:val="table2"/>
              <w:jc w:val="both"/>
              <w:rPr>
                <w:rFonts w:cs="Arial"/>
              </w:rPr>
            </w:pPr>
            <w:r w:rsidRPr="00EF7EA3">
              <w:rPr>
                <w:rFonts w:cs="Arial"/>
              </w:rPr>
              <w:t>1073±42</w:t>
            </w:r>
          </w:p>
        </w:tc>
        <w:tc>
          <w:tcPr>
            <w:tcW w:w="0" w:type="auto"/>
            <w:vMerge/>
            <w:vAlign w:val="center"/>
          </w:tcPr>
          <w:p w:rsidR="00A06BC6" w:rsidRPr="00EF7EA3" w:rsidRDefault="00A06BC6" w:rsidP="00A06BC6">
            <w:pPr>
              <w:pStyle w:val="table2"/>
              <w:jc w:val="both"/>
              <w:rPr>
                <w:rFonts w:cs="Arial"/>
                <w:szCs w:val="16"/>
              </w:rPr>
            </w:pPr>
          </w:p>
        </w:tc>
        <w:tc>
          <w:tcPr>
            <w:tcW w:w="1004" w:type="dxa"/>
            <w:vMerge/>
            <w:vAlign w:val="center"/>
          </w:tcPr>
          <w:p w:rsidR="00A06BC6" w:rsidRPr="00EF7EA3" w:rsidRDefault="00A06BC6" w:rsidP="00A06BC6">
            <w:pPr>
              <w:pStyle w:val="table2"/>
              <w:jc w:val="both"/>
              <w:rPr>
                <w:rFonts w:cs="Arial"/>
                <w:szCs w:val="16"/>
              </w:rPr>
            </w:pPr>
          </w:p>
        </w:tc>
      </w:tr>
      <w:tr w:rsidR="00A06BC6" w:rsidRPr="00EF7EA3" w:rsidTr="00A06BC6">
        <w:trPr>
          <w:trHeight w:val="255"/>
        </w:trPr>
        <w:tc>
          <w:tcPr>
            <w:tcW w:w="0" w:type="auto"/>
            <w:vMerge/>
            <w:shd w:val="clear" w:color="auto" w:fill="auto"/>
            <w:noWrap/>
            <w:vAlign w:val="center"/>
            <w:hideMark/>
          </w:tcPr>
          <w:p w:rsidR="00A06BC6" w:rsidRPr="00EF7EA3" w:rsidRDefault="00A06BC6" w:rsidP="00A06BC6">
            <w:pPr>
              <w:pStyle w:val="table2"/>
              <w:jc w:val="both"/>
              <w:rPr>
                <w:rFonts w:cs="Arial"/>
                <w:lang w:eastAsia="en-AU"/>
              </w:rPr>
            </w:pPr>
          </w:p>
        </w:tc>
        <w:tc>
          <w:tcPr>
            <w:tcW w:w="0" w:type="auto"/>
            <w:vMerge/>
            <w:shd w:val="clear" w:color="auto" w:fill="auto"/>
            <w:noWrap/>
            <w:vAlign w:val="center"/>
            <w:hideMark/>
          </w:tcPr>
          <w:p w:rsidR="00A06BC6" w:rsidRPr="00EF7EA3" w:rsidRDefault="00A06BC6" w:rsidP="00A06BC6">
            <w:pPr>
              <w:pStyle w:val="table2"/>
              <w:jc w:val="both"/>
              <w:rPr>
                <w:rFonts w:cs="Arial"/>
                <w:lang w:eastAsia="en-AU"/>
              </w:rPr>
            </w:pPr>
          </w:p>
        </w:tc>
        <w:tc>
          <w:tcPr>
            <w:tcW w:w="0" w:type="auto"/>
            <w:shd w:val="clear" w:color="auto" w:fill="auto"/>
            <w:noWrap/>
            <w:vAlign w:val="bottom"/>
            <w:hideMark/>
          </w:tcPr>
          <w:p w:rsidR="00A06BC6" w:rsidRPr="00EF7EA3" w:rsidRDefault="00A06BC6" w:rsidP="00A06BC6">
            <w:pPr>
              <w:pStyle w:val="table2"/>
              <w:jc w:val="both"/>
              <w:rPr>
                <w:rFonts w:cs="Arial"/>
                <w:lang w:eastAsia="en-AU"/>
              </w:rPr>
            </w:pPr>
            <w:r w:rsidRPr="00EF7EA3">
              <w:rPr>
                <w:rFonts w:cs="Arial"/>
                <w:snapToGrid w:val="0"/>
                <w:color w:val="000000"/>
                <w:position w:val="4"/>
                <w:sz w:val="11"/>
                <w:szCs w:val="0"/>
                <w:u w:color="000000"/>
                <w:lang w:eastAsia="en-AU"/>
              </w:rPr>
              <w:t>210</w:t>
            </w:r>
            <w:r w:rsidRPr="00EF7EA3">
              <w:rPr>
                <w:rFonts w:cs="Arial"/>
                <w:lang w:eastAsia="en-AU"/>
              </w:rPr>
              <w:t>Po</w:t>
            </w:r>
          </w:p>
        </w:tc>
        <w:tc>
          <w:tcPr>
            <w:tcW w:w="0" w:type="auto"/>
            <w:vAlign w:val="bottom"/>
          </w:tcPr>
          <w:p w:rsidR="00A06BC6" w:rsidRPr="00EF7EA3" w:rsidRDefault="00A06BC6" w:rsidP="00A06BC6">
            <w:pPr>
              <w:pStyle w:val="table2"/>
              <w:jc w:val="both"/>
              <w:rPr>
                <w:rFonts w:cs="Arial"/>
              </w:rPr>
            </w:pPr>
            <w:r w:rsidRPr="00EF7EA3">
              <w:rPr>
                <w:rFonts w:cs="Arial"/>
              </w:rPr>
              <w:t>1.1±0.33</w:t>
            </w:r>
          </w:p>
        </w:tc>
        <w:tc>
          <w:tcPr>
            <w:tcW w:w="0" w:type="auto"/>
            <w:vAlign w:val="bottom"/>
          </w:tcPr>
          <w:p w:rsidR="00A06BC6" w:rsidRPr="00EF7EA3" w:rsidRDefault="00A06BC6" w:rsidP="00A06BC6">
            <w:pPr>
              <w:pStyle w:val="table2"/>
              <w:jc w:val="both"/>
              <w:rPr>
                <w:rFonts w:cs="Arial"/>
              </w:rPr>
            </w:pPr>
            <w:r w:rsidRPr="00EF7EA3">
              <w:rPr>
                <w:rFonts w:cs="Arial"/>
              </w:rPr>
              <w:t>434±29</w:t>
            </w:r>
          </w:p>
        </w:tc>
        <w:tc>
          <w:tcPr>
            <w:tcW w:w="0" w:type="auto"/>
            <w:vAlign w:val="bottom"/>
          </w:tcPr>
          <w:p w:rsidR="00A06BC6" w:rsidRPr="00EF7EA3" w:rsidRDefault="00A06BC6" w:rsidP="00A06BC6">
            <w:pPr>
              <w:pStyle w:val="table2"/>
              <w:jc w:val="both"/>
              <w:rPr>
                <w:rFonts w:cs="Arial"/>
              </w:rPr>
            </w:pPr>
            <w:r w:rsidRPr="00EF7EA3">
              <w:rPr>
                <w:rFonts w:cs="Arial"/>
              </w:rPr>
              <w:t>435±29</w:t>
            </w:r>
          </w:p>
        </w:tc>
        <w:tc>
          <w:tcPr>
            <w:tcW w:w="0" w:type="auto"/>
            <w:vAlign w:val="bottom"/>
          </w:tcPr>
          <w:p w:rsidR="00A06BC6" w:rsidRPr="00EF7EA3" w:rsidRDefault="00A06BC6" w:rsidP="00A06BC6">
            <w:pPr>
              <w:pStyle w:val="table2"/>
              <w:jc w:val="both"/>
              <w:rPr>
                <w:rFonts w:cs="Arial"/>
              </w:rPr>
            </w:pPr>
            <w:r w:rsidRPr="00EF7EA3">
              <w:rPr>
                <w:rFonts w:cs="Arial"/>
              </w:rPr>
              <w:t>970±64</w:t>
            </w:r>
          </w:p>
        </w:tc>
        <w:tc>
          <w:tcPr>
            <w:tcW w:w="0" w:type="auto"/>
            <w:vMerge/>
            <w:vAlign w:val="center"/>
          </w:tcPr>
          <w:p w:rsidR="00A06BC6" w:rsidRPr="00EF7EA3" w:rsidRDefault="00A06BC6" w:rsidP="00A06BC6">
            <w:pPr>
              <w:pStyle w:val="table2"/>
              <w:jc w:val="both"/>
              <w:rPr>
                <w:rFonts w:cs="Arial"/>
                <w:szCs w:val="16"/>
              </w:rPr>
            </w:pPr>
          </w:p>
        </w:tc>
        <w:tc>
          <w:tcPr>
            <w:tcW w:w="1004" w:type="dxa"/>
            <w:vMerge/>
            <w:vAlign w:val="center"/>
          </w:tcPr>
          <w:p w:rsidR="00A06BC6" w:rsidRPr="00EF7EA3" w:rsidRDefault="00A06BC6" w:rsidP="00A06BC6">
            <w:pPr>
              <w:pStyle w:val="table2"/>
              <w:jc w:val="both"/>
              <w:rPr>
                <w:rFonts w:cs="Arial"/>
                <w:szCs w:val="16"/>
              </w:rPr>
            </w:pPr>
          </w:p>
        </w:tc>
      </w:tr>
      <w:tr w:rsidR="00A06BC6" w:rsidRPr="00EF7EA3" w:rsidTr="00A06BC6">
        <w:trPr>
          <w:trHeight w:val="255"/>
        </w:trPr>
        <w:tc>
          <w:tcPr>
            <w:tcW w:w="0" w:type="auto"/>
            <w:vMerge w:val="restart"/>
            <w:shd w:val="clear" w:color="auto" w:fill="auto"/>
            <w:noWrap/>
            <w:vAlign w:val="center"/>
            <w:hideMark/>
          </w:tcPr>
          <w:p w:rsidR="00A06BC6" w:rsidRPr="00EF7EA3" w:rsidRDefault="00A06BC6" w:rsidP="00A06BC6">
            <w:pPr>
              <w:pStyle w:val="table2"/>
              <w:jc w:val="both"/>
              <w:rPr>
                <w:rFonts w:cs="Arial"/>
                <w:lang w:eastAsia="en-AU"/>
              </w:rPr>
            </w:pPr>
            <w:r w:rsidRPr="00EF7EA3">
              <w:rPr>
                <w:rFonts w:cs="Arial"/>
                <w:lang w:eastAsia="en-AU"/>
              </w:rPr>
              <w:t>TL10010</w:t>
            </w:r>
          </w:p>
          <w:p w:rsidR="00A06BC6" w:rsidRPr="00EF7EA3" w:rsidRDefault="00A06BC6" w:rsidP="00A06BC6">
            <w:pPr>
              <w:pStyle w:val="table2"/>
              <w:jc w:val="both"/>
              <w:rPr>
                <w:rFonts w:cs="Arial"/>
                <w:lang w:eastAsia="en-AU"/>
              </w:rPr>
            </w:pPr>
            <w:r w:rsidRPr="00EF7EA3">
              <w:rPr>
                <w:rFonts w:cs="Arial"/>
                <w:lang w:eastAsia="en-AU"/>
              </w:rPr>
              <w:t>(EP3)</w:t>
            </w:r>
          </w:p>
        </w:tc>
        <w:tc>
          <w:tcPr>
            <w:tcW w:w="0" w:type="auto"/>
            <w:vMerge w:val="restart"/>
            <w:shd w:val="clear" w:color="auto" w:fill="auto"/>
            <w:noWrap/>
            <w:vAlign w:val="center"/>
            <w:hideMark/>
          </w:tcPr>
          <w:p w:rsidR="00A06BC6" w:rsidRPr="00EF7EA3" w:rsidRDefault="00A06BC6" w:rsidP="00A06BC6">
            <w:pPr>
              <w:pStyle w:val="table2"/>
              <w:jc w:val="both"/>
              <w:rPr>
                <w:rFonts w:cs="Arial"/>
                <w:lang w:eastAsia="en-AU"/>
              </w:rPr>
            </w:pPr>
            <w:r w:rsidRPr="00EF7EA3">
              <w:rPr>
                <w:rFonts w:cs="Arial"/>
                <w:lang w:eastAsia="en-AU"/>
              </w:rPr>
              <w:t>9/04/10</w:t>
            </w:r>
          </w:p>
        </w:tc>
        <w:tc>
          <w:tcPr>
            <w:tcW w:w="0" w:type="auto"/>
            <w:shd w:val="clear" w:color="auto" w:fill="auto"/>
            <w:noWrap/>
            <w:vAlign w:val="bottom"/>
            <w:hideMark/>
          </w:tcPr>
          <w:p w:rsidR="00A06BC6" w:rsidRPr="00EF7EA3" w:rsidRDefault="00A06BC6" w:rsidP="00A06BC6">
            <w:pPr>
              <w:pStyle w:val="table2"/>
              <w:jc w:val="both"/>
              <w:rPr>
                <w:rFonts w:cs="Arial"/>
                <w:lang w:eastAsia="en-AU"/>
              </w:rPr>
            </w:pPr>
            <w:r w:rsidRPr="00EF7EA3">
              <w:rPr>
                <w:rFonts w:cs="Arial"/>
                <w:snapToGrid w:val="0"/>
                <w:color w:val="000000"/>
                <w:position w:val="4"/>
                <w:sz w:val="11"/>
                <w:szCs w:val="0"/>
                <w:u w:color="000000"/>
                <w:lang w:eastAsia="en-AU"/>
              </w:rPr>
              <w:t>238</w:t>
            </w:r>
            <w:r w:rsidRPr="00EF7EA3">
              <w:rPr>
                <w:rFonts w:cs="Arial"/>
                <w:lang w:eastAsia="en-AU"/>
              </w:rPr>
              <w:t>U</w:t>
            </w:r>
          </w:p>
        </w:tc>
        <w:tc>
          <w:tcPr>
            <w:tcW w:w="0" w:type="auto"/>
            <w:vAlign w:val="bottom"/>
          </w:tcPr>
          <w:p w:rsidR="00A06BC6" w:rsidRPr="00EF7EA3" w:rsidRDefault="00A06BC6" w:rsidP="00A06BC6">
            <w:pPr>
              <w:pStyle w:val="table2"/>
              <w:jc w:val="both"/>
              <w:rPr>
                <w:rFonts w:cs="Arial"/>
              </w:rPr>
            </w:pPr>
            <w:r w:rsidRPr="00EF7EA3">
              <w:rPr>
                <w:rFonts w:cs="Arial"/>
              </w:rPr>
              <w:t>21±2</w:t>
            </w:r>
          </w:p>
        </w:tc>
        <w:tc>
          <w:tcPr>
            <w:tcW w:w="0" w:type="auto"/>
            <w:vAlign w:val="bottom"/>
          </w:tcPr>
          <w:p w:rsidR="00A06BC6" w:rsidRPr="00EF7EA3" w:rsidRDefault="00A06BC6" w:rsidP="00A06BC6">
            <w:pPr>
              <w:pStyle w:val="table2"/>
              <w:jc w:val="both"/>
              <w:rPr>
                <w:rFonts w:cs="Arial"/>
              </w:rPr>
            </w:pPr>
            <w:r w:rsidRPr="00EF7EA3">
              <w:rPr>
                <w:rFonts w:cs="Arial"/>
              </w:rPr>
              <w:t>588±59</w:t>
            </w:r>
          </w:p>
        </w:tc>
        <w:tc>
          <w:tcPr>
            <w:tcW w:w="0" w:type="auto"/>
            <w:vAlign w:val="bottom"/>
          </w:tcPr>
          <w:p w:rsidR="00A06BC6" w:rsidRPr="00EF7EA3" w:rsidRDefault="00A06BC6" w:rsidP="00A06BC6">
            <w:pPr>
              <w:pStyle w:val="table2"/>
              <w:jc w:val="both"/>
              <w:rPr>
                <w:rFonts w:cs="Arial"/>
              </w:rPr>
            </w:pPr>
            <w:r w:rsidRPr="00EF7EA3">
              <w:rPr>
                <w:rFonts w:cs="Arial"/>
              </w:rPr>
              <w:t>609±59</w:t>
            </w:r>
          </w:p>
        </w:tc>
        <w:tc>
          <w:tcPr>
            <w:tcW w:w="0" w:type="auto"/>
            <w:vAlign w:val="bottom"/>
          </w:tcPr>
          <w:p w:rsidR="00A06BC6" w:rsidRPr="00EF7EA3" w:rsidRDefault="00A06BC6" w:rsidP="00A06BC6">
            <w:pPr>
              <w:pStyle w:val="table2"/>
              <w:jc w:val="both"/>
              <w:rPr>
                <w:rFonts w:cs="Arial"/>
              </w:rPr>
            </w:pPr>
            <w:r w:rsidRPr="00EF7EA3">
              <w:rPr>
                <w:rFonts w:cs="Arial"/>
              </w:rPr>
              <w:t>1601±160</w:t>
            </w:r>
          </w:p>
        </w:tc>
        <w:tc>
          <w:tcPr>
            <w:tcW w:w="0" w:type="auto"/>
            <w:vMerge w:val="restart"/>
            <w:vAlign w:val="center"/>
          </w:tcPr>
          <w:p w:rsidR="00A06BC6" w:rsidRPr="00EF7EA3" w:rsidRDefault="00A06BC6" w:rsidP="00A06BC6">
            <w:pPr>
              <w:pStyle w:val="table2"/>
              <w:jc w:val="both"/>
              <w:rPr>
                <w:rFonts w:cs="Arial"/>
                <w:szCs w:val="16"/>
              </w:rPr>
            </w:pPr>
            <w:r w:rsidRPr="00EF7EA3">
              <w:rPr>
                <w:rFonts w:cs="Arial"/>
                <w:szCs w:val="16"/>
              </w:rPr>
              <w:t>29:13:1</w:t>
            </w:r>
          </w:p>
        </w:tc>
        <w:tc>
          <w:tcPr>
            <w:tcW w:w="1004" w:type="dxa"/>
            <w:vMerge w:val="restart"/>
            <w:vAlign w:val="center"/>
          </w:tcPr>
          <w:p w:rsidR="00A06BC6" w:rsidRPr="00EF7EA3" w:rsidRDefault="00A06BC6" w:rsidP="00A06BC6">
            <w:pPr>
              <w:pStyle w:val="table2"/>
              <w:jc w:val="both"/>
              <w:rPr>
                <w:rFonts w:cs="Arial"/>
                <w:szCs w:val="16"/>
              </w:rPr>
            </w:pPr>
            <w:r w:rsidRPr="00EF7EA3">
              <w:rPr>
                <w:rFonts w:cs="Arial"/>
                <w:szCs w:val="16"/>
              </w:rPr>
              <w:t>1.7:1.1:1</w:t>
            </w:r>
          </w:p>
        </w:tc>
      </w:tr>
      <w:tr w:rsidR="00A06BC6" w:rsidRPr="00EF7EA3" w:rsidTr="00A06BC6">
        <w:trPr>
          <w:trHeight w:val="255"/>
        </w:trPr>
        <w:tc>
          <w:tcPr>
            <w:tcW w:w="0" w:type="auto"/>
            <w:vMerge/>
            <w:shd w:val="clear" w:color="auto" w:fill="auto"/>
            <w:noWrap/>
            <w:vAlign w:val="center"/>
            <w:hideMark/>
          </w:tcPr>
          <w:p w:rsidR="00A06BC6" w:rsidRPr="00EF7EA3" w:rsidRDefault="00A06BC6" w:rsidP="00A06BC6">
            <w:pPr>
              <w:pStyle w:val="table2"/>
              <w:jc w:val="both"/>
              <w:rPr>
                <w:rFonts w:cs="Arial"/>
                <w:lang w:eastAsia="en-AU"/>
              </w:rPr>
            </w:pPr>
          </w:p>
        </w:tc>
        <w:tc>
          <w:tcPr>
            <w:tcW w:w="0" w:type="auto"/>
            <w:vMerge/>
            <w:shd w:val="clear" w:color="auto" w:fill="auto"/>
            <w:noWrap/>
            <w:vAlign w:val="center"/>
            <w:hideMark/>
          </w:tcPr>
          <w:p w:rsidR="00A06BC6" w:rsidRPr="00EF7EA3" w:rsidRDefault="00A06BC6" w:rsidP="00A06BC6">
            <w:pPr>
              <w:pStyle w:val="table2"/>
              <w:jc w:val="both"/>
              <w:rPr>
                <w:rFonts w:cs="Arial"/>
                <w:lang w:eastAsia="en-AU"/>
              </w:rPr>
            </w:pPr>
          </w:p>
        </w:tc>
        <w:tc>
          <w:tcPr>
            <w:tcW w:w="0" w:type="auto"/>
            <w:shd w:val="clear" w:color="auto" w:fill="auto"/>
            <w:noWrap/>
            <w:vAlign w:val="bottom"/>
            <w:hideMark/>
          </w:tcPr>
          <w:p w:rsidR="00A06BC6" w:rsidRPr="00EF7EA3" w:rsidRDefault="00A06BC6" w:rsidP="00A06BC6">
            <w:pPr>
              <w:pStyle w:val="table2"/>
              <w:jc w:val="both"/>
              <w:rPr>
                <w:rFonts w:cs="Arial"/>
                <w:lang w:eastAsia="en-AU"/>
              </w:rPr>
            </w:pPr>
            <w:r w:rsidRPr="00EF7EA3">
              <w:rPr>
                <w:rFonts w:cs="Arial"/>
                <w:snapToGrid w:val="0"/>
                <w:color w:val="000000"/>
                <w:position w:val="4"/>
                <w:sz w:val="11"/>
                <w:szCs w:val="0"/>
                <w:u w:color="000000"/>
                <w:lang w:eastAsia="en-AU"/>
              </w:rPr>
              <w:t>226</w:t>
            </w:r>
            <w:r w:rsidRPr="00EF7EA3">
              <w:rPr>
                <w:rFonts w:cs="Arial"/>
                <w:lang w:eastAsia="en-AU"/>
              </w:rPr>
              <w:t>Ra</w:t>
            </w:r>
          </w:p>
        </w:tc>
        <w:tc>
          <w:tcPr>
            <w:tcW w:w="0" w:type="auto"/>
            <w:vAlign w:val="bottom"/>
          </w:tcPr>
          <w:p w:rsidR="00A06BC6" w:rsidRPr="00EF7EA3" w:rsidRDefault="00A06BC6" w:rsidP="00A06BC6">
            <w:pPr>
              <w:pStyle w:val="table2"/>
              <w:jc w:val="both"/>
              <w:rPr>
                <w:rFonts w:cs="Arial"/>
              </w:rPr>
            </w:pPr>
            <w:r w:rsidRPr="00EF7EA3">
              <w:rPr>
                <w:rFonts w:cs="Arial"/>
              </w:rPr>
              <w:t>9.2±0.5</w:t>
            </w:r>
          </w:p>
        </w:tc>
        <w:tc>
          <w:tcPr>
            <w:tcW w:w="0" w:type="auto"/>
            <w:vAlign w:val="bottom"/>
          </w:tcPr>
          <w:p w:rsidR="00A06BC6" w:rsidRPr="00EF7EA3" w:rsidRDefault="00A06BC6" w:rsidP="00A06BC6">
            <w:pPr>
              <w:pStyle w:val="table2"/>
              <w:jc w:val="both"/>
              <w:rPr>
                <w:rFonts w:cs="Arial"/>
              </w:rPr>
            </w:pPr>
            <w:r w:rsidRPr="00EF7EA3">
              <w:rPr>
                <w:rFonts w:cs="Arial"/>
              </w:rPr>
              <w:t>392±8</w:t>
            </w:r>
          </w:p>
        </w:tc>
        <w:tc>
          <w:tcPr>
            <w:tcW w:w="0" w:type="auto"/>
            <w:vAlign w:val="bottom"/>
          </w:tcPr>
          <w:p w:rsidR="00A06BC6" w:rsidRPr="00EF7EA3" w:rsidRDefault="00A06BC6" w:rsidP="00A06BC6">
            <w:pPr>
              <w:pStyle w:val="table2"/>
              <w:jc w:val="both"/>
              <w:rPr>
                <w:rFonts w:cs="Arial"/>
              </w:rPr>
            </w:pPr>
            <w:r w:rsidRPr="00EF7EA3">
              <w:rPr>
                <w:rFonts w:cs="Arial"/>
              </w:rPr>
              <w:t>401±8</w:t>
            </w:r>
          </w:p>
        </w:tc>
        <w:tc>
          <w:tcPr>
            <w:tcW w:w="0" w:type="auto"/>
            <w:vAlign w:val="bottom"/>
          </w:tcPr>
          <w:p w:rsidR="00A06BC6" w:rsidRPr="00EF7EA3" w:rsidRDefault="00A06BC6" w:rsidP="00A06BC6">
            <w:pPr>
              <w:pStyle w:val="table2"/>
              <w:jc w:val="both"/>
              <w:rPr>
                <w:rFonts w:cs="Arial"/>
              </w:rPr>
            </w:pPr>
            <w:r w:rsidRPr="00EF7EA3">
              <w:rPr>
                <w:rFonts w:cs="Arial"/>
              </w:rPr>
              <w:t>1067±22</w:t>
            </w:r>
          </w:p>
        </w:tc>
        <w:tc>
          <w:tcPr>
            <w:tcW w:w="0" w:type="auto"/>
            <w:vMerge/>
            <w:vAlign w:val="center"/>
          </w:tcPr>
          <w:p w:rsidR="00A06BC6" w:rsidRPr="00EF7EA3" w:rsidRDefault="00A06BC6" w:rsidP="00A06BC6">
            <w:pPr>
              <w:pStyle w:val="table2"/>
              <w:jc w:val="both"/>
              <w:rPr>
                <w:rFonts w:cs="Arial"/>
                <w:szCs w:val="16"/>
              </w:rPr>
            </w:pPr>
          </w:p>
        </w:tc>
        <w:tc>
          <w:tcPr>
            <w:tcW w:w="1004" w:type="dxa"/>
            <w:vMerge/>
            <w:vAlign w:val="center"/>
          </w:tcPr>
          <w:p w:rsidR="00A06BC6" w:rsidRPr="00EF7EA3" w:rsidRDefault="00A06BC6" w:rsidP="00A06BC6">
            <w:pPr>
              <w:pStyle w:val="table2"/>
              <w:jc w:val="both"/>
              <w:rPr>
                <w:rFonts w:cs="Arial"/>
                <w:szCs w:val="16"/>
              </w:rPr>
            </w:pPr>
          </w:p>
        </w:tc>
      </w:tr>
      <w:tr w:rsidR="00A06BC6" w:rsidRPr="00EF7EA3" w:rsidTr="00A06BC6">
        <w:trPr>
          <w:trHeight w:val="255"/>
        </w:trPr>
        <w:tc>
          <w:tcPr>
            <w:tcW w:w="0" w:type="auto"/>
            <w:vMerge/>
            <w:shd w:val="clear" w:color="auto" w:fill="auto"/>
            <w:noWrap/>
            <w:vAlign w:val="center"/>
            <w:hideMark/>
          </w:tcPr>
          <w:p w:rsidR="00A06BC6" w:rsidRPr="00EF7EA3" w:rsidRDefault="00A06BC6" w:rsidP="00A06BC6">
            <w:pPr>
              <w:pStyle w:val="table2"/>
              <w:jc w:val="both"/>
              <w:rPr>
                <w:rFonts w:cs="Arial"/>
                <w:lang w:eastAsia="en-AU"/>
              </w:rPr>
            </w:pPr>
          </w:p>
        </w:tc>
        <w:tc>
          <w:tcPr>
            <w:tcW w:w="0" w:type="auto"/>
            <w:vMerge/>
            <w:shd w:val="clear" w:color="auto" w:fill="auto"/>
            <w:noWrap/>
            <w:vAlign w:val="center"/>
            <w:hideMark/>
          </w:tcPr>
          <w:p w:rsidR="00A06BC6" w:rsidRPr="00EF7EA3" w:rsidRDefault="00A06BC6" w:rsidP="00A06BC6">
            <w:pPr>
              <w:pStyle w:val="table2"/>
              <w:jc w:val="both"/>
              <w:rPr>
                <w:rFonts w:cs="Arial"/>
                <w:lang w:eastAsia="en-AU"/>
              </w:rPr>
            </w:pPr>
          </w:p>
        </w:tc>
        <w:tc>
          <w:tcPr>
            <w:tcW w:w="0" w:type="auto"/>
            <w:shd w:val="clear" w:color="auto" w:fill="auto"/>
            <w:noWrap/>
            <w:vAlign w:val="bottom"/>
            <w:hideMark/>
          </w:tcPr>
          <w:p w:rsidR="00A06BC6" w:rsidRPr="00EF7EA3" w:rsidRDefault="00A06BC6" w:rsidP="00A06BC6">
            <w:pPr>
              <w:pStyle w:val="table2"/>
              <w:jc w:val="both"/>
              <w:rPr>
                <w:rFonts w:cs="Arial"/>
                <w:lang w:eastAsia="en-AU"/>
              </w:rPr>
            </w:pPr>
            <w:r w:rsidRPr="00EF7EA3">
              <w:rPr>
                <w:rFonts w:cs="Arial"/>
                <w:snapToGrid w:val="0"/>
                <w:color w:val="000000"/>
                <w:position w:val="4"/>
                <w:sz w:val="11"/>
                <w:szCs w:val="0"/>
                <w:u w:color="000000"/>
                <w:lang w:eastAsia="en-AU"/>
              </w:rPr>
              <w:t>210</w:t>
            </w:r>
            <w:r w:rsidRPr="00EF7EA3">
              <w:rPr>
                <w:rFonts w:cs="Arial"/>
                <w:lang w:eastAsia="en-AU"/>
              </w:rPr>
              <w:t>Po</w:t>
            </w:r>
          </w:p>
        </w:tc>
        <w:tc>
          <w:tcPr>
            <w:tcW w:w="0" w:type="auto"/>
            <w:vAlign w:val="bottom"/>
          </w:tcPr>
          <w:p w:rsidR="00A06BC6" w:rsidRPr="00EF7EA3" w:rsidRDefault="00A06BC6" w:rsidP="00A06BC6">
            <w:pPr>
              <w:pStyle w:val="table2"/>
              <w:jc w:val="both"/>
              <w:rPr>
                <w:rFonts w:cs="Arial"/>
              </w:rPr>
            </w:pPr>
            <w:r w:rsidRPr="00EF7EA3">
              <w:rPr>
                <w:rFonts w:cs="Arial"/>
              </w:rPr>
              <w:t>0.72±0.32</w:t>
            </w:r>
          </w:p>
        </w:tc>
        <w:tc>
          <w:tcPr>
            <w:tcW w:w="0" w:type="auto"/>
            <w:vAlign w:val="bottom"/>
          </w:tcPr>
          <w:p w:rsidR="00A06BC6" w:rsidRPr="00EF7EA3" w:rsidRDefault="00A06BC6" w:rsidP="00A06BC6">
            <w:pPr>
              <w:pStyle w:val="table2"/>
              <w:jc w:val="both"/>
              <w:rPr>
                <w:rFonts w:cs="Arial"/>
              </w:rPr>
            </w:pPr>
            <w:r w:rsidRPr="00EF7EA3">
              <w:rPr>
                <w:rFonts w:cs="Arial"/>
              </w:rPr>
              <w:t>343±20</w:t>
            </w:r>
          </w:p>
        </w:tc>
        <w:tc>
          <w:tcPr>
            <w:tcW w:w="0" w:type="auto"/>
            <w:vAlign w:val="bottom"/>
          </w:tcPr>
          <w:p w:rsidR="00A06BC6" w:rsidRPr="00EF7EA3" w:rsidRDefault="00A06BC6" w:rsidP="00A06BC6">
            <w:pPr>
              <w:pStyle w:val="table2"/>
              <w:jc w:val="both"/>
              <w:rPr>
                <w:rFonts w:cs="Arial"/>
              </w:rPr>
            </w:pPr>
            <w:r w:rsidRPr="00EF7EA3">
              <w:rPr>
                <w:rFonts w:cs="Arial"/>
              </w:rPr>
              <w:t>344±20</w:t>
            </w:r>
          </w:p>
        </w:tc>
        <w:tc>
          <w:tcPr>
            <w:tcW w:w="0" w:type="auto"/>
            <w:vAlign w:val="bottom"/>
          </w:tcPr>
          <w:p w:rsidR="00A06BC6" w:rsidRPr="00EF7EA3" w:rsidRDefault="00A06BC6" w:rsidP="00A06BC6">
            <w:pPr>
              <w:pStyle w:val="table2"/>
              <w:jc w:val="both"/>
              <w:rPr>
                <w:rFonts w:cs="Arial"/>
              </w:rPr>
            </w:pPr>
            <w:r w:rsidRPr="00EF7EA3">
              <w:rPr>
                <w:rFonts w:cs="Arial"/>
              </w:rPr>
              <w:t>934±55</w:t>
            </w:r>
          </w:p>
        </w:tc>
        <w:tc>
          <w:tcPr>
            <w:tcW w:w="0" w:type="auto"/>
            <w:vMerge/>
            <w:vAlign w:val="center"/>
          </w:tcPr>
          <w:p w:rsidR="00A06BC6" w:rsidRPr="00EF7EA3" w:rsidRDefault="00A06BC6" w:rsidP="00A06BC6">
            <w:pPr>
              <w:pStyle w:val="table2"/>
              <w:jc w:val="both"/>
              <w:rPr>
                <w:rFonts w:cs="Arial"/>
                <w:szCs w:val="16"/>
              </w:rPr>
            </w:pPr>
          </w:p>
        </w:tc>
        <w:tc>
          <w:tcPr>
            <w:tcW w:w="1004" w:type="dxa"/>
            <w:vMerge/>
            <w:vAlign w:val="center"/>
          </w:tcPr>
          <w:p w:rsidR="00A06BC6" w:rsidRPr="00EF7EA3" w:rsidRDefault="00A06BC6" w:rsidP="00A06BC6">
            <w:pPr>
              <w:pStyle w:val="table2"/>
              <w:jc w:val="both"/>
              <w:rPr>
                <w:rFonts w:cs="Arial"/>
                <w:szCs w:val="16"/>
              </w:rPr>
            </w:pPr>
          </w:p>
        </w:tc>
      </w:tr>
      <w:tr w:rsidR="00A06BC6" w:rsidRPr="00EF7EA3" w:rsidTr="00A06BC6">
        <w:trPr>
          <w:trHeight w:val="255"/>
        </w:trPr>
        <w:tc>
          <w:tcPr>
            <w:tcW w:w="0" w:type="auto"/>
            <w:vMerge w:val="restart"/>
            <w:shd w:val="clear" w:color="auto" w:fill="auto"/>
            <w:noWrap/>
            <w:vAlign w:val="center"/>
            <w:hideMark/>
          </w:tcPr>
          <w:p w:rsidR="00A06BC6" w:rsidRPr="00EF7EA3" w:rsidRDefault="00A06BC6" w:rsidP="00A06BC6">
            <w:pPr>
              <w:pStyle w:val="table2"/>
              <w:jc w:val="both"/>
              <w:rPr>
                <w:rFonts w:cs="Arial"/>
                <w:lang w:eastAsia="en-AU"/>
              </w:rPr>
            </w:pPr>
            <w:r w:rsidRPr="00EF7EA3">
              <w:rPr>
                <w:rFonts w:cs="Arial"/>
                <w:lang w:eastAsia="en-AU"/>
              </w:rPr>
              <w:t>TL10011</w:t>
            </w:r>
          </w:p>
          <w:p w:rsidR="00A06BC6" w:rsidRPr="00EF7EA3" w:rsidRDefault="00A06BC6" w:rsidP="00A06BC6">
            <w:pPr>
              <w:pStyle w:val="table2"/>
              <w:jc w:val="both"/>
              <w:rPr>
                <w:rFonts w:cs="Arial"/>
                <w:lang w:eastAsia="en-AU"/>
              </w:rPr>
            </w:pPr>
            <w:r w:rsidRPr="00EF7EA3">
              <w:rPr>
                <w:rFonts w:cs="Arial"/>
                <w:lang w:eastAsia="en-AU"/>
              </w:rPr>
              <w:t>(EP4)</w:t>
            </w:r>
          </w:p>
        </w:tc>
        <w:tc>
          <w:tcPr>
            <w:tcW w:w="0" w:type="auto"/>
            <w:vMerge w:val="restart"/>
            <w:shd w:val="clear" w:color="auto" w:fill="auto"/>
            <w:noWrap/>
            <w:vAlign w:val="center"/>
            <w:hideMark/>
          </w:tcPr>
          <w:p w:rsidR="00A06BC6" w:rsidRPr="00EF7EA3" w:rsidRDefault="00A06BC6" w:rsidP="00A06BC6">
            <w:pPr>
              <w:pStyle w:val="table2"/>
              <w:jc w:val="both"/>
              <w:rPr>
                <w:rFonts w:cs="Arial"/>
                <w:lang w:eastAsia="en-AU"/>
              </w:rPr>
            </w:pPr>
            <w:r w:rsidRPr="00EF7EA3">
              <w:rPr>
                <w:rFonts w:cs="Arial"/>
                <w:lang w:eastAsia="en-AU"/>
              </w:rPr>
              <w:t>12/04/10</w:t>
            </w:r>
          </w:p>
        </w:tc>
        <w:tc>
          <w:tcPr>
            <w:tcW w:w="0" w:type="auto"/>
            <w:shd w:val="clear" w:color="auto" w:fill="auto"/>
            <w:noWrap/>
            <w:vAlign w:val="bottom"/>
            <w:hideMark/>
          </w:tcPr>
          <w:p w:rsidR="00A06BC6" w:rsidRPr="00EF7EA3" w:rsidRDefault="00A06BC6" w:rsidP="00A06BC6">
            <w:pPr>
              <w:pStyle w:val="table2"/>
              <w:jc w:val="both"/>
              <w:rPr>
                <w:rFonts w:cs="Arial"/>
                <w:lang w:eastAsia="en-AU"/>
              </w:rPr>
            </w:pPr>
            <w:r w:rsidRPr="00EF7EA3">
              <w:rPr>
                <w:rFonts w:cs="Arial"/>
                <w:snapToGrid w:val="0"/>
                <w:color w:val="000000"/>
                <w:position w:val="4"/>
                <w:sz w:val="11"/>
                <w:szCs w:val="0"/>
                <w:u w:color="000000"/>
                <w:lang w:eastAsia="en-AU"/>
              </w:rPr>
              <w:t>238</w:t>
            </w:r>
            <w:r w:rsidRPr="00EF7EA3">
              <w:rPr>
                <w:rFonts w:cs="Arial"/>
                <w:lang w:eastAsia="en-AU"/>
              </w:rPr>
              <w:t>U</w:t>
            </w:r>
          </w:p>
        </w:tc>
        <w:tc>
          <w:tcPr>
            <w:tcW w:w="0" w:type="auto"/>
            <w:vAlign w:val="bottom"/>
          </w:tcPr>
          <w:p w:rsidR="00A06BC6" w:rsidRPr="00EF7EA3" w:rsidRDefault="00A06BC6" w:rsidP="00A06BC6">
            <w:pPr>
              <w:pStyle w:val="table2"/>
              <w:jc w:val="both"/>
              <w:rPr>
                <w:rFonts w:cs="Arial"/>
              </w:rPr>
            </w:pPr>
            <w:r w:rsidRPr="00EF7EA3">
              <w:rPr>
                <w:rFonts w:cs="Arial"/>
              </w:rPr>
              <w:t>29±3</w:t>
            </w:r>
          </w:p>
        </w:tc>
        <w:tc>
          <w:tcPr>
            <w:tcW w:w="0" w:type="auto"/>
            <w:vAlign w:val="bottom"/>
          </w:tcPr>
          <w:p w:rsidR="00A06BC6" w:rsidRPr="00EF7EA3" w:rsidRDefault="00A06BC6" w:rsidP="00A06BC6">
            <w:pPr>
              <w:pStyle w:val="table2"/>
              <w:jc w:val="both"/>
              <w:rPr>
                <w:rFonts w:cs="Arial"/>
              </w:rPr>
            </w:pPr>
            <w:r w:rsidRPr="00EF7EA3">
              <w:rPr>
                <w:rFonts w:cs="Arial"/>
              </w:rPr>
              <w:t>210±21</w:t>
            </w:r>
          </w:p>
        </w:tc>
        <w:tc>
          <w:tcPr>
            <w:tcW w:w="0" w:type="auto"/>
            <w:vAlign w:val="bottom"/>
          </w:tcPr>
          <w:p w:rsidR="00A06BC6" w:rsidRPr="00EF7EA3" w:rsidRDefault="00A06BC6" w:rsidP="00A06BC6">
            <w:pPr>
              <w:pStyle w:val="table2"/>
              <w:jc w:val="both"/>
              <w:rPr>
                <w:rFonts w:cs="Arial"/>
              </w:rPr>
            </w:pPr>
            <w:r w:rsidRPr="00EF7EA3">
              <w:rPr>
                <w:rFonts w:cs="Arial"/>
              </w:rPr>
              <w:t>239±21</w:t>
            </w:r>
          </w:p>
        </w:tc>
        <w:tc>
          <w:tcPr>
            <w:tcW w:w="0" w:type="auto"/>
            <w:vAlign w:val="bottom"/>
          </w:tcPr>
          <w:p w:rsidR="00A06BC6" w:rsidRPr="00EF7EA3" w:rsidRDefault="00A06BC6" w:rsidP="00A06BC6">
            <w:pPr>
              <w:pStyle w:val="table2"/>
              <w:jc w:val="both"/>
              <w:rPr>
                <w:rFonts w:cs="Arial"/>
              </w:rPr>
            </w:pPr>
            <w:r w:rsidRPr="00EF7EA3">
              <w:rPr>
                <w:rFonts w:cs="Arial"/>
              </w:rPr>
              <w:t>1544±154</w:t>
            </w:r>
          </w:p>
        </w:tc>
        <w:tc>
          <w:tcPr>
            <w:tcW w:w="0" w:type="auto"/>
            <w:vMerge w:val="restart"/>
            <w:vAlign w:val="center"/>
          </w:tcPr>
          <w:p w:rsidR="00A06BC6" w:rsidRPr="00EF7EA3" w:rsidRDefault="00A06BC6" w:rsidP="00A06BC6">
            <w:pPr>
              <w:pStyle w:val="table2"/>
              <w:jc w:val="both"/>
              <w:rPr>
                <w:rFonts w:cs="Arial"/>
                <w:szCs w:val="16"/>
              </w:rPr>
            </w:pPr>
            <w:r w:rsidRPr="00EF7EA3">
              <w:rPr>
                <w:rFonts w:cs="Arial"/>
                <w:szCs w:val="16"/>
              </w:rPr>
              <w:t>18:4:1</w:t>
            </w:r>
          </w:p>
        </w:tc>
        <w:tc>
          <w:tcPr>
            <w:tcW w:w="1004" w:type="dxa"/>
            <w:vMerge w:val="restart"/>
            <w:vAlign w:val="center"/>
          </w:tcPr>
          <w:p w:rsidR="00A06BC6" w:rsidRPr="00EF7EA3" w:rsidRDefault="00A06BC6" w:rsidP="00A06BC6">
            <w:pPr>
              <w:pStyle w:val="table2"/>
              <w:jc w:val="both"/>
              <w:rPr>
                <w:rFonts w:cs="Arial"/>
                <w:szCs w:val="16"/>
              </w:rPr>
            </w:pPr>
            <w:r w:rsidRPr="00EF7EA3">
              <w:rPr>
                <w:rFonts w:cs="Arial"/>
                <w:szCs w:val="16"/>
              </w:rPr>
              <w:t>1.6:1.2:1</w:t>
            </w:r>
          </w:p>
        </w:tc>
      </w:tr>
      <w:tr w:rsidR="00A06BC6" w:rsidRPr="00EF7EA3" w:rsidTr="00A06BC6">
        <w:trPr>
          <w:trHeight w:val="255"/>
        </w:trPr>
        <w:tc>
          <w:tcPr>
            <w:tcW w:w="0" w:type="auto"/>
            <w:vMerge/>
            <w:shd w:val="clear" w:color="auto" w:fill="auto"/>
            <w:noWrap/>
            <w:vAlign w:val="center"/>
            <w:hideMark/>
          </w:tcPr>
          <w:p w:rsidR="00A06BC6" w:rsidRPr="00EF7EA3" w:rsidRDefault="00A06BC6" w:rsidP="00A06BC6">
            <w:pPr>
              <w:pStyle w:val="table2"/>
              <w:jc w:val="both"/>
              <w:rPr>
                <w:rFonts w:cs="Arial"/>
                <w:lang w:eastAsia="en-AU"/>
              </w:rPr>
            </w:pPr>
          </w:p>
        </w:tc>
        <w:tc>
          <w:tcPr>
            <w:tcW w:w="0" w:type="auto"/>
            <w:vMerge/>
            <w:shd w:val="clear" w:color="auto" w:fill="auto"/>
            <w:noWrap/>
            <w:vAlign w:val="center"/>
            <w:hideMark/>
          </w:tcPr>
          <w:p w:rsidR="00A06BC6" w:rsidRPr="00EF7EA3" w:rsidRDefault="00A06BC6" w:rsidP="00A06BC6">
            <w:pPr>
              <w:pStyle w:val="table2"/>
              <w:jc w:val="both"/>
              <w:rPr>
                <w:rFonts w:cs="Arial"/>
                <w:lang w:eastAsia="en-AU"/>
              </w:rPr>
            </w:pPr>
          </w:p>
        </w:tc>
        <w:tc>
          <w:tcPr>
            <w:tcW w:w="0" w:type="auto"/>
            <w:shd w:val="clear" w:color="auto" w:fill="auto"/>
            <w:noWrap/>
            <w:vAlign w:val="bottom"/>
            <w:hideMark/>
          </w:tcPr>
          <w:p w:rsidR="00A06BC6" w:rsidRPr="00EF7EA3" w:rsidRDefault="00A06BC6" w:rsidP="00A06BC6">
            <w:pPr>
              <w:pStyle w:val="table2"/>
              <w:jc w:val="both"/>
              <w:rPr>
                <w:rFonts w:cs="Arial"/>
                <w:lang w:eastAsia="en-AU"/>
              </w:rPr>
            </w:pPr>
            <w:r w:rsidRPr="00EF7EA3">
              <w:rPr>
                <w:rFonts w:cs="Arial"/>
                <w:snapToGrid w:val="0"/>
                <w:color w:val="000000"/>
                <w:position w:val="4"/>
                <w:sz w:val="11"/>
                <w:szCs w:val="0"/>
                <w:u w:color="000000"/>
                <w:lang w:eastAsia="en-AU"/>
              </w:rPr>
              <w:t>226</w:t>
            </w:r>
            <w:r w:rsidRPr="00EF7EA3">
              <w:rPr>
                <w:rFonts w:cs="Arial"/>
                <w:lang w:eastAsia="en-AU"/>
              </w:rPr>
              <w:t>Ra</w:t>
            </w:r>
          </w:p>
        </w:tc>
        <w:tc>
          <w:tcPr>
            <w:tcW w:w="0" w:type="auto"/>
            <w:vAlign w:val="bottom"/>
          </w:tcPr>
          <w:p w:rsidR="00A06BC6" w:rsidRPr="00EF7EA3" w:rsidRDefault="00A06BC6" w:rsidP="00A06BC6">
            <w:pPr>
              <w:pStyle w:val="table2"/>
              <w:jc w:val="both"/>
              <w:rPr>
                <w:rFonts w:cs="Arial"/>
              </w:rPr>
            </w:pPr>
            <w:r w:rsidRPr="00EF7EA3">
              <w:rPr>
                <w:rFonts w:cs="Arial"/>
              </w:rPr>
              <w:t>5.7±0.6</w:t>
            </w:r>
          </w:p>
        </w:tc>
        <w:tc>
          <w:tcPr>
            <w:tcW w:w="0" w:type="auto"/>
            <w:vAlign w:val="bottom"/>
          </w:tcPr>
          <w:p w:rsidR="00A06BC6" w:rsidRPr="00EF7EA3" w:rsidRDefault="00A06BC6" w:rsidP="00A06BC6">
            <w:pPr>
              <w:pStyle w:val="table2"/>
              <w:jc w:val="both"/>
              <w:rPr>
                <w:rFonts w:cs="Arial"/>
              </w:rPr>
            </w:pPr>
            <w:r w:rsidRPr="00EF7EA3">
              <w:rPr>
                <w:rFonts w:cs="Arial"/>
              </w:rPr>
              <w:t>156±7</w:t>
            </w:r>
          </w:p>
        </w:tc>
        <w:tc>
          <w:tcPr>
            <w:tcW w:w="0" w:type="auto"/>
            <w:vAlign w:val="bottom"/>
          </w:tcPr>
          <w:p w:rsidR="00A06BC6" w:rsidRPr="00EF7EA3" w:rsidRDefault="00A06BC6" w:rsidP="00A06BC6">
            <w:pPr>
              <w:pStyle w:val="table2"/>
              <w:jc w:val="both"/>
              <w:rPr>
                <w:rFonts w:cs="Arial"/>
              </w:rPr>
            </w:pPr>
            <w:r w:rsidRPr="00EF7EA3">
              <w:rPr>
                <w:rFonts w:cs="Arial"/>
              </w:rPr>
              <w:t>162±7</w:t>
            </w:r>
          </w:p>
        </w:tc>
        <w:tc>
          <w:tcPr>
            <w:tcW w:w="0" w:type="auto"/>
            <w:vAlign w:val="bottom"/>
          </w:tcPr>
          <w:p w:rsidR="00A06BC6" w:rsidRPr="00EF7EA3" w:rsidRDefault="00A06BC6" w:rsidP="00A06BC6">
            <w:pPr>
              <w:pStyle w:val="table2"/>
              <w:jc w:val="both"/>
              <w:rPr>
                <w:rFonts w:cs="Arial"/>
              </w:rPr>
            </w:pPr>
            <w:r w:rsidRPr="00EF7EA3">
              <w:rPr>
                <w:rFonts w:cs="Arial"/>
              </w:rPr>
              <w:t>1147±51</w:t>
            </w:r>
          </w:p>
        </w:tc>
        <w:tc>
          <w:tcPr>
            <w:tcW w:w="0" w:type="auto"/>
            <w:vMerge/>
            <w:vAlign w:val="center"/>
          </w:tcPr>
          <w:p w:rsidR="00A06BC6" w:rsidRPr="00EF7EA3" w:rsidRDefault="00A06BC6" w:rsidP="00A06BC6">
            <w:pPr>
              <w:pStyle w:val="table2"/>
              <w:jc w:val="both"/>
              <w:rPr>
                <w:rFonts w:cs="Arial"/>
                <w:szCs w:val="16"/>
              </w:rPr>
            </w:pPr>
          </w:p>
        </w:tc>
        <w:tc>
          <w:tcPr>
            <w:tcW w:w="1004" w:type="dxa"/>
            <w:vMerge/>
            <w:vAlign w:val="center"/>
          </w:tcPr>
          <w:p w:rsidR="00A06BC6" w:rsidRPr="00EF7EA3" w:rsidRDefault="00A06BC6" w:rsidP="00A06BC6">
            <w:pPr>
              <w:pStyle w:val="table2"/>
              <w:jc w:val="both"/>
              <w:rPr>
                <w:rFonts w:cs="Arial"/>
                <w:szCs w:val="16"/>
              </w:rPr>
            </w:pPr>
          </w:p>
        </w:tc>
      </w:tr>
      <w:tr w:rsidR="00A06BC6" w:rsidRPr="00EF7EA3" w:rsidTr="00A06BC6">
        <w:trPr>
          <w:trHeight w:val="255"/>
        </w:trPr>
        <w:tc>
          <w:tcPr>
            <w:tcW w:w="0" w:type="auto"/>
            <w:vMerge/>
            <w:shd w:val="clear" w:color="auto" w:fill="auto"/>
            <w:noWrap/>
            <w:vAlign w:val="center"/>
            <w:hideMark/>
          </w:tcPr>
          <w:p w:rsidR="00A06BC6" w:rsidRPr="00EF7EA3" w:rsidRDefault="00A06BC6" w:rsidP="00A06BC6">
            <w:pPr>
              <w:pStyle w:val="table2"/>
              <w:jc w:val="both"/>
              <w:rPr>
                <w:rFonts w:cs="Arial"/>
                <w:lang w:eastAsia="en-AU"/>
              </w:rPr>
            </w:pPr>
          </w:p>
        </w:tc>
        <w:tc>
          <w:tcPr>
            <w:tcW w:w="0" w:type="auto"/>
            <w:vMerge/>
            <w:shd w:val="clear" w:color="auto" w:fill="auto"/>
            <w:noWrap/>
            <w:vAlign w:val="center"/>
            <w:hideMark/>
          </w:tcPr>
          <w:p w:rsidR="00A06BC6" w:rsidRPr="00EF7EA3" w:rsidRDefault="00A06BC6" w:rsidP="00A06BC6">
            <w:pPr>
              <w:pStyle w:val="table2"/>
              <w:jc w:val="both"/>
              <w:rPr>
                <w:rFonts w:cs="Arial"/>
                <w:lang w:eastAsia="en-AU"/>
              </w:rPr>
            </w:pPr>
          </w:p>
        </w:tc>
        <w:tc>
          <w:tcPr>
            <w:tcW w:w="0" w:type="auto"/>
            <w:shd w:val="clear" w:color="auto" w:fill="auto"/>
            <w:noWrap/>
            <w:vAlign w:val="bottom"/>
            <w:hideMark/>
          </w:tcPr>
          <w:p w:rsidR="00A06BC6" w:rsidRPr="00EF7EA3" w:rsidRDefault="00A06BC6" w:rsidP="00A06BC6">
            <w:pPr>
              <w:pStyle w:val="table2"/>
              <w:jc w:val="both"/>
              <w:rPr>
                <w:rFonts w:cs="Arial"/>
                <w:lang w:eastAsia="en-AU"/>
              </w:rPr>
            </w:pPr>
            <w:r w:rsidRPr="00EF7EA3">
              <w:rPr>
                <w:rFonts w:cs="Arial"/>
                <w:snapToGrid w:val="0"/>
                <w:color w:val="000000"/>
                <w:position w:val="4"/>
                <w:sz w:val="11"/>
                <w:szCs w:val="0"/>
                <w:u w:color="000000"/>
                <w:lang w:eastAsia="en-AU"/>
              </w:rPr>
              <w:t>210</w:t>
            </w:r>
            <w:r w:rsidRPr="00EF7EA3">
              <w:rPr>
                <w:rFonts w:cs="Arial"/>
                <w:lang w:eastAsia="en-AU"/>
              </w:rPr>
              <w:t>Po</w:t>
            </w:r>
          </w:p>
        </w:tc>
        <w:tc>
          <w:tcPr>
            <w:tcW w:w="0" w:type="auto"/>
            <w:vAlign w:val="bottom"/>
          </w:tcPr>
          <w:p w:rsidR="00A06BC6" w:rsidRPr="00EF7EA3" w:rsidRDefault="00A06BC6" w:rsidP="00A06BC6">
            <w:pPr>
              <w:pStyle w:val="table2"/>
              <w:jc w:val="both"/>
              <w:rPr>
                <w:rFonts w:cs="Arial"/>
              </w:rPr>
            </w:pPr>
            <w:r w:rsidRPr="00EF7EA3">
              <w:rPr>
                <w:rFonts w:cs="Arial"/>
              </w:rPr>
              <w:t>1.58±0.37</w:t>
            </w:r>
          </w:p>
        </w:tc>
        <w:tc>
          <w:tcPr>
            <w:tcW w:w="0" w:type="auto"/>
            <w:vAlign w:val="bottom"/>
          </w:tcPr>
          <w:p w:rsidR="00A06BC6" w:rsidRPr="00EF7EA3" w:rsidRDefault="00A06BC6" w:rsidP="00A06BC6">
            <w:pPr>
              <w:pStyle w:val="table2"/>
              <w:jc w:val="both"/>
              <w:rPr>
                <w:rFonts w:cs="Arial"/>
              </w:rPr>
            </w:pPr>
            <w:r w:rsidRPr="00EF7EA3">
              <w:rPr>
                <w:rFonts w:cs="Arial"/>
              </w:rPr>
              <w:t>135±5</w:t>
            </w:r>
          </w:p>
        </w:tc>
        <w:tc>
          <w:tcPr>
            <w:tcW w:w="0" w:type="auto"/>
            <w:vAlign w:val="bottom"/>
          </w:tcPr>
          <w:p w:rsidR="00A06BC6" w:rsidRPr="00EF7EA3" w:rsidRDefault="00A06BC6" w:rsidP="00A06BC6">
            <w:pPr>
              <w:pStyle w:val="table2"/>
              <w:jc w:val="both"/>
              <w:rPr>
                <w:rFonts w:cs="Arial"/>
              </w:rPr>
            </w:pPr>
            <w:r w:rsidRPr="00EF7EA3">
              <w:rPr>
                <w:rFonts w:cs="Arial"/>
              </w:rPr>
              <w:t>136±5</w:t>
            </w:r>
          </w:p>
        </w:tc>
        <w:tc>
          <w:tcPr>
            <w:tcW w:w="0" w:type="auto"/>
            <w:vAlign w:val="bottom"/>
          </w:tcPr>
          <w:p w:rsidR="00A06BC6" w:rsidRPr="00EF7EA3" w:rsidRDefault="00A06BC6" w:rsidP="00A06BC6">
            <w:pPr>
              <w:pStyle w:val="table2"/>
              <w:jc w:val="both"/>
              <w:rPr>
                <w:rFonts w:cs="Arial"/>
              </w:rPr>
            </w:pPr>
            <w:r w:rsidRPr="00EF7EA3">
              <w:rPr>
                <w:rFonts w:cs="Arial"/>
              </w:rPr>
              <w:t>989±40</w:t>
            </w:r>
          </w:p>
        </w:tc>
        <w:tc>
          <w:tcPr>
            <w:tcW w:w="0" w:type="auto"/>
            <w:vMerge/>
            <w:vAlign w:val="center"/>
          </w:tcPr>
          <w:p w:rsidR="00A06BC6" w:rsidRPr="00EF7EA3" w:rsidRDefault="00A06BC6" w:rsidP="00A06BC6">
            <w:pPr>
              <w:pStyle w:val="table2"/>
              <w:jc w:val="both"/>
              <w:rPr>
                <w:rFonts w:cs="Arial"/>
                <w:szCs w:val="16"/>
              </w:rPr>
            </w:pPr>
          </w:p>
        </w:tc>
        <w:tc>
          <w:tcPr>
            <w:tcW w:w="1004" w:type="dxa"/>
            <w:vMerge/>
            <w:vAlign w:val="center"/>
          </w:tcPr>
          <w:p w:rsidR="00A06BC6" w:rsidRPr="00EF7EA3" w:rsidRDefault="00A06BC6" w:rsidP="00A06BC6">
            <w:pPr>
              <w:pStyle w:val="table2"/>
              <w:jc w:val="both"/>
              <w:rPr>
                <w:rFonts w:cs="Arial"/>
                <w:szCs w:val="16"/>
              </w:rPr>
            </w:pPr>
          </w:p>
        </w:tc>
      </w:tr>
      <w:tr w:rsidR="00A06BC6" w:rsidRPr="00EF7EA3" w:rsidTr="00A06BC6">
        <w:trPr>
          <w:trHeight w:val="255"/>
        </w:trPr>
        <w:tc>
          <w:tcPr>
            <w:tcW w:w="0" w:type="auto"/>
            <w:vMerge w:val="restart"/>
            <w:shd w:val="clear" w:color="auto" w:fill="auto"/>
            <w:noWrap/>
            <w:vAlign w:val="center"/>
            <w:hideMark/>
          </w:tcPr>
          <w:p w:rsidR="00A06BC6" w:rsidRPr="00EF7EA3" w:rsidRDefault="00A06BC6" w:rsidP="00A06BC6">
            <w:pPr>
              <w:pStyle w:val="table2"/>
              <w:jc w:val="both"/>
              <w:rPr>
                <w:rFonts w:cs="Arial"/>
                <w:lang w:eastAsia="en-AU"/>
              </w:rPr>
            </w:pPr>
            <w:r w:rsidRPr="00EF7EA3">
              <w:rPr>
                <w:rFonts w:cs="Arial"/>
                <w:lang w:eastAsia="en-AU"/>
              </w:rPr>
              <w:t>TL10012</w:t>
            </w:r>
          </w:p>
          <w:p w:rsidR="00A06BC6" w:rsidRPr="00EF7EA3" w:rsidRDefault="00A06BC6" w:rsidP="00A06BC6">
            <w:pPr>
              <w:pStyle w:val="table2"/>
              <w:jc w:val="both"/>
              <w:rPr>
                <w:rFonts w:cs="Arial"/>
                <w:lang w:eastAsia="en-AU"/>
              </w:rPr>
            </w:pPr>
            <w:r w:rsidRPr="00EF7EA3">
              <w:rPr>
                <w:rFonts w:cs="Arial"/>
                <w:lang w:eastAsia="en-AU"/>
              </w:rPr>
              <w:t>(EP4)</w:t>
            </w:r>
          </w:p>
        </w:tc>
        <w:tc>
          <w:tcPr>
            <w:tcW w:w="0" w:type="auto"/>
            <w:vMerge w:val="restart"/>
            <w:shd w:val="clear" w:color="auto" w:fill="auto"/>
            <w:noWrap/>
            <w:vAlign w:val="center"/>
            <w:hideMark/>
          </w:tcPr>
          <w:p w:rsidR="00A06BC6" w:rsidRPr="00EF7EA3" w:rsidRDefault="00A06BC6" w:rsidP="00A06BC6">
            <w:pPr>
              <w:pStyle w:val="table2"/>
              <w:jc w:val="both"/>
              <w:rPr>
                <w:rFonts w:cs="Arial"/>
                <w:lang w:eastAsia="en-AU"/>
              </w:rPr>
            </w:pPr>
            <w:r w:rsidRPr="00EF7EA3">
              <w:rPr>
                <w:rFonts w:cs="Arial"/>
                <w:lang w:eastAsia="en-AU"/>
              </w:rPr>
              <w:t>12/04/10</w:t>
            </w:r>
          </w:p>
        </w:tc>
        <w:tc>
          <w:tcPr>
            <w:tcW w:w="0" w:type="auto"/>
            <w:shd w:val="clear" w:color="auto" w:fill="auto"/>
            <w:noWrap/>
            <w:vAlign w:val="bottom"/>
            <w:hideMark/>
          </w:tcPr>
          <w:p w:rsidR="00A06BC6" w:rsidRPr="00EF7EA3" w:rsidRDefault="00A06BC6" w:rsidP="00A06BC6">
            <w:pPr>
              <w:pStyle w:val="table2"/>
              <w:jc w:val="both"/>
              <w:rPr>
                <w:rFonts w:cs="Arial"/>
                <w:lang w:eastAsia="en-AU"/>
              </w:rPr>
            </w:pPr>
            <w:r w:rsidRPr="00EF7EA3">
              <w:rPr>
                <w:rFonts w:cs="Arial"/>
                <w:snapToGrid w:val="0"/>
                <w:color w:val="000000"/>
                <w:position w:val="4"/>
                <w:sz w:val="11"/>
                <w:szCs w:val="0"/>
                <w:u w:color="000000"/>
                <w:lang w:eastAsia="en-AU"/>
              </w:rPr>
              <w:t>238</w:t>
            </w:r>
            <w:r w:rsidRPr="00EF7EA3">
              <w:rPr>
                <w:rFonts w:cs="Arial"/>
                <w:lang w:eastAsia="en-AU"/>
              </w:rPr>
              <w:t>U</w:t>
            </w:r>
          </w:p>
        </w:tc>
        <w:tc>
          <w:tcPr>
            <w:tcW w:w="0" w:type="auto"/>
            <w:vAlign w:val="bottom"/>
          </w:tcPr>
          <w:p w:rsidR="00A06BC6" w:rsidRPr="00EF7EA3" w:rsidRDefault="00A06BC6" w:rsidP="00A06BC6">
            <w:pPr>
              <w:pStyle w:val="table2"/>
              <w:jc w:val="both"/>
              <w:rPr>
                <w:rFonts w:cs="Arial"/>
              </w:rPr>
            </w:pPr>
            <w:r w:rsidRPr="00EF7EA3">
              <w:rPr>
                <w:rFonts w:cs="Arial"/>
              </w:rPr>
              <w:t>28±3</w:t>
            </w:r>
          </w:p>
        </w:tc>
        <w:tc>
          <w:tcPr>
            <w:tcW w:w="0" w:type="auto"/>
            <w:vAlign w:val="bottom"/>
          </w:tcPr>
          <w:p w:rsidR="00A06BC6" w:rsidRPr="00EF7EA3" w:rsidRDefault="00A06BC6" w:rsidP="00A06BC6">
            <w:pPr>
              <w:pStyle w:val="table2"/>
              <w:jc w:val="both"/>
              <w:rPr>
                <w:rFonts w:cs="Arial"/>
              </w:rPr>
            </w:pPr>
            <w:r w:rsidRPr="00EF7EA3">
              <w:rPr>
                <w:rFonts w:cs="Arial"/>
              </w:rPr>
              <w:t>231±23</w:t>
            </w:r>
          </w:p>
        </w:tc>
        <w:tc>
          <w:tcPr>
            <w:tcW w:w="0" w:type="auto"/>
            <w:vAlign w:val="bottom"/>
          </w:tcPr>
          <w:p w:rsidR="00A06BC6" w:rsidRPr="00EF7EA3" w:rsidRDefault="00A06BC6" w:rsidP="00A06BC6">
            <w:pPr>
              <w:pStyle w:val="table2"/>
              <w:jc w:val="both"/>
              <w:rPr>
                <w:rFonts w:cs="Arial"/>
              </w:rPr>
            </w:pPr>
            <w:r w:rsidRPr="00EF7EA3">
              <w:rPr>
                <w:rFonts w:cs="Arial"/>
              </w:rPr>
              <w:t>259±23</w:t>
            </w:r>
          </w:p>
        </w:tc>
        <w:tc>
          <w:tcPr>
            <w:tcW w:w="0" w:type="auto"/>
            <w:vAlign w:val="bottom"/>
          </w:tcPr>
          <w:p w:rsidR="00A06BC6" w:rsidRPr="00EF7EA3" w:rsidRDefault="00A06BC6" w:rsidP="00A06BC6">
            <w:pPr>
              <w:pStyle w:val="table2"/>
              <w:jc w:val="both"/>
              <w:rPr>
                <w:rFonts w:cs="Arial"/>
              </w:rPr>
            </w:pPr>
            <w:r w:rsidRPr="00EF7EA3">
              <w:rPr>
                <w:rFonts w:cs="Arial"/>
              </w:rPr>
              <w:t>1777±178</w:t>
            </w:r>
          </w:p>
        </w:tc>
        <w:tc>
          <w:tcPr>
            <w:tcW w:w="0" w:type="auto"/>
            <w:vMerge w:val="restart"/>
            <w:vAlign w:val="center"/>
          </w:tcPr>
          <w:p w:rsidR="00A06BC6" w:rsidRPr="00EF7EA3" w:rsidRDefault="00A06BC6" w:rsidP="00A06BC6">
            <w:pPr>
              <w:pStyle w:val="table2"/>
              <w:jc w:val="both"/>
              <w:rPr>
                <w:rFonts w:cs="Arial"/>
                <w:szCs w:val="16"/>
              </w:rPr>
            </w:pPr>
            <w:r w:rsidRPr="00EF7EA3">
              <w:rPr>
                <w:rFonts w:cs="Arial"/>
                <w:szCs w:val="16"/>
              </w:rPr>
              <w:t>16:3:1</w:t>
            </w:r>
          </w:p>
        </w:tc>
        <w:tc>
          <w:tcPr>
            <w:tcW w:w="1004" w:type="dxa"/>
            <w:vMerge w:val="restart"/>
            <w:vAlign w:val="center"/>
          </w:tcPr>
          <w:p w:rsidR="00A06BC6" w:rsidRPr="00EF7EA3" w:rsidRDefault="00A06BC6" w:rsidP="00A06BC6">
            <w:pPr>
              <w:pStyle w:val="table2"/>
              <w:jc w:val="both"/>
              <w:rPr>
                <w:rFonts w:cs="Arial"/>
                <w:szCs w:val="16"/>
              </w:rPr>
            </w:pPr>
            <w:r w:rsidRPr="00EF7EA3">
              <w:rPr>
                <w:rFonts w:cs="Arial"/>
                <w:szCs w:val="16"/>
              </w:rPr>
              <w:t>1.6:1:1</w:t>
            </w:r>
          </w:p>
        </w:tc>
      </w:tr>
      <w:tr w:rsidR="00A06BC6" w:rsidRPr="00EF7EA3" w:rsidTr="00A06BC6">
        <w:trPr>
          <w:trHeight w:val="255"/>
        </w:trPr>
        <w:tc>
          <w:tcPr>
            <w:tcW w:w="0" w:type="auto"/>
            <w:vMerge/>
            <w:shd w:val="clear" w:color="auto" w:fill="auto"/>
            <w:noWrap/>
            <w:vAlign w:val="bottom"/>
            <w:hideMark/>
          </w:tcPr>
          <w:p w:rsidR="00A06BC6" w:rsidRPr="00EF7EA3" w:rsidRDefault="00A06BC6" w:rsidP="00A06BC6">
            <w:pPr>
              <w:pStyle w:val="table2"/>
              <w:jc w:val="both"/>
              <w:rPr>
                <w:rFonts w:cs="Arial"/>
                <w:lang w:eastAsia="en-AU"/>
              </w:rPr>
            </w:pPr>
          </w:p>
        </w:tc>
        <w:tc>
          <w:tcPr>
            <w:tcW w:w="0" w:type="auto"/>
            <w:vMerge/>
            <w:shd w:val="clear" w:color="auto" w:fill="auto"/>
            <w:noWrap/>
            <w:vAlign w:val="bottom"/>
            <w:hideMark/>
          </w:tcPr>
          <w:p w:rsidR="00A06BC6" w:rsidRPr="00EF7EA3" w:rsidRDefault="00A06BC6" w:rsidP="00A06BC6">
            <w:pPr>
              <w:pStyle w:val="table2"/>
              <w:jc w:val="both"/>
              <w:rPr>
                <w:rFonts w:cs="Arial"/>
                <w:lang w:eastAsia="en-AU"/>
              </w:rPr>
            </w:pPr>
          </w:p>
        </w:tc>
        <w:tc>
          <w:tcPr>
            <w:tcW w:w="0" w:type="auto"/>
            <w:shd w:val="clear" w:color="auto" w:fill="auto"/>
            <w:noWrap/>
            <w:vAlign w:val="bottom"/>
            <w:hideMark/>
          </w:tcPr>
          <w:p w:rsidR="00A06BC6" w:rsidRPr="00EF7EA3" w:rsidRDefault="00A06BC6" w:rsidP="00A06BC6">
            <w:pPr>
              <w:pStyle w:val="table2"/>
              <w:jc w:val="both"/>
              <w:rPr>
                <w:rFonts w:cs="Arial"/>
                <w:lang w:eastAsia="en-AU"/>
              </w:rPr>
            </w:pPr>
            <w:r w:rsidRPr="00EF7EA3">
              <w:rPr>
                <w:rFonts w:cs="Arial"/>
                <w:snapToGrid w:val="0"/>
                <w:color w:val="000000"/>
                <w:position w:val="4"/>
                <w:sz w:val="11"/>
                <w:szCs w:val="0"/>
                <w:u w:color="000000"/>
                <w:lang w:eastAsia="en-AU"/>
              </w:rPr>
              <w:t>226</w:t>
            </w:r>
            <w:r w:rsidRPr="00EF7EA3">
              <w:rPr>
                <w:rFonts w:cs="Arial"/>
                <w:lang w:eastAsia="en-AU"/>
              </w:rPr>
              <w:t>Ra</w:t>
            </w:r>
          </w:p>
        </w:tc>
        <w:tc>
          <w:tcPr>
            <w:tcW w:w="0" w:type="auto"/>
            <w:vAlign w:val="bottom"/>
          </w:tcPr>
          <w:p w:rsidR="00A06BC6" w:rsidRPr="00EF7EA3" w:rsidRDefault="00A06BC6" w:rsidP="00A06BC6">
            <w:pPr>
              <w:pStyle w:val="table2"/>
              <w:jc w:val="both"/>
              <w:rPr>
                <w:rFonts w:cs="Arial"/>
              </w:rPr>
            </w:pPr>
            <w:r w:rsidRPr="00EF7EA3">
              <w:rPr>
                <w:rFonts w:cs="Arial"/>
              </w:rPr>
              <w:t>5.3±0.7</w:t>
            </w:r>
          </w:p>
        </w:tc>
        <w:tc>
          <w:tcPr>
            <w:tcW w:w="0" w:type="auto"/>
            <w:vAlign w:val="bottom"/>
          </w:tcPr>
          <w:p w:rsidR="00A06BC6" w:rsidRPr="00EF7EA3" w:rsidRDefault="00A06BC6" w:rsidP="00A06BC6">
            <w:pPr>
              <w:pStyle w:val="table2"/>
              <w:jc w:val="both"/>
              <w:rPr>
                <w:rFonts w:cs="Arial"/>
              </w:rPr>
            </w:pPr>
            <w:r w:rsidRPr="00EF7EA3">
              <w:rPr>
                <w:rFonts w:cs="Arial"/>
              </w:rPr>
              <w:t>145±5</w:t>
            </w:r>
          </w:p>
        </w:tc>
        <w:tc>
          <w:tcPr>
            <w:tcW w:w="0" w:type="auto"/>
            <w:vAlign w:val="bottom"/>
          </w:tcPr>
          <w:p w:rsidR="00A06BC6" w:rsidRPr="00EF7EA3" w:rsidRDefault="00A06BC6" w:rsidP="00A06BC6">
            <w:pPr>
              <w:pStyle w:val="table2"/>
              <w:jc w:val="both"/>
              <w:rPr>
                <w:rFonts w:cs="Arial"/>
              </w:rPr>
            </w:pPr>
            <w:r w:rsidRPr="00EF7EA3">
              <w:rPr>
                <w:rFonts w:cs="Arial"/>
              </w:rPr>
              <w:t>150±5</w:t>
            </w:r>
          </w:p>
        </w:tc>
        <w:tc>
          <w:tcPr>
            <w:tcW w:w="0" w:type="auto"/>
            <w:vAlign w:val="bottom"/>
          </w:tcPr>
          <w:p w:rsidR="00A06BC6" w:rsidRPr="00EF7EA3" w:rsidRDefault="00A06BC6" w:rsidP="00A06BC6">
            <w:pPr>
              <w:pStyle w:val="table2"/>
              <w:jc w:val="both"/>
              <w:rPr>
                <w:rFonts w:cs="Arial"/>
              </w:rPr>
            </w:pPr>
            <w:r w:rsidRPr="00EF7EA3">
              <w:rPr>
                <w:rFonts w:cs="Arial"/>
              </w:rPr>
              <w:t>1117±39</w:t>
            </w:r>
          </w:p>
        </w:tc>
        <w:tc>
          <w:tcPr>
            <w:tcW w:w="0" w:type="auto"/>
            <w:vMerge/>
            <w:vAlign w:val="bottom"/>
          </w:tcPr>
          <w:p w:rsidR="00A06BC6" w:rsidRPr="00EF7EA3" w:rsidRDefault="00A06BC6" w:rsidP="00A06BC6">
            <w:pPr>
              <w:pStyle w:val="table2"/>
              <w:jc w:val="both"/>
              <w:rPr>
                <w:rFonts w:cs="Arial"/>
                <w:szCs w:val="16"/>
              </w:rPr>
            </w:pPr>
          </w:p>
        </w:tc>
        <w:tc>
          <w:tcPr>
            <w:tcW w:w="1004" w:type="dxa"/>
            <w:vMerge/>
            <w:vAlign w:val="bottom"/>
          </w:tcPr>
          <w:p w:rsidR="00A06BC6" w:rsidRPr="00EF7EA3" w:rsidRDefault="00A06BC6" w:rsidP="00A06BC6">
            <w:pPr>
              <w:pStyle w:val="table2"/>
              <w:jc w:val="both"/>
              <w:rPr>
                <w:rFonts w:cs="Arial"/>
                <w:szCs w:val="16"/>
              </w:rPr>
            </w:pPr>
          </w:p>
        </w:tc>
      </w:tr>
      <w:tr w:rsidR="00A06BC6" w:rsidRPr="00EF7EA3" w:rsidTr="00A06BC6">
        <w:trPr>
          <w:trHeight w:val="255"/>
        </w:trPr>
        <w:tc>
          <w:tcPr>
            <w:tcW w:w="0" w:type="auto"/>
            <w:vMerge/>
            <w:shd w:val="clear" w:color="auto" w:fill="auto"/>
            <w:noWrap/>
            <w:vAlign w:val="bottom"/>
            <w:hideMark/>
          </w:tcPr>
          <w:p w:rsidR="00A06BC6" w:rsidRPr="00EF7EA3" w:rsidRDefault="00A06BC6" w:rsidP="00A06BC6">
            <w:pPr>
              <w:pStyle w:val="table2"/>
              <w:jc w:val="both"/>
              <w:rPr>
                <w:rFonts w:cs="Arial"/>
                <w:lang w:eastAsia="en-AU"/>
              </w:rPr>
            </w:pPr>
          </w:p>
        </w:tc>
        <w:tc>
          <w:tcPr>
            <w:tcW w:w="0" w:type="auto"/>
            <w:vMerge/>
            <w:shd w:val="clear" w:color="auto" w:fill="auto"/>
            <w:noWrap/>
            <w:vAlign w:val="bottom"/>
            <w:hideMark/>
          </w:tcPr>
          <w:p w:rsidR="00A06BC6" w:rsidRPr="00EF7EA3" w:rsidRDefault="00A06BC6" w:rsidP="00A06BC6">
            <w:pPr>
              <w:pStyle w:val="table2"/>
              <w:jc w:val="both"/>
              <w:rPr>
                <w:rFonts w:cs="Arial"/>
                <w:lang w:eastAsia="en-AU"/>
              </w:rPr>
            </w:pPr>
          </w:p>
        </w:tc>
        <w:tc>
          <w:tcPr>
            <w:tcW w:w="0" w:type="auto"/>
            <w:shd w:val="clear" w:color="auto" w:fill="auto"/>
            <w:noWrap/>
            <w:vAlign w:val="bottom"/>
            <w:hideMark/>
          </w:tcPr>
          <w:p w:rsidR="00A06BC6" w:rsidRPr="00EF7EA3" w:rsidRDefault="00A06BC6" w:rsidP="00A06BC6">
            <w:pPr>
              <w:pStyle w:val="table2"/>
              <w:jc w:val="both"/>
              <w:rPr>
                <w:rFonts w:cs="Arial"/>
                <w:lang w:eastAsia="en-AU"/>
              </w:rPr>
            </w:pPr>
            <w:r w:rsidRPr="00EF7EA3">
              <w:rPr>
                <w:rFonts w:cs="Arial"/>
                <w:snapToGrid w:val="0"/>
                <w:color w:val="000000"/>
                <w:position w:val="4"/>
                <w:sz w:val="11"/>
                <w:szCs w:val="0"/>
                <w:u w:color="000000"/>
                <w:lang w:eastAsia="en-AU"/>
              </w:rPr>
              <w:t>210</w:t>
            </w:r>
            <w:r w:rsidRPr="00EF7EA3">
              <w:rPr>
                <w:rFonts w:cs="Arial"/>
                <w:lang w:eastAsia="en-AU"/>
              </w:rPr>
              <w:t>Po</w:t>
            </w:r>
          </w:p>
        </w:tc>
        <w:tc>
          <w:tcPr>
            <w:tcW w:w="0" w:type="auto"/>
            <w:vAlign w:val="bottom"/>
          </w:tcPr>
          <w:p w:rsidR="00A06BC6" w:rsidRPr="00EF7EA3" w:rsidRDefault="00A06BC6" w:rsidP="00A06BC6">
            <w:pPr>
              <w:pStyle w:val="table2"/>
              <w:jc w:val="both"/>
              <w:rPr>
                <w:rFonts w:cs="Arial"/>
              </w:rPr>
            </w:pPr>
            <w:r w:rsidRPr="00EF7EA3">
              <w:rPr>
                <w:rFonts w:cs="Arial"/>
              </w:rPr>
              <w:t>1.7±0.46</w:t>
            </w:r>
          </w:p>
        </w:tc>
        <w:tc>
          <w:tcPr>
            <w:tcW w:w="0" w:type="auto"/>
            <w:vAlign w:val="bottom"/>
          </w:tcPr>
          <w:p w:rsidR="00A06BC6" w:rsidRPr="00EF7EA3" w:rsidRDefault="00A06BC6" w:rsidP="00A06BC6">
            <w:pPr>
              <w:pStyle w:val="table2"/>
              <w:jc w:val="both"/>
              <w:rPr>
                <w:rFonts w:cs="Arial"/>
              </w:rPr>
            </w:pPr>
            <w:r w:rsidRPr="00EF7EA3">
              <w:rPr>
                <w:rFonts w:cs="Arial"/>
              </w:rPr>
              <w:t>144±6</w:t>
            </w:r>
          </w:p>
        </w:tc>
        <w:tc>
          <w:tcPr>
            <w:tcW w:w="0" w:type="auto"/>
            <w:vAlign w:val="bottom"/>
          </w:tcPr>
          <w:p w:rsidR="00A06BC6" w:rsidRPr="00EF7EA3" w:rsidRDefault="00A06BC6" w:rsidP="00A06BC6">
            <w:pPr>
              <w:pStyle w:val="table2"/>
              <w:jc w:val="both"/>
              <w:rPr>
                <w:rFonts w:cs="Arial"/>
              </w:rPr>
            </w:pPr>
            <w:r w:rsidRPr="00EF7EA3">
              <w:rPr>
                <w:rFonts w:cs="Arial"/>
              </w:rPr>
              <w:t>146±6</w:t>
            </w:r>
          </w:p>
        </w:tc>
        <w:tc>
          <w:tcPr>
            <w:tcW w:w="0" w:type="auto"/>
            <w:vAlign w:val="bottom"/>
          </w:tcPr>
          <w:p w:rsidR="00A06BC6" w:rsidRPr="00EF7EA3" w:rsidRDefault="00A06BC6" w:rsidP="00A06BC6">
            <w:pPr>
              <w:pStyle w:val="table2"/>
              <w:jc w:val="both"/>
              <w:rPr>
                <w:rFonts w:cs="Arial"/>
              </w:rPr>
            </w:pPr>
            <w:r w:rsidRPr="00EF7EA3">
              <w:rPr>
                <w:rFonts w:cs="Arial"/>
              </w:rPr>
              <w:t>1113±45</w:t>
            </w:r>
          </w:p>
        </w:tc>
        <w:tc>
          <w:tcPr>
            <w:tcW w:w="0" w:type="auto"/>
            <w:vMerge/>
            <w:vAlign w:val="bottom"/>
          </w:tcPr>
          <w:p w:rsidR="00A06BC6" w:rsidRPr="00EF7EA3" w:rsidRDefault="00A06BC6" w:rsidP="00A06BC6">
            <w:pPr>
              <w:pStyle w:val="table2"/>
              <w:jc w:val="both"/>
              <w:rPr>
                <w:rFonts w:cs="Arial"/>
                <w:szCs w:val="16"/>
              </w:rPr>
            </w:pPr>
          </w:p>
        </w:tc>
        <w:tc>
          <w:tcPr>
            <w:tcW w:w="1004" w:type="dxa"/>
            <w:vMerge/>
            <w:vAlign w:val="bottom"/>
          </w:tcPr>
          <w:p w:rsidR="00A06BC6" w:rsidRPr="00EF7EA3" w:rsidRDefault="00A06BC6" w:rsidP="00A06BC6">
            <w:pPr>
              <w:pStyle w:val="table2"/>
              <w:jc w:val="both"/>
              <w:rPr>
                <w:rFonts w:cs="Arial"/>
                <w:szCs w:val="16"/>
              </w:rPr>
            </w:pPr>
          </w:p>
        </w:tc>
      </w:tr>
    </w:tbl>
    <w:p w:rsidR="00A06BC6" w:rsidRDefault="00A06BC6" w:rsidP="00A06BC6">
      <w:r>
        <w:br/>
      </w:r>
      <w:r w:rsidRPr="002D7BEF">
        <w:t>Using the U</w:t>
      </w:r>
      <w:proofErr w:type="gramStart"/>
      <w:r w:rsidRPr="002D7BEF">
        <w:t>:Ra:Po</w:t>
      </w:r>
      <w:proofErr w:type="gramEnd"/>
      <w:r w:rsidRPr="002D7BEF">
        <w:t xml:space="preserve"> presented above for the dissolved phase in runoff from the waste rock erosion plots</w:t>
      </w:r>
      <w:r>
        <w:t xml:space="preserve"> 1 and 2</w:t>
      </w:r>
      <w:r w:rsidRPr="002D7BEF">
        <w:t xml:space="preserve">, allows </w:t>
      </w:r>
      <w:r>
        <w:t>an</w:t>
      </w:r>
      <w:r w:rsidRPr="002D7BEF">
        <w:t xml:space="preserve"> estimat</w:t>
      </w:r>
      <w:r>
        <w:t>ion of</w:t>
      </w:r>
      <w:r w:rsidRPr="002D7BEF">
        <w:t xml:space="preserve"> the average </w:t>
      </w:r>
      <w:r w:rsidRPr="002D7BEF">
        <w:rPr>
          <w:snapToGrid w:val="0"/>
          <w:color w:val="000000"/>
          <w:position w:val="6"/>
          <w:sz w:val="15"/>
          <w:szCs w:val="15"/>
          <w:u w:color="000000"/>
        </w:rPr>
        <w:t>226</w:t>
      </w:r>
      <w:r w:rsidRPr="002D7BEF">
        <w:t xml:space="preserve">Ra and </w:t>
      </w:r>
      <w:r w:rsidRPr="002D7BEF">
        <w:rPr>
          <w:snapToGrid w:val="0"/>
          <w:color w:val="000000"/>
          <w:position w:val="6"/>
          <w:sz w:val="15"/>
          <w:szCs w:val="15"/>
          <w:u w:color="000000"/>
        </w:rPr>
        <w:t>210</w:t>
      </w:r>
      <w:r w:rsidRPr="002D7BEF">
        <w:t xml:space="preserve">Po activity concentrations in runoff from erosion plot 1, using the average </w:t>
      </w:r>
      <w:r w:rsidRPr="002D7BEF">
        <w:rPr>
          <w:snapToGrid w:val="0"/>
          <w:color w:val="000000"/>
          <w:position w:val="6"/>
          <w:sz w:val="15"/>
          <w:szCs w:val="15"/>
          <w:u w:color="000000"/>
        </w:rPr>
        <w:t>238</w:t>
      </w:r>
      <w:r w:rsidRPr="002D7BEF">
        <w:t>U activity concentrations for the wet se</w:t>
      </w:r>
      <w:r>
        <w:t>asons 2009–10, 2010–11 and 2011–</w:t>
      </w:r>
      <w:r w:rsidRPr="002D7BEF">
        <w:t>12 presented in Saynor et al</w:t>
      </w:r>
      <w:r>
        <w:t>.</w:t>
      </w:r>
      <w:r w:rsidRPr="002D7BEF">
        <w:t xml:space="preserve"> (2013). The</w:t>
      </w:r>
      <w:r>
        <w:t>se average</w:t>
      </w:r>
      <w:r w:rsidRPr="002D7BEF">
        <w:t xml:space="preserve"> activity concentrations amount to 0.9±0.2 mBq L</w:t>
      </w:r>
      <w:r w:rsidRPr="002D7BEF">
        <w:rPr>
          <w:snapToGrid w:val="0"/>
          <w:color w:val="000000"/>
          <w:position w:val="6"/>
          <w:sz w:val="15"/>
          <w:szCs w:val="15"/>
          <w:u w:color="000000"/>
        </w:rPr>
        <w:t>-1</w:t>
      </w:r>
      <w:r w:rsidRPr="002D7BEF">
        <w:t xml:space="preserve"> (2009-10), 0.4±0.1 mBq L</w:t>
      </w:r>
      <w:r w:rsidRPr="002D7BEF">
        <w:rPr>
          <w:snapToGrid w:val="0"/>
          <w:color w:val="000000"/>
          <w:position w:val="6"/>
          <w:sz w:val="15"/>
          <w:szCs w:val="15"/>
          <w:u w:color="000000"/>
        </w:rPr>
        <w:t>-1</w:t>
      </w:r>
      <w:r w:rsidRPr="002D7BEF">
        <w:t xml:space="preserve"> (2010-11) and 0.6±0.1 mBq L</w:t>
      </w:r>
      <w:r w:rsidRPr="002D7BEF">
        <w:rPr>
          <w:snapToGrid w:val="0"/>
          <w:color w:val="000000"/>
          <w:position w:val="6"/>
          <w:sz w:val="15"/>
          <w:szCs w:val="15"/>
          <w:u w:color="000000"/>
        </w:rPr>
        <w:t>-1</w:t>
      </w:r>
      <w:r>
        <w:t xml:space="preserve"> (2011–</w:t>
      </w:r>
      <w:r w:rsidRPr="002D7BEF">
        <w:t xml:space="preserve">12) for </w:t>
      </w:r>
      <w:r w:rsidRPr="002D7BEF">
        <w:rPr>
          <w:snapToGrid w:val="0"/>
          <w:color w:val="000000"/>
          <w:position w:val="6"/>
          <w:sz w:val="15"/>
          <w:szCs w:val="15"/>
          <w:u w:color="000000"/>
        </w:rPr>
        <w:t>210</w:t>
      </w:r>
      <w:r w:rsidRPr="002D7BEF">
        <w:t>Po and 16.0±1.2 mBq L</w:t>
      </w:r>
      <w:r w:rsidRPr="002D7BEF">
        <w:rPr>
          <w:snapToGrid w:val="0"/>
          <w:color w:val="000000"/>
          <w:position w:val="6"/>
          <w:sz w:val="15"/>
          <w:szCs w:val="15"/>
          <w:u w:color="000000"/>
        </w:rPr>
        <w:t>-1</w:t>
      </w:r>
      <w:r w:rsidRPr="002D7BEF">
        <w:t>, 7.5±0.6 mBq L</w:t>
      </w:r>
      <w:r w:rsidRPr="002D7BEF">
        <w:rPr>
          <w:snapToGrid w:val="0"/>
          <w:color w:val="000000"/>
          <w:position w:val="6"/>
          <w:sz w:val="15"/>
          <w:szCs w:val="15"/>
          <w:u w:color="000000"/>
        </w:rPr>
        <w:t>-1</w:t>
      </w:r>
      <w:r>
        <w:t xml:space="preserve"> </w:t>
      </w:r>
      <w:r w:rsidRPr="002D7BEF">
        <w:t>and 10.2±0.8 mBq L</w:t>
      </w:r>
      <w:r w:rsidRPr="002D7BEF">
        <w:rPr>
          <w:snapToGrid w:val="0"/>
          <w:color w:val="000000"/>
          <w:position w:val="6"/>
          <w:sz w:val="15"/>
          <w:szCs w:val="15"/>
          <w:u w:color="000000"/>
        </w:rPr>
        <w:t>-1</w:t>
      </w:r>
      <w:r>
        <w:t xml:space="preserve"> </w:t>
      </w:r>
      <w:r w:rsidRPr="002D7BEF">
        <w:t xml:space="preserve">for </w:t>
      </w:r>
      <w:r w:rsidRPr="002D7BEF">
        <w:rPr>
          <w:snapToGrid w:val="0"/>
          <w:color w:val="000000"/>
          <w:position w:val="6"/>
          <w:sz w:val="15"/>
          <w:szCs w:val="15"/>
          <w:u w:color="000000"/>
        </w:rPr>
        <w:t>226</w:t>
      </w:r>
      <w:r w:rsidRPr="002D7BEF">
        <w:t xml:space="preserve">Ra. </w:t>
      </w:r>
    </w:p>
    <w:p w:rsidR="00A06BC6" w:rsidRDefault="00A06BC6" w:rsidP="00A06BC6">
      <w:pPr>
        <w:pStyle w:val="Heading3"/>
        <w:rPr>
          <w:lang w:val="en-US"/>
        </w:rPr>
      </w:pPr>
      <w:r w:rsidRPr="00F776F2">
        <w:rPr>
          <w:lang w:val="en-US"/>
        </w:rPr>
        <w:t>Steps for completion</w:t>
      </w:r>
    </w:p>
    <w:p w:rsidR="00A06BC6" w:rsidRPr="00B82F64" w:rsidRDefault="00A06BC6" w:rsidP="00A06BC6">
      <w:pPr>
        <w:rPr>
          <w:lang w:val="en-US"/>
        </w:rPr>
      </w:pPr>
      <w:r>
        <w:rPr>
          <w:lang w:val="en-US"/>
        </w:rPr>
        <w:t xml:space="preserve">Six additional samples for the three wet seasons have been analysed via ICP-MS but results were not available at the end of the 2013–14 reporting period. A future report will include these data. Additional measurements will be conducted in event-triggered samples collected  from erosion plot 1 in the 2014-15 wet season to determine whether the ratio of U:Ra:Po in the dissolved fraction has changed or can be used to estimate average </w:t>
      </w:r>
      <w:r w:rsidRPr="00B82F64">
        <w:rPr>
          <w:snapToGrid w:val="0"/>
          <w:color w:val="000000"/>
          <w:position w:val="5"/>
          <w:sz w:val="15"/>
          <w:szCs w:val="0"/>
          <w:u w:color="000000"/>
          <w:lang w:val="en-US"/>
        </w:rPr>
        <w:t>226</w:t>
      </w:r>
      <w:r>
        <w:rPr>
          <w:lang w:val="en-US"/>
        </w:rPr>
        <w:t xml:space="preserve">Ra and </w:t>
      </w:r>
      <w:r w:rsidRPr="00B82F64">
        <w:rPr>
          <w:snapToGrid w:val="0"/>
          <w:color w:val="000000"/>
          <w:position w:val="5"/>
          <w:sz w:val="15"/>
          <w:szCs w:val="0"/>
          <w:u w:color="000000"/>
          <w:lang w:val="en-US"/>
        </w:rPr>
        <w:t>210</w:t>
      </w:r>
      <w:r>
        <w:rPr>
          <w:lang w:val="en-US"/>
        </w:rPr>
        <w:t>Po activity concentrations from dissolved U in the runoff water samples.</w:t>
      </w:r>
    </w:p>
    <w:p w:rsidR="00A06BC6" w:rsidRPr="00F776F2" w:rsidRDefault="00A06BC6" w:rsidP="00A06BC6">
      <w:pPr>
        <w:pStyle w:val="Heading2"/>
      </w:pPr>
      <w:r w:rsidRPr="00F776F2">
        <w:t>References</w:t>
      </w:r>
    </w:p>
    <w:p w:rsidR="00A06BC6" w:rsidRPr="00505618" w:rsidRDefault="00A06BC6" w:rsidP="00A06BC6">
      <w:pPr>
        <w:pStyle w:val="referencelist1"/>
      </w:pPr>
      <w:r w:rsidRPr="00505618">
        <w:t>Bollhöfer A, Brazier J, Ryan</w:t>
      </w:r>
      <w:r>
        <w:t xml:space="preserve"> B, Humphrey C &amp; Esparon A</w:t>
      </w:r>
      <w:r w:rsidRPr="00505618">
        <w:t xml:space="preserve"> 2011. </w:t>
      </w:r>
      <w:proofErr w:type="gramStart"/>
      <w:r w:rsidRPr="00505618">
        <w:t>A study of radium bioaccumulation in freshwater mussels, Velesunio angasi, in the Magela Creek catchment, Northern Territory, Australia.</w:t>
      </w:r>
      <w:proofErr w:type="gramEnd"/>
      <w:r>
        <w:t xml:space="preserve"> </w:t>
      </w:r>
      <w:r w:rsidRPr="00296236">
        <w:rPr>
          <w:i/>
        </w:rPr>
        <w:t xml:space="preserve">J. Environ. </w:t>
      </w:r>
      <w:proofErr w:type="gramStart"/>
      <w:r w:rsidRPr="00296236">
        <w:rPr>
          <w:i/>
        </w:rPr>
        <w:t>Radioact.</w:t>
      </w:r>
      <w:proofErr w:type="gramEnd"/>
      <w:r>
        <w:t xml:space="preserve"> 102, 964–</w:t>
      </w:r>
      <w:r w:rsidRPr="00505618">
        <w:t>974.</w:t>
      </w:r>
    </w:p>
    <w:p w:rsidR="00A06BC6" w:rsidRPr="00505618" w:rsidRDefault="00A06BC6" w:rsidP="00A06BC6">
      <w:pPr>
        <w:pStyle w:val="referencelist1"/>
      </w:pPr>
      <w:proofErr w:type="gramStart"/>
      <w:r>
        <w:t>Bollhöfer A, Doering C &amp;</w:t>
      </w:r>
      <w:r w:rsidRPr="00505618">
        <w:t xml:space="preserve"> Akber R 2013.</w:t>
      </w:r>
      <w:proofErr w:type="gramEnd"/>
      <w:r w:rsidRPr="00505618">
        <w:t xml:space="preserve"> </w:t>
      </w:r>
      <w:proofErr w:type="gramStart"/>
      <w:r w:rsidRPr="00505618">
        <w:t>Radon exhalation from a rehabilitated landform.</w:t>
      </w:r>
      <w:proofErr w:type="gramEnd"/>
      <w:r>
        <w:t xml:space="preserve"> </w:t>
      </w:r>
      <w:proofErr w:type="gramStart"/>
      <w:r w:rsidRPr="00505618">
        <w:t xml:space="preserve">In </w:t>
      </w:r>
      <w:r w:rsidRPr="004E6332">
        <w:rPr>
          <w:rFonts w:ascii="Times New Roman" w:hAnsi="Times New Roman"/>
          <w:b/>
          <w:i/>
          <w:iCs/>
          <w:sz w:val="26"/>
        </w:rPr>
        <w:t>eriss</w:t>
      </w:r>
      <w:r w:rsidRPr="00505618">
        <w:t xml:space="preserve"> </w:t>
      </w:r>
      <w:r w:rsidRPr="00761FE9">
        <w:rPr>
          <w:i/>
        </w:rPr>
        <w:t>research summary 2012–2013</w:t>
      </w:r>
      <w:r w:rsidRPr="00505618">
        <w:t>.</w:t>
      </w:r>
      <w:proofErr w:type="gramEnd"/>
      <w:r w:rsidRPr="00505618">
        <w:t xml:space="preserve"> Supervising Scientist Report 205, Supervising Scientist, Darwin NT,</w:t>
      </w:r>
      <w:r w:rsidR="00BA2549">
        <w:t xml:space="preserve"> </w:t>
      </w:r>
      <w:r>
        <w:t>pp</w:t>
      </w:r>
      <w:r w:rsidRPr="00505618">
        <w:t xml:space="preserve"> 146–153.</w:t>
      </w:r>
    </w:p>
    <w:p w:rsidR="00A06BC6" w:rsidRPr="00505618" w:rsidRDefault="00A06BC6" w:rsidP="00A06BC6">
      <w:pPr>
        <w:pStyle w:val="referencelist1"/>
      </w:pPr>
      <w:proofErr w:type="gramStart"/>
      <w:r w:rsidRPr="00505618">
        <w:t>Saynor MJ, Evans KG &amp; Lu P 2009.</w:t>
      </w:r>
      <w:proofErr w:type="gramEnd"/>
      <w:r w:rsidRPr="00505618">
        <w:t xml:space="preserve"> </w:t>
      </w:r>
      <w:proofErr w:type="gramStart"/>
      <w:r w:rsidRPr="00D85CCB">
        <w:t>Monitoring of erosion and solute loads from the Ranger trial landform</w:t>
      </w:r>
      <w:r w:rsidRPr="00505618">
        <w:t>.</w:t>
      </w:r>
      <w:proofErr w:type="gramEnd"/>
      <w:r>
        <w:t xml:space="preserve"> In </w:t>
      </w:r>
      <w:r w:rsidRPr="00505618">
        <w:t>Jones DR &amp; Webb A</w:t>
      </w:r>
      <w:r>
        <w:t xml:space="preserve"> (eds),</w:t>
      </w:r>
      <w:r w:rsidRPr="00505618">
        <w:t xml:space="preserve"> </w:t>
      </w:r>
      <w:r w:rsidRPr="004E6332">
        <w:rPr>
          <w:rFonts w:ascii="Times New Roman" w:hAnsi="Times New Roman"/>
          <w:b/>
          <w:i/>
          <w:iCs/>
          <w:sz w:val="26"/>
        </w:rPr>
        <w:t>eriss</w:t>
      </w:r>
      <w:r w:rsidRPr="00296236">
        <w:rPr>
          <w:i/>
        </w:rPr>
        <w:t xml:space="preserve"> research </w:t>
      </w:r>
      <w:proofErr w:type="gramStart"/>
      <w:r w:rsidRPr="00296236">
        <w:rPr>
          <w:i/>
        </w:rPr>
        <w:t>summary</w:t>
      </w:r>
      <w:r w:rsidRPr="00505618">
        <w:t xml:space="preserve"> </w:t>
      </w:r>
      <w:r>
        <w:t xml:space="preserve"> 2008</w:t>
      </w:r>
      <w:proofErr w:type="gramEnd"/>
      <w:r>
        <w:t xml:space="preserve">–2009. </w:t>
      </w:r>
      <w:r w:rsidRPr="00505618">
        <w:t>Supervising Scientist Report 200, S</w:t>
      </w:r>
      <w:r>
        <w:t>upervising Scientist, Darwin NT, pp</w:t>
      </w:r>
      <w:r w:rsidRPr="00505618">
        <w:t xml:space="preserve"> </w:t>
      </w:r>
      <w:r>
        <w:t>86</w:t>
      </w:r>
      <w:r w:rsidRPr="00505618">
        <w:t>–</w:t>
      </w:r>
      <w:r>
        <w:t>94</w:t>
      </w:r>
      <w:r w:rsidRPr="00505618">
        <w:t>.</w:t>
      </w:r>
    </w:p>
    <w:p w:rsidR="00A06BC6" w:rsidRDefault="00A06BC6" w:rsidP="00A06BC6">
      <w:pPr>
        <w:pStyle w:val="referencelist1"/>
      </w:pPr>
      <w:r w:rsidRPr="00505618">
        <w:t xml:space="preserve">Saynor MJ, </w:t>
      </w:r>
      <w:r>
        <w:t xml:space="preserve">Turner K, Taylor J &amp; </w:t>
      </w:r>
      <w:r w:rsidRPr="00505618">
        <w:t>Houghton R</w:t>
      </w:r>
      <w:r w:rsidRPr="00D85CCB">
        <w:t xml:space="preserve"> 2011. Effects of magnesium pulse</w:t>
      </w:r>
      <w:r>
        <w:t xml:space="preserve"> </w:t>
      </w:r>
      <w:r w:rsidRPr="00D85CCB">
        <w:t>exposures on aquatic organisms. In Jones DR &amp;</w:t>
      </w:r>
      <w:r>
        <w:t xml:space="preserve"> Webb A (</w:t>
      </w:r>
      <w:proofErr w:type="gramStart"/>
      <w:r w:rsidRPr="00D85CCB">
        <w:t>eds</w:t>
      </w:r>
      <w:proofErr w:type="gramEnd"/>
      <w:r>
        <w:t>)</w:t>
      </w:r>
      <w:r w:rsidRPr="00D85CCB">
        <w:t xml:space="preserve"> </w:t>
      </w:r>
      <w:r w:rsidRPr="004E6332">
        <w:rPr>
          <w:rFonts w:ascii="Times New Roman" w:hAnsi="Times New Roman"/>
          <w:b/>
          <w:i/>
          <w:iCs/>
          <w:sz w:val="26"/>
        </w:rPr>
        <w:t>eriss</w:t>
      </w:r>
      <w:r w:rsidRPr="00D85CCB">
        <w:t xml:space="preserve"> </w:t>
      </w:r>
      <w:r w:rsidRPr="00F723EA">
        <w:rPr>
          <w:i/>
        </w:rPr>
        <w:t>research summary 2009–2010</w:t>
      </w:r>
      <w:r w:rsidRPr="00D85CCB">
        <w:t>.Supervising Scientist Report 202, Supervising Scientist, Darwin NT,</w:t>
      </w:r>
      <w:r w:rsidR="00BA2549">
        <w:t xml:space="preserve"> </w:t>
      </w:r>
      <w:r>
        <w:t>pp</w:t>
      </w:r>
      <w:r w:rsidRPr="00D85CCB">
        <w:t xml:space="preserve"> 24–27.</w:t>
      </w:r>
    </w:p>
    <w:p w:rsidR="00A06BC6" w:rsidRPr="00505618" w:rsidRDefault="00A06BC6" w:rsidP="00A06BC6">
      <w:pPr>
        <w:pStyle w:val="referencelist1"/>
      </w:pPr>
      <w:r w:rsidRPr="00505618">
        <w:t xml:space="preserve">Saynor MJ, Taylor J, Houghton R, Erskine WD &amp; Jones DR 2012. </w:t>
      </w:r>
      <w:proofErr w:type="gramStart"/>
      <w:r w:rsidRPr="00505618">
        <w:t>Revegetation trial demonstration landform – erosion and chemistry studi</w:t>
      </w:r>
      <w:r>
        <w:t>es.</w:t>
      </w:r>
      <w:proofErr w:type="gramEnd"/>
      <w:r>
        <w:t xml:space="preserve"> In:</w:t>
      </w:r>
      <w:r w:rsidRPr="00505618">
        <w:t>Jones DR &amp; Webb A</w:t>
      </w:r>
      <w:r>
        <w:t xml:space="preserve"> (eds), </w:t>
      </w:r>
      <w:r w:rsidRPr="004E6332">
        <w:rPr>
          <w:rFonts w:ascii="Times New Roman" w:hAnsi="Times New Roman"/>
          <w:b/>
          <w:i/>
          <w:iCs/>
          <w:sz w:val="26"/>
        </w:rPr>
        <w:t>eriss</w:t>
      </w:r>
      <w:r w:rsidRPr="00296236">
        <w:rPr>
          <w:i/>
        </w:rPr>
        <w:t xml:space="preserve"> research summary</w:t>
      </w:r>
      <w:r w:rsidRPr="00505618">
        <w:t xml:space="preserve"> </w:t>
      </w:r>
      <w:r w:rsidRPr="00F723EA">
        <w:rPr>
          <w:i/>
        </w:rPr>
        <w:t>2010–2011</w:t>
      </w:r>
      <w:r w:rsidRPr="00505618">
        <w:t xml:space="preserve">, Supervising Scientist Report 203, Supervising Scientist, Darwin NT, </w:t>
      </w:r>
      <w:r>
        <w:t xml:space="preserve">pp </w:t>
      </w:r>
      <w:r w:rsidRPr="00505618">
        <w:t>108–114.</w:t>
      </w:r>
    </w:p>
    <w:p w:rsidR="00A06BC6" w:rsidRPr="00505618" w:rsidRDefault="00A06BC6" w:rsidP="00A06BC6">
      <w:pPr>
        <w:pStyle w:val="referencelist1"/>
      </w:pPr>
      <w:proofErr w:type="gramStart"/>
      <w:r>
        <w:t xml:space="preserve">Saynor M, Turner K &amp; </w:t>
      </w:r>
      <w:r w:rsidRPr="00505618">
        <w:t>Erskine W 2013.</w:t>
      </w:r>
      <w:proofErr w:type="gramEnd"/>
      <w:r w:rsidRPr="00505618">
        <w:t xml:space="preserve"> </w:t>
      </w:r>
      <w:proofErr w:type="gramStart"/>
      <w:r w:rsidRPr="00505618">
        <w:t>Solute and sediment losses from the trial landform.</w:t>
      </w:r>
      <w:proofErr w:type="gramEnd"/>
      <w:r w:rsidRPr="00505618">
        <w:t xml:space="preserve"> </w:t>
      </w:r>
      <w:proofErr w:type="gramStart"/>
      <w:r w:rsidRPr="00505618">
        <w:t xml:space="preserve">In </w:t>
      </w:r>
      <w:r w:rsidRPr="004E6332">
        <w:rPr>
          <w:rFonts w:ascii="Times New Roman" w:hAnsi="Times New Roman"/>
          <w:b/>
          <w:i/>
          <w:iCs/>
          <w:sz w:val="26"/>
        </w:rPr>
        <w:t xml:space="preserve">eriss </w:t>
      </w:r>
      <w:r w:rsidRPr="00296236">
        <w:rPr>
          <w:i/>
        </w:rPr>
        <w:t>research summary 2012–2013</w:t>
      </w:r>
      <w:r w:rsidRPr="00505618">
        <w:t>.</w:t>
      </w:r>
      <w:proofErr w:type="gramEnd"/>
      <w:r w:rsidRPr="00505618">
        <w:t xml:space="preserve"> Supervising Scientist Report 205, Supervising Scientist, Darwin NT, 119–132.</w:t>
      </w:r>
    </w:p>
    <w:p w:rsidR="00A06BC6" w:rsidRPr="00505618" w:rsidRDefault="00A06BC6" w:rsidP="00A06BC6">
      <w:pPr>
        <w:pStyle w:val="referencelist1"/>
      </w:pPr>
      <w:proofErr w:type="gramStart"/>
      <w:r w:rsidRPr="00505618">
        <w:t>Supervising Sci</w:t>
      </w:r>
      <w:r>
        <w:t>entist 2013.</w:t>
      </w:r>
      <w:proofErr w:type="gramEnd"/>
      <w:r>
        <w:t xml:space="preserve"> Annual Report 2012–</w:t>
      </w:r>
      <w:r w:rsidRPr="00505618">
        <w:t xml:space="preserve">13. </w:t>
      </w:r>
      <w:proofErr w:type="gramStart"/>
      <w:r w:rsidRPr="00505618">
        <w:t>Supervising Scientist, Darwin.</w:t>
      </w:r>
      <w:proofErr w:type="gramEnd"/>
    </w:p>
    <w:p w:rsidR="00605448" w:rsidRDefault="00605448" w:rsidP="008F3FE2">
      <w:pPr>
        <w:spacing w:after="0" w:line="240" w:lineRule="auto"/>
        <w:sectPr w:rsidR="00605448" w:rsidSect="00224F8A">
          <w:footnotePr>
            <w:numRestart w:val="eachPage"/>
          </w:footnotePr>
          <w:pgSz w:w="11906" w:h="16838" w:code="9"/>
          <w:pgMar w:top="1440" w:right="1440" w:bottom="1440" w:left="1440" w:header="1080" w:footer="835" w:gutter="0"/>
          <w:cols w:space="360"/>
          <w:noEndnote/>
          <w:docGrid w:linePitch="299"/>
        </w:sectPr>
      </w:pPr>
    </w:p>
    <w:p w:rsidR="005E6FBD" w:rsidRDefault="005E6FBD" w:rsidP="005E6FBD">
      <w:pPr>
        <w:pStyle w:val="Heading1"/>
      </w:pPr>
      <w:bookmarkStart w:id="228" w:name="_Toc370812594"/>
      <w:bookmarkStart w:id="229" w:name="_Toc372540209"/>
      <w:bookmarkStart w:id="230" w:name="_Toc256430849"/>
    </w:p>
    <w:p w:rsidR="005E6FBD" w:rsidRDefault="005E6FBD" w:rsidP="005E6FBD">
      <w:pPr>
        <w:pStyle w:val="Heading1"/>
      </w:pPr>
    </w:p>
    <w:p w:rsidR="005E6FBD" w:rsidRDefault="005E6FBD" w:rsidP="005E6FBD">
      <w:pPr>
        <w:pStyle w:val="Heading1"/>
      </w:pPr>
    </w:p>
    <w:p w:rsidR="005E6FBD" w:rsidRDefault="005E6FBD" w:rsidP="005E6FBD">
      <w:pPr>
        <w:pStyle w:val="Heading1"/>
      </w:pPr>
    </w:p>
    <w:p w:rsidR="005E6FBD" w:rsidRDefault="005E6FBD" w:rsidP="005E6FBD">
      <w:pPr>
        <w:pStyle w:val="Heading1"/>
      </w:pPr>
    </w:p>
    <w:p w:rsidR="005E6FBD" w:rsidRDefault="0042639C" w:rsidP="005E6FBD">
      <w:pPr>
        <w:pStyle w:val="Heading1"/>
        <w:sectPr w:rsidR="005E6FBD" w:rsidSect="00224F8A">
          <w:headerReference w:type="default" r:id="rId192"/>
          <w:pgSz w:w="11906" w:h="16838" w:code="9"/>
          <w:pgMar w:top="1440" w:right="1440" w:bottom="1440" w:left="1440" w:header="1080" w:footer="835" w:gutter="0"/>
          <w:cols w:space="360"/>
          <w:noEndnote/>
          <w:docGrid w:linePitch="299"/>
        </w:sectPr>
      </w:pPr>
      <w:bookmarkStart w:id="231" w:name="_Toc409772819"/>
      <w:bookmarkStart w:id="232" w:name="_Toc418172718"/>
      <w:r>
        <w:t xml:space="preserve">Key Knowledge Need </w:t>
      </w:r>
      <w:r w:rsidR="000D71CB">
        <w:t>2.5</w:t>
      </w:r>
      <w:r>
        <w:t>:</w:t>
      </w:r>
      <w:r w:rsidR="005E6FBD">
        <w:t xml:space="preserve"> Ecosystem establishment</w:t>
      </w:r>
      <w:bookmarkEnd w:id="231"/>
      <w:bookmarkEnd w:id="232"/>
    </w:p>
    <w:p w:rsidR="00A05829" w:rsidRDefault="00A05829" w:rsidP="005E6FBD">
      <w:pPr>
        <w:pStyle w:val="Heading1"/>
      </w:pPr>
      <w:bookmarkStart w:id="233" w:name="_Toc401910195"/>
      <w:bookmarkStart w:id="234" w:name="_Toc409772820"/>
      <w:bookmarkStart w:id="235" w:name="_Toc418172719"/>
      <w:bookmarkEnd w:id="228"/>
      <w:bookmarkEnd w:id="229"/>
      <w:bookmarkEnd w:id="230"/>
      <w:r>
        <w:t>Developing water quality closure criteria for Ranger billabongs using macroinvertebrate community data</w:t>
      </w:r>
      <w:bookmarkEnd w:id="233"/>
      <w:bookmarkEnd w:id="234"/>
      <w:bookmarkEnd w:id="235"/>
    </w:p>
    <w:p w:rsidR="005E6FBD" w:rsidRPr="005E6FBD" w:rsidRDefault="00F938F2" w:rsidP="00EF4C0F">
      <w:pPr>
        <w:pStyle w:val="Heading3"/>
        <w:spacing w:after="480"/>
        <w:jc w:val="center"/>
      </w:pPr>
      <w:r>
        <w:t>C</w:t>
      </w:r>
      <w:r w:rsidR="00E154E1">
        <w:t xml:space="preserve"> Humphrey &amp; L Chandler</w:t>
      </w:r>
    </w:p>
    <w:p w:rsidR="00A05829" w:rsidRDefault="00A05829" w:rsidP="00E8531D">
      <w:pPr>
        <w:pStyle w:val="Heading2"/>
      </w:pPr>
      <w:r>
        <w:t>Background and progress to date</w:t>
      </w:r>
    </w:p>
    <w:p w:rsidR="00BC0372" w:rsidRDefault="00BC0372" w:rsidP="00BC0372">
      <w:pPr>
        <w:rPr>
          <w:lang w:eastAsia="en-AU"/>
        </w:rPr>
      </w:pPr>
      <w:r w:rsidRPr="003023E3">
        <w:rPr>
          <w:lang w:eastAsia="en-AU"/>
        </w:rPr>
        <w:t xml:space="preserve">A key component of rehabilitation and closure planning for Ranger is the development of closure criteria. </w:t>
      </w:r>
      <w:r>
        <w:rPr>
          <w:lang w:eastAsia="en-AU"/>
        </w:rPr>
        <w:t>These</w:t>
      </w:r>
      <w:r w:rsidRPr="003023E3">
        <w:rPr>
          <w:lang w:eastAsia="en-AU"/>
        </w:rPr>
        <w:t xml:space="preserve"> measurable and quantifiable benchmark</w:t>
      </w:r>
      <w:r>
        <w:rPr>
          <w:lang w:eastAsia="en-AU"/>
        </w:rPr>
        <w:t xml:space="preserve">s are the </w:t>
      </w:r>
      <w:r w:rsidRPr="003023E3">
        <w:rPr>
          <w:lang w:eastAsia="en-AU"/>
        </w:rPr>
        <w:t>target</w:t>
      </w:r>
      <w:r>
        <w:rPr>
          <w:lang w:eastAsia="en-AU"/>
        </w:rPr>
        <w:t>s</w:t>
      </w:r>
      <w:r w:rsidRPr="003023E3">
        <w:rPr>
          <w:lang w:eastAsia="en-AU"/>
        </w:rPr>
        <w:t xml:space="preserve"> against which the long term success and sustainability of rehabilitation will be measured</w:t>
      </w:r>
      <w:r>
        <w:rPr>
          <w:lang w:eastAsia="en-AU"/>
        </w:rPr>
        <w:t>. They will</w:t>
      </w:r>
      <w:r w:rsidRPr="003023E3">
        <w:rPr>
          <w:lang w:eastAsia="en-AU"/>
        </w:rPr>
        <w:t xml:space="preserve"> </w:t>
      </w:r>
      <w:r>
        <w:rPr>
          <w:lang w:eastAsia="en-AU"/>
        </w:rPr>
        <w:t>serve</w:t>
      </w:r>
      <w:r w:rsidRPr="003023E3">
        <w:rPr>
          <w:lang w:eastAsia="en-AU"/>
        </w:rPr>
        <w:t xml:space="preserve"> as the basis for issuing of a close-out certificate (</w:t>
      </w:r>
      <w:r>
        <w:rPr>
          <w:lang w:eastAsia="en-AU"/>
        </w:rPr>
        <w:t>ERA 2014</w:t>
      </w:r>
      <w:r w:rsidRPr="003023E3">
        <w:rPr>
          <w:lang w:eastAsia="en-AU"/>
        </w:rPr>
        <w:t>).</w:t>
      </w:r>
    </w:p>
    <w:p w:rsidR="00BC0372" w:rsidRDefault="00BC0372" w:rsidP="00BC0372">
      <w:r w:rsidRPr="003D1032">
        <w:rPr>
          <w:lang w:eastAsia="en-AU"/>
        </w:rPr>
        <w:t xml:space="preserve">For key water quality variables, closure criteria for receiving water environments are being developed using local laboratory toxicity and field biological effects information. </w:t>
      </w:r>
      <w:proofErr w:type="gramStart"/>
      <w:r w:rsidRPr="003D1032">
        <w:rPr>
          <w:lang w:eastAsia="en-AU"/>
        </w:rPr>
        <w:t>A field-effects</w:t>
      </w:r>
      <w:proofErr w:type="gramEnd"/>
      <w:r>
        <w:rPr>
          <w:lang w:eastAsia="en-AU"/>
        </w:rPr>
        <w:t xml:space="preserve"> </w:t>
      </w:r>
      <w:r w:rsidRPr="003D1032">
        <w:rPr>
          <w:lang w:eastAsia="en-AU"/>
        </w:rPr>
        <w:t xml:space="preserve">based approach for </w:t>
      </w:r>
      <w:r w:rsidRPr="003D1032">
        <w:t>developing criteria for</w:t>
      </w:r>
      <w:r>
        <w:t xml:space="preserve"> magnesium sulfate (</w:t>
      </w:r>
      <w:r w:rsidRPr="003D1032">
        <w:t>MgSO</w:t>
      </w:r>
      <w:r w:rsidRPr="003D1032">
        <w:rPr>
          <w:snapToGrid w:val="0"/>
          <w:position w:val="-5"/>
          <w:sz w:val="13"/>
          <w:szCs w:val="13"/>
          <w:u w:color="000000"/>
        </w:rPr>
        <w:t>4</w:t>
      </w:r>
      <w:r>
        <w:t>), electrical conductivity (E</w:t>
      </w:r>
      <w:r w:rsidRPr="003D1032">
        <w:t>C</w:t>
      </w:r>
      <w:r>
        <w:t>,</w:t>
      </w:r>
      <w:r w:rsidRPr="003D1032">
        <w:t xml:space="preserve"> a reliable surrogate and correlate of MgSO</w:t>
      </w:r>
      <w:r w:rsidRPr="003D1032">
        <w:rPr>
          <w:snapToGrid w:val="0"/>
          <w:position w:val="-5"/>
          <w:sz w:val="13"/>
          <w:szCs w:val="13"/>
          <w:u w:color="000000"/>
        </w:rPr>
        <w:t>4</w:t>
      </w:r>
      <w:r w:rsidRPr="003D1032">
        <w:t xml:space="preserve">) and </w:t>
      </w:r>
      <w:r>
        <w:t>uranium (U)</w:t>
      </w:r>
      <w:r w:rsidRPr="003D1032">
        <w:t>, for waterbodies within and outside of the Ranger Pro</w:t>
      </w:r>
      <w:r>
        <w:t>j</w:t>
      </w:r>
      <w:r w:rsidRPr="003D1032">
        <w:t xml:space="preserve">ect Area (RPA), has been underway since 2005. </w:t>
      </w:r>
      <w:r>
        <w:t xml:space="preserve">The responses of macroinvertebrate communities </w:t>
      </w:r>
      <w:r w:rsidRPr="003D1032">
        <w:t>in Georgetown Billabong (GTB)</w:t>
      </w:r>
      <w:r>
        <w:t xml:space="preserve"> are being used as a</w:t>
      </w:r>
      <w:r w:rsidRPr="003D1032">
        <w:t xml:space="preserve"> basis for </w:t>
      </w:r>
      <w:r>
        <w:t>closure criteria development. Specifically, there are periods of the water quality record in GTB where</w:t>
      </w:r>
      <w:r w:rsidRPr="001F4DDD">
        <w:t xml:space="preserve"> the biological condition of the billabong, as measured by macroinvertebrate community diversity and abundance, is similar to reference</w:t>
      </w:r>
      <w:r>
        <w:t>,</w:t>
      </w:r>
      <w:r w:rsidRPr="001F4DDD">
        <w:t xml:space="preserve"> </w:t>
      </w:r>
      <w:r>
        <w:t>yet water quality is mine-influenced. Suitable characterisation of the altered</w:t>
      </w:r>
      <w:r w:rsidRPr="001F4DDD">
        <w:t xml:space="preserve"> water quality support</w:t>
      </w:r>
      <w:r>
        <w:t>ing this</w:t>
      </w:r>
      <w:r w:rsidRPr="001F4DDD">
        <w:t xml:space="preserve"> ecological condition over time</w:t>
      </w:r>
      <w:r>
        <w:t xml:space="preserve"> can be used to derive closure criteria</w:t>
      </w:r>
      <w:r w:rsidRPr="001F4DDD">
        <w:t>, in accordance with the principles applied in ANZECC &amp; ARMCANZ (2000).</w:t>
      </w:r>
    </w:p>
    <w:p w:rsidR="00BC0372" w:rsidRPr="00966130" w:rsidRDefault="00BC0372" w:rsidP="00BC0372">
      <w:r>
        <w:t>Sampling of macroinvertebrate communities in GTB in 2011 showed, for the first time, significant adverse changes in communities relative to reference waterbodies</w:t>
      </w:r>
      <w:r w:rsidR="00B0066D">
        <w:rPr>
          <w:rStyle w:val="FootnoteReference"/>
        </w:rPr>
        <w:footnoteReference w:id="13"/>
      </w:r>
      <w:r>
        <w:t>, associated with a decline in water quality (due to an increase in MgSO</w:t>
      </w:r>
      <w:r w:rsidRPr="0029146B">
        <w:rPr>
          <w:vertAlign w:val="subscript"/>
        </w:rPr>
        <w:t>4</w:t>
      </w:r>
      <w:r>
        <w:t xml:space="preserve"> concentrations) that had been underway since 2006 (Humphrey et al. 2013). This observation, if confirmed, provides a threshold of biological change across a water quality disturbance gradient. Such a threshold provides an additional, potentially complementary, approach for closure criteria setting, i.e. one that is no longer constrained to water quality ranges supporting ‘no biological effects’.</w:t>
      </w:r>
      <w:r w:rsidRPr="005A431E">
        <w:t xml:space="preserve"> </w:t>
      </w:r>
      <w:r>
        <w:t xml:space="preserve">Information about a contaminant-effect concentration may enhance options for developing closure </w:t>
      </w:r>
      <w:r w:rsidRPr="00966130">
        <w:t>criteria for waterbodies within and outside of the RPA, where the Environmental Requirements (ERs) are framed differently. Within the RPA, which includes GTB and Coon</w:t>
      </w:r>
      <w:r>
        <w:t>j</w:t>
      </w:r>
      <w:r w:rsidRPr="00966130">
        <w:t>imba Billabong</w:t>
      </w:r>
      <w:r>
        <w:t xml:space="preserve"> (CJB)</w:t>
      </w:r>
      <w:r w:rsidRPr="00966130">
        <w:t xml:space="preserve">, </w:t>
      </w:r>
      <w:r>
        <w:t xml:space="preserve">the ERs state that </w:t>
      </w:r>
      <w:r w:rsidRPr="00966130">
        <w:t xml:space="preserve">impacts must remain “as low as reasonably achievable” during and after mining, whereas outside of the RPA, rehabilitation goals are directed at ensuring ecosystem condition is consistent </w:t>
      </w:r>
      <w:r>
        <w:t xml:space="preserve">with </w:t>
      </w:r>
      <w:r w:rsidRPr="00966130">
        <w:t>similar sites in Kaka</w:t>
      </w:r>
      <w:r>
        <w:t>du</w:t>
      </w:r>
      <w:r w:rsidRPr="00966130">
        <w:t xml:space="preserve"> National Park </w:t>
      </w:r>
      <w:r w:rsidRPr="00966130">
        <w:rPr>
          <w:lang w:eastAsia="en-AU"/>
        </w:rPr>
        <w:t>(</w:t>
      </w:r>
      <w:r>
        <w:rPr>
          <w:lang w:eastAsia="en-AU"/>
        </w:rPr>
        <w:t>ERA 2014</w:t>
      </w:r>
      <w:r w:rsidRPr="00966130">
        <w:rPr>
          <w:lang w:eastAsia="en-AU"/>
        </w:rPr>
        <w:t>).</w:t>
      </w:r>
    </w:p>
    <w:p w:rsidR="00BC0372" w:rsidRDefault="00BC0372" w:rsidP="00BC0372">
      <w:r w:rsidRPr="00D415BD">
        <w:t xml:space="preserve">In response to 2011 results in GTB, sampling was repeated </w:t>
      </w:r>
      <w:r w:rsidRPr="00D415BD">
        <w:rPr>
          <w:spacing w:val="-2"/>
        </w:rPr>
        <w:t>during the wet-dry season transition period (between April and May) of</w:t>
      </w:r>
      <w:r w:rsidRPr="00D415BD">
        <w:t xml:space="preserve"> 2013 in the same 1</w:t>
      </w:r>
      <w:r>
        <w:t>3</w:t>
      </w:r>
      <w:r w:rsidRPr="00D415BD">
        <w:t xml:space="preserve"> waterbodies as sampled in most previous years (i.e. 1995, 1996, 2006, 2009 and 2011).</w:t>
      </w:r>
      <w:r>
        <w:t xml:space="preserve"> This sampling followed an antecedent period (2012 and early 2013) of high EC values in GTB similar to 2011; the sampling aimed to confirm the 2011 results, or at least determine whether the responses observed in 2013 were consistent with the Mg-response relationship developed to 2011 (Figures 4 &amp; 5 from Humphrey et al</w:t>
      </w:r>
      <w:r w:rsidR="00F15ED8">
        <w:t>.</w:t>
      </w:r>
      <w:r>
        <w:t xml:space="preserve"> 2013). Opportunity was also taken at this time to more fully assess other possible causes of biological changes in GTB in 2011, including possible habitat changes (viz aquatic plant communities) and differences in sample processing methods since 1995. These collective studies were used to assess the weight of evidence for possible minewater effects upon GTB macroinvertebrates observed in 2011.</w:t>
      </w:r>
    </w:p>
    <w:p w:rsidR="00A05829" w:rsidRDefault="00A05829" w:rsidP="00E8531D">
      <w:pPr>
        <w:pStyle w:val="Heading2"/>
      </w:pPr>
      <w:r>
        <w:t>Consistency in biological response to contamination from minewaters</w:t>
      </w:r>
    </w:p>
    <w:p w:rsidR="00BC0372" w:rsidRDefault="00BC0372" w:rsidP="00BC0372">
      <w:r>
        <w:t>Sampling in 2013 was used to assess whether the additional results supported, or were consistent with, observations made to 2011. The sampling of water quality and macroinvertebrate communities in waterbodies in 2013 followed the same methods as used in 2011 – see Humphrey et al. (2013).</w:t>
      </w:r>
    </w:p>
    <w:p w:rsidR="00A05829" w:rsidRDefault="00A05829" w:rsidP="00E8531D">
      <w:pPr>
        <w:pStyle w:val="Heading3"/>
      </w:pPr>
      <w:r>
        <w:t>Water quality</w:t>
      </w:r>
    </w:p>
    <w:p w:rsidR="00BC0372" w:rsidRDefault="00BC0372" w:rsidP="00BC0372">
      <w:bookmarkStart w:id="236" w:name="_____replySeparator"/>
      <w:bookmarkEnd w:id="236"/>
      <w:r>
        <w:t xml:space="preserve">Seasonal, antecedent (to sampling) median U concentrations for sampling years 1995, 1996, 2006, 2009, 2011 and 2013 are provided in Table 1. </w:t>
      </w:r>
      <w:r w:rsidRPr="00770097">
        <w:t xml:space="preserve">The concentrations of mine-water-derived U in GTB between 1995 and 2013 have remained well below the </w:t>
      </w:r>
      <w:r w:rsidR="00B17DBF">
        <w:t>guideline value</w:t>
      </w:r>
      <w:r w:rsidRPr="00770097">
        <w:t xml:space="preserve"> for protection of local aquatic organisms (van Dam et al</w:t>
      </w:r>
      <w:r>
        <w:t>.</w:t>
      </w:r>
      <w:r w:rsidRPr="00770097">
        <w:t xml:space="preserve"> 2012)</w:t>
      </w:r>
      <w:r>
        <w:t xml:space="preserve"> (Table 1). </w:t>
      </w:r>
    </w:p>
    <w:p w:rsidR="00A05829" w:rsidRDefault="00A05829" w:rsidP="00A05829">
      <w:pPr>
        <w:pStyle w:val="tablecaption"/>
      </w:pPr>
      <w:r w:rsidRPr="00A35F5D">
        <w:rPr>
          <w:b/>
        </w:rPr>
        <w:t xml:space="preserve">Table </w:t>
      </w:r>
      <w:proofErr w:type="gramStart"/>
      <w:r>
        <w:rPr>
          <w:b/>
        </w:rPr>
        <w:t>1</w:t>
      </w:r>
      <w:r>
        <w:t xml:space="preserve">  Unless</w:t>
      </w:r>
      <w:proofErr w:type="gramEnd"/>
      <w:r>
        <w:t xml:space="preserve"> indicated, median EC, Mg and U values in GTB for recent wet and dry seasons relevant to macroinvertebrate community sampling</w:t>
      </w:r>
      <w:r w:rsidR="00DE14FB">
        <w:t>.</w:t>
      </w:r>
    </w:p>
    <w:tbl>
      <w:tblPr>
        <w:tblW w:w="7938" w:type="dxa"/>
        <w:tblInd w:w="250" w:type="dxa"/>
        <w:tblLayout w:type="fixed"/>
        <w:tblCellMar>
          <w:left w:w="0" w:type="dxa"/>
          <w:right w:w="0" w:type="dxa"/>
        </w:tblCellMar>
        <w:tblLook w:val="04A0"/>
      </w:tblPr>
      <w:tblGrid>
        <w:gridCol w:w="2410"/>
        <w:gridCol w:w="1134"/>
        <w:gridCol w:w="709"/>
        <w:gridCol w:w="1134"/>
        <w:gridCol w:w="850"/>
        <w:gridCol w:w="851"/>
        <w:gridCol w:w="141"/>
        <w:gridCol w:w="709"/>
      </w:tblGrid>
      <w:tr w:rsidR="00A05829" w:rsidTr="00224F8A">
        <w:tc>
          <w:tcPr>
            <w:tcW w:w="2410" w:type="dxa"/>
            <w:tcBorders>
              <w:top w:val="single" w:sz="4" w:space="0" w:color="auto"/>
              <w:bottom w:val="single" w:sz="4" w:space="0" w:color="auto"/>
            </w:tcBorders>
            <w:tcMar>
              <w:top w:w="0" w:type="dxa"/>
              <w:left w:w="108" w:type="dxa"/>
              <w:bottom w:w="0" w:type="dxa"/>
              <w:right w:w="108" w:type="dxa"/>
            </w:tcMar>
          </w:tcPr>
          <w:p w:rsidR="00A05829" w:rsidRPr="00DE14FB" w:rsidRDefault="00A05829" w:rsidP="00DE14FB">
            <w:pPr>
              <w:pStyle w:val="table1"/>
              <w:rPr>
                <w:b/>
                <w:color w:val="000000"/>
                <w:u w:color="000000"/>
              </w:rPr>
            </w:pPr>
            <w:r w:rsidRPr="00DE14FB">
              <w:rPr>
                <w:b/>
                <w:color w:val="000000"/>
                <w:u w:color="000000"/>
              </w:rPr>
              <w:t>Season or year</w:t>
            </w:r>
          </w:p>
        </w:tc>
        <w:tc>
          <w:tcPr>
            <w:tcW w:w="1134" w:type="dxa"/>
            <w:tcBorders>
              <w:top w:val="single" w:sz="4" w:space="0" w:color="auto"/>
              <w:bottom w:val="single" w:sz="4" w:space="0" w:color="auto"/>
            </w:tcBorders>
            <w:tcMar>
              <w:top w:w="0" w:type="dxa"/>
              <w:left w:w="108" w:type="dxa"/>
              <w:bottom w:w="0" w:type="dxa"/>
              <w:right w:w="108" w:type="dxa"/>
            </w:tcMar>
            <w:hideMark/>
          </w:tcPr>
          <w:p w:rsidR="00A05829" w:rsidRPr="00DE14FB" w:rsidRDefault="00A05829" w:rsidP="00DE14FB">
            <w:pPr>
              <w:pStyle w:val="table1"/>
              <w:rPr>
                <w:b/>
                <w:color w:val="000000"/>
                <w:u w:color="000000"/>
              </w:rPr>
            </w:pPr>
            <w:r w:rsidRPr="00DE14FB">
              <w:rPr>
                <w:b/>
                <w:color w:val="000000"/>
                <w:u w:color="000000"/>
              </w:rPr>
              <w:t>EC (µS/cm)</w:t>
            </w:r>
          </w:p>
        </w:tc>
        <w:tc>
          <w:tcPr>
            <w:tcW w:w="709" w:type="dxa"/>
            <w:tcBorders>
              <w:top w:val="single" w:sz="4" w:space="0" w:color="auto"/>
              <w:bottom w:val="single" w:sz="4" w:space="0" w:color="auto"/>
            </w:tcBorders>
            <w:hideMark/>
          </w:tcPr>
          <w:p w:rsidR="00A05829" w:rsidRPr="00DE14FB" w:rsidRDefault="00A05829" w:rsidP="00DE14FB">
            <w:pPr>
              <w:pStyle w:val="table1"/>
              <w:rPr>
                <w:b/>
                <w:color w:val="000000"/>
                <w:u w:color="000000"/>
              </w:rPr>
            </w:pPr>
            <w:r w:rsidRPr="00DE14FB">
              <w:rPr>
                <w:b/>
                <w:color w:val="000000"/>
                <w:u w:color="000000"/>
              </w:rPr>
              <w:t>N</w:t>
            </w:r>
          </w:p>
        </w:tc>
        <w:tc>
          <w:tcPr>
            <w:tcW w:w="1134" w:type="dxa"/>
            <w:tcBorders>
              <w:top w:val="single" w:sz="4" w:space="0" w:color="auto"/>
              <w:bottom w:val="single" w:sz="4" w:space="0" w:color="auto"/>
            </w:tcBorders>
            <w:tcMar>
              <w:top w:w="0" w:type="dxa"/>
              <w:left w:w="108" w:type="dxa"/>
              <w:bottom w:w="0" w:type="dxa"/>
              <w:right w:w="108" w:type="dxa"/>
            </w:tcMar>
            <w:hideMark/>
          </w:tcPr>
          <w:p w:rsidR="00A05829" w:rsidRPr="00DE14FB" w:rsidRDefault="00A05829" w:rsidP="00DE14FB">
            <w:pPr>
              <w:pStyle w:val="table1"/>
              <w:rPr>
                <w:b/>
                <w:color w:val="000000"/>
                <w:u w:color="000000"/>
              </w:rPr>
            </w:pPr>
            <w:r w:rsidRPr="00DE14FB">
              <w:rPr>
                <w:b/>
                <w:color w:val="000000"/>
                <w:u w:color="000000"/>
              </w:rPr>
              <w:t>Mg (mg/L)</w:t>
            </w:r>
          </w:p>
        </w:tc>
        <w:tc>
          <w:tcPr>
            <w:tcW w:w="850" w:type="dxa"/>
            <w:tcBorders>
              <w:top w:val="single" w:sz="4" w:space="0" w:color="auto"/>
              <w:bottom w:val="single" w:sz="4" w:space="0" w:color="auto"/>
            </w:tcBorders>
            <w:hideMark/>
          </w:tcPr>
          <w:p w:rsidR="00A05829" w:rsidRPr="00DE14FB" w:rsidRDefault="00A05829" w:rsidP="00DE14FB">
            <w:pPr>
              <w:pStyle w:val="table1"/>
              <w:rPr>
                <w:b/>
                <w:color w:val="000000"/>
                <w:u w:color="000000"/>
              </w:rPr>
            </w:pPr>
            <w:r w:rsidRPr="00DE14FB">
              <w:rPr>
                <w:b/>
                <w:color w:val="000000"/>
                <w:u w:color="000000"/>
              </w:rPr>
              <w:t>N</w:t>
            </w:r>
          </w:p>
        </w:tc>
        <w:tc>
          <w:tcPr>
            <w:tcW w:w="992" w:type="dxa"/>
            <w:gridSpan w:val="2"/>
            <w:tcBorders>
              <w:top w:val="single" w:sz="4" w:space="0" w:color="auto"/>
              <w:bottom w:val="single" w:sz="4" w:space="0" w:color="auto"/>
            </w:tcBorders>
          </w:tcPr>
          <w:p w:rsidR="00A05829" w:rsidRPr="00DE14FB" w:rsidRDefault="00A05829" w:rsidP="00DE14FB">
            <w:pPr>
              <w:pStyle w:val="table1"/>
              <w:rPr>
                <w:b/>
                <w:color w:val="000000"/>
                <w:u w:color="000000"/>
              </w:rPr>
            </w:pPr>
            <w:r w:rsidRPr="00DE14FB">
              <w:rPr>
                <w:b/>
                <w:color w:val="000000"/>
                <w:u w:color="000000"/>
              </w:rPr>
              <w:t>U (</w:t>
            </w:r>
            <w:r w:rsidRPr="00DE14FB">
              <w:rPr>
                <w:rFonts w:cs="Arial"/>
                <w:b/>
                <w:color w:val="000000"/>
                <w:u w:color="000000"/>
              </w:rPr>
              <w:t>µ</w:t>
            </w:r>
            <w:r w:rsidRPr="00DE14FB">
              <w:rPr>
                <w:b/>
                <w:color w:val="000000"/>
                <w:u w:color="000000"/>
              </w:rPr>
              <w:t>g/L)</w:t>
            </w:r>
          </w:p>
        </w:tc>
        <w:tc>
          <w:tcPr>
            <w:tcW w:w="709" w:type="dxa"/>
            <w:tcBorders>
              <w:top w:val="single" w:sz="4" w:space="0" w:color="auto"/>
              <w:bottom w:val="single" w:sz="4" w:space="0" w:color="auto"/>
            </w:tcBorders>
          </w:tcPr>
          <w:p w:rsidR="00A05829" w:rsidRPr="00DE14FB" w:rsidRDefault="00A05829" w:rsidP="00DE14FB">
            <w:pPr>
              <w:pStyle w:val="table1"/>
              <w:rPr>
                <w:b/>
                <w:color w:val="000000"/>
                <w:u w:color="000000"/>
              </w:rPr>
            </w:pPr>
            <w:r w:rsidRPr="00DE14FB">
              <w:rPr>
                <w:b/>
                <w:color w:val="000000"/>
                <w:u w:color="000000"/>
              </w:rPr>
              <w:t>N</w:t>
            </w:r>
          </w:p>
        </w:tc>
      </w:tr>
      <w:tr w:rsidR="00A05829" w:rsidRPr="00D40DAA" w:rsidTr="00224F8A">
        <w:tc>
          <w:tcPr>
            <w:tcW w:w="2410" w:type="dxa"/>
            <w:tcBorders>
              <w:top w:val="single" w:sz="4" w:space="0" w:color="auto"/>
            </w:tcBorders>
            <w:tcMar>
              <w:top w:w="0" w:type="dxa"/>
              <w:left w:w="108" w:type="dxa"/>
              <w:bottom w:w="0" w:type="dxa"/>
              <w:right w:w="108" w:type="dxa"/>
            </w:tcMar>
            <w:hideMark/>
          </w:tcPr>
          <w:p w:rsidR="00A05829" w:rsidRPr="00DE14FB" w:rsidRDefault="00A05829" w:rsidP="00DE14FB">
            <w:pPr>
              <w:pStyle w:val="table1"/>
              <w:rPr>
                <w:color w:val="000000"/>
                <w:u w:color="000000"/>
              </w:rPr>
            </w:pPr>
            <w:r w:rsidRPr="00DE14FB">
              <w:rPr>
                <w:color w:val="000000"/>
                <w:u w:color="000000"/>
              </w:rPr>
              <w:t>Antecedent wet season</w:t>
            </w:r>
          </w:p>
        </w:tc>
        <w:tc>
          <w:tcPr>
            <w:tcW w:w="1134" w:type="dxa"/>
            <w:tcBorders>
              <w:top w:val="single" w:sz="4" w:space="0" w:color="auto"/>
            </w:tcBorders>
            <w:tcMar>
              <w:top w:w="0" w:type="dxa"/>
              <w:left w:w="108" w:type="dxa"/>
              <w:bottom w:w="0" w:type="dxa"/>
              <w:right w:w="108" w:type="dxa"/>
            </w:tcMar>
          </w:tcPr>
          <w:p w:rsidR="00A05829" w:rsidRPr="00DE14FB" w:rsidRDefault="00A05829" w:rsidP="00DE14FB">
            <w:pPr>
              <w:pStyle w:val="table1"/>
              <w:rPr>
                <w:color w:val="000000"/>
                <w:u w:color="000000"/>
              </w:rPr>
            </w:pPr>
          </w:p>
        </w:tc>
        <w:tc>
          <w:tcPr>
            <w:tcW w:w="709" w:type="dxa"/>
            <w:tcBorders>
              <w:top w:val="single" w:sz="4" w:space="0" w:color="auto"/>
            </w:tcBorders>
          </w:tcPr>
          <w:p w:rsidR="00A05829" w:rsidRPr="00DE14FB" w:rsidRDefault="00A05829" w:rsidP="00DE14FB">
            <w:pPr>
              <w:pStyle w:val="table1"/>
              <w:rPr>
                <w:color w:val="000000"/>
                <w:u w:color="000000"/>
              </w:rPr>
            </w:pPr>
          </w:p>
        </w:tc>
        <w:tc>
          <w:tcPr>
            <w:tcW w:w="1134" w:type="dxa"/>
            <w:tcBorders>
              <w:top w:val="single" w:sz="4" w:space="0" w:color="auto"/>
            </w:tcBorders>
            <w:tcMar>
              <w:top w:w="0" w:type="dxa"/>
              <w:left w:w="108" w:type="dxa"/>
              <w:bottom w:w="0" w:type="dxa"/>
              <w:right w:w="108" w:type="dxa"/>
            </w:tcMar>
          </w:tcPr>
          <w:p w:rsidR="00A05829" w:rsidRPr="00DE14FB" w:rsidRDefault="00A05829" w:rsidP="00DE14FB">
            <w:pPr>
              <w:pStyle w:val="table1"/>
              <w:rPr>
                <w:color w:val="000000"/>
                <w:u w:color="000000"/>
              </w:rPr>
            </w:pPr>
          </w:p>
        </w:tc>
        <w:tc>
          <w:tcPr>
            <w:tcW w:w="850" w:type="dxa"/>
            <w:tcBorders>
              <w:top w:val="single" w:sz="4" w:space="0" w:color="auto"/>
            </w:tcBorders>
          </w:tcPr>
          <w:p w:rsidR="00A05829" w:rsidRPr="00DE14FB" w:rsidRDefault="00A05829" w:rsidP="00DE14FB">
            <w:pPr>
              <w:pStyle w:val="table1"/>
              <w:rPr>
                <w:color w:val="000000"/>
                <w:u w:color="000000"/>
              </w:rPr>
            </w:pPr>
          </w:p>
        </w:tc>
        <w:tc>
          <w:tcPr>
            <w:tcW w:w="992" w:type="dxa"/>
            <w:gridSpan w:val="2"/>
            <w:tcBorders>
              <w:top w:val="single" w:sz="4" w:space="0" w:color="auto"/>
            </w:tcBorders>
          </w:tcPr>
          <w:p w:rsidR="00A05829" w:rsidRPr="00DE14FB" w:rsidRDefault="00A05829" w:rsidP="00DE14FB">
            <w:pPr>
              <w:pStyle w:val="table1"/>
              <w:rPr>
                <w:color w:val="000000"/>
                <w:u w:color="000000"/>
              </w:rPr>
            </w:pPr>
          </w:p>
        </w:tc>
        <w:tc>
          <w:tcPr>
            <w:tcW w:w="709" w:type="dxa"/>
            <w:tcBorders>
              <w:top w:val="single" w:sz="4" w:space="0" w:color="auto"/>
            </w:tcBorders>
          </w:tcPr>
          <w:p w:rsidR="00A05829" w:rsidRPr="00DE14FB" w:rsidRDefault="00A05829" w:rsidP="00DE14FB">
            <w:pPr>
              <w:pStyle w:val="table1"/>
              <w:rPr>
                <w:color w:val="000000"/>
                <w:u w:color="000000"/>
              </w:rPr>
            </w:pPr>
          </w:p>
        </w:tc>
      </w:tr>
      <w:tr w:rsidR="00A05829" w:rsidTr="00224F8A">
        <w:tc>
          <w:tcPr>
            <w:tcW w:w="2410" w:type="dxa"/>
            <w:tcMar>
              <w:top w:w="0" w:type="dxa"/>
              <w:left w:w="108" w:type="dxa"/>
              <w:bottom w:w="0" w:type="dxa"/>
              <w:right w:w="108" w:type="dxa"/>
            </w:tcMar>
            <w:hideMark/>
          </w:tcPr>
          <w:p w:rsidR="00A05829" w:rsidRPr="00DE14FB" w:rsidRDefault="00A05829" w:rsidP="00DE14FB">
            <w:pPr>
              <w:pStyle w:val="table1"/>
              <w:rPr>
                <w:color w:val="000000"/>
                <w:u w:color="000000"/>
              </w:rPr>
            </w:pPr>
            <w:r w:rsidRPr="00DE14FB">
              <w:rPr>
                <w:color w:val="000000"/>
                <w:u w:color="000000"/>
              </w:rPr>
              <w:t>1995</w:t>
            </w:r>
          </w:p>
        </w:tc>
        <w:tc>
          <w:tcPr>
            <w:tcW w:w="1134" w:type="dxa"/>
            <w:tcMar>
              <w:top w:w="0" w:type="dxa"/>
              <w:left w:w="108" w:type="dxa"/>
              <w:bottom w:w="0" w:type="dxa"/>
              <w:right w:w="108" w:type="dxa"/>
            </w:tcMar>
            <w:hideMark/>
          </w:tcPr>
          <w:p w:rsidR="00A05829" w:rsidRPr="00DE14FB" w:rsidRDefault="00A05829" w:rsidP="00DE14FB">
            <w:pPr>
              <w:pStyle w:val="table1"/>
              <w:rPr>
                <w:color w:val="000000"/>
                <w:u w:color="000000"/>
              </w:rPr>
            </w:pPr>
            <w:r w:rsidRPr="00DE14FB">
              <w:rPr>
                <w:color w:val="000000"/>
                <w:u w:color="000000"/>
              </w:rPr>
              <w:t>19.7</w:t>
            </w:r>
          </w:p>
        </w:tc>
        <w:tc>
          <w:tcPr>
            <w:tcW w:w="709" w:type="dxa"/>
            <w:hideMark/>
          </w:tcPr>
          <w:p w:rsidR="00A05829" w:rsidRPr="00DE14FB" w:rsidRDefault="00A05829" w:rsidP="00DE14FB">
            <w:pPr>
              <w:pStyle w:val="table1"/>
              <w:rPr>
                <w:color w:val="000000"/>
                <w:u w:color="000000"/>
              </w:rPr>
            </w:pPr>
            <w:r w:rsidRPr="00DE14FB">
              <w:rPr>
                <w:color w:val="000000"/>
                <w:u w:color="000000"/>
              </w:rPr>
              <w:t>5</w:t>
            </w:r>
          </w:p>
        </w:tc>
        <w:tc>
          <w:tcPr>
            <w:tcW w:w="1134" w:type="dxa"/>
            <w:tcMar>
              <w:top w:w="0" w:type="dxa"/>
              <w:left w:w="108" w:type="dxa"/>
              <w:bottom w:w="0" w:type="dxa"/>
              <w:right w:w="108" w:type="dxa"/>
            </w:tcMar>
            <w:hideMark/>
          </w:tcPr>
          <w:p w:rsidR="00A05829" w:rsidRPr="00DE14FB" w:rsidRDefault="00A05829" w:rsidP="00DE14FB">
            <w:pPr>
              <w:pStyle w:val="table1"/>
              <w:rPr>
                <w:color w:val="000000"/>
                <w:u w:color="000000"/>
              </w:rPr>
            </w:pPr>
            <w:r w:rsidRPr="00DE14FB">
              <w:rPr>
                <w:color w:val="000000"/>
                <w:u w:color="000000"/>
              </w:rPr>
              <w:t>1.03</w:t>
            </w:r>
          </w:p>
        </w:tc>
        <w:tc>
          <w:tcPr>
            <w:tcW w:w="850" w:type="dxa"/>
            <w:hideMark/>
          </w:tcPr>
          <w:p w:rsidR="00A05829" w:rsidRPr="00DE14FB" w:rsidRDefault="00A05829" w:rsidP="00DE14FB">
            <w:pPr>
              <w:pStyle w:val="table1"/>
              <w:rPr>
                <w:color w:val="000000"/>
                <w:u w:color="000000"/>
              </w:rPr>
            </w:pPr>
            <w:r w:rsidRPr="00DE14FB">
              <w:rPr>
                <w:color w:val="000000"/>
                <w:u w:color="000000"/>
              </w:rPr>
              <w:t>1</w:t>
            </w:r>
          </w:p>
        </w:tc>
        <w:tc>
          <w:tcPr>
            <w:tcW w:w="992" w:type="dxa"/>
            <w:gridSpan w:val="2"/>
          </w:tcPr>
          <w:p w:rsidR="00A05829" w:rsidRPr="00DE14FB" w:rsidRDefault="00A05829" w:rsidP="00DE14FB">
            <w:pPr>
              <w:pStyle w:val="table1"/>
              <w:rPr>
                <w:color w:val="000000"/>
                <w:u w:color="000000"/>
              </w:rPr>
            </w:pPr>
            <w:r w:rsidRPr="00DE14FB">
              <w:rPr>
                <w:color w:val="000000"/>
                <w:u w:color="000000"/>
              </w:rPr>
              <w:t>0.25</w:t>
            </w:r>
          </w:p>
        </w:tc>
        <w:tc>
          <w:tcPr>
            <w:tcW w:w="709" w:type="dxa"/>
          </w:tcPr>
          <w:p w:rsidR="00A05829" w:rsidRPr="00DE14FB" w:rsidRDefault="00A05829" w:rsidP="00DE14FB">
            <w:pPr>
              <w:pStyle w:val="table1"/>
              <w:rPr>
                <w:color w:val="000000"/>
                <w:u w:color="000000"/>
              </w:rPr>
            </w:pPr>
            <w:r w:rsidRPr="00DE14FB">
              <w:rPr>
                <w:color w:val="000000"/>
                <w:u w:color="000000"/>
              </w:rPr>
              <w:t>5</w:t>
            </w:r>
          </w:p>
        </w:tc>
      </w:tr>
      <w:tr w:rsidR="00A05829" w:rsidTr="00224F8A">
        <w:tc>
          <w:tcPr>
            <w:tcW w:w="2410" w:type="dxa"/>
            <w:tcMar>
              <w:top w:w="0" w:type="dxa"/>
              <w:left w:w="108" w:type="dxa"/>
              <w:bottom w:w="0" w:type="dxa"/>
              <w:right w:w="108" w:type="dxa"/>
            </w:tcMar>
            <w:hideMark/>
          </w:tcPr>
          <w:p w:rsidR="00A05829" w:rsidRPr="00DE14FB" w:rsidRDefault="00A05829" w:rsidP="00DE14FB">
            <w:pPr>
              <w:pStyle w:val="table1"/>
              <w:rPr>
                <w:color w:val="000000"/>
                <w:u w:color="000000"/>
              </w:rPr>
            </w:pPr>
            <w:r w:rsidRPr="00DE14FB">
              <w:rPr>
                <w:color w:val="000000"/>
                <w:u w:color="000000"/>
              </w:rPr>
              <w:t>1996</w:t>
            </w:r>
          </w:p>
        </w:tc>
        <w:tc>
          <w:tcPr>
            <w:tcW w:w="1134" w:type="dxa"/>
            <w:tcMar>
              <w:top w:w="0" w:type="dxa"/>
              <w:left w:w="108" w:type="dxa"/>
              <w:bottom w:w="0" w:type="dxa"/>
              <w:right w:w="108" w:type="dxa"/>
            </w:tcMar>
            <w:hideMark/>
          </w:tcPr>
          <w:p w:rsidR="00A05829" w:rsidRPr="00DE14FB" w:rsidRDefault="00A05829" w:rsidP="00DE14FB">
            <w:pPr>
              <w:pStyle w:val="table1"/>
              <w:rPr>
                <w:color w:val="000000"/>
                <w:u w:color="000000"/>
              </w:rPr>
            </w:pPr>
            <w:r w:rsidRPr="00DE14FB">
              <w:rPr>
                <w:color w:val="000000"/>
                <w:u w:color="000000"/>
              </w:rPr>
              <w:t>27.0</w:t>
            </w:r>
          </w:p>
        </w:tc>
        <w:tc>
          <w:tcPr>
            <w:tcW w:w="709" w:type="dxa"/>
            <w:hideMark/>
          </w:tcPr>
          <w:p w:rsidR="00A05829" w:rsidRPr="00DE14FB" w:rsidRDefault="00A05829" w:rsidP="00DE14FB">
            <w:pPr>
              <w:pStyle w:val="table1"/>
              <w:rPr>
                <w:color w:val="000000"/>
                <w:u w:color="000000"/>
              </w:rPr>
            </w:pPr>
            <w:r w:rsidRPr="00DE14FB">
              <w:rPr>
                <w:color w:val="000000"/>
                <w:u w:color="000000"/>
              </w:rPr>
              <w:t>5</w:t>
            </w:r>
          </w:p>
        </w:tc>
        <w:tc>
          <w:tcPr>
            <w:tcW w:w="1134" w:type="dxa"/>
            <w:tcMar>
              <w:top w:w="0" w:type="dxa"/>
              <w:left w:w="108" w:type="dxa"/>
              <w:bottom w:w="0" w:type="dxa"/>
              <w:right w:w="108" w:type="dxa"/>
            </w:tcMar>
            <w:hideMark/>
          </w:tcPr>
          <w:p w:rsidR="00A05829" w:rsidRPr="00DE14FB" w:rsidRDefault="00A05829" w:rsidP="00DE14FB">
            <w:pPr>
              <w:pStyle w:val="table1"/>
              <w:rPr>
                <w:color w:val="000000"/>
                <w:u w:color="000000"/>
              </w:rPr>
            </w:pPr>
            <w:r w:rsidRPr="00DE14FB">
              <w:rPr>
                <w:color w:val="000000"/>
                <w:u w:color="000000"/>
              </w:rPr>
              <w:t>0.98</w:t>
            </w:r>
          </w:p>
        </w:tc>
        <w:tc>
          <w:tcPr>
            <w:tcW w:w="850" w:type="dxa"/>
            <w:hideMark/>
          </w:tcPr>
          <w:p w:rsidR="00A05829" w:rsidRPr="00DE14FB" w:rsidRDefault="00A05829" w:rsidP="00DE14FB">
            <w:pPr>
              <w:pStyle w:val="table1"/>
              <w:rPr>
                <w:color w:val="000000"/>
                <w:u w:color="000000"/>
              </w:rPr>
            </w:pPr>
            <w:r w:rsidRPr="00DE14FB">
              <w:rPr>
                <w:color w:val="000000"/>
                <w:u w:color="000000"/>
              </w:rPr>
              <w:t>1</w:t>
            </w:r>
          </w:p>
        </w:tc>
        <w:tc>
          <w:tcPr>
            <w:tcW w:w="992" w:type="dxa"/>
            <w:gridSpan w:val="2"/>
          </w:tcPr>
          <w:p w:rsidR="00A05829" w:rsidRPr="00DE14FB" w:rsidRDefault="00A05829" w:rsidP="00DE14FB">
            <w:pPr>
              <w:pStyle w:val="table1"/>
              <w:rPr>
                <w:color w:val="000000"/>
                <w:u w:color="000000"/>
              </w:rPr>
            </w:pPr>
            <w:r w:rsidRPr="00DE14FB">
              <w:rPr>
                <w:color w:val="000000"/>
                <w:u w:color="000000"/>
              </w:rPr>
              <w:t>0.35</w:t>
            </w:r>
          </w:p>
        </w:tc>
        <w:tc>
          <w:tcPr>
            <w:tcW w:w="709" w:type="dxa"/>
          </w:tcPr>
          <w:p w:rsidR="00A05829" w:rsidRPr="00DE14FB" w:rsidRDefault="00A05829" w:rsidP="00DE14FB">
            <w:pPr>
              <w:pStyle w:val="table1"/>
              <w:rPr>
                <w:color w:val="000000"/>
                <w:u w:color="000000"/>
              </w:rPr>
            </w:pPr>
            <w:r w:rsidRPr="00DE14FB">
              <w:rPr>
                <w:color w:val="000000"/>
                <w:u w:color="000000"/>
              </w:rPr>
              <w:t>7</w:t>
            </w:r>
          </w:p>
        </w:tc>
      </w:tr>
      <w:tr w:rsidR="00A05829" w:rsidTr="00224F8A">
        <w:tc>
          <w:tcPr>
            <w:tcW w:w="2410" w:type="dxa"/>
            <w:tcMar>
              <w:top w:w="0" w:type="dxa"/>
              <w:left w:w="108" w:type="dxa"/>
              <w:bottom w:w="0" w:type="dxa"/>
              <w:right w:w="108" w:type="dxa"/>
            </w:tcMar>
            <w:hideMark/>
          </w:tcPr>
          <w:p w:rsidR="00A05829" w:rsidRPr="00DE14FB" w:rsidRDefault="00A05829" w:rsidP="00DE14FB">
            <w:pPr>
              <w:pStyle w:val="table1"/>
              <w:rPr>
                <w:color w:val="000000"/>
                <w:u w:color="000000"/>
              </w:rPr>
            </w:pPr>
            <w:r w:rsidRPr="00DE14FB">
              <w:rPr>
                <w:color w:val="000000"/>
                <w:u w:color="000000"/>
              </w:rPr>
              <w:t>2006</w:t>
            </w:r>
          </w:p>
        </w:tc>
        <w:tc>
          <w:tcPr>
            <w:tcW w:w="1134" w:type="dxa"/>
            <w:tcMar>
              <w:top w:w="0" w:type="dxa"/>
              <w:left w:w="108" w:type="dxa"/>
              <w:bottom w:w="0" w:type="dxa"/>
              <w:right w:w="108" w:type="dxa"/>
            </w:tcMar>
            <w:hideMark/>
          </w:tcPr>
          <w:p w:rsidR="00A05829" w:rsidRPr="00DE14FB" w:rsidRDefault="00A05829" w:rsidP="00DE14FB">
            <w:pPr>
              <w:pStyle w:val="table1"/>
              <w:rPr>
                <w:color w:val="000000"/>
                <w:u w:color="000000"/>
              </w:rPr>
            </w:pPr>
            <w:r w:rsidRPr="00DE14FB">
              <w:rPr>
                <w:color w:val="000000"/>
                <w:u w:color="000000"/>
              </w:rPr>
              <w:t>33.8</w:t>
            </w:r>
          </w:p>
        </w:tc>
        <w:tc>
          <w:tcPr>
            <w:tcW w:w="709" w:type="dxa"/>
            <w:hideMark/>
          </w:tcPr>
          <w:p w:rsidR="00A05829" w:rsidRPr="00DE14FB" w:rsidRDefault="00A05829" w:rsidP="00DE14FB">
            <w:pPr>
              <w:pStyle w:val="table1"/>
              <w:rPr>
                <w:color w:val="000000"/>
                <w:u w:color="000000"/>
              </w:rPr>
            </w:pPr>
            <w:r w:rsidRPr="00DE14FB">
              <w:rPr>
                <w:color w:val="000000"/>
                <w:u w:color="000000"/>
              </w:rPr>
              <w:t>31</w:t>
            </w:r>
          </w:p>
        </w:tc>
        <w:tc>
          <w:tcPr>
            <w:tcW w:w="1134" w:type="dxa"/>
            <w:tcMar>
              <w:top w:w="0" w:type="dxa"/>
              <w:left w:w="108" w:type="dxa"/>
              <w:bottom w:w="0" w:type="dxa"/>
              <w:right w:w="108" w:type="dxa"/>
            </w:tcMar>
            <w:hideMark/>
          </w:tcPr>
          <w:p w:rsidR="00A05829" w:rsidRPr="00DE14FB" w:rsidRDefault="00A05829" w:rsidP="00DE14FB">
            <w:pPr>
              <w:pStyle w:val="table1"/>
              <w:rPr>
                <w:color w:val="000000"/>
                <w:u w:color="000000"/>
              </w:rPr>
            </w:pPr>
            <w:r w:rsidRPr="00DE14FB">
              <w:rPr>
                <w:color w:val="000000"/>
                <w:u w:color="000000"/>
              </w:rPr>
              <w:t>2.25</w:t>
            </w:r>
          </w:p>
        </w:tc>
        <w:tc>
          <w:tcPr>
            <w:tcW w:w="850" w:type="dxa"/>
            <w:hideMark/>
          </w:tcPr>
          <w:p w:rsidR="00A05829" w:rsidRPr="00DE14FB" w:rsidRDefault="00A05829" w:rsidP="00DE14FB">
            <w:pPr>
              <w:pStyle w:val="table1"/>
              <w:rPr>
                <w:color w:val="000000"/>
                <w:u w:color="000000"/>
              </w:rPr>
            </w:pPr>
            <w:r w:rsidRPr="00DE14FB">
              <w:rPr>
                <w:color w:val="000000"/>
                <w:u w:color="000000"/>
              </w:rPr>
              <w:t>31</w:t>
            </w:r>
          </w:p>
        </w:tc>
        <w:tc>
          <w:tcPr>
            <w:tcW w:w="992" w:type="dxa"/>
            <w:gridSpan w:val="2"/>
          </w:tcPr>
          <w:p w:rsidR="00A05829" w:rsidRPr="00DE14FB" w:rsidRDefault="00A05829" w:rsidP="00DE14FB">
            <w:pPr>
              <w:pStyle w:val="table1"/>
              <w:rPr>
                <w:color w:val="000000"/>
                <w:u w:color="000000"/>
              </w:rPr>
            </w:pPr>
            <w:r w:rsidRPr="00DE14FB">
              <w:rPr>
                <w:color w:val="000000"/>
                <w:u w:color="000000"/>
              </w:rPr>
              <w:t>0.64</w:t>
            </w:r>
          </w:p>
        </w:tc>
        <w:tc>
          <w:tcPr>
            <w:tcW w:w="709" w:type="dxa"/>
          </w:tcPr>
          <w:p w:rsidR="00A05829" w:rsidRPr="00DE14FB" w:rsidRDefault="00A05829" w:rsidP="00DE14FB">
            <w:pPr>
              <w:pStyle w:val="table1"/>
              <w:rPr>
                <w:color w:val="000000"/>
                <w:u w:color="000000"/>
              </w:rPr>
            </w:pPr>
            <w:r w:rsidRPr="00DE14FB">
              <w:rPr>
                <w:color w:val="000000"/>
                <w:u w:color="000000"/>
              </w:rPr>
              <w:t>31</w:t>
            </w:r>
          </w:p>
        </w:tc>
      </w:tr>
      <w:tr w:rsidR="00A05829" w:rsidTr="00224F8A">
        <w:tc>
          <w:tcPr>
            <w:tcW w:w="2410" w:type="dxa"/>
            <w:tcMar>
              <w:top w:w="0" w:type="dxa"/>
              <w:left w:w="108" w:type="dxa"/>
              <w:bottom w:w="0" w:type="dxa"/>
              <w:right w:w="108" w:type="dxa"/>
            </w:tcMar>
            <w:hideMark/>
          </w:tcPr>
          <w:p w:rsidR="00A05829" w:rsidRPr="00DE14FB" w:rsidRDefault="00A05829" w:rsidP="00DE14FB">
            <w:pPr>
              <w:pStyle w:val="table1"/>
              <w:rPr>
                <w:color w:val="000000"/>
                <w:u w:color="000000"/>
              </w:rPr>
            </w:pPr>
            <w:r w:rsidRPr="00DE14FB">
              <w:rPr>
                <w:color w:val="000000"/>
                <w:u w:color="000000"/>
              </w:rPr>
              <w:t>2009</w:t>
            </w:r>
          </w:p>
        </w:tc>
        <w:tc>
          <w:tcPr>
            <w:tcW w:w="1134" w:type="dxa"/>
            <w:tcMar>
              <w:top w:w="0" w:type="dxa"/>
              <w:left w:w="108" w:type="dxa"/>
              <w:bottom w:w="0" w:type="dxa"/>
              <w:right w:w="108" w:type="dxa"/>
            </w:tcMar>
            <w:hideMark/>
          </w:tcPr>
          <w:p w:rsidR="00A05829" w:rsidRPr="00DE14FB" w:rsidRDefault="00A05829" w:rsidP="00DE14FB">
            <w:pPr>
              <w:pStyle w:val="table1"/>
              <w:rPr>
                <w:color w:val="000000"/>
                <w:u w:color="000000"/>
              </w:rPr>
            </w:pPr>
            <w:r w:rsidRPr="00DE14FB">
              <w:rPr>
                <w:color w:val="000000"/>
                <w:u w:color="000000"/>
              </w:rPr>
              <w:t>54.0</w:t>
            </w:r>
          </w:p>
        </w:tc>
        <w:tc>
          <w:tcPr>
            <w:tcW w:w="709" w:type="dxa"/>
            <w:hideMark/>
          </w:tcPr>
          <w:p w:rsidR="00A05829" w:rsidRPr="00DE14FB" w:rsidRDefault="00A05829" w:rsidP="00DE14FB">
            <w:pPr>
              <w:pStyle w:val="table1"/>
              <w:rPr>
                <w:color w:val="000000"/>
                <w:u w:color="000000"/>
              </w:rPr>
            </w:pPr>
            <w:r w:rsidRPr="00DE14FB">
              <w:rPr>
                <w:color w:val="000000"/>
                <w:u w:color="000000"/>
              </w:rPr>
              <w:t>30</w:t>
            </w:r>
          </w:p>
        </w:tc>
        <w:tc>
          <w:tcPr>
            <w:tcW w:w="1134" w:type="dxa"/>
            <w:tcMar>
              <w:top w:w="0" w:type="dxa"/>
              <w:left w:w="108" w:type="dxa"/>
              <w:bottom w:w="0" w:type="dxa"/>
              <w:right w:w="108" w:type="dxa"/>
            </w:tcMar>
            <w:hideMark/>
          </w:tcPr>
          <w:p w:rsidR="00A05829" w:rsidRPr="00DE14FB" w:rsidRDefault="00A05829" w:rsidP="00DE14FB">
            <w:pPr>
              <w:pStyle w:val="table1"/>
              <w:rPr>
                <w:color w:val="000000"/>
                <w:u w:color="000000"/>
              </w:rPr>
            </w:pPr>
            <w:r w:rsidRPr="00DE14FB">
              <w:rPr>
                <w:color w:val="000000"/>
                <w:u w:color="000000"/>
              </w:rPr>
              <w:t>4.35</w:t>
            </w:r>
          </w:p>
        </w:tc>
        <w:tc>
          <w:tcPr>
            <w:tcW w:w="850" w:type="dxa"/>
            <w:hideMark/>
          </w:tcPr>
          <w:p w:rsidR="00A05829" w:rsidRPr="00DE14FB" w:rsidRDefault="00A05829" w:rsidP="00DE14FB">
            <w:pPr>
              <w:pStyle w:val="table1"/>
              <w:rPr>
                <w:color w:val="000000"/>
                <w:u w:color="000000"/>
              </w:rPr>
            </w:pPr>
            <w:r w:rsidRPr="00DE14FB">
              <w:rPr>
                <w:color w:val="000000"/>
                <w:u w:color="000000"/>
              </w:rPr>
              <w:t>30</w:t>
            </w:r>
          </w:p>
        </w:tc>
        <w:tc>
          <w:tcPr>
            <w:tcW w:w="992" w:type="dxa"/>
            <w:gridSpan w:val="2"/>
          </w:tcPr>
          <w:p w:rsidR="00A05829" w:rsidRPr="00DE14FB" w:rsidRDefault="00A05829" w:rsidP="00DE14FB">
            <w:pPr>
              <w:pStyle w:val="table1"/>
              <w:rPr>
                <w:color w:val="000000"/>
                <w:u w:color="000000"/>
              </w:rPr>
            </w:pPr>
            <w:r w:rsidRPr="00DE14FB">
              <w:rPr>
                <w:color w:val="000000"/>
                <w:u w:color="000000"/>
              </w:rPr>
              <w:t>0.3</w:t>
            </w:r>
          </w:p>
        </w:tc>
        <w:tc>
          <w:tcPr>
            <w:tcW w:w="709" w:type="dxa"/>
          </w:tcPr>
          <w:p w:rsidR="00A05829" w:rsidRPr="00DE14FB" w:rsidRDefault="00A05829" w:rsidP="00DE14FB">
            <w:pPr>
              <w:pStyle w:val="table1"/>
              <w:rPr>
                <w:color w:val="000000"/>
                <w:u w:color="000000"/>
              </w:rPr>
            </w:pPr>
            <w:r w:rsidRPr="00DE14FB">
              <w:rPr>
                <w:color w:val="000000"/>
                <w:u w:color="000000"/>
              </w:rPr>
              <w:t>30</w:t>
            </w:r>
          </w:p>
        </w:tc>
      </w:tr>
      <w:tr w:rsidR="00A05829" w:rsidTr="00224F8A">
        <w:tc>
          <w:tcPr>
            <w:tcW w:w="2410" w:type="dxa"/>
            <w:tcMar>
              <w:top w:w="0" w:type="dxa"/>
              <w:left w:w="108" w:type="dxa"/>
              <w:bottom w:w="0" w:type="dxa"/>
              <w:right w:w="108" w:type="dxa"/>
            </w:tcMar>
            <w:hideMark/>
          </w:tcPr>
          <w:p w:rsidR="00A05829" w:rsidRPr="00DE14FB" w:rsidRDefault="00A05829" w:rsidP="00DE14FB">
            <w:pPr>
              <w:pStyle w:val="table1"/>
              <w:rPr>
                <w:color w:val="000000"/>
                <w:u w:color="000000"/>
              </w:rPr>
            </w:pPr>
            <w:r w:rsidRPr="00DE14FB">
              <w:rPr>
                <w:color w:val="000000"/>
                <w:u w:color="000000"/>
              </w:rPr>
              <w:t>2011</w:t>
            </w:r>
          </w:p>
        </w:tc>
        <w:tc>
          <w:tcPr>
            <w:tcW w:w="1134" w:type="dxa"/>
            <w:tcMar>
              <w:top w:w="0" w:type="dxa"/>
              <w:left w:w="108" w:type="dxa"/>
              <w:bottom w:w="0" w:type="dxa"/>
              <w:right w:w="108" w:type="dxa"/>
            </w:tcMar>
            <w:hideMark/>
          </w:tcPr>
          <w:p w:rsidR="00A05829" w:rsidRPr="00DE14FB" w:rsidRDefault="00A05829" w:rsidP="00DE14FB">
            <w:pPr>
              <w:pStyle w:val="table1"/>
              <w:rPr>
                <w:color w:val="000000"/>
                <w:u w:color="000000"/>
              </w:rPr>
            </w:pPr>
            <w:r w:rsidRPr="00DE14FB">
              <w:rPr>
                <w:color w:val="000000"/>
                <w:u w:color="000000"/>
              </w:rPr>
              <w:t>38.1</w:t>
            </w:r>
          </w:p>
        </w:tc>
        <w:tc>
          <w:tcPr>
            <w:tcW w:w="709" w:type="dxa"/>
            <w:hideMark/>
          </w:tcPr>
          <w:p w:rsidR="00A05829" w:rsidRPr="00DE14FB" w:rsidRDefault="00A05829" w:rsidP="00DE14FB">
            <w:pPr>
              <w:pStyle w:val="table1"/>
              <w:rPr>
                <w:color w:val="000000"/>
                <w:u w:color="000000"/>
              </w:rPr>
            </w:pPr>
            <w:r w:rsidRPr="00DE14FB">
              <w:rPr>
                <w:color w:val="000000"/>
                <w:u w:color="000000"/>
              </w:rPr>
              <w:t>31</w:t>
            </w:r>
          </w:p>
        </w:tc>
        <w:tc>
          <w:tcPr>
            <w:tcW w:w="1134" w:type="dxa"/>
            <w:tcMar>
              <w:top w:w="0" w:type="dxa"/>
              <w:left w:w="108" w:type="dxa"/>
              <w:bottom w:w="0" w:type="dxa"/>
              <w:right w:w="108" w:type="dxa"/>
            </w:tcMar>
            <w:hideMark/>
          </w:tcPr>
          <w:p w:rsidR="00A05829" w:rsidRPr="00DE14FB" w:rsidRDefault="00A05829" w:rsidP="00DE14FB">
            <w:pPr>
              <w:pStyle w:val="table1"/>
              <w:rPr>
                <w:color w:val="000000"/>
                <w:u w:color="000000"/>
              </w:rPr>
            </w:pPr>
            <w:r w:rsidRPr="00DE14FB">
              <w:rPr>
                <w:color w:val="000000"/>
                <w:u w:color="000000"/>
              </w:rPr>
              <w:t>2.75</w:t>
            </w:r>
          </w:p>
        </w:tc>
        <w:tc>
          <w:tcPr>
            <w:tcW w:w="850" w:type="dxa"/>
            <w:hideMark/>
          </w:tcPr>
          <w:p w:rsidR="00A05829" w:rsidRPr="00DE14FB" w:rsidRDefault="00A05829" w:rsidP="00DE14FB">
            <w:pPr>
              <w:pStyle w:val="table1"/>
              <w:rPr>
                <w:color w:val="000000"/>
                <w:u w:color="000000"/>
              </w:rPr>
            </w:pPr>
            <w:r w:rsidRPr="00DE14FB">
              <w:rPr>
                <w:color w:val="000000"/>
                <w:u w:color="000000"/>
              </w:rPr>
              <w:t>31</w:t>
            </w:r>
          </w:p>
        </w:tc>
        <w:tc>
          <w:tcPr>
            <w:tcW w:w="992" w:type="dxa"/>
            <w:gridSpan w:val="2"/>
          </w:tcPr>
          <w:p w:rsidR="00A05829" w:rsidRPr="00DE14FB" w:rsidRDefault="00A05829" w:rsidP="00DE14FB">
            <w:pPr>
              <w:pStyle w:val="table1"/>
              <w:rPr>
                <w:color w:val="000000"/>
                <w:u w:color="000000"/>
              </w:rPr>
            </w:pPr>
            <w:r w:rsidRPr="00DE14FB">
              <w:rPr>
                <w:color w:val="000000"/>
                <w:u w:color="000000"/>
              </w:rPr>
              <w:t>0.4</w:t>
            </w:r>
          </w:p>
        </w:tc>
        <w:tc>
          <w:tcPr>
            <w:tcW w:w="709" w:type="dxa"/>
          </w:tcPr>
          <w:p w:rsidR="00A05829" w:rsidRPr="00DE14FB" w:rsidRDefault="00A05829" w:rsidP="00DE14FB">
            <w:pPr>
              <w:pStyle w:val="table1"/>
              <w:rPr>
                <w:color w:val="000000"/>
                <w:u w:color="000000"/>
              </w:rPr>
            </w:pPr>
            <w:r w:rsidRPr="00DE14FB">
              <w:rPr>
                <w:color w:val="000000"/>
                <w:u w:color="000000"/>
              </w:rPr>
              <w:t>31</w:t>
            </w:r>
          </w:p>
        </w:tc>
      </w:tr>
      <w:tr w:rsidR="00A05829" w:rsidTr="00224F8A">
        <w:tc>
          <w:tcPr>
            <w:tcW w:w="2410" w:type="dxa"/>
            <w:tcBorders>
              <w:bottom w:val="single" w:sz="4" w:space="0" w:color="auto"/>
            </w:tcBorders>
            <w:tcMar>
              <w:top w:w="0" w:type="dxa"/>
              <w:left w:w="108" w:type="dxa"/>
              <w:bottom w:w="0" w:type="dxa"/>
              <w:right w:w="108" w:type="dxa"/>
            </w:tcMar>
            <w:hideMark/>
          </w:tcPr>
          <w:p w:rsidR="00A05829" w:rsidRPr="00DE14FB" w:rsidRDefault="00A05829" w:rsidP="00DE14FB">
            <w:pPr>
              <w:pStyle w:val="table1"/>
              <w:rPr>
                <w:color w:val="000000"/>
                <w:u w:color="000000"/>
              </w:rPr>
            </w:pPr>
            <w:r w:rsidRPr="00DE14FB">
              <w:rPr>
                <w:color w:val="000000"/>
                <w:u w:color="000000"/>
              </w:rPr>
              <w:t>2013</w:t>
            </w:r>
          </w:p>
        </w:tc>
        <w:tc>
          <w:tcPr>
            <w:tcW w:w="1134" w:type="dxa"/>
            <w:tcBorders>
              <w:bottom w:val="single" w:sz="4" w:space="0" w:color="auto"/>
            </w:tcBorders>
            <w:tcMar>
              <w:top w:w="0" w:type="dxa"/>
              <w:left w:w="108" w:type="dxa"/>
              <w:bottom w:w="0" w:type="dxa"/>
              <w:right w:w="108" w:type="dxa"/>
            </w:tcMar>
            <w:hideMark/>
          </w:tcPr>
          <w:p w:rsidR="00A05829" w:rsidRPr="00DE14FB" w:rsidRDefault="00A05829" w:rsidP="00DE14FB">
            <w:pPr>
              <w:pStyle w:val="table1"/>
              <w:rPr>
                <w:color w:val="000000"/>
                <w:u w:color="000000"/>
              </w:rPr>
            </w:pPr>
            <w:r w:rsidRPr="00DE14FB">
              <w:rPr>
                <w:color w:val="000000"/>
                <w:u w:color="000000"/>
              </w:rPr>
              <w:t>64.0</w:t>
            </w:r>
          </w:p>
        </w:tc>
        <w:tc>
          <w:tcPr>
            <w:tcW w:w="709" w:type="dxa"/>
            <w:tcBorders>
              <w:bottom w:val="single" w:sz="4" w:space="0" w:color="auto"/>
            </w:tcBorders>
            <w:hideMark/>
          </w:tcPr>
          <w:p w:rsidR="00A05829" w:rsidRPr="00DE14FB" w:rsidRDefault="00A05829" w:rsidP="00DE14FB">
            <w:pPr>
              <w:pStyle w:val="table1"/>
              <w:rPr>
                <w:color w:val="000000"/>
                <w:u w:color="000000"/>
              </w:rPr>
            </w:pPr>
            <w:r w:rsidRPr="00DE14FB">
              <w:rPr>
                <w:color w:val="000000"/>
                <w:u w:color="000000"/>
              </w:rPr>
              <w:t>32</w:t>
            </w:r>
          </w:p>
        </w:tc>
        <w:tc>
          <w:tcPr>
            <w:tcW w:w="1134" w:type="dxa"/>
            <w:tcBorders>
              <w:bottom w:val="single" w:sz="4" w:space="0" w:color="auto"/>
            </w:tcBorders>
            <w:tcMar>
              <w:top w:w="0" w:type="dxa"/>
              <w:left w:w="108" w:type="dxa"/>
              <w:bottom w:w="0" w:type="dxa"/>
              <w:right w:w="108" w:type="dxa"/>
            </w:tcMar>
            <w:hideMark/>
          </w:tcPr>
          <w:p w:rsidR="00A05829" w:rsidRPr="00DE14FB" w:rsidRDefault="00A05829" w:rsidP="00DE14FB">
            <w:pPr>
              <w:pStyle w:val="table1"/>
              <w:rPr>
                <w:color w:val="000000"/>
                <w:u w:color="000000"/>
              </w:rPr>
            </w:pPr>
            <w:r w:rsidRPr="00DE14FB">
              <w:rPr>
                <w:color w:val="000000"/>
                <w:u w:color="000000"/>
              </w:rPr>
              <w:t>3.9</w:t>
            </w:r>
          </w:p>
        </w:tc>
        <w:tc>
          <w:tcPr>
            <w:tcW w:w="850" w:type="dxa"/>
            <w:tcBorders>
              <w:bottom w:val="single" w:sz="4" w:space="0" w:color="auto"/>
            </w:tcBorders>
            <w:hideMark/>
          </w:tcPr>
          <w:p w:rsidR="00A05829" w:rsidRPr="00DE14FB" w:rsidRDefault="00A05829" w:rsidP="00DE14FB">
            <w:pPr>
              <w:pStyle w:val="table1"/>
              <w:rPr>
                <w:color w:val="000000"/>
                <w:u w:color="000000"/>
              </w:rPr>
            </w:pPr>
            <w:r w:rsidRPr="00DE14FB">
              <w:rPr>
                <w:color w:val="000000"/>
                <w:u w:color="000000"/>
              </w:rPr>
              <w:t>31</w:t>
            </w:r>
          </w:p>
        </w:tc>
        <w:tc>
          <w:tcPr>
            <w:tcW w:w="992" w:type="dxa"/>
            <w:gridSpan w:val="2"/>
            <w:tcBorders>
              <w:bottom w:val="single" w:sz="4" w:space="0" w:color="auto"/>
            </w:tcBorders>
          </w:tcPr>
          <w:p w:rsidR="00A05829" w:rsidRPr="00DE14FB" w:rsidRDefault="00A05829" w:rsidP="00DE14FB">
            <w:pPr>
              <w:pStyle w:val="table1"/>
              <w:rPr>
                <w:color w:val="000000"/>
                <w:u w:color="000000"/>
              </w:rPr>
            </w:pPr>
            <w:r w:rsidRPr="00DE14FB">
              <w:rPr>
                <w:color w:val="000000"/>
                <w:u w:color="000000"/>
              </w:rPr>
              <w:t>0.23</w:t>
            </w:r>
          </w:p>
        </w:tc>
        <w:tc>
          <w:tcPr>
            <w:tcW w:w="709" w:type="dxa"/>
            <w:tcBorders>
              <w:bottom w:val="single" w:sz="4" w:space="0" w:color="auto"/>
            </w:tcBorders>
          </w:tcPr>
          <w:p w:rsidR="00A05829" w:rsidRPr="00DE14FB" w:rsidRDefault="00A05829" w:rsidP="00DE14FB">
            <w:pPr>
              <w:pStyle w:val="table1"/>
              <w:rPr>
                <w:color w:val="000000"/>
                <w:u w:color="000000"/>
              </w:rPr>
            </w:pPr>
            <w:r w:rsidRPr="00DE14FB">
              <w:rPr>
                <w:color w:val="000000"/>
                <w:u w:color="000000"/>
              </w:rPr>
              <w:t>31</w:t>
            </w:r>
          </w:p>
        </w:tc>
      </w:tr>
      <w:tr w:rsidR="00A05829" w:rsidRPr="00D40DAA" w:rsidTr="00224F8A">
        <w:tc>
          <w:tcPr>
            <w:tcW w:w="2410" w:type="dxa"/>
            <w:tcBorders>
              <w:top w:val="single" w:sz="4" w:space="0" w:color="auto"/>
            </w:tcBorders>
            <w:tcMar>
              <w:top w:w="0" w:type="dxa"/>
              <w:left w:w="108" w:type="dxa"/>
              <w:bottom w:w="0" w:type="dxa"/>
              <w:right w:w="108" w:type="dxa"/>
            </w:tcMar>
            <w:hideMark/>
          </w:tcPr>
          <w:p w:rsidR="00A05829" w:rsidRPr="00DE14FB" w:rsidRDefault="00A05829" w:rsidP="00DE14FB">
            <w:pPr>
              <w:pStyle w:val="table1"/>
              <w:rPr>
                <w:color w:val="000000"/>
                <w:u w:color="000000"/>
              </w:rPr>
            </w:pPr>
            <w:r w:rsidRPr="00DE14FB">
              <w:rPr>
                <w:color w:val="000000"/>
                <w:u w:color="000000"/>
              </w:rPr>
              <w:t>Antecedent dry season</w:t>
            </w:r>
          </w:p>
        </w:tc>
        <w:tc>
          <w:tcPr>
            <w:tcW w:w="1134" w:type="dxa"/>
            <w:tcBorders>
              <w:top w:val="single" w:sz="4" w:space="0" w:color="auto"/>
            </w:tcBorders>
            <w:tcMar>
              <w:top w:w="0" w:type="dxa"/>
              <w:left w:w="108" w:type="dxa"/>
              <w:bottom w:w="0" w:type="dxa"/>
              <w:right w:w="108" w:type="dxa"/>
            </w:tcMar>
          </w:tcPr>
          <w:p w:rsidR="00A05829" w:rsidRPr="00DE14FB" w:rsidRDefault="00A05829" w:rsidP="00DE14FB">
            <w:pPr>
              <w:pStyle w:val="table1"/>
              <w:rPr>
                <w:color w:val="000000"/>
                <w:u w:color="000000"/>
              </w:rPr>
            </w:pPr>
          </w:p>
        </w:tc>
        <w:tc>
          <w:tcPr>
            <w:tcW w:w="709" w:type="dxa"/>
            <w:tcBorders>
              <w:top w:val="single" w:sz="4" w:space="0" w:color="auto"/>
            </w:tcBorders>
          </w:tcPr>
          <w:p w:rsidR="00A05829" w:rsidRPr="00DE14FB" w:rsidRDefault="00A05829" w:rsidP="00DE14FB">
            <w:pPr>
              <w:pStyle w:val="table1"/>
              <w:rPr>
                <w:color w:val="000000"/>
                <w:u w:color="000000"/>
              </w:rPr>
            </w:pPr>
          </w:p>
        </w:tc>
        <w:tc>
          <w:tcPr>
            <w:tcW w:w="1134" w:type="dxa"/>
            <w:tcBorders>
              <w:top w:val="single" w:sz="4" w:space="0" w:color="auto"/>
            </w:tcBorders>
            <w:tcMar>
              <w:top w:w="0" w:type="dxa"/>
              <w:left w:w="108" w:type="dxa"/>
              <w:bottom w:w="0" w:type="dxa"/>
              <w:right w:w="108" w:type="dxa"/>
            </w:tcMar>
          </w:tcPr>
          <w:p w:rsidR="00A05829" w:rsidRPr="00DE14FB" w:rsidRDefault="00A05829" w:rsidP="00DE14FB">
            <w:pPr>
              <w:pStyle w:val="table1"/>
              <w:rPr>
                <w:color w:val="000000"/>
                <w:u w:color="000000"/>
              </w:rPr>
            </w:pPr>
          </w:p>
        </w:tc>
        <w:tc>
          <w:tcPr>
            <w:tcW w:w="850" w:type="dxa"/>
            <w:tcBorders>
              <w:top w:val="single" w:sz="4" w:space="0" w:color="auto"/>
            </w:tcBorders>
          </w:tcPr>
          <w:p w:rsidR="00A05829" w:rsidRPr="00DE14FB" w:rsidRDefault="00A05829" w:rsidP="00DE14FB">
            <w:pPr>
              <w:pStyle w:val="table1"/>
              <w:rPr>
                <w:color w:val="000000"/>
                <w:u w:color="000000"/>
              </w:rPr>
            </w:pPr>
          </w:p>
        </w:tc>
        <w:tc>
          <w:tcPr>
            <w:tcW w:w="992" w:type="dxa"/>
            <w:gridSpan w:val="2"/>
            <w:tcBorders>
              <w:top w:val="single" w:sz="4" w:space="0" w:color="auto"/>
            </w:tcBorders>
          </w:tcPr>
          <w:p w:rsidR="00A05829" w:rsidRPr="00DE14FB" w:rsidRDefault="00A05829" w:rsidP="00DE14FB">
            <w:pPr>
              <w:pStyle w:val="table1"/>
              <w:rPr>
                <w:color w:val="000000"/>
                <w:u w:color="000000"/>
              </w:rPr>
            </w:pPr>
          </w:p>
        </w:tc>
        <w:tc>
          <w:tcPr>
            <w:tcW w:w="709" w:type="dxa"/>
            <w:tcBorders>
              <w:top w:val="single" w:sz="4" w:space="0" w:color="auto"/>
            </w:tcBorders>
          </w:tcPr>
          <w:p w:rsidR="00A05829" w:rsidRPr="00DE14FB" w:rsidRDefault="00A05829" w:rsidP="00DE14FB">
            <w:pPr>
              <w:pStyle w:val="table1"/>
              <w:rPr>
                <w:color w:val="000000"/>
                <w:u w:color="000000"/>
              </w:rPr>
            </w:pPr>
          </w:p>
        </w:tc>
      </w:tr>
      <w:tr w:rsidR="00A05829" w:rsidTr="00224F8A">
        <w:tc>
          <w:tcPr>
            <w:tcW w:w="2410" w:type="dxa"/>
            <w:tcMar>
              <w:top w:w="0" w:type="dxa"/>
              <w:left w:w="108" w:type="dxa"/>
              <w:bottom w:w="0" w:type="dxa"/>
              <w:right w:w="108" w:type="dxa"/>
            </w:tcMar>
            <w:hideMark/>
          </w:tcPr>
          <w:p w:rsidR="00A05829" w:rsidRPr="00DE14FB" w:rsidRDefault="00A05829" w:rsidP="00DE14FB">
            <w:pPr>
              <w:pStyle w:val="table1"/>
              <w:rPr>
                <w:color w:val="000000"/>
                <w:u w:color="000000"/>
              </w:rPr>
            </w:pPr>
            <w:r w:rsidRPr="00DE14FB">
              <w:rPr>
                <w:color w:val="000000"/>
                <w:u w:color="000000"/>
              </w:rPr>
              <w:t>1995</w:t>
            </w:r>
          </w:p>
        </w:tc>
        <w:tc>
          <w:tcPr>
            <w:tcW w:w="1134" w:type="dxa"/>
            <w:tcMar>
              <w:top w:w="0" w:type="dxa"/>
              <w:left w:w="108" w:type="dxa"/>
              <w:bottom w:w="0" w:type="dxa"/>
              <w:right w:w="108" w:type="dxa"/>
            </w:tcMar>
            <w:hideMark/>
          </w:tcPr>
          <w:p w:rsidR="00A05829" w:rsidRPr="00DE14FB" w:rsidRDefault="00A05829" w:rsidP="00DE14FB">
            <w:pPr>
              <w:pStyle w:val="table1"/>
              <w:rPr>
                <w:color w:val="000000"/>
                <w:u w:color="000000"/>
              </w:rPr>
            </w:pPr>
            <w:r w:rsidRPr="00DE14FB">
              <w:rPr>
                <w:color w:val="000000"/>
                <w:u w:color="000000"/>
              </w:rPr>
              <w:t>88.4</w:t>
            </w:r>
          </w:p>
        </w:tc>
        <w:tc>
          <w:tcPr>
            <w:tcW w:w="709" w:type="dxa"/>
            <w:hideMark/>
          </w:tcPr>
          <w:p w:rsidR="00A05829" w:rsidRPr="00DE14FB" w:rsidRDefault="00A05829" w:rsidP="00DE14FB">
            <w:pPr>
              <w:pStyle w:val="table1"/>
              <w:rPr>
                <w:color w:val="000000"/>
                <w:u w:color="000000"/>
              </w:rPr>
            </w:pPr>
            <w:r w:rsidRPr="00DE14FB">
              <w:rPr>
                <w:color w:val="000000"/>
                <w:u w:color="000000"/>
              </w:rPr>
              <w:t>8</w:t>
            </w:r>
          </w:p>
        </w:tc>
        <w:tc>
          <w:tcPr>
            <w:tcW w:w="1134" w:type="dxa"/>
            <w:tcMar>
              <w:top w:w="0" w:type="dxa"/>
              <w:left w:w="108" w:type="dxa"/>
              <w:bottom w:w="0" w:type="dxa"/>
              <w:right w:w="108" w:type="dxa"/>
            </w:tcMar>
            <w:hideMark/>
          </w:tcPr>
          <w:p w:rsidR="00A05829" w:rsidRPr="00DE14FB" w:rsidRDefault="00A05829" w:rsidP="00DE14FB">
            <w:pPr>
              <w:pStyle w:val="table1"/>
              <w:rPr>
                <w:color w:val="000000"/>
                <w:u w:color="000000"/>
              </w:rPr>
            </w:pPr>
            <w:r w:rsidRPr="00DE14FB">
              <w:rPr>
                <w:color w:val="000000"/>
                <w:u w:color="000000"/>
              </w:rPr>
              <w:t>2.94</w:t>
            </w:r>
          </w:p>
        </w:tc>
        <w:tc>
          <w:tcPr>
            <w:tcW w:w="850" w:type="dxa"/>
            <w:hideMark/>
          </w:tcPr>
          <w:p w:rsidR="00A05829" w:rsidRPr="00DE14FB" w:rsidRDefault="00A05829" w:rsidP="00DE14FB">
            <w:pPr>
              <w:pStyle w:val="table1"/>
              <w:rPr>
                <w:color w:val="000000"/>
                <w:u w:color="000000"/>
              </w:rPr>
            </w:pPr>
            <w:r w:rsidRPr="00DE14FB">
              <w:rPr>
                <w:color w:val="000000"/>
                <w:u w:color="000000"/>
              </w:rPr>
              <w:t>3</w:t>
            </w:r>
          </w:p>
        </w:tc>
        <w:tc>
          <w:tcPr>
            <w:tcW w:w="992" w:type="dxa"/>
            <w:gridSpan w:val="2"/>
          </w:tcPr>
          <w:p w:rsidR="00A05829" w:rsidRPr="00DE14FB" w:rsidRDefault="00A05829" w:rsidP="00DE14FB">
            <w:pPr>
              <w:pStyle w:val="table1"/>
              <w:rPr>
                <w:color w:val="000000"/>
                <w:u w:color="000000"/>
              </w:rPr>
            </w:pPr>
            <w:r w:rsidRPr="00DE14FB">
              <w:rPr>
                <w:color w:val="000000"/>
                <w:u w:color="000000"/>
              </w:rPr>
              <w:t>0.9</w:t>
            </w:r>
          </w:p>
        </w:tc>
        <w:tc>
          <w:tcPr>
            <w:tcW w:w="709" w:type="dxa"/>
          </w:tcPr>
          <w:p w:rsidR="00A05829" w:rsidRPr="00DE14FB" w:rsidRDefault="00A05829" w:rsidP="00DE14FB">
            <w:pPr>
              <w:pStyle w:val="table1"/>
              <w:rPr>
                <w:color w:val="000000"/>
                <w:u w:color="000000"/>
              </w:rPr>
            </w:pPr>
            <w:r w:rsidRPr="00DE14FB">
              <w:rPr>
                <w:color w:val="000000"/>
                <w:u w:color="000000"/>
              </w:rPr>
              <w:t>9</w:t>
            </w:r>
          </w:p>
        </w:tc>
      </w:tr>
      <w:tr w:rsidR="00A05829" w:rsidTr="00224F8A">
        <w:tc>
          <w:tcPr>
            <w:tcW w:w="2410" w:type="dxa"/>
            <w:tcMar>
              <w:top w:w="0" w:type="dxa"/>
              <w:left w:w="108" w:type="dxa"/>
              <w:bottom w:w="0" w:type="dxa"/>
              <w:right w:w="108" w:type="dxa"/>
            </w:tcMar>
            <w:hideMark/>
          </w:tcPr>
          <w:p w:rsidR="00A05829" w:rsidRPr="00DE14FB" w:rsidRDefault="00A05829" w:rsidP="00DE14FB">
            <w:pPr>
              <w:pStyle w:val="table1"/>
              <w:rPr>
                <w:color w:val="000000"/>
                <w:u w:color="000000"/>
              </w:rPr>
            </w:pPr>
            <w:r w:rsidRPr="00DE14FB">
              <w:rPr>
                <w:color w:val="000000"/>
                <w:u w:color="000000"/>
              </w:rPr>
              <w:t>1996</w:t>
            </w:r>
          </w:p>
        </w:tc>
        <w:tc>
          <w:tcPr>
            <w:tcW w:w="1134" w:type="dxa"/>
            <w:tcMar>
              <w:top w:w="0" w:type="dxa"/>
              <w:left w:w="108" w:type="dxa"/>
              <w:bottom w:w="0" w:type="dxa"/>
              <w:right w:w="108" w:type="dxa"/>
            </w:tcMar>
            <w:hideMark/>
          </w:tcPr>
          <w:p w:rsidR="00A05829" w:rsidRPr="00DE14FB" w:rsidRDefault="00A05829" w:rsidP="00DE14FB">
            <w:pPr>
              <w:pStyle w:val="table1"/>
              <w:rPr>
                <w:color w:val="000000"/>
                <w:u w:color="000000"/>
              </w:rPr>
            </w:pPr>
            <w:r w:rsidRPr="00DE14FB">
              <w:rPr>
                <w:color w:val="000000"/>
                <w:u w:color="000000"/>
              </w:rPr>
              <w:t>59.2</w:t>
            </w:r>
          </w:p>
        </w:tc>
        <w:tc>
          <w:tcPr>
            <w:tcW w:w="709" w:type="dxa"/>
            <w:hideMark/>
          </w:tcPr>
          <w:p w:rsidR="00A05829" w:rsidRPr="00DE14FB" w:rsidRDefault="00A05829" w:rsidP="00DE14FB">
            <w:pPr>
              <w:pStyle w:val="table1"/>
              <w:rPr>
                <w:color w:val="000000"/>
                <w:u w:color="000000"/>
              </w:rPr>
            </w:pPr>
            <w:r w:rsidRPr="00DE14FB">
              <w:rPr>
                <w:color w:val="000000"/>
                <w:u w:color="000000"/>
              </w:rPr>
              <w:t>9</w:t>
            </w:r>
          </w:p>
        </w:tc>
        <w:tc>
          <w:tcPr>
            <w:tcW w:w="1134" w:type="dxa"/>
            <w:tcMar>
              <w:top w:w="0" w:type="dxa"/>
              <w:left w:w="108" w:type="dxa"/>
              <w:bottom w:w="0" w:type="dxa"/>
              <w:right w:w="108" w:type="dxa"/>
            </w:tcMar>
            <w:hideMark/>
          </w:tcPr>
          <w:p w:rsidR="00A05829" w:rsidRPr="00DE14FB" w:rsidRDefault="00A05829" w:rsidP="00DE14FB">
            <w:pPr>
              <w:pStyle w:val="table1"/>
              <w:rPr>
                <w:color w:val="000000"/>
                <w:u w:color="000000"/>
              </w:rPr>
            </w:pPr>
            <w:r w:rsidRPr="00DE14FB">
              <w:rPr>
                <w:color w:val="000000"/>
                <w:u w:color="000000"/>
              </w:rPr>
              <w:t>2.16</w:t>
            </w:r>
          </w:p>
        </w:tc>
        <w:tc>
          <w:tcPr>
            <w:tcW w:w="850" w:type="dxa"/>
            <w:hideMark/>
          </w:tcPr>
          <w:p w:rsidR="00A05829" w:rsidRPr="00DE14FB" w:rsidRDefault="00A05829" w:rsidP="00DE14FB">
            <w:pPr>
              <w:pStyle w:val="table1"/>
              <w:rPr>
                <w:color w:val="000000"/>
                <w:u w:color="000000"/>
              </w:rPr>
            </w:pPr>
            <w:r w:rsidRPr="00DE14FB">
              <w:rPr>
                <w:color w:val="000000"/>
                <w:u w:color="000000"/>
              </w:rPr>
              <w:t>4</w:t>
            </w:r>
          </w:p>
        </w:tc>
        <w:tc>
          <w:tcPr>
            <w:tcW w:w="992" w:type="dxa"/>
            <w:gridSpan w:val="2"/>
          </w:tcPr>
          <w:p w:rsidR="00A05829" w:rsidRPr="00DE14FB" w:rsidRDefault="00A05829" w:rsidP="00DE14FB">
            <w:pPr>
              <w:pStyle w:val="table1"/>
              <w:rPr>
                <w:color w:val="000000"/>
                <w:u w:color="000000"/>
              </w:rPr>
            </w:pPr>
            <w:r w:rsidRPr="00DE14FB">
              <w:rPr>
                <w:color w:val="000000"/>
                <w:u w:color="000000"/>
              </w:rPr>
              <w:t>0.51</w:t>
            </w:r>
          </w:p>
        </w:tc>
        <w:tc>
          <w:tcPr>
            <w:tcW w:w="709" w:type="dxa"/>
          </w:tcPr>
          <w:p w:rsidR="00A05829" w:rsidRPr="00DE14FB" w:rsidRDefault="00A05829" w:rsidP="00DE14FB">
            <w:pPr>
              <w:pStyle w:val="table1"/>
              <w:rPr>
                <w:color w:val="000000"/>
                <w:u w:color="000000"/>
              </w:rPr>
            </w:pPr>
            <w:r w:rsidRPr="00DE14FB">
              <w:rPr>
                <w:color w:val="000000"/>
                <w:u w:color="000000"/>
              </w:rPr>
              <w:t>8</w:t>
            </w:r>
          </w:p>
        </w:tc>
      </w:tr>
      <w:tr w:rsidR="00A05829" w:rsidTr="00224F8A">
        <w:tc>
          <w:tcPr>
            <w:tcW w:w="2410" w:type="dxa"/>
            <w:tcMar>
              <w:top w:w="0" w:type="dxa"/>
              <w:left w:w="108" w:type="dxa"/>
              <w:bottom w:w="0" w:type="dxa"/>
              <w:right w:w="108" w:type="dxa"/>
            </w:tcMar>
            <w:hideMark/>
          </w:tcPr>
          <w:p w:rsidR="00A05829" w:rsidRPr="00DE14FB" w:rsidRDefault="00A05829" w:rsidP="00DE14FB">
            <w:pPr>
              <w:pStyle w:val="table1"/>
              <w:rPr>
                <w:color w:val="000000"/>
                <w:u w:color="000000"/>
              </w:rPr>
            </w:pPr>
            <w:r w:rsidRPr="00DE14FB">
              <w:rPr>
                <w:color w:val="000000"/>
                <w:u w:color="000000"/>
              </w:rPr>
              <w:t>2006</w:t>
            </w:r>
          </w:p>
        </w:tc>
        <w:tc>
          <w:tcPr>
            <w:tcW w:w="1134" w:type="dxa"/>
            <w:tcMar>
              <w:top w:w="0" w:type="dxa"/>
              <w:left w:w="108" w:type="dxa"/>
              <w:bottom w:w="0" w:type="dxa"/>
              <w:right w:w="108" w:type="dxa"/>
            </w:tcMar>
            <w:hideMark/>
          </w:tcPr>
          <w:p w:rsidR="00A05829" w:rsidRPr="00DE14FB" w:rsidRDefault="00A05829" w:rsidP="00DE14FB">
            <w:pPr>
              <w:pStyle w:val="table1"/>
              <w:rPr>
                <w:color w:val="000000"/>
                <w:u w:color="000000"/>
              </w:rPr>
            </w:pPr>
            <w:r w:rsidRPr="00DE14FB">
              <w:rPr>
                <w:color w:val="000000"/>
                <w:u w:color="000000"/>
              </w:rPr>
              <w:t>69.0</w:t>
            </w:r>
          </w:p>
        </w:tc>
        <w:tc>
          <w:tcPr>
            <w:tcW w:w="709" w:type="dxa"/>
            <w:hideMark/>
          </w:tcPr>
          <w:p w:rsidR="00A05829" w:rsidRPr="00DE14FB" w:rsidRDefault="00A05829" w:rsidP="00DE14FB">
            <w:pPr>
              <w:pStyle w:val="table1"/>
              <w:rPr>
                <w:color w:val="000000"/>
                <w:u w:color="000000"/>
              </w:rPr>
            </w:pPr>
            <w:r w:rsidRPr="00DE14FB">
              <w:rPr>
                <w:color w:val="000000"/>
                <w:u w:color="000000"/>
              </w:rPr>
              <w:t>5</w:t>
            </w:r>
          </w:p>
        </w:tc>
        <w:tc>
          <w:tcPr>
            <w:tcW w:w="1134" w:type="dxa"/>
            <w:tcMar>
              <w:top w:w="0" w:type="dxa"/>
              <w:left w:w="108" w:type="dxa"/>
              <w:bottom w:w="0" w:type="dxa"/>
              <w:right w:w="108" w:type="dxa"/>
            </w:tcMar>
            <w:hideMark/>
          </w:tcPr>
          <w:p w:rsidR="00A05829" w:rsidRPr="00DE14FB" w:rsidRDefault="00A05829" w:rsidP="00DE14FB">
            <w:pPr>
              <w:pStyle w:val="table1"/>
              <w:rPr>
                <w:color w:val="000000"/>
                <w:u w:color="000000"/>
              </w:rPr>
            </w:pPr>
            <w:r w:rsidRPr="00DE14FB">
              <w:rPr>
                <w:color w:val="000000"/>
                <w:u w:color="000000"/>
              </w:rPr>
              <w:t>1.85</w:t>
            </w:r>
          </w:p>
        </w:tc>
        <w:tc>
          <w:tcPr>
            <w:tcW w:w="850" w:type="dxa"/>
            <w:hideMark/>
          </w:tcPr>
          <w:p w:rsidR="00A05829" w:rsidRPr="00DE14FB" w:rsidRDefault="00A05829" w:rsidP="00DE14FB">
            <w:pPr>
              <w:pStyle w:val="table1"/>
              <w:rPr>
                <w:color w:val="000000"/>
                <w:u w:color="000000"/>
              </w:rPr>
            </w:pPr>
            <w:r w:rsidRPr="00DE14FB">
              <w:rPr>
                <w:color w:val="000000"/>
                <w:u w:color="000000"/>
              </w:rPr>
              <w:t>5</w:t>
            </w:r>
          </w:p>
        </w:tc>
        <w:tc>
          <w:tcPr>
            <w:tcW w:w="992" w:type="dxa"/>
            <w:gridSpan w:val="2"/>
          </w:tcPr>
          <w:p w:rsidR="00A05829" w:rsidRPr="00DE14FB" w:rsidRDefault="00A05829" w:rsidP="00DE14FB">
            <w:pPr>
              <w:pStyle w:val="table1"/>
              <w:rPr>
                <w:color w:val="000000"/>
                <w:u w:color="000000"/>
              </w:rPr>
            </w:pPr>
            <w:r w:rsidRPr="00DE14FB">
              <w:rPr>
                <w:color w:val="000000"/>
                <w:u w:color="000000"/>
              </w:rPr>
              <w:t>0.37</w:t>
            </w:r>
          </w:p>
        </w:tc>
        <w:tc>
          <w:tcPr>
            <w:tcW w:w="709" w:type="dxa"/>
          </w:tcPr>
          <w:p w:rsidR="00A05829" w:rsidRPr="00DE14FB" w:rsidRDefault="00A05829" w:rsidP="00DE14FB">
            <w:pPr>
              <w:pStyle w:val="table1"/>
              <w:rPr>
                <w:color w:val="000000"/>
                <w:u w:color="000000"/>
              </w:rPr>
            </w:pPr>
            <w:r w:rsidRPr="00DE14FB">
              <w:rPr>
                <w:color w:val="000000"/>
                <w:u w:color="000000"/>
              </w:rPr>
              <w:t>5</w:t>
            </w:r>
          </w:p>
        </w:tc>
      </w:tr>
      <w:tr w:rsidR="00A05829" w:rsidTr="00224F8A">
        <w:tc>
          <w:tcPr>
            <w:tcW w:w="2410" w:type="dxa"/>
            <w:tcMar>
              <w:top w:w="0" w:type="dxa"/>
              <w:left w:w="108" w:type="dxa"/>
              <w:bottom w:w="0" w:type="dxa"/>
              <w:right w:w="108" w:type="dxa"/>
            </w:tcMar>
            <w:hideMark/>
          </w:tcPr>
          <w:p w:rsidR="00A05829" w:rsidRPr="00DE14FB" w:rsidRDefault="00A05829" w:rsidP="00DE14FB">
            <w:pPr>
              <w:pStyle w:val="table1"/>
              <w:rPr>
                <w:color w:val="000000"/>
                <w:u w:color="000000"/>
              </w:rPr>
            </w:pPr>
            <w:r w:rsidRPr="00DE14FB">
              <w:rPr>
                <w:color w:val="000000"/>
                <w:u w:color="000000"/>
              </w:rPr>
              <w:t>2008</w:t>
            </w:r>
          </w:p>
        </w:tc>
        <w:tc>
          <w:tcPr>
            <w:tcW w:w="1134" w:type="dxa"/>
            <w:tcMar>
              <w:top w:w="0" w:type="dxa"/>
              <w:left w:w="108" w:type="dxa"/>
              <w:bottom w:w="0" w:type="dxa"/>
              <w:right w:w="108" w:type="dxa"/>
            </w:tcMar>
            <w:hideMark/>
          </w:tcPr>
          <w:p w:rsidR="00A05829" w:rsidRPr="00DE14FB" w:rsidRDefault="00A05829" w:rsidP="00DE14FB">
            <w:pPr>
              <w:pStyle w:val="table1"/>
              <w:rPr>
                <w:color w:val="000000"/>
                <w:u w:color="000000"/>
              </w:rPr>
            </w:pPr>
            <w:r w:rsidRPr="00DE14FB">
              <w:rPr>
                <w:color w:val="000000"/>
                <w:u w:color="000000"/>
              </w:rPr>
              <w:t>91.6</w:t>
            </w:r>
          </w:p>
        </w:tc>
        <w:tc>
          <w:tcPr>
            <w:tcW w:w="709" w:type="dxa"/>
            <w:hideMark/>
          </w:tcPr>
          <w:p w:rsidR="00A05829" w:rsidRPr="00DE14FB" w:rsidRDefault="00A05829" w:rsidP="00DE14FB">
            <w:pPr>
              <w:pStyle w:val="table1"/>
              <w:rPr>
                <w:color w:val="000000"/>
                <w:u w:color="000000"/>
              </w:rPr>
            </w:pPr>
            <w:r w:rsidRPr="00DE14FB">
              <w:rPr>
                <w:color w:val="000000"/>
                <w:u w:color="000000"/>
              </w:rPr>
              <w:t>11</w:t>
            </w:r>
          </w:p>
        </w:tc>
        <w:tc>
          <w:tcPr>
            <w:tcW w:w="1134" w:type="dxa"/>
            <w:tcMar>
              <w:top w:w="0" w:type="dxa"/>
              <w:left w:w="108" w:type="dxa"/>
              <w:bottom w:w="0" w:type="dxa"/>
              <w:right w:w="108" w:type="dxa"/>
            </w:tcMar>
            <w:hideMark/>
          </w:tcPr>
          <w:p w:rsidR="00A05829" w:rsidRPr="00DE14FB" w:rsidRDefault="00A05829" w:rsidP="00DE14FB">
            <w:pPr>
              <w:pStyle w:val="table1"/>
              <w:rPr>
                <w:color w:val="000000"/>
                <w:u w:color="000000"/>
              </w:rPr>
            </w:pPr>
            <w:r w:rsidRPr="00DE14FB">
              <w:rPr>
                <w:color w:val="000000"/>
                <w:u w:color="000000"/>
              </w:rPr>
              <w:t>5.88</w:t>
            </w:r>
          </w:p>
        </w:tc>
        <w:tc>
          <w:tcPr>
            <w:tcW w:w="850" w:type="dxa"/>
            <w:hideMark/>
          </w:tcPr>
          <w:p w:rsidR="00A05829" w:rsidRPr="00DE14FB" w:rsidRDefault="00A05829" w:rsidP="00DE14FB">
            <w:pPr>
              <w:pStyle w:val="table1"/>
              <w:rPr>
                <w:color w:val="000000"/>
                <w:u w:color="000000"/>
              </w:rPr>
            </w:pPr>
            <w:r w:rsidRPr="00DE14FB">
              <w:rPr>
                <w:color w:val="000000"/>
                <w:u w:color="000000"/>
              </w:rPr>
              <w:t>11</w:t>
            </w:r>
          </w:p>
        </w:tc>
        <w:tc>
          <w:tcPr>
            <w:tcW w:w="992" w:type="dxa"/>
            <w:gridSpan w:val="2"/>
          </w:tcPr>
          <w:p w:rsidR="00A05829" w:rsidRPr="00DE14FB" w:rsidRDefault="00A05829" w:rsidP="00DE14FB">
            <w:pPr>
              <w:pStyle w:val="table1"/>
              <w:rPr>
                <w:color w:val="000000"/>
                <w:u w:color="000000"/>
              </w:rPr>
            </w:pPr>
            <w:r w:rsidRPr="00DE14FB">
              <w:rPr>
                <w:color w:val="000000"/>
                <w:u w:color="000000"/>
              </w:rPr>
              <w:t>0.46</w:t>
            </w:r>
          </w:p>
        </w:tc>
        <w:tc>
          <w:tcPr>
            <w:tcW w:w="709" w:type="dxa"/>
          </w:tcPr>
          <w:p w:rsidR="00A05829" w:rsidRPr="00DE14FB" w:rsidRDefault="00A05829" w:rsidP="00DE14FB">
            <w:pPr>
              <w:pStyle w:val="table1"/>
              <w:rPr>
                <w:color w:val="000000"/>
                <w:u w:color="000000"/>
              </w:rPr>
            </w:pPr>
            <w:r w:rsidRPr="00DE14FB">
              <w:rPr>
                <w:color w:val="000000"/>
                <w:u w:color="000000"/>
              </w:rPr>
              <w:t>11</w:t>
            </w:r>
          </w:p>
        </w:tc>
      </w:tr>
      <w:tr w:rsidR="00A05829" w:rsidTr="00224F8A">
        <w:tc>
          <w:tcPr>
            <w:tcW w:w="2410" w:type="dxa"/>
            <w:tcMar>
              <w:top w:w="0" w:type="dxa"/>
              <w:left w:w="108" w:type="dxa"/>
              <w:bottom w:w="0" w:type="dxa"/>
              <w:right w:w="108" w:type="dxa"/>
            </w:tcMar>
            <w:hideMark/>
          </w:tcPr>
          <w:p w:rsidR="00A05829" w:rsidRPr="00DE14FB" w:rsidRDefault="00A05829" w:rsidP="00DE14FB">
            <w:pPr>
              <w:pStyle w:val="table1"/>
              <w:rPr>
                <w:color w:val="000000"/>
                <w:u w:color="000000"/>
              </w:rPr>
            </w:pPr>
            <w:r w:rsidRPr="00DE14FB">
              <w:rPr>
                <w:color w:val="000000"/>
                <w:u w:color="000000"/>
              </w:rPr>
              <w:t>2010</w:t>
            </w:r>
          </w:p>
        </w:tc>
        <w:tc>
          <w:tcPr>
            <w:tcW w:w="1134" w:type="dxa"/>
            <w:tcMar>
              <w:top w:w="0" w:type="dxa"/>
              <w:left w:w="108" w:type="dxa"/>
              <w:bottom w:w="0" w:type="dxa"/>
              <w:right w:w="108" w:type="dxa"/>
            </w:tcMar>
            <w:hideMark/>
          </w:tcPr>
          <w:p w:rsidR="00A05829" w:rsidRPr="00DE14FB" w:rsidRDefault="00A05829" w:rsidP="00DE14FB">
            <w:pPr>
              <w:pStyle w:val="table1"/>
              <w:rPr>
                <w:color w:val="000000"/>
                <w:u w:color="000000"/>
              </w:rPr>
            </w:pPr>
            <w:r w:rsidRPr="00DE14FB">
              <w:rPr>
                <w:color w:val="000000"/>
                <w:u w:color="000000"/>
              </w:rPr>
              <w:t>128.3</w:t>
            </w:r>
          </w:p>
        </w:tc>
        <w:tc>
          <w:tcPr>
            <w:tcW w:w="709" w:type="dxa"/>
            <w:hideMark/>
          </w:tcPr>
          <w:p w:rsidR="00A05829" w:rsidRPr="00DE14FB" w:rsidRDefault="00A05829" w:rsidP="00DE14FB">
            <w:pPr>
              <w:pStyle w:val="table1"/>
              <w:rPr>
                <w:color w:val="000000"/>
                <w:u w:color="000000"/>
              </w:rPr>
            </w:pPr>
            <w:r w:rsidRPr="00DE14FB">
              <w:rPr>
                <w:color w:val="000000"/>
                <w:u w:color="000000"/>
              </w:rPr>
              <w:t>25</w:t>
            </w:r>
          </w:p>
        </w:tc>
        <w:tc>
          <w:tcPr>
            <w:tcW w:w="1134" w:type="dxa"/>
            <w:tcMar>
              <w:top w:w="0" w:type="dxa"/>
              <w:left w:w="108" w:type="dxa"/>
              <w:bottom w:w="0" w:type="dxa"/>
              <w:right w:w="108" w:type="dxa"/>
            </w:tcMar>
            <w:hideMark/>
          </w:tcPr>
          <w:p w:rsidR="00A05829" w:rsidRPr="00DE14FB" w:rsidRDefault="00A05829" w:rsidP="00DE14FB">
            <w:pPr>
              <w:pStyle w:val="table1"/>
              <w:rPr>
                <w:color w:val="000000"/>
                <w:u w:color="000000"/>
              </w:rPr>
            </w:pPr>
            <w:r w:rsidRPr="00DE14FB">
              <w:rPr>
                <w:color w:val="000000"/>
                <w:u w:color="000000"/>
              </w:rPr>
              <w:t>8.60</w:t>
            </w:r>
          </w:p>
        </w:tc>
        <w:tc>
          <w:tcPr>
            <w:tcW w:w="850" w:type="dxa"/>
            <w:hideMark/>
          </w:tcPr>
          <w:p w:rsidR="00A05829" w:rsidRPr="00DE14FB" w:rsidRDefault="00A05829" w:rsidP="00DE14FB">
            <w:pPr>
              <w:pStyle w:val="table1"/>
              <w:rPr>
                <w:color w:val="000000"/>
                <w:u w:color="000000"/>
              </w:rPr>
            </w:pPr>
            <w:r w:rsidRPr="00DE14FB">
              <w:rPr>
                <w:color w:val="000000"/>
                <w:u w:color="000000"/>
              </w:rPr>
              <w:t>25</w:t>
            </w:r>
          </w:p>
        </w:tc>
        <w:tc>
          <w:tcPr>
            <w:tcW w:w="992" w:type="dxa"/>
            <w:gridSpan w:val="2"/>
          </w:tcPr>
          <w:p w:rsidR="00A05829" w:rsidRPr="00DE14FB" w:rsidRDefault="00A05829" w:rsidP="00DE14FB">
            <w:pPr>
              <w:pStyle w:val="table1"/>
              <w:rPr>
                <w:color w:val="000000"/>
                <w:u w:color="000000"/>
              </w:rPr>
            </w:pPr>
            <w:r w:rsidRPr="00DE14FB">
              <w:rPr>
                <w:color w:val="000000"/>
                <w:u w:color="000000"/>
              </w:rPr>
              <w:t>0.38</w:t>
            </w:r>
          </w:p>
        </w:tc>
        <w:tc>
          <w:tcPr>
            <w:tcW w:w="709" w:type="dxa"/>
          </w:tcPr>
          <w:p w:rsidR="00A05829" w:rsidRPr="00DE14FB" w:rsidRDefault="00A05829" w:rsidP="00DE14FB">
            <w:pPr>
              <w:pStyle w:val="table1"/>
              <w:rPr>
                <w:color w:val="000000"/>
                <w:u w:color="000000"/>
              </w:rPr>
            </w:pPr>
            <w:r w:rsidRPr="00DE14FB">
              <w:rPr>
                <w:color w:val="000000"/>
                <w:u w:color="000000"/>
              </w:rPr>
              <w:t>25</w:t>
            </w:r>
          </w:p>
        </w:tc>
      </w:tr>
      <w:tr w:rsidR="00A05829" w:rsidTr="00224F8A">
        <w:tc>
          <w:tcPr>
            <w:tcW w:w="2410" w:type="dxa"/>
            <w:tcBorders>
              <w:bottom w:val="single" w:sz="4" w:space="0" w:color="auto"/>
            </w:tcBorders>
            <w:tcMar>
              <w:top w:w="0" w:type="dxa"/>
              <w:left w:w="108" w:type="dxa"/>
              <w:bottom w:w="0" w:type="dxa"/>
              <w:right w:w="108" w:type="dxa"/>
            </w:tcMar>
            <w:hideMark/>
          </w:tcPr>
          <w:p w:rsidR="00A05829" w:rsidRPr="00DE14FB" w:rsidRDefault="00A05829" w:rsidP="00DE14FB">
            <w:pPr>
              <w:pStyle w:val="table1"/>
              <w:rPr>
                <w:color w:val="000000"/>
                <w:u w:color="000000"/>
              </w:rPr>
            </w:pPr>
            <w:r w:rsidRPr="00DE14FB">
              <w:rPr>
                <w:color w:val="000000"/>
                <w:u w:color="000000"/>
              </w:rPr>
              <w:t>2012</w:t>
            </w:r>
          </w:p>
        </w:tc>
        <w:tc>
          <w:tcPr>
            <w:tcW w:w="1134" w:type="dxa"/>
            <w:tcBorders>
              <w:bottom w:val="single" w:sz="4" w:space="0" w:color="auto"/>
            </w:tcBorders>
            <w:tcMar>
              <w:top w:w="0" w:type="dxa"/>
              <w:left w:w="108" w:type="dxa"/>
              <w:bottom w:w="0" w:type="dxa"/>
              <w:right w:w="108" w:type="dxa"/>
            </w:tcMar>
            <w:hideMark/>
          </w:tcPr>
          <w:p w:rsidR="00A05829" w:rsidRPr="00DE14FB" w:rsidRDefault="00A05829" w:rsidP="00DE14FB">
            <w:pPr>
              <w:pStyle w:val="table1"/>
              <w:rPr>
                <w:color w:val="000000"/>
                <w:u w:color="000000"/>
              </w:rPr>
            </w:pPr>
            <w:r w:rsidRPr="00DE14FB">
              <w:rPr>
                <w:color w:val="000000"/>
                <w:u w:color="000000"/>
              </w:rPr>
              <w:t>95.1</w:t>
            </w:r>
          </w:p>
        </w:tc>
        <w:tc>
          <w:tcPr>
            <w:tcW w:w="709" w:type="dxa"/>
            <w:tcBorders>
              <w:bottom w:val="single" w:sz="4" w:space="0" w:color="auto"/>
            </w:tcBorders>
            <w:hideMark/>
          </w:tcPr>
          <w:p w:rsidR="00A05829" w:rsidRPr="00DE14FB" w:rsidRDefault="00A05829" w:rsidP="00DE14FB">
            <w:pPr>
              <w:pStyle w:val="table1"/>
              <w:rPr>
                <w:color w:val="000000"/>
                <w:u w:color="000000"/>
              </w:rPr>
            </w:pPr>
            <w:r w:rsidRPr="00DE14FB">
              <w:rPr>
                <w:color w:val="000000"/>
                <w:u w:color="000000"/>
              </w:rPr>
              <w:t>35</w:t>
            </w:r>
          </w:p>
        </w:tc>
        <w:tc>
          <w:tcPr>
            <w:tcW w:w="1134" w:type="dxa"/>
            <w:tcBorders>
              <w:bottom w:val="single" w:sz="4" w:space="0" w:color="auto"/>
            </w:tcBorders>
            <w:tcMar>
              <w:top w:w="0" w:type="dxa"/>
              <w:left w:w="108" w:type="dxa"/>
              <w:bottom w:w="0" w:type="dxa"/>
              <w:right w:w="108" w:type="dxa"/>
            </w:tcMar>
            <w:hideMark/>
          </w:tcPr>
          <w:p w:rsidR="00A05829" w:rsidRPr="00DE14FB" w:rsidRDefault="00A05829" w:rsidP="00DE14FB">
            <w:pPr>
              <w:pStyle w:val="table1"/>
              <w:rPr>
                <w:color w:val="000000"/>
                <w:u w:color="000000"/>
              </w:rPr>
            </w:pPr>
            <w:r w:rsidRPr="00DE14FB">
              <w:rPr>
                <w:color w:val="000000"/>
                <w:u w:color="000000"/>
              </w:rPr>
              <w:t>4.65</w:t>
            </w:r>
          </w:p>
        </w:tc>
        <w:tc>
          <w:tcPr>
            <w:tcW w:w="850" w:type="dxa"/>
            <w:tcBorders>
              <w:bottom w:val="single" w:sz="4" w:space="0" w:color="auto"/>
            </w:tcBorders>
            <w:hideMark/>
          </w:tcPr>
          <w:p w:rsidR="00A05829" w:rsidRPr="00DE14FB" w:rsidRDefault="00A05829" w:rsidP="00DE14FB">
            <w:pPr>
              <w:pStyle w:val="table1"/>
              <w:rPr>
                <w:color w:val="000000"/>
                <w:u w:color="000000"/>
              </w:rPr>
            </w:pPr>
            <w:r w:rsidRPr="00DE14FB">
              <w:rPr>
                <w:color w:val="000000"/>
                <w:u w:color="000000"/>
              </w:rPr>
              <w:t>30</w:t>
            </w:r>
          </w:p>
        </w:tc>
        <w:tc>
          <w:tcPr>
            <w:tcW w:w="992" w:type="dxa"/>
            <w:gridSpan w:val="2"/>
            <w:tcBorders>
              <w:bottom w:val="single" w:sz="4" w:space="0" w:color="auto"/>
            </w:tcBorders>
          </w:tcPr>
          <w:p w:rsidR="00A05829" w:rsidRPr="00DE14FB" w:rsidRDefault="00A05829" w:rsidP="00DE14FB">
            <w:pPr>
              <w:pStyle w:val="table1"/>
              <w:rPr>
                <w:color w:val="000000"/>
                <w:u w:color="000000"/>
              </w:rPr>
            </w:pPr>
            <w:r w:rsidRPr="00DE14FB">
              <w:rPr>
                <w:color w:val="000000"/>
                <w:u w:color="000000"/>
              </w:rPr>
              <w:t>0.46</w:t>
            </w:r>
          </w:p>
        </w:tc>
        <w:tc>
          <w:tcPr>
            <w:tcW w:w="709" w:type="dxa"/>
            <w:tcBorders>
              <w:bottom w:val="single" w:sz="4" w:space="0" w:color="auto"/>
            </w:tcBorders>
          </w:tcPr>
          <w:p w:rsidR="00A05829" w:rsidRPr="00DE14FB" w:rsidRDefault="00A05829" w:rsidP="00DE14FB">
            <w:pPr>
              <w:pStyle w:val="table1"/>
              <w:rPr>
                <w:color w:val="000000"/>
                <w:u w:color="000000"/>
              </w:rPr>
            </w:pPr>
            <w:r w:rsidRPr="00DE14FB">
              <w:rPr>
                <w:color w:val="000000"/>
                <w:u w:color="000000"/>
              </w:rPr>
              <w:t>23</w:t>
            </w:r>
          </w:p>
        </w:tc>
      </w:tr>
      <w:tr w:rsidR="00A05829" w:rsidRPr="00D40DAA" w:rsidTr="00224F8A">
        <w:tc>
          <w:tcPr>
            <w:tcW w:w="6237" w:type="dxa"/>
            <w:gridSpan w:val="5"/>
            <w:tcBorders>
              <w:top w:val="single" w:sz="4" w:space="0" w:color="auto"/>
            </w:tcBorders>
            <w:tcMar>
              <w:top w:w="0" w:type="dxa"/>
              <w:left w:w="108" w:type="dxa"/>
              <w:bottom w:w="0" w:type="dxa"/>
              <w:right w:w="108" w:type="dxa"/>
            </w:tcMar>
            <w:hideMark/>
          </w:tcPr>
          <w:p w:rsidR="00A05829" w:rsidRPr="00DE14FB" w:rsidRDefault="00A05829" w:rsidP="00DE14FB">
            <w:pPr>
              <w:pStyle w:val="table1"/>
              <w:rPr>
                <w:color w:val="000000"/>
                <w:u w:color="000000"/>
              </w:rPr>
            </w:pPr>
            <w:r w:rsidRPr="00DE14FB">
              <w:rPr>
                <w:color w:val="000000"/>
                <w:u w:color="000000"/>
              </w:rPr>
              <w:t>Average of wet and dry season median values</w:t>
            </w:r>
          </w:p>
        </w:tc>
        <w:tc>
          <w:tcPr>
            <w:tcW w:w="851" w:type="dxa"/>
            <w:tcBorders>
              <w:top w:val="single" w:sz="4" w:space="0" w:color="auto"/>
            </w:tcBorders>
          </w:tcPr>
          <w:p w:rsidR="00A05829" w:rsidRPr="00DE14FB" w:rsidRDefault="00A05829" w:rsidP="00DE14FB">
            <w:pPr>
              <w:pStyle w:val="table1"/>
              <w:rPr>
                <w:color w:val="000000"/>
                <w:u w:color="000000"/>
              </w:rPr>
            </w:pPr>
          </w:p>
        </w:tc>
        <w:tc>
          <w:tcPr>
            <w:tcW w:w="850" w:type="dxa"/>
            <w:gridSpan w:val="2"/>
            <w:tcBorders>
              <w:top w:val="single" w:sz="4" w:space="0" w:color="auto"/>
            </w:tcBorders>
          </w:tcPr>
          <w:p w:rsidR="00A05829" w:rsidRPr="00DE14FB" w:rsidRDefault="00A05829" w:rsidP="00DE14FB">
            <w:pPr>
              <w:pStyle w:val="table1"/>
              <w:rPr>
                <w:color w:val="000000"/>
                <w:u w:color="000000"/>
              </w:rPr>
            </w:pPr>
          </w:p>
        </w:tc>
      </w:tr>
      <w:tr w:rsidR="00A05829" w:rsidTr="00224F8A">
        <w:tc>
          <w:tcPr>
            <w:tcW w:w="2410" w:type="dxa"/>
            <w:tcMar>
              <w:top w:w="0" w:type="dxa"/>
              <w:left w:w="108" w:type="dxa"/>
              <w:bottom w:w="0" w:type="dxa"/>
              <w:right w:w="108" w:type="dxa"/>
            </w:tcMar>
            <w:hideMark/>
          </w:tcPr>
          <w:p w:rsidR="00A05829" w:rsidRPr="00DE14FB" w:rsidRDefault="00A05829" w:rsidP="00DE14FB">
            <w:pPr>
              <w:pStyle w:val="table1"/>
              <w:rPr>
                <w:color w:val="000000"/>
                <w:u w:color="000000"/>
              </w:rPr>
            </w:pPr>
            <w:r w:rsidRPr="00DE14FB">
              <w:rPr>
                <w:color w:val="000000"/>
                <w:u w:color="000000"/>
              </w:rPr>
              <w:t>1995</w:t>
            </w:r>
          </w:p>
        </w:tc>
        <w:tc>
          <w:tcPr>
            <w:tcW w:w="1134" w:type="dxa"/>
            <w:tcMar>
              <w:top w:w="0" w:type="dxa"/>
              <w:left w:w="108" w:type="dxa"/>
              <w:bottom w:w="0" w:type="dxa"/>
              <w:right w:w="108" w:type="dxa"/>
            </w:tcMar>
            <w:hideMark/>
          </w:tcPr>
          <w:p w:rsidR="00A05829" w:rsidRPr="00DE14FB" w:rsidRDefault="00A05829" w:rsidP="00DE14FB">
            <w:pPr>
              <w:pStyle w:val="table1"/>
              <w:rPr>
                <w:color w:val="000000"/>
                <w:u w:color="000000"/>
              </w:rPr>
            </w:pPr>
            <w:r w:rsidRPr="00DE14FB">
              <w:rPr>
                <w:color w:val="000000"/>
                <w:u w:color="000000"/>
              </w:rPr>
              <w:t>54.1</w:t>
            </w:r>
          </w:p>
        </w:tc>
        <w:tc>
          <w:tcPr>
            <w:tcW w:w="709" w:type="dxa"/>
            <w:hideMark/>
          </w:tcPr>
          <w:p w:rsidR="00A05829" w:rsidRPr="00DE14FB" w:rsidRDefault="00A05829" w:rsidP="00DE14FB">
            <w:pPr>
              <w:pStyle w:val="table1"/>
              <w:rPr>
                <w:color w:val="000000"/>
                <w:u w:color="000000"/>
              </w:rPr>
            </w:pPr>
          </w:p>
        </w:tc>
        <w:tc>
          <w:tcPr>
            <w:tcW w:w="1134" w:type="dxa"/>
            <w:tcMar>
              <w:top w:w="0" w:type="dxa"/>
              <w:left w:w="108" w:type="dxa"/>
              <w:bottom w:w="0" w:type="dxa"/>
              <w:right w:w="108" w:type="dxa"/>
            </w:tcMar>
            <w:hideMark/>
          </w:tcPr>
          <w:p w:rsidR="00A05829" w:rsidRPr="00DE14FB" w:rsidRDefault="00A05829" w:rsidP="00DE14FB">
            <w:pPr>
              <w:pStyle w:val="table1"/>
              <w:rPr>
                <w:color w:val="000000"/>
                <w:u w:color="000000"/>
              </w:rPr>
            </w:pPr>
            <w:r w:rsidRPr="00DE14FB">
              <w:rPr>
                <w:color w:val="000000"/>
                <w:u w:color="000000"/>
              </w:rPr>
              <w:t>1.98</w:t>
            </w:r>
          </w:p>
        </w:tc>
        <w:tc>
          <w:tcPr>
            <w:tcW w:w="850" w:type="dxa"/>
            <w:hideMark/>
          </w:tcPr>
          <w:p w:rsidR="00A05829" w:rsidRPr="00DE14FB" w:rsidRDefault="00A05829" w:rsidP="00DE14FB">
            <w:pPr>
              <w:pStyle w:val="table1"/>
              <w:rPr>
                <w:color w:val="000000"/>
                <w:u w:color="000000"/>
              </w:rPr>
            </w:pPr>
          </w:p>
        </w:tc>
        <w:tc>
          <w:tcPr>
            <w:tcW w:w="992" w:type="dxa"/>
            <w:gridSpan w:val="2"/>
          </w:tcPr>
          <w:p w:rsidR="00A05829" w:rsidRPr="00DE14FB" w:rsidRDefault="00A05829" w:rsidP="00DE14FB">
            <w:pPr>
              <w:pStyle w:val="table1"/>
              <w:rPr>
                <w:color w:val="000000"/>
                <w:u w:color="000000"/>
              </w:rPr>
            </w:pPr>
            <w:r w:rsidRPr="00DE14FB">
              <w:rPr>
                <w:color w:val="000000"/>
                <w:u w:color="000000"/>
              </w:rPr>
              <w:t>0.57</w:t>
            </w:r>
          </w:p>
        </w:tc>
        <w:tc>
          <w:tcPr>
            <w:tcW w:w="709" w:type="dxa"/>
          </w:tcPr>
          <w:p w:rsidR="00A05829" w:rsidRPr="00DE14FB" w:rsidRDefault="00A05829" w:rsidP="00DE14FB">
            <w:pPr>
              <w:pStyle w:val="table1"/>
              <w:rPr>
                <w:color w:val="000000"/>
                <w:u w:color="000000"/>
              </w:rPr>
            </w:pPr>
          </w:p>
        </w:tc>
      </w:tr>
      <w:tr w:rsidR="00A05829" w:rsidTr="00224F8A">
        <w:tc>
          <w:tcPr>
            <w:tcW w:w="2410" w:type="dxa"/>
            <w:tcMar>
              <w:top w:w="0" w:type="dxa"/>
              <w:left w:w="108" w:type="dxa"/>
              <w:bottom w:w="0" w:type="dxa"/>
              <w:right w:w="108" w:type="dxa"/>
            </w:tcMar>
            <w:hideMark/>
          </w:tcPr>
          <w:p w:rsidR="00A05829" w:rsidRPr="00DE14FB" w:rsidRDefault="00A05829" w:rsidP="00DE14FB">
            <w:pPr>
              <w:pStyle w:val="table1"/>
              <w:rPr>
                <w:color w:val="000000"/>
                <w:u w:color="000000"/>
              </w:rPr>
            </w:pPr>
            <w:r w:rsidRPr="00DE14FB">
              <w:rPr>
                <w:color w:val="000000"/>
                <w:u w:color="000000"/>
              </w:rPr>
              <w:t>1996</w:t>
            </w:r>
          </w:p>
        </w:tc>
        <w:tc>
          <w:tcPr>
            <w:tcW w:w="1134" w:type="dxa"/>
            <w:tcMar>
              <w:top w:w="0" w:type="dxa"/>
              <w:left w:w="108" w:type="dxa"/>
              <w:bottom w:w="0" w:type="dxa"/>
              <w:right w:w="108" w:type="dxa"/>
            </w:tcMar>
            <w:hideMark/>
          </w:tcPr>
          <w:p w:rsidR="00A05829" w:rsidRPr="00DE14FB" w:rsidRDefault="00A05829" w:rsidP="00DE14FB">
            <w:pPr>
              <w:pStyle w:val="table1"/>
              <w:rPr>
                <w:color w:val="000000"/>
                <w:u w:color="000000"/>
              </w:rPr>
            </w:pPr>
            <w:r w:rsidRPr="00DE14FB">
              <w:rPr>
                <w:color w:val="000000"/>
                <w:u w:color="000000"/>
              </w:rPr>
              <w:t>43.1</w:t>
            </w:r>
          </w:p>
        </w:tc>
        <w:tc>
          <w:tcPr>
            <w:tcW w:w="709" w:type="dxa"/>
            <w:hideMark/>
          </w:tcPr>
          <w:p w:rsidR="00A05829" w:rsidRPr="00DE14FB" w:rsidRDefault="00A05829" w:rsidP="00DE14FB">
            <w:pPr>
              <w:pStyle w:val="table1"/>
              <w:rPr>
                <w:color w:val="000000"/>
                <w:u w:color="000000"/>
              </w:rPr>
            </w:pPr>
          </w:p>
        </w:tc>
        <w:tc>
          <w:tcPr>
            <w:tcW w:w="1134" w:type="dxa"/>
            <w:tcMar>
              <w:top w:w="0" w:type="dxa"/>
              <w:left w:w="108" w:type="dxa"/>
              <w:bottom w:w="0" w:type="dxa"/>
              <w:right w:w="108" w:type="dxa"/>
            </w:tcMar>
            <w:hideMark/>
          </w:tcPr>
          <w:p w:rsidR="00A05829" w:rsidRPr="00DE14FB" w:rsidRDefault="00A05829" w:rsidP="00DE14FB">
            <w:pPr>
              <w:pStyle w:val="table1"/>
              <w:rPr>
                <w:color w:val="000000"/>
                <w:u w:color="000000"/>
              </w:rPr>
            </w:pPr>
            <w:r w:rsidRPr="00DE14FB">
              <w:rPr>
                <w:color w:val="000000"/>
                <w:u w:color="000000"/>
              </w:rPr>
              <w:t>1.57</w:t>
            </w:r>
          </w:p>
        </w:tc>
        <w:tc>
          <w:tcPr>
            <w:tcW w:w="850" w:type="dxa"/>
            <w:hideMark/>
          </w:tcPr>
          <w:p w:rsidR="00A05829" w:rsidRPr="00DE14FB" w:rsidRDefault="00A05829" w:rsidP="00DE14FB">
            <w:pPr>
              <w:pStyle w:val="table1"/>
              <w:rPr>
                <w:color w:val="000000"/>
                <w:u w:color="000000"/>
              </w:rPr>
            </w:pPr>
          </w:p>
        </w:tc>
        <w:tc>
          <w:tcPr>
            <w:tcW w:w="992" w:type="dxa"/>
            <w:gridSpan w:val="2"/>
          </w:tcPr>
          <w:p w:rsidR="00A05829" w:rsidRPr="00DE14FB" w:rsidRDefault="00A05829" w:rsidP="00DE14FB">
            <w:pPr>
              <w:pStyle w:val="table1"/>
              <w:rPr>
                <w:color w:val="000000"/>
                <w:u w:color="000000"/>
              </w:rPr>
            </w:pPr>
            <w:r w:rsidRPr="00DE14FB">
              <w:rPr>
                <w:color w:val="000000"/>
                <w:u w:color="000000"/>
              </w:rPr>
              <w:t>0.43</w:t>
            </w:r>
          </w:p>
        </w:tc>
        <w:tc>
          <w:tcPr>
            <w:tcW w:w="709" w:type="dxa"/>
          </w:tcPr>
          <w:p w:rsidR="00A05829" w:rsidRPr="00DE14FB" w:rsidRDefault="00A05829" w:rsidP="00DE14FB">
            <w:pPr>
              <w:pStyle w:val="table1"/>
              <w:rPr>
                <w:color w:val="000000"/>
                <w:u w:color="000000"/>
              </w:rPr>
            </w:pPr>
          </w:p>
        </w:tc>
      </w:tr>
      <w:tr w:rsidR="00A05829" w:rsidTr="00224F8A">
        <w:tc>
          <w:tcPr>
            <w:tcW w:w="2410" w:type="dxa"/>
            <w:tcMar>
              <w:top w:w="0" w:type="dxa"/>
              <w:left w:w="108" w:type="dxa"/>
              <w:bottom w:w="0" w:type="dxa"/>
              <w:right w:w="108" w:type="dxa"/>
            </w:tcMar>
            <w:hideMark/>
          </w:tcPr>
          <w:p w:rsidR="00A05829" w:rsidRPr="00DE14FB" w:rsidRDefault="00A05829" w:rsidP="00DE14FB">
            <w:pPr>
              <w:pStyle w:val="table1"/>
              <w:rPr>
                <w:color w:val="000000"/>
                <w:u w:color="000000"/>
              </w:rPr>
            </w:pPr>
            <w:r w:rsidRPr="00DE14FB">
              <w:rPr>
                <w:color w:val="000000"/>
                <w:u w:color="000000"/>
              </w:rPr>
              <w:t>2006</w:t>
            </w:r>
          </w:p>
        </w:tc>
        <w:tc>
          <w:tcPr>
            <w:tcW w:w="1134" w:type="dxa"/>
            <w:tcMar>
              <w:top w:w="0" w:type="dxa"/>
              <w:left w:w="108" w:type="dxa"/>
              <w:bottom w:w="0" w:type="dxa"/>
              <w:right w:w="108" w:type="dxa"/>
            </w:tcMar>
            <w:hideMark/>
          </w:tcPr>
          <w:p w:rsidR="00A05829" w:rsidRPr="00DE14FB" w:rsidRDefault="00A05829" w:rsidP="00DE14FB">
            <w:pPr>
              <w:pStyle w:val="table1"/>
              <w:rPr>
                <w:color w:val="000000"/>
                <w:u w:color="000000"/>
              </w:rPr>
            </w:pPr>
            <w:r w:rsidRPr="00DE14FB">
              <w:rPr>
                <w:color w:val="000000"/>
                <w:u w:color="000000"/>
              </w:rPr>
              <w:t>51.4</w:t>
            </w:r>
          </w:p>
        </w:tc>
        <w:tc>
          <w:tcPr>
            <w:tcW w:w="709" w:type="dxa"/>
            <w:hideMark/>
          </w:tcPr>
          <w:p w:rsidR="00A05829" w:rsidRPr="00DE14FB" w:rsidRDefault="00A05829" w:rsidP="00DE14FB">
            <w:pPr>
              <w:pStyle w:val="table1"/>
              <w:rPr>
                <w:color w:val="000000"/>
                <w:u w:color="000000"/>
              </w:rPr>
            </w:pPr>
          </w:p>
        </w:tc>
        <w:tc>
          <w:tcPr>
            <w:tcW w:w="1134" w:type="dxa"/>
            <w:tcMar>
              <w:top w:w="0" w:type="dxa"/>
              <w:left w:w="108" w:type="dxa"/>
              <w:bottom w:w="0" w:type="dxa"/>
              <w:right w:w="108" w:type="dxa"/>
            </w:tcMar>
            <w:hideMark/>
          </w:tcPr>
          <w:p w:rsidR="00A05829" w:rsidRPr="00DE14FB" w:rsidRDefault="00A05829" w:rsidP="00DE14FB">
            <w:pPr>
              <w:pStyle w:val="table1"/>
              <w:rPr>
                <w:color w:val="000000"/>
                <w:u w:color="000000"/>
              </w:rPr>
            </w:pPr>
            <w:r w:rsidRPr="00DE14FB">
              <w:rPr>
                <w:color w:val="000000"/>
                <w:u w:color="000000"/>
              </w:rPr>
              <w:t>2.05</w:t>
            </w:r>
          </w:p>
        </w:tc>
        <w:tc>
          <w:tcPr>
            <w:tcW w:w="850" w:type="dxa"/>
            <w:hideMark/>
          </w:tcPr>
          <w:p w:rsidR="00A05829" w:rsidRPr="00DE14FB" w:rsidRDefault="00A05829" w:rsidP="00DE14FB">
            <w:pPr>
              <w:pStyle w:val="table1"/>
              <w:rPr>
                <w:color w:val="000000"/>
                <w:u w:color="000000"/>
              </w:rPr>
            </w:pPr>
          </w:p>
        </w:tc>
        <w:tc>
          <w:tcPr>
            <w:tcW w:w="992" w:type="dxa"/>
            <w:gridSpan w:val="2"/>
          </w:tcPr>
          <w:p w:rsidR="00A05829" w:rsidRPr="00DE14FB" w:rsidRDefault="00A05829" w:rsidP="00DE14FB">
            <w:pPr>
              <w:pStyle w:val="table1"/>
              <w:rPr>
                <w:color w:val="000000"/>
                <w:u w:color="000000"/>
              </w:rPr>
            </w:pPr>
            <w:r w:rsidRPr="00DE14FB">
              <w:rPr>
                <w:color w:val="000000"/>
                <w:u w:color="000000"/>
              </w:rPr>
              <w:t>0.5</w:t>
            </w:r>
          </w:p>
        </w:tc>
        <w:tc>
          <w:tcPr>
            <w:tcW w:w="709" w:type="dxa"/>
          </w:tcPr>
          <w:p w:rsidR="00A05829" w:rsidRPr="00DE14FB" w:rsidRDefault="00A05829" w:rsidP="00DE14FB">
            <w:pPr>
              <w:pStyle w:val="table1"/>
              <w:rPr>
                <w:color w:val="000000"/>
                <w:u w:color="000000"/>
              </w:rPr>
            </w:pPr>
          </w:p>
        </w:tc>
      </w:tr>
      <w:tr w:rsidR="00A05829" w:rsidTr="00224F8A">
        <w:tc>
          <w:tcPr>
            <w:tcW w:w="2410" w:type="dxa"/>
            <w:tcMar>
              <w:top w:w="0" w:type="dxa"/>
              <w:left w:w="108" w:type="dxa"/>
              <w:bottom w:w="0" w:type="dxa"/>
              <w:right w:w="108" w:type="dxa"/>
            </w:tcMar>
            <w:hideMark/>
          </w:tcPr>
          <w:p w:rsidR="00A05829" w:rsidRPr="00DE14FB" w:rsidRDefault="00A05829" w:rsidP="00DE14FB">
            <w:pPr>
              <w:pStyle w:val="table1"/>
              <w:rPr>
                <w:color w:val="000000"/>
                <w:u w:color="000000"/>
              </w:rPr>
            </w:pPr>
            <w:r w:rsidRPr="00DE14FB">
              <w:rPr>
                <w:color w:val="000000"/>
                <w:u w:color="000000"/>
              </w:rPr>
              <w:t>2009</w:t>
            </w:r>
          </w:p>
        </w:tc>
        <w:tc>
          <w:tcPr>
            <w:tcW w:w="1134" w:type="dxa"/>
            <w:tcMar>
              <w:top w:w="0" w:type="dxa"/>
              <w:left w:w="108" w:type="dxa"/>
              <w:bottom w:w="0" w:type="dxa"/>
              <w:right w:w="108" w:type="dxa"/>
            </w:tcMar>
            <w:hideMark/>
          </w:tcPr>
          <w:p w:rsidR="00A05829" w:rsidRPr="00DE14FB" w:rsidRDefault="00A05829" w:rsidP="00DE14FB">
            <w:pPr>
              <w:pStyle w:val="table1"/>
              <w:rPr>
                <w:color w:val="000000"/>
                <w:u w:color="000000"/>
              </w:rPr>
            </w:pPr>
            <w:r w:rsidRPr="00DE14FB">
              <w:rPr>
                <w:color w:val="000000"/>
                <w:u w:color="000000"/>
              </w:rPr>
              <w:t>72.8</w:t>
            </w:r>
          </w:p>
        </w:tc>
        <w:tc>
          <w:tcPr>
            <w:tcW w:w="709" w:type="dxa"/>
          </w:tcPr>
          <w:p w:rsidR="00A05829" w:rsidRPr="00DE14FB" w:rsidRDefault="00A05829" w:rsidP="00DE14FB">
            <w:pPr>
              <w:pStyle w:val="table1"/>
              <w:rPr>
                <w:color w:val="000000"/>
                <w:u w:color="000000"/>
              </w:rPr>
            </w:pPr>
          </w:p>
        </w:tc>
        <w:tc>
          <w:tcPr>
            <w:tcW w:w="1134" w:type="dxa"/>
            <w:tcMar>
              <w:top w:w="0" w:type="dxa"/>
              <w:left w:w="108" w:type="dxa"/>
              <w:bottom w:w="0" w:type="dxa"/>
              <w:right w:w="108" w:type="dxa"/>
            </w:tcMar>
            <w:hideMark/>
          </w:tcPr>
          <w:p w:rsidR="00A05829" w:rsidRPr="00DE14FB" w:rsidRDefault="00A05829" w:rsidP="00DE14FB">
            <w:pPr>
              <w:pStyle w:val="table1"/>
              <w:rPr>
                <w:color w:val="000000"/>
                <w:u w:color="000000"/>
              </w:rPr>
            </w:pPr>
            <w:r w:rsidRPr="00DE14FB">
              <w:rPr>
                <w:color w:val="000000"/>
                <w:u w:color="000000"/>
              </w:rPr>
              <w:t>5.11</w:t>
            </w:r>
          </w:p>
        </w:tc>
        <w:tc>
          <w:tcPr>
            <w:tcW w:w="850" w:type="dxa"/>
          </w:tcPr>
          <w:p w:rsidR="00A05829" w:rsidRPr="00DE14FB" w:rsidRDefault="00A05829" w:rsidP="00DE14FB">
            <w:pPr>
              <w:pStyle w:val="table1"/>
              <w:rPr>
                <w:color w:val="000000"/>
                <w:u w:color="000000"/>
              </w:rPr>
            </w:pPr>
          </w:p>
        </w:tc>
        <w:tc>
          <w:tcPr>
            <w:tcW w:w="992" w:type="dxa"/>
            <w:gridSpan w:val="2"/>
          </w:tcPr>
          <w:p w:rsidR="00A05829" w:rsidRPr="00DE14FB" w:rsidRDefault="00A05829" w:rsidP="00DE14FB">
            <w:pPr>
              <w:pStyle w:val="table1"/>
              <w:rPr>
                <w:color w:val="000000"/>
                <w:u w:color="000000"/>
              </w:rPr>
            </w:pPr>
            <w:r w:rsidRPr="00DE14FB">
              <w:rPr>
                <w:color w:val="000000"/>
                <w:u w:color="000000"/>
              </w:rPr>
              <w:t>0.38</w:t>
            </w:r>
          </w:p>
        </w:tc>
        <w:tc>
          <w:tcPr>
            <w:tcW w:w="709" w:type="dxa"/>
          </w:tcPr>
          <w:p w:rsidR="00A05829" w:rsidRPr="00DE14FB" w:rsidRDefault="00A05829" w:rsidP="00DE14FB">
            <w:pPr>
              <w:pStyle w:val="table1"/>
              <w:rPr>
                <w:color w:val="000000"/>
                <w:u w:color="000000"/>
              </w:rPr>
            </w:pPr>
          </w:p>
        </w:tc>
      </w:tr>
      <w:tr w:rsidR="00A05829" w:rsidTr="00224F8A">
        <w:tc>
          <w:tcPr>
            <w:tcW w:w="2410" w:type="dxa"/>
            <w:tcMar>
              <w:top w:w="0" w:type="dxa"/>
              <w:left w:w="108" w:type="dxa"/>
              <w:bottom w:w="0" w:type="dxa"/>
              <w:right w:w="108" w:type="dxa"/>
            </w:tcMar>
            <w:hideMark/>
          </w:tcPr>
          <w:p w:rsidR="00A05829" w:rsidRPr="00DE14FB" w:rsidRDefault="00A05829" w:rsidP="00DE14FB">
            <w:pPr>
              <w:pStyle w:val="table1"/>
              <w:rPr>
                <w:color w:val="000000"/>
                <w:u w:color="000000"/>
              </w:rPr>
            </w:pPr>
            <w:r w:rsidRPr="00DE14FB">
              <w:rPr>
                <w:color w:val="000000"/>
                <w:u w:color="000000"/>
              </w:rPr>
              <w:t>2011</w:t>
            </w:r>
          </w:p>
        </w:tc>
        <w:tc>
          <w:tcPr>
            <w:tcW w:w="1134" w:type="dxa"/>
            <w:tcMar>
              <w:top w:w="0" w:type="dxa"/>
              <w:left w:w="108" w:type="dxa"/>
              <w:bottom w:w="0" w:type="dxa"/>
              <w:right w:w="108" w:type="dxa"/>
            </w:tcMar>
            <w:hideMark/>
          </w:tcPr>
          <w:p w:rsidR="00A05829" w:rsidRPr="00DE14FB" w:rsidRDefault="00A05829" w:rsidP="00DE14FB">
            <w:pPr>
              <w:pStyle w:val="table1"/>
              <w:rPr>
                <w:color w:val="000000"/>
                <w:u w:color="000000"/>
              </w:rPr>
            </w:pPr>
            <w:r w:rsidRPr="00DE14FB">
              <w:rPr>
                <w:color w:val="000000"/>
                <w:u w:color="000000"/>
              </w:rPr>
              <w:t>83.2</w:t>
            </w:r>
          </w:p>
        </w:tc>
        <w:tc>
          <w:tcPr>
            <w:tcW w:w="709" w:type="dxa"/>
          </w:tcPr>
          <w:p w:rsidR="00A05829" w:rsidRPr="00DE14FB" w:rsidRDefault="00A05829" w:rsidP="00DE14FB">
            <w:pPr>
              <w:pStyle w:val="table1"/>
              <w:rPr>
                <w:color w:val="000000"/>
                <w:u w:color="000000"/>
              </w:rPr>
            </w:pPr>
          </w:p>
        </w:tc>
        <w:tc>
          <w:tcPr>
            <w:tcW w:w="1134" w:type="dxa"/>
            <w:tcMar>
              <w:top w:w="0" w:type="dxa"/>
              <w:left w:w="108" w:type="dxa"/>
              <w:bottom w:w="0" w:type="dxa"/>
              <w:right w:w="108" w:type="dxa"/>
            </w:tcMar>
            <w:hideMark/>
          </w:tcPr>
          <w:p w:rsidR="00A05829" w:rsidRPr="00DE14FB" w:rsidRDefault="00A05829" w:rsidP="00DE14FB">
            <w:pPr>
              <w:pStyle w:val="table1"/>
              <w:rPr>
                <w:color w:val="000000"/>
                <w:u w:color="000000"/>
              </w:rPr>
            </w:pPr>
            <w:r w:rsidRPr="00DE14FB">
              <w:rPr>
                <w:color w:val="000000"/>
                <w:u w:color="000000"/>
              </w:rPr>
              <w:t>5.68</w:t>
            </w:r>
          </w:p>
        </w:tc>
        <w:tc>
          <w:tcPr>
            <w:tcW w:w="850" w:type="dxa"/>
          </w:tcPr>
          <w:p w:rsidR="00A05829" w:rsidRPr="00DE14FB" w:rsidRDefault="00A05829" w:rsidP="00DE14FB">
            <w:pPr>
              <w:pStyle w:val="table1"/>
              <w:rPr>
                <w:color w:val="000000"/>
                <w:u w:color="000000"/>
              </w:rPr>
            </w:pPr>
          </w:p>
        </w:tc>
        <w:tc>
          <w:tcPr>
            <w:tcW w:w="992" w:type="dxa"/>
            <w:gridSpan w:val="2"/>
          </w:tcPr>
          <w:p w:rsidR="00A05829" w:rsidRPr="00DE14FB" w:rsidRDefault="00A05829" w:rsidP="00DE14FB">
            <w:pPr>
              <w:pStyle w:val="table1"/>
              <w:rPr>
                <w:color w:val="000000"/>
                <w:u w:color="000000"/>
              </w:rPr>
            </w:pPr>
            <w:r w:rsidRPr="00DE14FB">
              <w:rPr>
                <w:color w:val="000000"/>
                <w:u w:color="000000"/>
              </w:rPr>
              <w:t>0.39</w:t>
            </w:r>
          </w:p>
        </w:tc>
        <w:tc>
          <w:tcPr>
            <w:tcW w:w="709" w:type="dxa"/>
          </w:tcPr>
          <w:p w:rsidR="00A05829" w:rsidRPr="00DE14FB" w:rsidRDefault="00A05829" w:rsidP="00DE14FB">
            <w:pPr>
              <w:pStyle w:val="table1"/>
              <w:rPr>
                <w:color w:val="000000"/>
                <w:u w:color="000000"/>
              </w:rPr>
            </w:pPr>
          </w:p>
        </w:tc>
      </w:tr>
      <w:tr w:rsidR="00A05829" w:rsidTr="00224F8A">
        <w:tc>
          <w:tcPr>
            <w:tcW w:w="2410" w:type="dxa"/>
            <w:tcBorders>
              <w:bottom w:val="single" w:sz="4" w:space="0" w:color="auto"/>
            </w:tcBorders>
            <w:tcMar>
              <w:top w:w="0" w:type="dxa"/>
              <w:left w:w="108" w:type="dxa"/>
              <w:bottom w:w="0" w:type="dxa"/>
              <w:right w:w="108" w:type="dxa"/>
            </w:tcMar>
            <w:hideMark/>
          </w:tcPr>
          <w:p w:rsidR="00A05829" w:rsidRPr="00DE14FB" w:rsidRDefault="00A05829" w:rsidP="00DE14FB">
            <w:pPr>
              <w:pStyle w:val="table1"/>
              <w:rPr>
                <w:color w:val="000000"/>
                <w:u w:color="000000"/>
              </w:rPr>
            </w:pPr>
            <w:r w:rsidRPr="00DE14FB">
              <w:rPr>
                <w:color w:val="000000"/>
                <w:u w:color="000000"/>
              </w:rPr>
              <w:t>2013</w:t>
            </w:r>
          </w:p>
        </w:tc>
        <w:tc>
          <w:tcPr>
            <w:tcW w:w="1134" w:type="dxa"/>
            <w:tcBorders>
              <w:bottom w:val="single" w:sz="4" w:space="0" w:color="auto"/>
            </w:tcBorders>
            <w:tcMar>
              <w:top w:w="0" w:type="dxa"/>
              <w:left w:w="108" w:type="dxa"/>
              <w:bottom w:w="0" w:type="dxa"/>
              <w:right w:w="108" w:type="dxa"/>
            </w:tcMar>
            <w:hideMark/>
          </w:tcPr>
          <w:p w:rsidR="00A05829" w:rsidRPr="00DE14FB" w:rsidRDefault="00A05829" w:rsidP="00DE14FB">
            <w:pPr>
              <w:pStyle w:val="table1"/>
              <w:rPr>
                <w:color w:val="000000"/>
                <w:u w:color="000000"/>
              </w:rPr>
            </w:pPr>
            <w:r w:rsidRPr="00DE14FB">
              <w:rPr>
                <w:color w:val="000000"/>
                <w:u w:color="000000"/>
              </w:rPr>
              <w:t>79.6</w:t>
            </w:r>
          </w:p>
        </w:tc>
        <w:tc>
          <w:tcPr>
            <w:tcW w:w="709" w:type="dxa"/>
            <w:tcBorders>
              <w:bottom w:val="single" w:sz="4" w:space="0" w:color="auto"/>
            </w:tcBorders>
          </w:tcPr>
          <w:p w:rsidR="00A05829" w:rsidRPr="00DE14FB" w:rsidRDefault="00A05829" w:rsidP="00DE14FB">
            <w:pPr>
              <w:pStyle w:val="table1"/>
              <w:rPr>
                <w:color w:val="000000"/>
                <w:u w:color="000000"/>
              </w:rPr>
            </w:pPr>
          </w:p>
        </w:tc>
        <w:tc>
          <w:tcPr>
            <w:tcW w:w="1134" w:type="dxa"/>
            <w:tcBorders>
              <w:bottom w:val="single" w:sz="4" w:space="0" w:color="auto"/>
            </w:tcBorders>
            <w:tcMar>
              <w:top w:w="0" w:type="dxa"/>
              <w:left w:w="108" w:type="dxa"/>
              <w:bottom w:w="0" w:type="dxa"/>
              <w:right w:w="108" w:type="dxa"/>
            </w:tcMar>
            <w:hideMark/>
          </w:tcPr>
          <w:p w:rsidR="00A05829" w:rsidRPr="00DE14FB" w:rsidRDefault="00A05829" w:rsidP="00DE14FB">
            <w:pPr>
              <w:pStyle w:val="table1"/>
              <w:rPr>
                <w:color w:val="000000"/>
                <w:u w:color="000000"/>
              </w:rPr>
            </w:pPr>
            <w:r w:rsidRPr="00DE14FB">
              <w:rPr>
                <w:color w:val="000000"/>
                <w:u w:color="000000"/>
              </w:rPr>
              <w:t>4.28</w:t>
            </w:r>
          </w:p>
        </w:tc>
        <w:tc>
          <w:tcPr>
            <w:tcW w:w="850" w:type="dxa"/>
            <w:tcBorders>
              <w:bottom w:val="single" w:sz="4" w:space="0" w:color="auto"/>
            </w:tcBorders>
          </w:tcPr>
          <w:p w:rsidR="00A05829" w:rsidRPr="00DE14FB" w:rsidRDefault="00A05829" w:rsidP="00DE14FB">
            <w:pPr>
              <w:pStyle w:val="table1"/>
              <w:rPr>
                <w:color w:val="000000"/>
                <w:u w:color="000000"/>
              </w:rPr>
            </w:pPr>
          </w:p>
        </w:tc>
        <w:tc>
          <w:tcPr>
            <w:tcW w:w="992" w:type="dxa"/>
            <w:gridSpan w:val="2"/>
            <w:tcBorders>
              <w:bottom w:val="single" w:sz="4" w:space="0" w:color="auto"/>
            </w:tcBorders>
          </w:tcPr>
          <w:p w:rsidR="00A05829" w:rsidRPr="00DE14FB" w:rsidRDefault="00A05829" w:rsidP="00DE14FB">
            <w:pPr>
              <w:pStyle w:val="table1"/>
              <w:rPr>
                <w:color w:val="000000"/>
                <w:u w:color="000000"/>
              </w:rPr>
            </w:pPr>
            <w:r w:rsidRPr="00DE14FB">
              <w:rPr>
                <w:color w:val="000000"/>
                <w:u w:color="000000"/>
              </w:rPr>
              <w:t>0.34</w:t>
            </w:r>
          </w:p>
        </w:tc>
        <w:tc>
          <w:tcPr>
            <w:tcW w:w="709" w:type="dxa"/>
            <w:tcBorders>
              <w:bottom w:val="single" w:sz="4" w:space="0" w:color="auto"/>
            </w:tcBorders>
          </w:tcPr>
          <w:p w:rsidR="00A05829" w:rsidRPr="00DE14FB" w:rsidRDefault="00A05829" w:rsidP="00DE14FB">
            <w:pPr>
              <w:pStyle w:val="table1"/>
              <w:rPr>
                <w:color w:val="000000"/>
                <w:u w:color="000000"/>
              </w:rPr>
            </w:pPr>
          </w:p>
        </w:tc>
      </w:tr>
      <w:tr w:rsidR="00A05829" w:rsidRPr="00D40DAA" w:rsidTr="00224F8A">
        <w:tc>
          <w:tcPr>
            <w:tcW w:w="2410" w:type="dxa"/>
            <w:tcBorders>
              <w:top w:val="single" w:sz="4" w:space="0" w:color="auto"/>
              <w:bottom w:val="single" w:sz="4" w:space="0" w:color="auto"/>
            </w:tcBorders>
            <w:tcMar>
              <w:top w:w="0" w:type="dxa"/>
              <w:left w:w="108" w:type="dxa"/>
              <w:bottom w:w="0" w:type="dxa"/>
              <w:right w:w="108" w:type="dxa"/>
            </w:tcMar>
            <w:hideMark/>
          </w:tcPr>
          <w:p w:rsidR="00A05829" w:rsidRPr="00DE14FB" w:rsidRDefault="00A05829" w:rsidP="00DE14FB">
            <w:pPr>
              <w:pStyle w:val="table1"/>
              <w:rPr>
                <w:color w:val="000000"/>
                <w:u w:color="000000"/>
              </w:rPr>
            </w:pPr>
            <w:r w:rsidRPr="00DE14FB">
              <w:rPr>
                <w:color w:val="000000"/>
                <w:u w:color="000000"/>
              </w:rPr>
              <w:t>Laboratory derived guideline</w:t>
            </w:r>
          </w:p>
        </w:tc>
        <w:tc>
          <w:tcPr>
            <w:tcW w:w="1134" w:type="dxa"/>
            <w:tcBorders>
              <w:top w:val="single" w:sz="4" w:space="0" w:color="auto"/>
              <w:bottom w:val="single" w:sz="4" w:space="0" w:color="auto"/>
            </w:tcBorders>
            <w:tcMar>
              <w:top w:w="0" w:type="dxa"/>
              <w:left w:w="108" w:type="dxa"/>
              <w:bottom w:w="0" w:type="dxa"/>
              <w:right w:w="108" w:type="dxa"/>
            </w:tcMar>
            <w:hideMark/>
          </w:tcPr>
          <w:p w:rsidR="00A05829" w:rsidRPr="00DE14FB" w:rsidRDefault="00A05829" w:rsidP="00DE14FB">
            <w:pPr>
              <w:pStyle w:val="table1"/>
              <w:rPr>
                <w:color w:val="000000"/>
                <w:u w:color="000000"/>
              </w:rPr>
            </w:pPr>
            <w:r w:rsidRPr="00DE14FB">
              <w:rPr>
                <w:color w:val="000000"/>
                <w:u w:color="000000"/>
              </w:rPr>
              <w:t>42</w:t>
            </w:r>
          </w:p>
        </w:tc>
        <w:tc>
          <w:tcPr>
            <w:tcW w:w="709" w:type="dxa"/>
            <w:tcBorders>
              <w:top w:val="single" w:sz="4" w:space="0" w:color="auto"/>
              <w:bottom w:val="single" w:sz="4" w:space="0" w:color="auto"/>
            </w:tcBorders>
          </w:tcPr>
          <w:p w:rsidR="00A05829" w:rsidRPr="00DE14FB" w:rsidRDefault="00A05829" w:rsidP="00DE14FB">
            <w:pPr>
              <w:pStyle w:val="table1"/>
              <w:rPr>
                <w:color w:val="000000"/>
                <w:u w:color="000000"/>
              </w:rPr>
            </w:pPr>
          </w:p>
        </w:tc>
        <w:tc>
          <w:tcPr>
            <w:tcW w:w="1134" w:type="dxa"/>
            <w:tcBorders>
              <w:top w:val="single" w:sz="4" w:space="0" w:color="auto"/>
              <w:bottom w:val="single" w:sz="4" w:space="0" w:color="auto"/>
            </w:tcBorders>
            <w:tcMar>
              <w:top w:w="0" w:type="dxa"/>
              <w:left w:w="108" w:type="dxa"/>
              <w:bottom w:w="0" w:type="dxa"/>
              <w:right w:w="108" w:type="dxa"/>
            </w:tcMar>
            <w:hideMark/>
          </w:tcPr>
          <w:p w:rsidR="00A05829" w:rsidRPr="00DE14FB" w:rsidRDefault="00A05829" w:rsidP="00DE14FB">
            <w:pPr>
              <w:pStyle w:val="table1"/>
              <w:rPr>
                <w:color w:val="000000"/>
                <w:u w:color="000000"/>
              </w:rPr>
            </w:pPr>
            <w:r w:rsidRPr="00DE14FB">
              <w:rPr>
                <w:color w:val="000000"/>
                <w:u w:color="000000"/>
              </w:rPr>
              <w:t>3</w:t>
            </w:r>
          </w:p>
        </w:tc>
        <w:tc>
          <w:tcPr>
            <w:tcW w:w="850" w:type="dxa"/>
            <w:tcBorders>
              <w:top w:val="single" w:sz="4" w:space="0" w:color="auto"/>
              <w:bottom w:val="single" w:sz="4" w:space="0" w:color="auto"/>
            </w:tcBorders>
          </w:tcPr>
          <w:p w:rsidR="00A05829" w:rsidRPr="00DE14FB" w:rsidRDefault="00A05829" w:rsidP="00DE14FB">
            <w:pPr>
              <w:pStyle w:val="table1"/>
              <w:rPr>
                <w:color w:val="000000"/>
                <w:u w:color="000000"/>
              </w:rPr>
            </w:pPr>
          </w:p>
        </w:tc>
        <w:tc>
          <w:tcPr>
            <w:tcW w:w="992" w:type="dxa"/>
            <w:gridSpan w:val="2"/>
            <w:tcBorders>
              <w:top w:val="single" w:sz="4" w:space="0" w:color="auto"/>
              <w:bottom w:val="single" w:sz="4" w:space="0" w:color="auto"/>
            </w:tcBorders>
          </w:tcPr>
          <w:p w:rsidR="00A05829" w:rsidRPr="00DE14FB" w:rsidRDefault="00A05829" w:rsidP="00DE14FB">
            <w:pPr>
              <w:pStyle w:val="table1"/>
              <w:rPr>
                <w:color w:val="000000"/>
                <w:u w:color="000000"/>
              </w:rPr>
            </w:pPr>
            <w:r w:rsidRPr="00DE14FB">
              <w:rPr>
                <w:color w:val="000000"/>
                <w:u w:color="000000"/>
              </w:rPr>
              <w:t>6</w:t>
            </w:r>
          </w:p>
        </w:tc>
        <w:tc>
          <w:tcPr>
            <w:tcW w:w="709" w:type="dxa"/>
            <w:tcBorders>
              <w:top w:val="single" w:sz="4" w:space="0" w:color="auto"/>
              <w:bottom w:val="single" w:sz="4" w:space="0" w:color="auto"/>
            </w:tcBorders>
          </w:tcPr>
          <w:p w:rsidR="00A05829" w:rsidRPr="00DE14FB" w:rsidRDefault="00A05829" w:rsidP="00DE14FB">
            <w:pPr>
              <w:pStyle w:val="table1"/>
              <w:rPr>
                <w:color w:val="000000"/>
                <w:u w:color="000000"/>
              </w:rPr>
            </w:pPr>
          </w:p>
        </w:tc>
      </w:tr>
    </w:tbl>
    <w:p w:rsidR="00A05829" w:rsidRDefault="00A05829" w:rsidP="00A05829"/>
    <w:p w:rsidR="00BC0372" w:rsidRPr="005066C9" w:rsidRDefault="00BC0372" w:rsidP="00BC0372">
      <w:r w:rsidRPr="00413CE6">
        <w:t>Plots of the median of (generally) weekly EC values measured in GTB since 1991 are shown in Figure 1 for the wet season (January to May inclusive) and dry season (June to December) months.</w:t>
      </w:r>
      <w:r w:rsidRPr="00413CE6" w:rsidDel="00F0029A">
        <w:t xml:space="preserve"> </w:t>
      </w:r>
      <w:r w:rsidRPr="005066C9">
        <w:t>Humphrey et al</w:t>
      </w:r>
      <w:r>
        <w:t>.</w:t>
      </w:r>
      <w:r w:rsidRPr="005066C9">
        <w:t xml:space="preserve"> (2013) </w:t>
      </w:r>
      <w:r>
        <w:t>reviewed</w:t>
      </w:r>
      <w:r w:rsidRPr="005066C9">
        <w:t xml:space="preserve"> </w:t>
      </w:r>
      <w:r>
        <w:t xml:space="preserve">briefly </w:t>
      </w:r>
      <w:r w:rsidRPr="005066C9">
        <w:t xml:space="preserve">the EC and associated Mg water quality record </w:t>
      </w:r>
      <w:r>
        <w:t xml:space="preserve">from the early 1980s </w:t>
      </w:r>
      <w:r w:rsidRPr="005066C9">
        <w:t>to May 2011</w:t>
      </w:r>
      <w:r>
        <w:t>, noting</w:t>
      </w:r>
      <w:r w:rsidRPr="005066C9">
        <w:t xml:space="preserve"> that water quality associated with sampling in 2009 and 2011 approached or exceeded EC and Mg </w:t>
      </w:r>
      <w:r w:rsidR="00B17DBF">
        <w:t>guidelines</w:t>
      </w:r>
      <w:r w:rsidRPr="005066C9">
        <w:t xml:space="preserve"> derived from laboratory toxicity testing (van Dam et al</w:t>
      </w:r>
      <w:r>
        <w:t>.</w:t>
      </w:r>
      <w:r w:rsidR="00892A1F">
        <w:t xml:space="preserve"> 2010,</w:t>
      </w:r>
      <w:r w:rsidRPr="005066C9">
        <w:t xml:space="preserve"> see Table </w:t>
      </w:r>
      <w:r>
        <w:t>1</w:t>
      </w:r>
      <w:r w:rsidRPr="005066C9">
        <w:t xml:space="preserve">). With the inclusion of 2013 data, it is evident that </w:t>
      </w:r>
      <w:r>
        <w:t xml:space="preserve">water quality improved slightly in GTB, with </w:t>
      </w:r>
      <w:r w:rsidRPr="005066C9">
        <w:t>MgSO</w:t>
      </w:r>
      <w:r w:rsidRPr="005066C9">
        <w:rPr>
          <w:vertAlign w:val="subscript"/>
        </w:rPr>
        <w:t xml:space="preserve">4 </w:t>
      </w:r>
      <w:r w:rsidRPr="005066C9">
        <w:t xml:space="preserve">contamination lower than </w:t>
      </w:r>
      <w:r>
        <w:t>that</w:t>
      </w:r>
      <w:r w:rsidRPr="005066C9">
        <w:t xml:space="preserve"> reported in </w:t>
      </w:r>
      <w:r w:rsidRPr="00495261">
        <w:t>2009 and 201</w:t>
      </w:r>
      <w:r>
        <w:t>1</w:t>
      </w:r>
      <w:r w:rsidRPr="005066C9">
        <w:t xml:space="preserve">, </w:t>
      </w:r>
      <w:r>
        <w:t xml:space="preserve">but (Mg) </w:t>
      </w:r>
      <w:r w:rsidRPr="005066C9">
        <w:t xml:space="preserve">still exceeding the locally-derived </w:t>
      </w:r>
      <w:r w:rsidR="00B17DBF">
        <w:t>guideline</w:t>
      </w:r>
      <w:r>
        <w:t xml:space="preserve"> (Table 1).</w:t>
      </w:r>
    </w:p>
    <w:p w:rsidR="00A05829" w:rsidRDefault="00A05829" w:rsidP="00A05829">
      <w:pPr>
        <w:jc w:val="center"/>
      </w:pPr>
      <w:r w:rsidRPr="000F5EA5">
        <w:rPr>
          <w:noProof/>
          <w:lang w:eastAsia="en-AU"/>
        </w:rPr>
        <w:drawing>
          <wp:inline distT="0" distB="0" distL="0" distR="0">
            <wp:extent cx="4860000" cy="3710062"/>
            <wp:effectExtent l="19050" t="0" r="0" b="0"/>
            <wp:docPr id="7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3" cstate="screen"/>
                    <a:srcRect t="9459" r="3323"/>
                    <a:stretch>
                      <a:fillRect/>
                    </a:stretch>
                  </pic:blipFill>
                  <pic:spPr bwMode="auto">
                    <a:xfrm>
                      <a:off x="0" y="0"/>
                      <a:ext cx="4860000" cy="3710062"/>
                    </a:xfrm>
                    <a:prstGeom prst="rect">
                      <a:avLst/>
                    </a:prstGeom>
                    <a:noFill/>
                    <a:ln w="9525">
                      <a:noFill/>
                      <a:miter lim="800000"/>
                      <a:headEnd/>
                      <a:tailEnd/>
                    </a:ln>
                  </pic:spPr>
                </pic:pic>
              </a:graphicData>
            </a:graphic>
          </wp:inline>
        </w:drawing>
      </w:r>
    </w:p>
    <w:p w:rsidR="00A05829" w:rsidRPr="0032762A" w:rsidRDefault="00A05829" w:rsidP="00A05829">
      <w:pPr>
        <w:pStyle w:val="figurecaption"/>
      </w:pPr>
      <w:r w:rsidRPr="004D7105">
        <w:rPr>
          <w:b/>
        </w:rPr>
        <w:t xml:space="preserve">Figure </w:t>
      </w:r>
      <w:proofErr w:type="gramStart"/>
      <w:r w:rsidRPr="004D7105">
        <w:rPr>
          <w:b/>
        </w:rPr>
        <w:t>1</w:t>
      </w:r>
      <w:r w:rsidRPr="004D7105">
        <w:t xml:space="preserve">  Summary</w:t>
      </w:r>
      <w:proofErr w:type="gramEnd"/>
      <w:r w:rsidRPr="004D7105">
        <w:t xml:space="preserve"> box plots of </w:t>
      </w:r>
      <w:r>
        <w:t xml:space="preserve">generally </w:t>
      </w:r>
      <w:r w:rsidRPr="004D7105">
        <w:t>weekly electrical conductivity (EC) values measured in GTB between</w:t>
      </w:r>
      <w:r>
        <w:t xml:space="preserve"> 1991 and 2014</w:t>
      </w:r>
      <w:r w:rsidRPr="0032762A">
        <w:t>. Box plots show median, range, 25</w:t>
      </w:r>
      <w:r w:rsidRPr="0032762A">
        <w:rPr>
          <w:vertAlign w:val="superscript"/>
        </w:rPr>
        <w:t>th</w:t>
      </w:r>
      <w:r w:rsidRPr="0032762A">
        <w:t xml:space="preserve"> and 75</w:t>
      </w:r>
      <w:r w:rsidRPr="0032762A">
        <w:rPr>
          <w:vertAlign w:val="superscript"/>
        </w:rPr>
        <w:t>th</w:t>
      </w:r>
      <w:r w:rsidRPr="0032762A">
        <w:t xml:space="preserve"> percentiles and outliers (points).</w:t>
      </w:r>
      <w:r>
        <w:t xml:space="preserve"> Periods relevant to macroinvertebrate sampling are indicated by yea</w:t>
      </w:r>
      <w:r w:rsidR="00A85DFD">
        <w:t>r and season (wet (W) or dry (D</w:t>
      </w:r>
      <w:r>
        <w:t xml:space="preserve">). </w:t>
      </w:r>
      <w:proofErr w:type="gramStart"/>
      <w:r>
        <w:t>Data from Energy Resources of Australia, NT Dept of Mines &amp; Energy, and Supervising Scientist.</w:t>
      </w:r>
      <w:proofErr w:type="gramEnd"/>
      <w:r w:rsidRPr="00E918D5">
        <w:t xml:space="preserve"> </w:t>
      </w:r>
      <w:proofErr w:type="gramStart"/>
      <w:r>
        <w:t>Wet season – January to May.</w:t>
      </w:r>
      <w:proofErr w:type="gramEnd"/>
      <w:r>
        <w:t xml:space="preserve"> </w:t>
      </w:r>
      <w:proofErr w:type="gramStart"/>
      <w:r>
        <w:t>Dry season – June to December.</w:t>
      </w:r>
      <w:proofErr w:type="gramEnd"/>
    </w:p>
    <w:p w:rsidR="00A05829" w:rsidRPr="009D1FC8" w:rsidRDefault="00A05829" w:rsidP="00E8531D">
      <w:pPr>
        <w:pStyle w:val="Heading3"/>
      </w:pPr>
      <w:r w:rsidRPr="009D1FC8">
        <w:t>Macroinvertebrate communities</w:t>
      </w:r>
    </w:p>
    <w:p w:rsidR="00BC0372" w:rsidRDefault="00BC0372" w:rsidP="00BC0372">
      <w:r w:rsidRPr="00D96E12">
        <w:t>The statistical analysis methods of Humphrey et al</w:t>
      </w:r>
      <w:r>
        <w:t>.</w:t>
      </w:r>
      <w:r w:rsidRPr="00D96E12">
        <w:t xml:space="preserve"> (2013) </w:t>
      </w:r>
      <w:r>
        <w:t xml:space="preserve">for macroinvertebrate data </w:t>
      </w:r>
      <w:r w:rsidRPr="00D96E12">
        <w:t xml:space="preserve">were applied, with the addition of 2013 data. </w:t>
      </w:r>
      <w:r>
        <w:t>K</w:t>
      </w:r>
      <w:r w:rsidRPr="00D96E12">
        <w:t xml:space="preserve">ey methods </w:t>
      </w:r>
      <w:r>
        <w:t xml:space="preserve">for assessing the response of macroinvertebrate communities in GTB to </w:t>
      </w:r>
      <w:r w:rsidRPr="002E374F">
        <w:t xml:space="preserve">water quality changes entailed plots of taxa number (relative to reference waterbodies) and Analysis of Similarity (ANOSIM) R values for each year of sampling, against antecedent (to sampling) Mg concentration. (For </w:t>
      </w:r>
      <w:r>
        <w:t>the years of sampling,</w:t>
      </w:r>
      <w:r w:rsidRPr="002E374F">
        <w:t xml:space="preserve"> these Mg values appear under “Average of wet and dry season median values” from Table </w:t>
      </w:r>
      <w:r>
        <w:t>1</w:t>
      </w:r>
      <w:r w:rsidRPr="002E374F">
        <w:t xml:space="preserve">.) </w:t>
      </w:r>
    </w:p>
    <w:p w:rsidR="00BC0372" w:rsidRDefault="00BC0372" w:rsidP="00BC0372">
      <w:r>
        <w:t xml:space="preserve">For each year of sampling and for each GTB replicate, the ratio (as a percent) of taxa number </w:t>
      </w:r>
      <w:r w:rsidRPr="002E374F">
        <w:t>re</w:t>
      </w:r>
      <w:r>
        <w:t>lative to the mean of 9 other randomly-selected</w:t>
      </w:r>
      <w:r w:rsidRPr="007D0D50">
        <w:t xml:space="preserve"> </w:t>
      </w:r>
      <w:r>
        <w:t xml:space="preserve">replicate taxa number values corresponding to the 9 reference waterbodies, was determined. Successive taxa number ratios were calculated using a random-without-replacement approach. The mean (±SE) of the 5 ratios for each year of sampling was used in subsequent plots. </w:t>
      </w:r>
    </w:p>
    <w:p w:rsidR="00BC0372" w:rsidRDefault="00BC0372" w:rsidP="00BC0372">
      <w:proofErr w:type="gramStart"/>
      <w:r w:rsidRPr="00441BB0">
        <w:t xml:space="preserve">ANOSIM, effectively an analogue of the univariate ANOVA, compares the observed differences </w:t>
      </w:r>
      <w:r w:rsidRPr="00441BB0">
        <w:rPr>
          <w:i/>
          <w:iCs/>
        </w:rPr>
        <w:t>between</w:t>
      </w:r>
      <w:r w:rsidRPr="00441BB0">
        <w:t xml:space="preserve"> groups – in this case exposure type, GTB (5 replicates per year), versus reference waterbodies (up to 45 replicates per year) – with the differences among replicates </w:t>
      </w:r>
      <w:r w:rsidRPr="00441BB0">
        <w:rPr>
          <w:i/>
          <w:iCs/>
        </w:rPr>
        <w:t>within</w:t>
      </w:r>
      <w:r w:rsidRPr="00441BB0">
        <w:t xml:space="preserve"> the groups.</w:t>
      </w:r>
      <w:proofErr w:type="gramEnd"/>
      <w:r w:rsidRPr="00441BB0">
        <w:t xml:space="preserve"> </w:t>
      </w:r>
      <w:r w:rsidRPr="00441BB0">
        <w:rPr>
          <w:lang w:eastAsia="en-AU"/>
        </w:rPr>
        <w:t>The degree of separation between groups is denoted by the R-statistic, where R-statistic &gt; 0.75 = groups well separated, R-statistic &gt; 0.5 = groups overlapping but clearly different, and R-statistic &lt; 0.25 = groups barely separable (</w:t>
      </w:r>
      <w:r w:rsidRPr="00441BB0">
        <w:t>Clarke &amp; Gorley 2006)</w:t>
      </w:r>
      <w:r w:rsidRPr="00441BB0">
        <w:rPr>
          <w:lang w:eastAsia="en-AU"/>
        </w:rPr>
        <w:t>. A significance level of &lt; 5% = significant effect/difference.</w:t>
      </w:r>
      <w:r w:rsidRPr="00441BB0">
        <w:t xml:space="preserve"> Possible mine-related effects upon community structure in GTB would be inferred if ANOSIM in an</w:t>
      </w:r>
      <w:r>
        <w:t>y particular year depicted well-</w:t>
      </w:r>
      <w:r w:rsidRPr="00441BB0">
        <w:t>separated groups (</w:t>
      </w:r>
      <w:r>
        <w:t xml:space="preserve">i.e. </w:t>
      </w:r>
      <w:r w:rsidRPr="00441BB0">
        <w:t>GTB vs reference waterbodies).</w:t>
      </w:r>
    </w:p>
    <w:p w:rsidR="00BC0372" w:rsidRDefault="00BC0372" w:rsidP="00BC0372">
      <w:r>
        <w:rPr>
          <w:szCs w:val="22"/>
        </w:rPr>
        <w:t>For 2009 sampling, only one replicate sample was collected from each of the reference waterbodies (compared to five replicate samples in other years) (see Humphrey et al. 2013). While taxa number comparisons would not be expected to be as sensitive to sample size differences, similarity-based comparisons such as ANOSIM are sensitive to both small sample size and discrepancies in sample size (see below) and for this reason the regression relationships and subsequent analyses based on similarity do not include 2009 data.</w:t>
      </w:r>
    </w:p>
    <w:p w:rsidR="00BC0372" w:rsidRPr="00065F4B" w:rsidRDefault="00BC0372" w:rsidP="00BC0372">
      <w:r w:rsidRPr="00693769">
        <w:t>Mean GTB taxa number</w:t>
      </w:r>
      <w:r>
        <w:t>,</w:t>
      </w:r>
      <w:r w:rsidRPr="00693769">
        <w:t xml:space="preserve"> relative to reference waterbodies</w:t>
      </w:r>
      <w:r>
        <w:t>,</w:t>
      </w:r>
      <w:r w:rsidRPr="00693769">
        <w:t xml:space="preserve"> for each year of sampling is plotted with antecedent </w:t>
      </w:r>
      <w:r>
        <w:t xml:space="preserve">(average of wet and dry season median) </w:t>
      </w:r>
      <w:r w:rsidRPr="00693769">
        <w:t xml:space="preserve">Mg concentration in Figure 2. ANOVA testing found no significant difference amongst the mean values for the different years </w:t>
      </w:r>
      <w:r w:rsidR="00B17DBF">
        <w:t>(P = </w:t>
      </w:r>
      <w:r w:rsidRPr="00693769">
        <w:t xml:space="preserve">0.07), though a decline in taxa number is evident in the data at Mg concentrations </w:t>
      </w:r>
      <w:r>
        <w:t xml:space="preserve">between </w:t>
      </w:r>
      <w:r w:rsidRPr="00693769">
        <w:t>4.</w:t>
      </w:r>
      <w:r>
        <w:t>3</w:t>
      </w:r>
      <w:r w:rsidRPr="00693769">
        <w:t xml:space="preserve"> </w:t>
      </w:r>
      <w:r>
        <w:t xml:space="preserve">(2013 </w:t>
      </w:r>
      <w:proofErr w:type="gramStart"/>
      <w:r>
        <w:t>sampling )</w:t>
      </w:r>
      <w:proofErr w:type="gramEnd"/>
      <w:r>
        <w:t xml:space="preserve"> and 5.7 (2011) </w:t>
      </w:r>
      <w:r w:rsidRPr="00693769">
        <w:t>mg/L</w:t>
      </w:r>
      <w:r>
        <w:t xml:space="preserve">. </w:t>
      </w:r>
      <w:r w:rsidRPr="00693769">
        <w:t>Data from 2013</w:t>
      </w:r>
      <w:r>
        <w:t xml:space="preserve"> </w:t>
      </w:r>
      <w:r w:rsidRPr="00693769">
        <w:t>are consistent with the plotted data from previous years (Figure 2).</w:t>
      </w:r>
      <w:r w:rsidRPr="00065F4B">
        <w:t xml:space="preserve"> </w:t>
      </w:r>
    </w:p>
    <w:p w:rsidR="00A05829" w:rsidRDefault="00A05829" w:rsidP="00A05829">
      <w:pPr>
        <w:pStyle w:val="figurecaption"/>
        <w:rPr>
          <w:b/>
        </w:rPr>
      </w:pPr>
      <w:r w:rsidRPr="000F5EA5">
        <w:rPr>
          <w:noProof/>
          <w:lang w:eastAsia="en-AU"/>
        </w:rPr>
        <w:drawing>
          <wp:inline distT="0" distB="0" distL="0" distR="0">
            <wp:extent cx="3506400" cy="2670091"/>
            <wp:effectExtent l="19050" t="0" r="0" b="0"/>
            <wp:docPr id="7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4" cstate="screen"/>
                    <a:srcRect t="8006" r="3082"/>
                    <a:stretch>
                      <a:fillRect/>
                    </a:stretch>
                  </pic:blipFill>
                  <pic:spPr bwMode="auto">
                    <a:xfrm>
                      <a:off x="0" y="0"/>
                      <a:ext cx="3506400" cy="2670091"/>
                    </a:xfrm>
                    <a:prstGeom prst="rect">
                      <a:avLst/>
                    </a:prstGeom>
                    <a:noFill/>
                    <a:ln w="9525">
                      <a:noFill/>
                      <a:miter lim="800000"/>
                      <a:headEnd/>
                      <a:tailEnd/>
                    </a:ln>
                  </pic:spPr>
                </pic:pic>
              </a:graphicData>
            </a:graphic>
          </wp:inline>
        </w:drawing>
      </w:r>
    </w:p>
    <w:p w:rsidR="00A05829" w:rsidRDefault="00A05829" w:rsidP="00A05829">
      <w:pPr>
        <w:pStyle w:val="figurecaption"/>
      </w:pPr>
      <w:r w:rsidRPr="00F46424">
        <w:rPr>
          <w:b/>
        </w:rPr>
        <w:t xml:space="preserve">Figure </w:t>
      </w:r>
      <w:proofErr w:type="gramStart"/>
      <w:r>
        <w:rPr>
          <w:b/>
        </w:rPr>
        <w:t>2</w:t>
      </w:r>
      <w:r w:rsidRPr="0091613D">
        <w:t xml:space="preserve">  </w:t>
      </w:r>
      <w:r>
        <w:t>Mean</w:t>
      </w:r>
      <w:proofErr w:type="gramEnd"/>
      <w:r>
        <w:t xml:space="preserve"> (±SE) macroinvertebrate taxa number (as % of mean reference waterbody taxa number) in GTB in relation to median antecedent wet and dry season Mg concentration. (Year of sampling can be inferred from Table 1.) Open symbol indicates 2009 sampling where sampling effort in reference waterbodies was reduced compared to other years. Line fitted according to sigmoidal model.</w:t>
      </w:r>
    </w:p>
    <w:p w:rsidR="00674174" w:rsidRDefault="00674174" w:rsidP="00674174">
      <w:r w:rsidRPr="006A7BF4">
        <w:rPr>
          <w:szCs w:val="22"/>
        </w:rPr>
        <w:t>The ANOSIM results for GTB relative to reference waterbody community structure are plotted with antecedent Mg concentration in Figure 3</w:t>
      </w:r>
      <w:r>
        <w:rPr>
          <w:szCs w:val="22"/>
        </w:rPr>
        <w:t>A</w:t>
      </w:r>
      <w:r w:rsidRPr="006A7BF4">
        <w:rPr>
          <w:szCs w:val="22"/>
        </w:rPr>
        <w:t>. T</w:t>
      </w:r>
      <w:r w:rsidRPr="006A7BF4">
        <w:t>he ANOSIM R statistics were generally low and near the criterion defined above as ‘barely separable’ for all years except 2011. For these years, the macroinvertebrate communities of GTB are not regarded as different from those in adjacent reference waterbodies in the region. For 2</w:t>
      </w:r>
      <w:r w:rsidR="00B17DBF">
        <w:t>011, however, ANOSIM results (R </w:t>
      </w:r>
      <w:r w:rsidRPr="006A7BF4">
        <w:t>&gt;0.5,</w:t>
      </w:r>
      <w:r w:rsidR="00B17DBF">
        <w:t> </w:t>
      </w:r>
      <w:r w:rsidRPr="006A7BF4">
        <w:t>P</w:t>
      </w:r>
      <w:r w:rsidR="00B17DBF">
        <w:t> </w:t>
      </w:r>
      <w:r w:rsidRPr="006A7BF4">
        <w:t>&lt;0.05) indicate that GTB samples are clearly and significantly separated from reference waterbody samples (Figure 3</w:t>
      </w:r>
      <w:r>
        <w:t>A</w:t>
      </w:r>
      <w:r w:rsidRPr="006A7BF4">
        <w:t xml:space="preserve">). </w:t>
      </w:r>
    </w:p>
    <w:p w:rsidR="00674174" w:rsidRDefault="00674174" w:rsidP="00674174">
      <w:r w:rsidRPr="006A7BF4">
        <w:t>ANOSIM R values are sensitive to the pattern of variability amongst samples, including the presence of outliers. N</w:t>
      </w:r>
      <w:r w:rsidRPr="006A7BF4">
        <w:rPr>
          <w:szCs w:val="22"/>
          <w:lang w:eastAsia="en-AU"/>
        </w:rPr>
        <w:t>egative R values (1996 and 2013 sampling years, Figure 3</w:t>
      </w:r>
      <w:r>
        <w:rPr>
          <w:szCs w:val="22"/>
          <w:lang w:eastAsia="en-AU"/>
        </w:rPr>
        <w:t>A</w:t>
      </w:r>
      <w:r w:rsidRPr="006A7BF4">
        <w:rPr>
          <w:szCs w:val="22"/>
          <w:lang w:eastAsia="en-AU"/>
        </w:rPr>
        <w:t>) are characteristic of very patchy assemblages with similar amounts of variability observed within each of the groups</w:t>
      </w:r>
      <w:r w:rsidRPr="0097314C">
        <w:rPr>
          <w:lang w:eastAsia="en-AU"/>
        </w:rPr>
        <w:t xml:space="preserve"> </w:t>
      </w:r>
      <w:r>
        <w:rPr>
          <w:lang w:eastAsia="en-AU"/>
        </w:rPr>
        <w:t>(</w:t>
      </w:r>
      <w:r w:rsidRPr="00653ACF">
        <w:rPr>
          <w:lang w:eastAsia="en-AU"/>
        </w:rPr>
        <w:t>Chapman &amp; Underwood 1999</w:t>
      </w:r>
      <w:r>
        <w:rPr>
          <w:lang w:eastAsia="en-AU"/>
        </w:rPr>
        <w:t>)</w:t>
      </w:r>
      <w:r w:rsidRPr="006A7BF4">
        <w:rPr>
          <w:szCs w:val="22"/>
          <w:lang w:eastAsia="en-AU"/>
        </w:rPr>
        <w:t xml:space="preserve">. </w:t>
      </w:r>
      <w:r>
        <w:rPr>
          <w:szCs w:val="22"/>
          <w:lang w:eastAsia="en-AU"/>
        </w:rPr>
        <w:t xml:space="preserve">Thus the scatter of sampling years in Figure 3A, while identifying clear group separation in 2011, is not informative in depicting a possible response-concentration relationship. </w:t>
      </w:r>
      <w:r w:rsidRPr="006A7BF4">
        <w:rPr>
          <w:szCs w:val="22"/>
          <w:lang w:eastAsia="en-AU"/>
        </w:rPr>
        <w:t>A different pairwise (GTB-reference) comparison of community structure was exam</w:t>
      </w:r>
      <w:r>
        <w:rPr>
          <w:szCs w:val="22"/>
          <w:lang w:eastAsia="en-AU"/>
        </w:rPr>
        <w:t xml:space="preserve">ined, using the Bray-Curtis similarity index. </w:t>
      </w:r>
      <w:r w:rsidRPr="00A55C79">
        <w:t>A</w:t>
      </w:r>
      <w:r>
        <w:t>n index</w:t>
      </w:r>
      <w:r w:rsidRPr="00A55C79">
        <w:t xml:space="preserve"> value of </w:t>
      </w:r>
      <w:r>
        <w:t>1</w:t>
      </w:r>
      <w:r w:rsidRPr="00A55C79">
        <w:t xml:space="preserve"> indicates macroinvertebrate communities identical in structure while a value of </w:t>
      </w:r>
      <w:r>
        <w:t>0</w:t>
      </w:r>
      <w:r w:rsidRPr="00A55C79">
        <w:t xml:space="preserve"> indicates totally dissimilar communities, sharing no common taxa.</w:t>
      </w:r>
      <w:r w:rsidRPr="00E36D72">
        <w:t xml:space="preserve"> </w:t>
      </w:r>
      <w:r>
        <w:t>For each year of sampling and for each GTB replicate, mean similarity between community structure data for that replicate and those for 9 other randomly-selected</w:t>
      </w:r>
      <w:r w:rsidRPr="007D0D50">
        <w:t xml:space="preserve"> </w:t>
      </w:r>
      <w:r>
        <w:t xml:space="preserve">replicates corresponding to the 9 reference waterbodies, was determined. Successive similarity values were calculated using a random-without-replacement approach. The mean (±SE) of the 5 similarity values for each year of sampling was used in subsequent plots and analyses. </w:t>
      </w:r>
    </w:p>
    <w:p w:rsidR="00A05829" w:rsidRDefault="00A05829" w:rsidP="00A05829">
      <w:pPr>
        <w:jc w:val="center"/>
      </w:pPr>
      <w:r w:rsidRPr="00793396">
        <w:rPr>
          <w:noProof/>
          <w:lang w:eastAsia="en-AU"/>
        </w:rPr>
        <w:drawing>
          <wp:inline distT="0" distB="0" distL="0" distR="0">
            <wp:extent cx="3648075" cy="5074697"/>
            <wp:effectExtent l="19050" t="0" r="9525" b="0"/>
            <wp:docPr id="7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5" cstate="screen"/>
                    <a:srcRect t="2097" r="3022"/>
                    <a:stretch>
                      <a:fillRect/>
                    </a:stretch>
                  </pic:blipFill>
                  <pic:spPr bwMode="auto">
                    <a:xfrm>
                      <a:off x="0" y="0"/>
                      <a:ext cx="3653676" cy="5082488"/>
                    </a:xfrm>
                    <a:prstGeom prst="rect">
                      <a:avLst/>
                    </a:prstGeom>
                    <a:noFill/>
                    <a:ln w="9525">
                      <a:noFill/>
                      <a:miter lim="800000"/>
                      <a:headEnd/>
                      <a:tailEnd/>
                    </a:ln>
                  </pic:spPr>
                </pic:pic>
              </a:graphicData>
            </a:graphic>
          </wp:inline>
        </w:drawing>
      </w:r>
    </w:p>
    <w:p w:rsidR="00A05829" w:rsidRDefault="00A05829" w:rsidP="00A05829">
      <w:pPr>
        <w:pStyle w:val="figurecaption"/>
      </w:pPr>
      <w:r w:rsidRPr="00EA3641">
        <w:rPr>
          <w:b/>
        </w:rPr>
        <w:t xml:space="preserve">Figure </w:t>
      </w:r>
      <w:proofErr w:type="gramStart"/>
      <w:r>
        <w:rPr>
          <w:b/>
        </w:rPr>
        <w:t>3</w:t>
      </w:r>
      <w:r w:rsidRPr="0091613D">
        <w:t xml:space="preserve">  </w:t>
      </w:r>
      <w:r>
        <w:t>GTB</w:t>
      </w:r>
      <w:proofErr w:type="gramEnd"/>
      <w:r>
        <w:t xml:space="preserve"> vs reference waterbody a) ANOSIM R values and b) mean (±SE) replicate pairwise Bray-Curtis similarity, in relation to median antecedent wet and dry season Mg concentration. Open symbol represents 2009 sampling year and ANOSIM value for 2013 sampling year also indicated.</w:t>
      </w:r>
    </w:p>
    <w:p w:rsidR="00674174" w:rsidRPr="006A7BF4" w:rsidRDefault="00674174" w:rsidP="00674174">
      <w:pPr>
        <w:rPr>
          <w:szCs w:val="22"/>
          <w:lang w:eastAsia="en-AU"/>
        </w:rPr>
      </w:pPr>
      <w:r>
        <w:rPr>
          <w:szCs w:val="22"/>
        </w:rPr>
        <w:t>Mean similarity for</w:t>
      </w:r>
      <w:r w:rsidRPr="006A7BF4">
        <w:rPr>
          <w:szCs w:val="22"/>
        </w:rPr>
        <w:t xml:space="preserve"> </w:t>
      </w:r>
      <w:r>
        <w:rPr>
          <w:szCs w:val="22"/>
        </w:rPr>
        <w:t xml:space="preserve">the </w:t>
      </w:r>
      <w:r w:rsidRPr="006A7BF4">
        <w:rPr>
          <w:szCs w:val="22"/>
        </w:rPr>
        <w:t>GTB</w:t>
      </w:r>
      <w:r>
        <w:rPr>
          <w:szCs w:val="22"/>
        </w:rPr>
        <w:t>-</w:t>
      </w:r>
      <w:r w:rsidRPr="006A7BF4">
        <w:rPr>
          <w:szCs w:val="22"/>
        </w:rPr>
        <w:t xml:space="preserve">reference waterbody community structure </w:t>
      </w:r>
      <w:r>
        <w:rPr>
          <w:szCs w:val="22"/>
        </w:rPr>
        <w:t>comparison for each sampling year is</w:t>
      </w:r>
      <w:r w:rsidRPr="006A7BF4">
        <w:rPr>
          <w:szCs w:val="22"/>
        </w:rPr>
        <w:t xml:space="preserve"> plotted with antecedent Mg concentration in Figure 3</w:t>
      </w:r>
      <w:r>
        <w:rPr>
          <w:szCs w:val="22"/>
        </w:rPr>
        <w:t>B</w:t>
      </w:r>
      <w:r w:rsidRPr="006A7BF4">
        <w:rPr>
          <w:szCs w:val="22"/>
        </w:rPr>
        <w:t>.</w:t>
      </w:r>
      <w:r>
        <w:rPr>
          <w:szCs w:val="22"/>
        </w:rPr>
        <w:t xml:space="preserve"> </w:t>
      </w:r>
      <w:r w:rsidRPr="00065F4B">
        <w:t xml:space="preserve">ANOVA testing found </w:t>
      </w:r>
      <w:r>
        <w:t>a</w:t>
      </w:r>
      <w:r w:rsidRPr="00065F4B">
        <w:t xml:space="preserve"> significant difference amongst the mean </w:t>
      </w:r>
      <w:r>
        <w:t xml:space="preserve">similarity </w:t>
      </w:r>
      <w:r w:rsidRPr="00211645">
        <w:t>values for the different years (P &lt; 0.001), with Tukey’s multiple comparison test showing significant differences (P &lt;0.05) between 2011 and each other sampling year apart from 1995 (not significant), but not between any other pairwise sampling year comparison. These results are</w:t>
      </w:r>
      <w:r>
        <w:t xml:space="preserve"> consistent with those derived for </w:t>
      </w:r>
      <w:r w:rsidRPr="00065F4B">
        <w:t>taxa number</w:t>
      </w:r>
      <w:r>
        <w:t>, indicating significantly different community structure in GTB relative to reference waterbodies in 2011.</w:t>
      </w:r>
      <w:r w:rsidRPr="00065F4B">
        <w:t xml:space="preserve"> </w:t>
      </w:r>
      <w:r>
        <w:t>Similarly, a</w:t>
      </w:r>
      <w:r w:rsidRPr="00693769">
        <w:t xml:space="preserve"> decline in </w:t>
      </w:r>
      <w:r>
        <w:t>similarity</w:t>
      </w:r>
      <w:r w:rsidRPr="00693769">
        <w:t xml:space="preserve"> is evident in the data at Mg concentrations </w:t>
      </w:r>
      <w:r>
        <w:t xml:space="preserve">between </w:t>
      </w:r>
      <w:r w:rsidRPr="00693769">
        <w:t>4.</w:t>
      </w:r>
      <w:r>
        <w:t>3</w:t>
      </w:r>
      <w:r w:rsidRPr="00693769">
        <w:t xml:space="preserve"> </w:t>
      </w:r>
      <w:r>
        <w:t xml:space="preserve">(2013 </w:t>
      </w:r>
      <w:proofErr w:type="gramStart"/>
      <w:r>
        <w:t>sampling )</w:t>
      </w:r>
      <w:proofErr w:type="gramEnd"/>
      <w:r>
        <w:t xml:space="preserve"> and 5.7 (2011) </w:t>
      </w:r>
      <w:r w:rsidRPr="00693769">
        <w:t>mg/L</w:t>
      </w:r>
      <w:r>
        <w:t xml:space="preserve">. As shown for taxa number, </w:t>
      </w:r>
      <w:r w:rsidRPr="00065F4B">
        <w:t xml:space="preserve">2013 </w:t>
      </w:r>
      <w:r>
        <w:t xml:space="preserve">data are </w:t>
      </w:r>
      <w:r w:rsidRPr="00065F4B">
        <w:t>consistent with the plotted da</w:t>
      </w:r>
      <w:r>
        <w:t>ta from previous years (Figure 3B</w:t>
      </w:r>
      <w:r w:rsidRPr="00065F4B">
        <w:t>).</w:t>
      </w:r>
    </w:p>
    <w:p w:rsidR="00674174" w:rsidRPr="005D595B" w:rsidRDefault="00674174" w:rsidP="00674174">
      <w:r>
        <w:rPr>
          <w:szCs w:val="22"/>
          <w:lang w:eastAsia="en-AU"/>
        </w:rPr>
        <w:t xml:space="preserve">The biological response data for GTB are further considered </w:t>
      </w:r>
      <w:r w:rsidRPr="00B37905">
        <w:rPr>
          <w:szCs w:val="22"/>
          <w:lang w:eastAsia="en-AU"/>
        </w:rPr>
        <w:t xml:space="preserve">below </w:t>
      </w:r>
      <w:r w:rsidRPr="005D595B">
        <w:rPr>
          <w:szCs w:val="22"/>
          <w:lang w:eastAsia="en-AU"/>
        </w:rPr>
        <w:t>(</w:t>
      </w:r>
      <w:proofErr w:type="gramStart"/>
      <w:r w:rsidRPr="005D595B">
        <w:rPr>
          <w:szCs w:val="22"/>
          <w:lang w:eastAsia="en-AU"/>
        </w:rPr>
        <w:t>‘</w:t>
      </w:r>
      <w:r w:rsidRPr="005D595B">
        <w:rPr>
          <w:lang w:val="en-US"/>
        </w:rPr>
        <w:t>Towards</w:t>
      </w:r>
      <w:proofErr w:type="gramEnd"/>
      <w:r w:rsidRPr="005D595B">
        <w:rPr>
          <w:lang w:val="en-US"/>
        </w:rPr>
        <w:t xml:space="preserve"> deriving closure criteria for Mg, EC and other solutes for Ranger receiving waters’)</w:t>
      </w:r>
      <w:r w:rsidRPr="005D595B">
        <w:rPr>
          <w:szCs w:val="22"/>
          <w:lang w:eastAsia="en-AU"/>
        </w:rPr>
        <w:t>.</w:t>
      </w:r>
    </w:p>
    <w:p w:rsidR="00A05829" w:rsidRDefault="00A05829" w:rsidP="00B17DBF">
      <w:pPr>
        <w:pStyle w:val="Heading2"/>
      </w:pPr>
      <w:r>
        <w:t>Assessment of other possible causes of biological changes in GTB</w:t>
      </w:r>
    </w:p>
    <w:p w:rsidR="00674174" w:rsidRDefault="00674174" w:rsidP="00674174">
      <w:r>
        <w:t>Other factors have potential to cause the biological changes observed in GTB in 2011, including differences in sample processing methods since 1995 and habitat changes (viz aquatic plant communities). These are assessed in turn below.</w:t>
      </w:r>
    </w:p>
    <w:p w:rsidR="00A05829" w:rsidRDefault="00A05829" w:rsidP="00E8531D">
      <w:pPr>
        <w:pStyle w:val="Heading3"/>
      </w:pPr>
      <w:r>
        <w:t>Differences in sample processing methods since 1995</w:t>
      </w:r>
    </w:p>
    <w:p w:rsidR="00674174" w:rsidRPr="00D615CF" w:rsidRDefault="00674174" w:rsidP="00674174">
      <w:r w:rsidRPr="00D615CF">
        <w:rPr>
          <w:lang w:val="en-US"/>
        </w:rPr>
        <w:t xml:space="preserve">For ARR waterbodies sampled in the present study, different sample processing methods have been applied over time. In 1995, 1996 and 2006, live macroinvertebrates were extracted from samples by eye in the field – so-termed live-sorting. In 2009, 2011 and 2013, the processing method differed; samples were preserved in the field and later subsampled and sorted in the laboratory under a stereo microscope, i.e. laboratory-processed samples. This change in methodology has potential to confound results observed to date, with a key question to address: are the changes in GTB macroinvertebrate communities observed after 2006 (particularly </w:t>
      </w:r>
      <w:r>
        <w:rPr>
          <w:lang w:val="en-US"/>
        </w:rPr>
        <w:t>for</w:t>
      </w:r>
      <w:r w:rsidRPr="00D615CF">
        <w:rPr>
          <w:lang w:val="en-US"/>
        </w:rPr>
        <w:t xml:space="preserve"> 2011)</w:t>
      </w:r>
      <w:r>
        <w:rPr>
          <w:lang w:val="en-US"/>
        </w:rPr>
        <w:t xml:space="preserve"> </w:t>
      </w:r>
      <w:r w:rsidRPr="00D615CF">
        <w:rPr>
          <w:lang w:val="en-US"/>
        </w:rPr>
        <w:t>an artefact of the method change?</w:t>
      </w:r>
    </w:p>
    <w:p w:rsidR="00674174" w:rsidRPr="00496BC7" w:rsidRDefault="00674174" w:rsidP="00674174">
      <w:r w:rsidRPr="00496BC7">
        <w:t>The most effective way to assess potential confounding of this type is to compare analyses of community structure datasets derived (i) from the samples first live-sorted in field, then (ii) from the same sample residues preserved and later subsampled and sorted in the laboratory. Some limited local datasets were available for this from specific investigations conducted in GTB and/or Gulungul Billabong</w:t>
      </w:r>
      <w:r>
        <w:t xml:space="preserve"> (GUL)</w:t>
      </w:r>
      <w:r w:rsidRPr="00496BC7">
        <w:t xml:space="preserve"> in 1996 and 2013 (18 samples). A much larger dataset, however, was also available from the results of an extensive, Australia-wide AUSRIVAS bioassessment study, acquired from the mid to late 1990s (80 reference-site samples). </w:t>
      </w:r>
    </w:p>
    <w:p w:rsidR="00674174" w:rsidRDefault="00674174" w:rsidP="00674174">
      <w:pPr>
        <w:spacing w:after="60"/>
        <w:contextualSpacing/>
      </w:pPr>
      <w:r>
        <w:t>As part of the Commonwealth’s National River Health Program</w:t>
      </w:r>
      <w:r w:rsidR="00E16AC4">
        <w:t>me</w:t>
      </w:r>
      <w:r>
        <w:t xml:space="preserve">, the Monitoring River Health Initiative (MRHI) was established in the mid 1990s, to develop a bioassessment approach in Australia using riverine macroinvertebrate communities. The MRHI was the precursor to development of regional AUSRIVAS predictive models for bioassessment of Australia’s rivers. </w:t>
      </w:r>
      <w:proofErr w:type="gramStart"/>
      <w:r w:rsidRPr="00674174">
        <w:rPr>
          <w:rFonts w:ascii="Times New Roman" w:hAnsi="Times New Roman"/>
          <w:b/>
          <w:i/>
          <w:sz w:val="26"/>
        </w:rPr>
        <w:t>eriss</w:t>
      </w:r>
      <w:proofErr w:type="gramEnd"/>
      <w:r w:rsidRPr="00674174">
        <w:rPr>
          <w:rFonts w:ascii="Times New Roman" w:hAnsi="Times New Roman"/>
        </w:rPr>
        <w:t xml:space="preserve"> </w:t>
      </w:r>
      <w:r>
        <w:t>and a collaborator conducted a QA/QC study for the MRHI in the late 1990s with results reported in Humphrey et al</w:t>
      </w:r>
      <w:r w:rsidR="00F15ED8">
        <w:t>.</w:t>
      </w:r>
      <w:r>
        <w:t xml:space="preserve"> (2000). A key objective of the QA/QC was to assess the performance of operators sorting macroinvertebrate samples either live in the field or from preserved subsamples using a microscope in the laboratory. </w:t>
      </w:r>
      <w:proofErr w:type="gramStart"/>
      <w:r w:rsidRPr="00674174">
        <w:rPr>
          <w:rFonts w:ascii="Times New Roman" w:hAnsi="Times New Roman"/>
          <w:b/>
          <w:i/>
          <w:sz w:val="26"/>
        </w:rPr>
        <w:t>eriss</w:t>
      </w:r>
      <w:proofErr w:type="gramEnd"/>
      <w:r w:rsidRPr="00674174">
        <w:rPr>
          <w:rFonts w:ascii="Times New Roman" w:hAnsi="Times New Roman"/>
        </w:rPr>
        <w:t xml:space="preserve"> </w:t>
      </w:r>
      <w:r>
        <w:t xml:space="preserve">staff received a large number of preserved macroinvertebrate samples, representing a variety of different riverine habitats, from different State and Territory agencies. Most agencies (QLD, NSW, VIC, </w:t>
      </w:r>
      <w:proofErr w:type="gramStart"/>
      <w:r>
        <w:t>TAS</w:t>
      </w:r>
      <w:proofErr w:type="gramEnd"/>
      <w:r>
        <w:t xml:space="preserve"> &amp; WA) adopted live-sorting as the sample processing protocol, and assessment of operator performance involved:</w:t>
      </w:r>
    </w:p>
    <w:p w:rsidR="00A05829" w:rsidRDefault="00A05829" w:rsidP="00A85DFD">
      <w:pPr>
        <w:pStyle w:val="ListParagraph"/>
        <w:numPr>
          <w:ilvl w:val="0"/>
          <w:numId w:val="14"/>
        </w:numPr>
        <w:spacing w:after="60"/>
        <w:ind w:left="426" w:hanging="426"/>
      </w:pPr>
      <w:r>
        <w:t>further processing in the laboratory of the preserved residues from field live-sorted (LS) samples using microscopic examination of residue subsamples; and</w:t>
      </w:r>
    </w:p>
    <w:p w:rsidR="00A05829" w:rsidRPr="00CE792B" w:rsidRDefault="00A05829" w:rsidP="00A85DFD">
      <w:pPr>
        <w:pStyle w:val="ListParagraph"/>
        <w:numPr>
          <w:ilvl w:val="0"/>
          <w:numId w:val="14"/>
        </w:numPr>
        <w:ind w:left="426" w:hanging="425"/>
      </w:pPr>
      <w:proofErr w:type="gramStart"/>
      <w:r w:rsidRPr="00CE792B">
        <w:t>comparison</w:t>
      </w:r>
      <w:proofErr w:type="gramEnd"/>
      <w:r w:rsidRPr="00CE792B">
        <w:t xml:space="preserve"> of community structure data from live-sorted samples and their associated laboratory-processed component. The latter component was termed the ‘whole sample estimate’ (WSE), i.e. results that would have arisen had the same (live-sorted) sample been sub-sampled and processed in the laboratory.</w:t>
      </w:r>
    </w:p>
    <w:p w:rsidR="00674174" w:rsidRPr="00674EA3" w:rsidRDefault="00674174" w:rsidP="00674174">
      <w:r>
        <w:t xml:space="preserve">A key aspect of the comparative assessment in (ii) </w:t>
      </w:r>
      <w:proofErr w:type="gramStart"/>
      <w:r>
        <w:t>above,</w:t>
      </w:r>
      <w:proofErr w:type="gramEnd"/>
      <w:r>
        <w:t xml:space="preserve"> was whether operators were missing taxa when live-sorting, as a consequence of the cryptic and small size of </w:t>
      </w:r>
      <w:r w:rsidRPr="00674EA3">
        <w:t>specimens. The most significant findings from the QA/QC were: (a) small and/or cryptic taxa were commonly overlooked during live-sorting (chironomid pupae, ceratopogonids, empidids, elmid larvae, hydroptilids, oligochaetes, Acarina), while conversely (b) some taxa were better represented in live-sort data, including large or mobile, but less abundant taxa (odonates, shrimps and adult beetles)</w:t>
      </w:r>
      <w:r>
        <w:t xml:space="preserve"> (Humphrey et al. 2000)</w:t>
      </w:r>
      <w:r w:rsidRPr="00674EA3">
        <w:t>.</w:t>
      </w:r>
    </w:p>
    <w:p w:rsidR="00DA110D" w:rsidRDefault="00DA110D" w:rsidP="00DA110D">
      <w:r>
        <w:t>While the MRHI QA/QC study determined that sample processing biases resulted in (subtly) different community structure data for the two sample processing methods, the important aspect to address is whether</w:t>
      </w:r>
      <w:r w:rsidRPr="00FE32BE">
        <w:t xml:space="preserve"> </w:t>
      </w:r>
      <w:r>
        <w:t xml:space="preserve">group comparisons (in this instance GTB versus reference waterbodies) give similar or different results when either live-sorted or laboratory processed data are analysed. If GTB versus reference waterbody comparisons, by way of taxa number, ANOSIM R or Bray-Curtis similarity, are very similar for live-sorted or associated laboratory processed data, this indicates sample processing method is </w:t>
      </w:r>
      <w:r w:rsidRPr="00064367">
        <w:rPr>
          <w:i/>
        </w:rPr>
        <w:t>not</w:t>
      </w:r>
      <w:r>
        <w:t xml:space="preserve"> a confounding factor in the interpretation of results from the full dataset (1995 to 2013) used in the present study.</w:t>
      </w:r>
    </w:p>
    <w:p w:rsidR="00DA110D" w:rsidRPr="00112E08" w:rsidRDefault="00DA110D" w:rsidP="00DA110D">
      <w:pPr>
        <w:spacing w:after="60"/>
      </w:pPr>
      <w:r>
        <w:t>To mimic the GTB versus reference waterbody comparison that is conducted separately for each year of the present study, the LS and associated WSE community structure data from local and MRHI datasets were assessed</w:t>
      </w:r>
      <w:r w:rsidRPr="00112E08">
        <w:t>:</w:t>
      </w:r>
    </w:p>
    <w:p w:rsidR="00A05829" w:rsidRPr="00112E08" w:rsidRDefault="00A05829" w:rsidP="00A85DFD">
      <w:pPr>
        <w:numPr>
          <w:ilvl w:val="0"/>
          <w:numId w:val="13"/>
        </w:numPr>
        <w:tabs>
          <w:tab w:val="clear" w:pos="717"/>
          <w:tab w:val="num" w:pos="-1985"/>
        </w:tabs>
        <w:spacing w:after="60"/>
        <w:ind w:left="426" w:hanging="426"/>
      </w:pPr>
      <w:r w:rsidRPr="00112E08">
        <w:t>ANOSIM R and Bray-Curtis similarity were calculated between different sample groups from the larger sample pool using both the LS and the associated WSE data, i.e. LS-to-LS and WSE-to-WSE comparisons. LS and equivalent WSE results from the various group comparisons were then compared.</w:t>
      </w:r>
    </w:p>
    <w:p w:rsidR="00A05829" w:rsidRPr="00112E08" w:rsidRDefault="00A05829" w:rsidP="00A85DFD">
      <w:pPr>
        <w:numPr>
          <w:ilvl w:val="0"/>
          <w:numId w:val="13"/>
        </w:numPr>
        <w:tabs>
          <w:tab w:val="clear" w:pos="717"/>
          <w:tab w:val="num" w:pos="-1985"/>
        </w:tabs>
        <w:ind w:left="426" w:hanging="426"/>
      </w:pPr>
      <w:r>
        <w:t>T</w:t>
      </w:r>
      <w:r w:rsidRPr="00112E08">
        <w:t xml:space="preserve">axa number was </w:t>
      </w:r>
      <w:r>
        <w:t xml:space="preserve">derived </w:t>
      </w:r>
      <w:r w:rsidRPr="00112E08">
        <w:t xml:space="preserve">for </w:t>
      </w:r>
      <w:r>
        <w:t xml:space="preserve">LS and WSE components of each MRHI and local (ARR) sample. A mean LS/WSE taxa number ratio was derived for sample groups of interest. </w:t>
      </w:r>
    </w:p>
    <w:p w:rsidR="00DA110D" w:rsidRDefault="00DA110D" w:rsidP="00DA110D">
      <w:r w:rsidRPr="0049045B">
        <w:t xml:space="preserve">For </w:t>
      </w:r>
      <w:r>
        <w:t xml:space="preserve">ANOSIM R and </w:t>
      </w:r>
      <w:r w:rsidRPr="0049045B">
        <w:t>Bray-Curtis similarity response measures, t</w:t>
      </w:r>
      <w:r w:rsidRPr="0049045B">
        <w:rPr>
          <w:bCs/>
        </w:rPr>
        <w:t xml:space="preserve">wo types of group to group comparison by processing method </w:t>
      </w:r>
      <w:r w:rsidRPr="0049045B">
        <w:t xml:space="preserve">(i.e. LS-LS and WSE-WSE) </w:t>
      </w:r>
      <w:r w:rsidRPr="0049045B">
        <w:rPr>
          <w:bCs/>
        </w:rPr>
        <w:t>were applied: (a) a</w:t>
      </w:r>
      <w:r w:rsidRPr="0049045B">
        <w:t xml:space="preserve">ll possible pairwise combinations of MRHI state to state (e.g. QLD vs VIC, QLD vs WA, NSW vs TAS, etc), and (b) habitat from one state compared to the same habitat from all other states combined (e.g. QLD macrophyte vs macrophyte from all other states, NSW riffle vs riffle from all other states, etc). The habitat comparison described in (b) was most relevant to the present study where replicates from one billabong (GTB) are compared to replicates from all reference billabongs combined because the sample numbers were similar (typically 4-6 ‘replicates’ from one state versus ~20 or more replicates from all others states) and the local (ARR) macrophyte habitat dataset </w:t>
      </w:r>
      <w:r>
        <w:t xml:space="preserve">described above </w:t>
      </w:r>
      <w:r w:rsidRPr="0049045B">
        <w:t xml:space="preserve">(GTB vs </w:t>
      </w:r>
      <w:r>
        <w:t>GUL</w:t>
      </w:r>
      <w:r w:rsidRPr="0049045B">
        <w:t xml:space="preserve">) could be </w:t>
      </w:r>
      <w:r>
        <w:t xml:space="preserve">directly </w:t>
      </w:r>
      <w:r w:rsidRPr="0049045B">
        <w:t>assessed in the same analysis.</w:t>
      </w:r>
      <w:r w:rsidRPr="00A032C0">
        <w:t xml:space="preserve"> </w:t>
      </w:r>
      <w:r w:rsidRPr="00DB6F06">
        <w:t>State to state and within-habitat relationships between ANOSIM R values calculated on live-sort or whole-sample-estimate data</w:t>
      </w:r>
      <w:r>
        <w:t xml:space="preserve"> are shown in Figure 4.</w:t>
      </w:r>
    </w:p>
    <w:p w:rsidR="00DA110D" w:rsidRPr="0049045B" w:rsidRDefault="00DA110D" w:rsidP="00DA110D">
      <w:r w:rsidRPr="00057A4D">
        <w:t>A median LS/WSE taxa number ratio was also derived for each state and local dataset. These</w:t>
      </w:r>
      <w:r>
        <w:t xml:space="preserve"> results are shown in Figure 5.</w:t>
      </w:r>
    </w:p>
    <w:p w:rsidR="00DA110D" w:rsidRPr="008D61CF" w:rsidRDefault="00DA110D" w:rsidP="00DA110D">
      <w:r w:rsidRPr="008D61CF">
        <w:t xml:space="preserve">Despite taxa biases and ensuing differences in macroinvertebrate community structure data represented in the two sample processing methods, pairwise ANOSIMs from the same method (LS-LS and WSE-WSE) yield very similar results (Figure 4). Indeed, the plotted relationships for state-to-state and within-habitat comparison are almost a 1:1 relationship. Macrophyte habitat data for the comparison of five GTB with five </w:t>
      </w:r>
      <w:r>
        <w:t>GUL</w:t>
      </w:r>
      <w:r w:rsidRPr="008D61CF">
        <w:t xml:space="preserve"> replicates processed using both methods are plotted in the within-h</w:t>
      </w:r>
      <w:r>
        <w:t>abitat relationship (Figure </w:t>
      </w:r>
      <w:r w:rsidRPr="008D61CF">
        <w:t>4b). The ANOSIM R values for the GTB-</w:t>
      </w:r>
      <w:r>
        <w:t>GUL</w:t>
      </w:r>
      <w:r w:rsidRPr="008D61CF">
        <w:t xml:space="preserve"> processing method comparisons are also very similar (R values of 0.52 and 0.55 for LS and WSE methods respectively).</w:t>
      </w:r>
    </w:p>
    <w:p w:rsidR="00DA110D" w:rsidRDefault="00DA110D" w:rsidP="00DA110D">
      <w:r w:rsidRPr="008D61CF">
        <w:t xml:space="preserve">Processing method comparisons using the Bray-Curtis similarity measure were also conducted. The results are not provided here but these showed a slightly higher correlation between </w:t>
      </w:r>
      <w:r>
        <w:t>LS and WSE groupwise comparison, i.e. very high concordance between the results for each sample processing method.</w:t>
      </w:r>
    </w:p>
    <w:p w:rsidR="00A05829" w:rsidRPr="00DB6F06" w:rsidRDefault="00A05829" w:rsidP="00A05829">
      <w:pPr>
        <w:ind w:left="360"/>
        <w:jc w:val="center"/>
      </w:pPr>
      <w:r w:rsidRPr="00DB6F06">
        <w:rPr>
          <w:noProof/>
          <w:lang w:eastAsia="en-AU"/>
        </w:rPr>
        <w:drawing>
          <wp:inline distT="0" distB="0" distL="0" distR="0">
            <wp:extent cx="3503053" cy="3567155"/>
            <wp:effectExtent l="0" t="0" r="2147" b="0"/>
            <wp:docPr id="8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6" cstate="screen"/>
                    <a:srcRect/>
                    <a:stretch>
                      <a:fillRect/>
                    </a:stretch>
                  </pic:blipFill>
                  <pic:spPr bwMode="auto">
                    <a:xfrm>
                      <a:off x="0" y="0"/>
                      <a:ext cx="3505308" cy="3569451"/>
                    </a:xfrm>
                    <a:prstGeom prst="rect">
                      <a:avLst/>
                    </a:prstGeom>
                    <a:noFill/>
                    <a:ln w="9525">
                      <a:noFill/>
                      <a:miter lim="800000"/>
                      <a:headEnd/>
                      <a:tailEnd/>
                    </a:ln>
                  </pic:spPr>
                </pic:pic>
              </a:graphicData>
            </a:graphic>
          </wp:inline>
        </w:drawing>
      </w:r>
    </w:p>
    <w:p w:rsidR="00C60A98" w:rsidRDefault="00A05829" w:rsidP="00C60A98">
      <w:pPr>
        <w:pStyle w:val="figurecaption"/>
      </w:pPr>
      <w:r w:rsidRPr="00DB6F06">
        <w:rPr>
          <w:b/>
        </w:rPr>
        <w:t>Figure 4</w:t>
      </w:r>
      <w:r w:rsidRPr="00DB6F06">
        <w:t xml:space="preserve">  (a) State to state and (b) within-habitat relationships between ANOSIM R values calculated on live-sort or whole-sample-estimate data.</w:t>
      </w:r>
    </w:p>
    <w:p w:rsidR="00C60A98" w:rsidRPr="00AF088A" w:rsidRDefault="00C60A98" w:rsidP="00C60A98">
      <w:r w:rsidRPr="00AF088A">
        <w:rPr>
          <w:bCs/>
          <w:lang w:val="en-US"/>
        </w:rPr>
        <w:t>Taxa number comparisons between the two sample processing methods</w:t>
      </w:r>
      <w:r w:rsidRPr="00AF088A">
        <w:t xml:space="preserve"> (Figure 5) showed a LS/WSE ratio of close to 1 for all state and local groups considered. This is despite the fact that taxa represented in LS and WSE components were not always the same.</w:t>
      </w:r>
    </w:p>
    <w:p w:rsidR="00C60A98" w:rsidRDefault="00C60A98" w:rsidP="00C60A98">
      <w:pPr>
        <w:jc w:val="left"/>
      </w:pPr>
      <w:r w:rsidRPr="005A7310">
        <w:rPr>
          <w:bCs/>
        </w:rPr>
        <w:t>These collective results show that g</w:t>
      </w:r>
      <w:r w:rsidRPr="005A7310">
        <w:t xml:space="preserve">roupwise comparisons of (i) macroinvertebrate community structure and (ii) taxa number, are preserved, whichever of the two sample processing methods </w:t>
      </w:r>
      <w:r>
        <w:t xml:space="preserve">is </w:t>
      </w:r>
      <w:r w:rsidRPr="005A7310">
        <w:t>used. Thus</w:t>
      </w:r>
      <w:r>
        <w:t>,</w:t>
      </w:r>
      <w:r w:rsidRPr="005A7310">
        <w:t xml:space="preserve"> there is no evidence that the GTB-reference waterbody ANOSIM, similarity and taxa number values are confounded by the change in sample processing method that occurred after 2006.</w:t>
      </w:r>
    </w:p>
    <w:p w:rsidR="001A7E73" w:rsidRDefault="001A7E73" w:rsidP="001A7E73">
      <w:pPr>
        <w:pStyle w:val="Heading3"/>
      </w:pPr>
      <w:r>
        <w:t>Changes in aquatic vegetation amongst waterbodies over time</w:t>
      </w:r>
    </w:p>
    <w:p w:rsidR="001A7E73" w:rsidRPr="00C60A98" w:rsidRDefault="001A7E73" w:rsidP="001A7E73">
      <w:pPr>
        <w:rPr>
          <w:spacing w:val="-4"/>
        </w:rPr>
      </w:pPr>
      <w:r w:rsidRPr="00C60A98">
        <w:rPr>
          <w:spacing w:val="-4"/>
        </w:rPr>
        <w:t>Macroinvertebrate communities may respond to changes in habitat and for GTB and similar ARR lentic waterbodies, aquatic plant communities constitute the major habitat for residency. Assessment of aquatic vegetation composition and relative abundance has accompanied billabong macroinvertebrate sampling for every year of the present study, using the same methodology first developed in 1995. Changes in these plant communities were examined to assess the extent, if any, to which these changes may also account for macroinvertebrate responses in GTB over time.</w:t>
      </w:r>
    </w:p>
    <w:p w:rsidR="001A7E73" w:rsidRDefault="001A7E73" w:rsidP="00C60A98">
      <w:pPr>
        <w:jc w:val="left"/>
      </w:pPr>
    </w:p>
    <w:p w:rsidR="001A7E73" w:rsidRDefault="001A7E73" w:rsidP="00C60A98">
      <w:pPr>
        <w:jc w:val="left"/>
        <w:sectPr w:rsidR="001A7E73" w:rsidSect="00224F8A">
          <w:headerReference w:type="default" r:id="rId197"/>
          <w:footnotePr>
            <w:numRestart w:val="eachPage"/>
          </w:footnotePr>
          <w:pgSz w:w="11906" w:h="16838" w:code="9"/>
          <w:pgMar w:top="1440" w:right="1440" w:bottom="1440" w:left="1440" w:header="1080" w:footer="835" w:gutter="0"/>
          <w:cols w:space="360"/>
          <w:noEndnote/>
          <w:docGrid w:linePitch="299"/>
        </w:sectPr>
      </w:pPr>
    </w:p>
    <w:p w:rsidR="00C60A98" w:rsidRPr="00C60A98" w:rsidRDefault="00C60A98" w:rsidP="00C60A98"/>
    <w:p w:rsidR="00A05829" w:rsidRPr="005A7310" w:rsidRDefault="00A05829" w:rsidP="00A05829">
      <w:pPr>
        <w:ind w:left="357"/>
        <w:jc w:val="center"/>
      </w:pPr>
      <w:r w:rsidRPr="005A7310">
        <w:rPr>
          <w:noProof/>
          <w:lang w:eastAsia="en-AU"/>
        </w:rPr>
        <w:drawing>
          <wp:inline distT="0" distB="0" distL="0" distR="0">
            <wp:extent cx="3450127" cy="2749550"/>
            <wp:effectExtent l="0" t="0" r="0" b="0"/>
            <wp:docPr id="8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8" cstate="screen"/>
                    <a:srcRect/>
                    <a:stretch>
                      <a:fillRect/>
                    </a:stretch>
                  </pic:blipFill>
                  <pic:spPr bwMode="auto">
                    <a:xfrm>
                      <a:off x="0" y="0"/>
                      <a:ext cx="3450127" cy="2749550"/>
                    </a:xfrm>
                    <a:prstGeom prst="rect">
                      <a:avLst/>
                    </a:prstGeom>
                    <a:noFill/>
                    <a:ln w="9525">
                      <a:noFill/>
                      <a:miter lim="800000"/>
                      <a:headEnd/>
                      <a:tailEnd/>
                    </a:ln>
                  </pic:spPr>
                </pic:pic>
              </a:graphicData>
            </a:graphic>
          </wp:inline>
        </w:drawing>
      </w:r>
    </w:p>
    <w:p w:rsidR="00A05829" w:rsidRDefault="00A05829" w:rsidP="00A05829">
      <w:pPr>
        <w:pStyle w:val="figurecaption"/>
      </w:pPr>
      <w:r w:rsidRPr="00DB6F06">
        <w:rPr>
          <w:b/>
        </w:rPr>
        <w:t xml:space="preserve">Figure </w:t>
      </w:r>
      <w:proofErr w:type="gramStart"/>
      <w:r>
        <w:rPr>
          <w:b/>
        </w:rPr>
        <w:t>5</w:t>
      </w:r>
      <w:r w:rsidRPr="00DB6F06">
        <w:t xml:space="preserve">  </w:t>
      </w:r>
      <w:r>
        <w:t>Boxplot</w:t>
      </w:r>
      <w:proofErr w:type="gramEnd"/>
      <w:r>
        <w:t xml:space="preserve"> showing comparison of LS-WSE (live-sort/whole sample estimate ratio) for the different MRHI state agencies and within GTB 1996 (10 samples), GTB 2013 (5) and Gulungul 2013 (5) samples.</w:t>
      </w:r>
      <w:r w:rsidRPr="00A527C3">
        <w:t xml:space="preserve"> </w:t>
      </w:r>
      <w:r>
        <w:t>Box plots show median, 25</w:t>
      </w:r>
      <w:r>
        <w:rPr>
          <w:vertAlign w:val="superscript"/>
        </w:rPr>
        <w:t>th</w:t>
      </w:r>
      <w:r>
        <w:t xml:space="preserve"> and 75</w:t>
      </w:r>
      <w:r>
        <w:rPr>
          <w:vertAlign w:val="superscript"/>
        </w:rPr>
        <w:t>th</w:t>
      </w:r>
      <w:r>
        <w:t xml:space="preserve"> percentile, range within these interquartiles and outliers (asterisk). </w:t>
      </w:r>
    </w:p>
    <w:p w:rsidR="001F37B9" w:rsidRPr="00C60A98" w:rsidRDefault="001F37B9" w:rsidP="001F37B9">
      <w:pPr>
        <w:rPr>
          <w:spacing w:val="-4"/>
        </w:rPr>
      </w:pPr>
      <w:r w:rsidRPr="00C60A98">
        <w:rPr>
          <w:spacing w:val="-4"/>
        </w:rPr>
        <w:t>Since 1995 and at each of the five locations within each of the 14 waterbodies sampled, macrophyte composition and relative abundance data have been collected. The visual-assessment methods are described in O’Connor et al. (1996). In summary, a visual assessment of the total percentage cover of submerged and emergent macrophytes in the sampling location is made, as well as the percentage abundance of individual macrophyte taxa (usually genus-level) present. Typically, percentage abundance of the different taxa were grouped according to structurally-similar plant forms, after the schema of Sainty &amp; Jacobs (1994), i.e. 'floating attached', 'submerged not feathery', 'submerged and emergent feathery', 'free floating', 'emergent narrow leaf' and 'emergent broad leaf' forms. GTB plant communities were compared to the same (up to) 9 reference waterbodies as the macroinvertebrate analyses described above. Assessment of aquatic vegetation changes in GTB relative to reference waterbodies entailed comparative plots of relative abundance of structurally-similar plant forms, taxa number and m</w:t>
      </w:r>
      <w:r w:rsidRPr="00C60A98">
        <w:rPr>
          <w:spacing w:val="-4"/>
          <w:szCs w:val="22"/>
        </w:rPr>
        <w:t>ean (GTB-reference) similarity for community structure data. The taxa number and similarity plots were prepared in the same manner as applied to macroinvertebrate data (i.e. Figures 2 &amp; 3B respectively); taxa number and similarity were plotted</w:t>
      </w:r>
      <w:r w:rsidRPr="00C60A98">
        <w:rPr>
          <w:spacing w:val="-4"/>
        </w:rPr>
        <w:t xml:space="preserve"> against antecedent (to sampling) Mg concentration. Of particular interest in the plots was whether changes in GTB plant communities, relative to reference waterbodies, were most evident in 2011, coincident with macroinvertebrate impacts and highest (on record) MgSO</w:t>
      </w:r>
      <w:r w:rsidRPr="00C60A98">
        <w:rPr>
          <w:snapToGrid w:val="0"/>
          <w:color w:val="000000"/>
          <w:spacing w:val="-4"/>
          <w:position w:val="-5"/>
          <w:sz w:val="15"/>
          <w:szCs w:val="0"/>
          <w:u w:color="000000"/>
        </w:rPr>
        <w:t xml:space="preserve">4 </w:t>
      </w:r>
      <w:r w:rsidRPr="00C60A98">
        <w:rPr>
          <w:spacing w:val="-4"/>
        </w:rPr>
        <w:t>contamination.</w:t>
      </w:r>
    </w:p>
    <w:p w:rsidR="001F37B9" w:rsidRPr="00C60A98" w:rsidRDefault="001F37B9" w:rsidP="001F37B9">
      <w:pPr>
        <w:rPr>
          <w:spacing w:val="-4"/>
        </w:rPr>
      </w:pPr>
      <w:r w:rsidRPr="00C60A98">
        <w:rPr>
          <w:spacing w:val="-4"/>
        </w:rPr>
        <w:t>The analyses showed that, relative to reference waterbodies in 2011, GTB submerged vegetation was in low densities (Figure 6) and the average replicate taxa number was also low (Figure 7). GTB aquatic plant community structure also had low resemblance to that of reference waterbodies in 2011 (Figure 8). However, these same characteristics were also evident for GTB in 1996 and 2006 (Figures 6, 7 &amp; 8), years when GTB macroinvertebrate communities were similar to reference. This provides evidence that key aquatic plant habitat in GTB was not responsible alone, at least, for the relatively low macroinvertebrate diversity observed in 2011.</w:t>
      </w:r>
    </w:p>
    <w:p w:rsidR="00A05829" w:rsidRDefault="00A05829" w:rsidP="00DA6F85">
      <w:pPr>
        <w:pStyle w:val="Heading2"/>
        <w:rPr>
          <w:lang w:val="en-US"/>
        </w:rPr>
      </w:pPr>
      <w:r>
        <w:rPr>
          <w:lang w:val="en-US"/>
        </w:rPr>
        <w:t>Towards deriving closure criteria for Mg, EC and other solutes for Ranger receiving waters</w:t>
      </w:r>
    </w:p>
    <w:p w:rsidR="001F37B9" w:rsidRPr="00C60A98" w:rsidRDefault="001F37B9" w:rsidP="001F37B9">
      <w:pPr>
        <w:rPr>
          <w:spacing w:val="-4"/>
          <w:lang w:val="en-US"/>
        </w:rPr>
      </w:pPr>
      <w:r w:rsidRPr="00C60A98">
        <w:rPr>
          <w:spacing w:val="-4"/>
          <w:lang w:val="en-US"/>
        </w:rPr>
        <w:t xml:space="preserve">Work conducted after 2013 sampling indicates that alternative possible causes, so far considered, of the significantly altered macroinvertebrate communities in GTB observed in 2011 (method and habitat change) cannot explain and account for the changes observed. </w:t>
      </w:r>
      <w:r w:rsidR="00DA6F85" w:rsidRPr="00C60A98">
        <w:rPr>
          <w:spacing w:val="-4"/>
          <w:lang w:val="en-US"/>
        </w:rPr>
        <w:t>Additional environmental variables associated with waterbody habitat and location will be sought for analysis to confirm these findings.  Notwithstanding, t</w:t>
      </w:r>
      <w:r w:rsidRPr="00C60A98">
        <w:rPr>
          <w:spacing w:val="-4"/>
          <w:lang w:val="en-US"/>
        </w:rPr>
        <w:t>ogether with the consistency of response observed in 2013 to the response-water quality relationship accrued after 2011 sampling, the increasing MgSO</w:t>
      </w:r>
      <w:r w:rsidRPr="00C60A98">
        <w:rPr>
          <w:snapToGrid w:val="0"/>
          <w:color w:val="000000"/>
          <w:spacing w:val="-4"/>
          <w:position w:val="-5"/>
          <w:sz w:val="15"/>
          <w:szCs w:val="0"/>
          <w:u w:color="000000"/>
          <w:lang w:val="en-US"/>
        </w:rPr>
        <w:t>4</w:t>
      </w:r>
      <w:r w:rsidRPr="00C60A98">
        <w:rPr>
          <w:spacing w:val="-4"/>
          <w:lang w:val="en-US"/>
        </w:rPr>
        <w:t xml:space="preserve"> contamination observed in GTB up to 2011 appears to be the most likely explanation for the impact observed in that year.</w:t>
      </w:r>
    </w:p>
    <w:p w:rsidR="00A05829" w:rsidRDefault="00A05829" w:rsidP="00A05829">
      <w:pPr>
        <w:jc w:val="center"/>
        <w:rPr>
          <w:lang w:val="en-US"/>
        </w:rPr>
      </w:pPr>
      <w:r w:rsidRPr="003D1405">
        <w:rPr>
          <w:noProof/>
          <w:lang w:eastAsia="en-AU"/>
        </w:rPr>
        <w:drawing>
          <wp:inline distT="0" distB="0" distL="0" distR="0">
            <wp:extent cx="2520000" cy="5025176"/>
            <wp:effectExtent l="19050" t="0" r="0" b="0"/>
            <wp:docPr id="8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9" cstate="screen"/>
                    <a:srcRect t="2419" r="5932"/>
                    <a:stretch>
                      <a:fillRect/>
                    </a:stretch>
                  </pic:blipFill>
                  <pic:spPr bwMode="auto">
                    <a:xfrm>
                      <a:off x="0" y="0"/>
                      <a:ext cx="2520000" cy="5025176"/>
                    </a:xfrm>
                    <a:prstGeom prst="rect">
                      <a:avLst/>
                    </a:prstGeom>
                    <a:noFill/>
                    <a:ln w="9525">
                      <a:noFill/>
                      <a:miter lim="800000"/>
                      <a:headEnd/>
                      <a:tailEnd/>
                    </a:ln>
                  </pic:spPr>
                </pic:pic>
              </a:graphicData>
            </a:graphic>
          </wp:inline>
        </w:drawing>
      </w:r>
    </w:p>
    <w:p w:rsidR="00C60A98" w:rsidRDefault="00A05829" w:rsidP="00A05829">
      <w:pPr>
        <w:pStyle w:val="figurecaption"/>
      </w:pPr>
      <w:r w:rsidRPr="00DB6F06">
        <w:rPr>
          <w:b/>
        </w:rPr>
        <w:t xml:space="preserve">Figure </w:t>
      </w:r>
      <w:proofErr w:type="gramStart"/>
      <w:r>
        <w:rPr>
          <w:b/>
        </w:rPr>
        <w:t>6</w:t>
      </w:r>
      <w:r w:rsidRPr="00DB6F06">
        <w:t xml:space="preserve">  </w:t>
      </w:r>
      <w:r w:rsidRPr="008D58D1">
        <w:t>Histograms</w:t>
      </w:r>
      <w:proofErr w:type="gramEnd"/>
      <w:r w:rsidRPr="008D58D1">
        <w:t xml:space="preserve"> of mean</w:t>
      </w:r>
      <w:r>
        <w:t>,</w:t>
      </w:r>
      <w:r w:rsidRPr="008D58D1">
        <w:t xml:space="preserve"> </w:t>
      </w:r>
      <w:r>
        <w:t>relative percent abundance of aquatic plants grouped by life-form in GTB and reference waterbodies for different years of sampling.</w:t>
      </w:r>
    </w:p>
    <w:p w:rsidR="001A7E73" w:rsidRDefault="001A7E73" w:rsidP="001A7E73">
      <w:pPr>
        <w:rPr>
          <w:lang w:val="en-US"/>
        </w:rPr>
      </w:pPr>
      <w:r>
        <w:rPr>
          <w:lang w:val="en-US"/>
        </w:rPr>
        <w:t xml:space="preserve">Billabong sampling will continue in future years, either periodically (e.g. every other year) and/or opportunistically in response to changes in water quality. The accruing data will be used to confirm the findings to </w:t>
      </w:r>
      <w:proofErr w:type="gramStart"/>
      <w:r>
        <w:rPr>
          <w:lang w:val="en-US"/>
        </w:rPr>
        <w:t>date,</w:t>
      </w:r>
      <w:proofErr w:type="gramEnd"/>
      <w:r>
        <w:rPr>
          <w:lang w:val="en-US"/>
        </w:rPr>
        <w:t xml:space="preserve"> while a more detailed examination of the taxa absent from, or in much-reduced abundance in, GTB in 2011, is underway to assess consistency in response to literature-reported sensitivities. Both approaches can be used to strengthen inferences made about water quality changes to biota in GTB.</w:t>
      </w:r>
    </w:p>
    <w:p w:rsidR="00A05829" w:rsidRDefault="00A05829" w:rsidP="00A05829">
      <w:pPr>
        <w:pStyle w:val="figurecaption"/>
        <w:rPr>
          <w:lang w:val="en-US"/>
        </w:rPr>
      </w:pPr>
    </w:p>
    <w:p w:rsidR="00A05829" w:rsidRDefault="006B5A61" w:rsidP="00A05829">
      <w:pPr>
        <w:jc w:val="center"/>
      </w:pPr>
      <w:r>
        <w:rPr>
          <w:noProof/>
          <w:lang w:eastAsia="en-AU"/>
        </w:rPr>
        <w:pict>
          <v:shape id="_x0000_s1047" type="#_x0000_t202" style="position:absolute;left:0;text-align:left;margin-left:149.6pt;margin-top:118.5pt;width:29.7pt;height:14pt;z-index:251669504;mso-width-relative:margin;mso-height-relative:margin" filled="f" stroked="f">
            <v:textbox style="mso-next-textbox:#_x0000_s1047">
              <w:txbxContent>
                <w:p w:rsidR="00F260FF" w:rsidRPr="00F63C06" w:rsidRDefault="00F260FF" w:rsidP="00A05829">
                  <w:pPr>
                    <w:spacing w:after="0" w:line="240" w:lineRule="auto"/>
                    <w:rPr>
                      <w:rFonts w:asciiTheme="minorHAnsi" w:hAnsiTheme="minorHAnsi"/>
                      <w:sz w:val="12"/>
                      <w:szCs w:val="12"/>
                    </w:rPr>
                  </w:pPr>
                  <w:r>
                    <w:rPr>
                      <w:rFonts w:asciiTheme="minorHAnsi" w:hAnsiTheme="minorHAnsi"/>
                      <w:sz w:val="12"/>
                      <w:szCs w:val="12"/>
                    </w:rPr>
                    <w:t>2006</w:t>
                  </w:r>
                </w:p>
              </w:txbxContent>
            </v:textbox>
          </v:shape>
        </w:pict>
      </w:r>
      <w:r>
        <w:rPr>
          <w:noProof/>
          <w:lang w:eastAsia="en-AU"/>
        </w:rPr>
        <w:pict>
          <v:shape id="_x0000_s1046" type="#_x0000_t202" style="position:absolute;left:0;text-align:left;margin-left:241.5pt;margin-top:21pt;width:29.7pt;height:14pt;z-index:251668480;mso-width-relative:margin;mso-height-relative:margin" filled="f" stroked="f">
            <v:textbox style="mso-next-textbox:#_x0000_s1046">
              <w:txbxContent>
                <w:p w:rsidR="00F260FF" w:rsidRPr="00F63C06" w:rsidRDefault="00F260FF" w:rsidP="00A05829">
                  <w:pPr>
                    <w:spacing w:after="0" w:line="240" w:lineRule="auto"/>
                    <w:rPr>
                      <w:rFonts w:asciiTheme="minorHAnsi" w:hAnsiTheme="minorHAnsi"/>
                      <w:sz w:val="12"/>
                      <w:szCs w:val="12"/>
                    </w:rPr>
                  </w:pPr>
                  <w:r>
                    <w:rPr>
                      <w:rFonts w:asciiTheme="minorHAnsi" w:hAnsiTheme="minorHAnsi"/>
                      <w:sz w:val="12"/>
                      <w:szCs w:val="12"/>
                    </w:rPr>
                    <w:t>2013</w:t>
                  </w:r>
                </w:p>
              </w:txbxContent>
            </v:textbox>
          </v:shape>
        </w:pict>
      </w:r>
      <w:r>
        <w:rPr>
          <w:noProof/>
          <w:lang w:eastAsia="en-AU"/>
        </w:rPr>
        <w:pict>
          <v:shape id="_x0000_s1048" type="#_x0000_t202" style="position:absolute;left:0;text-align:left;margin-left:149.6pt;margin-top:7pt;width:29.7pt;height:14pt;z-index:251670528;mso-width-relative:margin;mso-height-relative:margin" filled="f" stroked="f">
            <v:textbox style="mso-next-textbox:#_x0000_s1048">
              <w:txbxContent>
                <w:p w:rsidR="00F260FF" w:rsidRPr="00F63C06" w:rsidRDefault="00F260FF" w:rsidP="00A05829">
                  <w:pPr>
                    <w:spacing w:after="0" w:line="240" w:lineRule="auto"/>
                    <w:rPr>
                      <w:rFonts w:asciiTheme="minorHAnsi" w:hAnsiTheme="minorHAnsi"/>
                      <w:sz w:val="12"/>
                      <w:szCs w:val="12"/>
                    </w:rPr>
                  </w:pPr>
                  <w:r>
                    <w:rPr>
                      <w:rFonts w:asciiTheme="minorHAnsi" w:hAnsiTheme="minorHAnsi"/>
                      <w:sz w:val="12"/>
                      <w:szCs w:val="12"/>
                    </w:rPr>
                    <w:t>1995</w:t>
                  </w:r>
                </w:p>
              </w:txbxContent>
            </v:textbox>
          </v:shape>
        </w:pict>
      </w:r>
      <w:r>
        <w:rPr>
          <w:noProof/>
          <w:lang w:eastAsia="en-AU"/>
        </w:rPr>
        <w:pict>
          <v:shape id="_x0000_s1049" type="#_x0000_t202" style="position:absolute;left:0;text-align:left;margin-left:129.3pt;margin-top:87pt;width:29.7pt;height:14pt;z-index:251671552;mso-width-relative:margin;mso-height-relative:margin" filled="f" stroked="f">
            <v:textbox style="mso-next-textbox:#_x0000_s1049">
              <w:txbxContent>
                <w:p w:rsidR="00F260FF" w:rsidRPr="00F63C06" w:rsidRDefault="00F260FF" w:rsidP="00A05829">
                  <w:pPr>
                    <w:spacing w:after="0" w:line="240" w:lineRule="auto"/>
                    <w:rPr>
                      <w:rFonts w:asciiTheme="minorHAnsi" w:hAnsiTheme="minorHAnsi"/>
                      <w:sz w:val="12"/>
                      <w:szCs w:val="12"/>
                    </w:rPr>
                  </w:pPr>
                  <w:r>
                    <w:rPr>
                      <w:rFonts w:asciiTheme="minorHAnsi" w:hAnsiTheme="minorHAnsi"/>
                      <w:sz w:val="12"/>
                      <w:szCs w:val="12"/>
                    </w:rPr>
                    <w:t>1996</w:t>
                  </w:r>
                </w:p>
              </w:txbxContent>
            </v:textbox>
          </v:shape>
        </w:pict>
      </w:r>
      <w:r w:rsidRPr="006B5A61">
        <w:rPr>
          <w:noProof/>
          <w:lang w:val="en-US" w:eastAsia="zh-TW"/>
        </w:rPr>
        <w:pict>
          <v:shape id="_x0000_s1044" type="#_x0000_t202" style="position:absolute;left:0;text-align:left;margin-left:303.3pt;margin-top:73pt;width:29.7pt;height:14pt;z-index:251666432;mso-width-relative:margin;mso-height-relative:margin" filled="f" stroked="f">
            <v:textbox style="mso-next-textbox:#_x0000_s1044">
              <w:txbxContent>
                <w:p w:rsidR="00F260FF" w:rsidRPr="00F63C06" w:rsidRDefault="00F260FF" w:rsidP="00A05829">
                  <w:pPr>
                    <w:spacing w:after="0" w:line="240" w:lineRule="auto"/>
                    <w:rPr>
                      <w:rFonts w:asciiTheme="minorHAnsi" w:hAnsiTheme="minorHAnsi"/>
                      <w:sz w:val="12"/>
                      <w:szCs w:val="12"/>
                    </w:rPr>
                  </w:pPr>
                  <w:r w:rsidRPr="00F63C06">
                    <w:rPr>
                      <w:rFonts w:asciiTheme="minorHAnsi" w:hAnsiTheme="minorHAnsi"/>
                      <w:sz w:val="12"/>
                      <w:szCs w:val="12"/>
                    </w:rPr>
                    <w:t>2011</w:t>
                  </w:r>
                </w:p>
              </w:txbxContent>
            </v:textbox>
          </v:shape>
        </w:pict>
      </w:r>
      <w:r>
        <w:rPr>
          <w:noProof/>
          <w:lang w:eastAsia="en-AU"/>
        </w:rPr>
        <w:pict>
          <v:shape id="_x0000_s1045" type="#_x0000_t202" style="position:absolute;left:0;text-align:left;margin-left:279.3pt;margin-top:104.5pt;width:29.7pt;height:14pt;z-index:251667456;mso-width-relative:margin;mso-height-relative:margin" filled="f" stroked="f">
            <v:textbox style="mso-next-textbox:#_x0000_s1045">
              <w:txbxContent>
                <w:p w:rsidR="00F260FF" w:rsidRPr="00F63C06" w:rsidRDefault="00F260FF" w:rsidP="00A05829">
                  <w:pPr>
                    <w:spacing w:after="0" w:line="240" w:lineRule="auto"/>
                    <w:rPr>
                      <w:rFonts w:asciiTheme="minorHAnsi" w:hAnsiTheme="minorHAnsi"/>
                      <w:sz w:val="12"/>
                      <w:szCs w:val="12"/>
                    </w:rPr>
                  </w:pPr>
                  <w:r w:rsidRPr="00F63C06">
                    <w:rPr>
                      <w:rFonts w:asciiTheme="minorHAnsi" w:hAnsiTheme="minorHAnsi"/>
                      <w:sz w:val="12"/>
                      <w:szCs w:val="12"/>
                    </w:rPr>
                    <w:t>20</w:t>
                  </w:r>
                  <w:r>
                    <w:rPr>
                      <w:rFonts w:asciiTheme="minorHAnsi" w:hAnsiTheme="minorHAnsi"/>
                      <w:sz w:val="12"/>
                      <w:szCs w:val="12"/>
                    </w:rPr>
                    <w:t>09</w:t>
                  </w:r>
                </w:p>
              </w:txbxContent>
            </v:textbox>
          </v:shape>
        </w:pict>
      </w:r>
      <w:r w:rsidR="00A05829" w:rsidRPr="000F5EA5">
        <w:rPr>
          <w:noProof/>
          <w:lang w:eastAsia="en-AU"/>
        </w:rPr>
        <w:drawing>
          <wp:inline distT="0" distB="0" distL="0" distR="0">
            <wp:extent cx="3060000" cy="2318876"/>
            <wp:effectExtent l="19050" t="0" r="7050" b="0"/>
            <wp:docPr id="8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0" cstate="screen"/>
                    <a:srcRect t="10226" r="3564"/>
                    <a:stretch>
                      <a:fillRect/>
                    </a:stretch>
                  </pic:blipFill>
                  <pic:spPr bwMode="auto">
                    <a:xfrm>
                      <a:off x="0" y="0"/>
                      <a:ext cx="3060000" cy="2318876"/>
                    </a:xfrm>
                    <a:prstGeom prst="rect">
                      <a:avLst/>
                    </a:prstGeom>
                    <a:noFill/>
                    <a:ln w="9525">
                      <a:noFill/>
                      <a:miter lim="800000"/>
                      <a:headEnd/>
                      <a:tailEnd/>
                    </a:ln>
                  </pic:spPr>
                </pic:pic>
              </a:graphicData>
            </a:graphic>
          </wp:inline>
        </w:drawing>
      </w:r>
    </w:p>
    <w:p w:rsidR="00A05829" w:rsidRDefault="00A05829" w:rsidP="00A05829">
      <w:pPr>
        <w:pStyle w:val="figurecaption"/>
      </w:pPr>
      <w:r w:rsidRPr="00F46424">
        <w:rPr>
          <w:b/>
        </w:rPr>
        <w:t xml:space="preserve">Figure </w:t>
      </w:r>
      <w:proofErr w:type="gramStart"/>
      <w:r>
        <w:rPr>
          <w:b/>
        </w:rPr>
        <w:t>7</w:t>
      </w:r>
      <w:r w:rsidRPr="0091613D">
        <w:t xml:space="preserve">  </w:t>
      </w:r>
      <w:r>
        <w:t>Mean</w:t>
      </w:r>
      <w:proofErr w:type="gramEnd"/>
      <w:r>
        <w:t xml:space="preserve"> (±SE) aquatic plant taxa number (as % of mean reference waterbody taxa number) in GTB in relation to year of sampling and median antecedent wet and dry season Mg concentration.</w:t>
      </w:r>
    </w:p>
    <w:p w:rsidR="00A05829" w:rsidRDefault="00A05829" w:rsidP="00A05829">
      <w:pPr>
        <w:jc w:val="center"/>
      </w:pPr>
      <w:r w:rsidRPr="006D54FA">
        <w:rPr>
          <w:noProof/>
          <w:lang w:eastAsia="en-AU"/>
        </w:rPr>
        <w:drawing>
          <wp:inline distT="0" distB="0" distL="0" distR="0">
            <wp:extent cx="3240000" cy="2570334"/>
            <wp:effectExtent l="19050" t="0" r="0" b="0"/>
            <wp:docPr id="8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01" cstate="screen"/>
                    <a:srcRect t="10489" r="4360"/>
                    <a:stretch>
                      <a:fillRect/>
                    </a:stretch>
                  </pic:blipFill>
                  <pic:spPr bwMode="auto">
                    <a:xfrm>
                      <a:off x="0" y="0"/>
                      <a:ext cx="3240000" cy="2570334"/>
                    </a:xfrm>
                    <a:prstGeom prst="rect">
                      <a:avLst/>
                    </a:prstGeom>
                    <a:noFill/>
                    <a:ln w="9525">
                      <a:noFill/>
                      <a:miter lim="800000"/>
                      <a:headEnd/>
                      <a:tailEnd/>
                    </a:ln>
                  </pic:spPr>
                </pic:pic>
              </a:graphicData>
            </a:graphic>
          </wp:inline>
        </w:drawing>
      </w:r>
    </w:p>
    <w:p w:rsidR="00A05829" w:rsidRDefault="00A05829" w:rsidP="00A05829">
      <w:pPr>
        <w:pStyle w:val="figurecaption"/>
      </w:pPr>
      <w:r w:rsidRPr="00EA3641">
        <w:rPr>
          <w:b/>
        </w:rPr>
        <w:t xml:space="preserve">Figure </w:t>
      </w:r>
      <w:proofErr w:type="gramStart"/>
      <w:r>
        <w:rPr>
          <w:b/>
        </w:rPr>
        <w:t>8</w:t>
      </w:r>
      <w:r w:rsidRPr="0091613D">
        <w:t xml:space="preserve">  </w:t>
      </w:r>
      <w:r>
        <w:t>Mean</w:t>
      </w:r>
      <w:proofErr w:type="gramEnd"/>
      <w:r>
        <w:t xml:space="preserve"> (±SE) replicate pairwise Bray-Curtis similarity for GTB vs reference waterbody aquatic plant comparison, in relation to year and median antecedent wet and dry season Mg concentration.</w:t>
      </w:r>
    </w:p>
    <w:p w:rsidR="001F37B9" w:rsidRDefault="001F37B9" w:rsidP="001F37B9">
      <w:pPr>
        <w:rPr>
          <w:color w:val="000000" w:themeColor="text1"/>
          <w:lang w:val="en-US"/>
        </w:rPr>
      </w:pPr>
      <w:r w:rsidRPr="00880E97">
        <w:t>A number of assemblage-based, statistical approaches for change-point determination are being assessed in a related field experimental, sediment quality criteria study for the ARR (Harford et al</w:t>
      </w:r>
      <w:r>
        <w:t>. 2013</w:t>
      </w:r>
      <w:r w:rsidRPr="00880E97">
        <w:t xml:space="preserve">). While these same approaches can </w:t>
      </w:r>
      <w:r>
        <w:t xml:space="preserve">also </w:t>
      </w:r>
      <w:r w:rsidRPr="00880E97">
        <w:t>be examined for the present study, the graphical results for GTB taxa number and community structure response measures relative to reference waterbodies appear unambiguous in identifying a change in macroinvertebrate communities at ~5 mg/L Mg (Figures 2 &amp; 3</w:t>
      </w:r>
      <w:r>
        <w:t>B</w:t>
      </w:r>
      <w:r w:rsidRPr="00880E97">
        <w:t xml:space="preserve">). This value is very close to the laboratory toxicity-determined </w:t>
      </w:r>
      <w:r>
        <w:t xml:space="preserve">guideline </w:t>
      </w:r>
      <w:r w:rsidRPr="00880E97">
        <w:t xml:space="preserve">value of 3 mg/L, despite field and laboratory </w:t>
      </w:r>
      <w:r>
        <w:t xml:space="preserve">approaches </w:t>
      </w:r>
      <w:r w:rsidRPr="00880E97">
        <w:t>using very different methods of derivation</w:t>
      </w:r>
      <w:r>
        <w:t>. L</w:t>
      </w:r>
      <w:r w:rsidRPr="00880E97">
        <w:t>aboratory and field exposures</w:t>
      </w:r>
      <w:r>
        <w:t>, for example,</w:t>
      </w:r>
      <w:r w:rsidRPr="00880E97">
        <w:t xml:space="preserve"> are short- (up to </w:t>
      </w:r>
      <w:r>
        <w:t>6</w:t>
      </w:r>
      <w:r w:rsidRPr="00880E97">
        <w:t xml:space="preserve"> days) and longer-term (antecedent 12 months)</w:t>
      </w:r>
      <w:r>
        <w:t>,</w:t>
      </w:r>
      <w:r w:rsidRPr="00880E97">
        <w:t xml:space="preserve"> respectively</w:t>
      </w:r>
      <w:r>
        <w:t>. Further, t</w:t>
      </w:r>
      <w:r w:rsidRPr="00880E97">
        <w:t xml:space="preserve">he laboratory value is based on a statistical extrapolation compared to the direct threshold determination of the field value. These supporting lines of evidence </w:t>
      </w:r>
      <w:r>
        <w:t xml:space="preserve">for closure criteria proposed for Mg and EC </w:t>
      </w:r>
      <w:r w:rsidRPr="00880E97">
        <w:t xml:space="preserve">are </w:t>
      </w:r>
      <w:r>
        <w:t>presently being</w:t>
      </w:r>
      <w:r w:rsidRPr="00DD164C">
        <w:rPr>
          <w:color w:val="000000" w:themeColor="text1"/>
          <w:lang w:val="en-US"/>
        </w:rPr>
        <w:t xml:space="preserve"> considered by an Aquatic Ecosystems Technical Working Group</w:t>
      </w:r>
      <w:r>
        <w:rPr>
          <w:color w:val="000000" w:themeColor="text1"/>
          <w:lang w:val="en-US"/>
        </w:rPr>
        <w:t xml:space="preserve"> (AETWG)</w:t>
      </w:r>
      <w:r w:rsidRPr="00DD164C">
        <w:rPr>
          <w:color w:val="000000" w:themeColor="text1"/>
          <w:lang w:val="en-US"/>
        </w:rPr>
        <w:t xml:space="preserve"> that report</w:t>
      </w:r>
      <w:r>
        <w:rPr>
          <w:color w:val="000000" w:themeColor="text1"/>
          <w:lang w:val="en-US"/>
        </w:rPr>
        <w:t>s</w:t>
      </w:r>
      <w:r w:rsidRPr="00DD164C">
        <w:rPr>
          <w:color w:val="000000" w:themeColor="text1"/>
          <w:lang w:val="en-US"/>
        </w:rPr>
        <w:t xml:space="preserve"> to the Ranger Closure Criteria Working Group</w:t>
      </w:r>
      <w:r>
        <w:rPr>
          <w:color w:val="000000" w:themeColor="text1"/>
          <w:lang w:val="en-US"/>
        </w:rPr>
        <w:t>.</w:t>
      </w:r>
    </w:p>
    <w:p w:rsidR="001F37B9" w:rsidRDefault="001F37B9" w:rsidP="001F37B9">
      <w:pPr>
        <w:rPr>
          <w:szCs w:val="48"/>
          <w:lang w:eastAsia="en-AU"/>
        </w:rPr>
      </w:pPr>
      <w:r>
        <w:rPr>
          <w:color w:val="000000" w:themeColor="text1"/>
          <w:lang w:val="en-US"/>
        </w:rPr>
        <w:t xml:space="preserve">The AETWG is considering where the </w:t>
      </w:r>
      <w:r w:rsidRPr="00880E97">
        <w:t>field and laboratory</w:t>
      </w:r>
      <w:r>
        <w:t xml:space="preserve"> criteria would apply amongst creek channel and billabong receiving-water types. Organisms tested in the laboratory are mainly resident in billabongs, while apart from higher water temperatures observed in billabongs compared to creek channels, wet season water quality in creek channels and billabongs is similar (comparative data available but not provided here). This would suggest </w:t>
      </w:r>
      <w:r w:rsidRPr="00880E97">
        <w:t>field</w:t>
      </w:r>
      <w:r>
        <w:t>-</w:t>
      </w:r>
      <w:r w:rsidRPr="00880E97">
        <w:t xml:space="preserve"> and laboratory</w:t>
      </w:r>
      <w:r>
        <w:t xml:space="preserve">-derived criteria could be applied to all wet season surface waters. For billabongs where surface waters persist throughout the year (unlike creek channels) the very different water quality observed naturally between wet and dry seasons necessitates derivation of two sets of criteria, one for each season. The antecedent dry and wet season (median) water quality values for </w:t>
      </w:r>
      <w:r w:rsidRPr="002D1605">
        <w:rPr>
          <w:szCs w:val="48"/>
          <w:lang w:eastAsia="en-AU"/>
        </w:rPr>
        <w:t>1995, 1996, 2006, 2009</w:t>
      </w:r>
      <w:r>
        <w:rPr>
          <w:szCs w:val="48"/>
          <w:lang w:eastAsia="en-AU"/>
        </w:rPr>
        <w:t xml:space="preserve"> and</w:t>
      </w:r>
      <w:r w:rsidRPr="002D1605">
        <w:rPr>
          <w:szCs w:val="48"/>
          <w:lang w:eastAsia="en-AU"/>
        </w:rPr>
        <w:t xml:space="preserve"> 2013</w:t>
      </w:r>
      <w:r>
        <w:rPr>
          <w:szCs w:val="48"/>
          <w:lang w:eastAsia="en-AU"/>
        </w:rPr>
        <w:t xml:space="preserve"> could serve this role, though decisions are required on how these values would be considered and integrated with those determined from laboratory and field threshold effects discussed above. </w:t>
      </w:r>
    </w:p>
    <w:p w:rsidR="001F37B9" w:rsidRDefault="001F37B9" w:rsidP="001F37B9">
      <w:pPr>
        <w:rPr>
          <w:szCs w:val="36"/>
          <w:lang w:eastAsia="en-AU"/>
        </w:rPr>
      </w:pPr>
      <w:r>
        <w:rPr>
          <w:szCs w:val="48"/>
          <w:lang w:eastAsia="en-AU"/>
        </w:rPr>
        <w:t>A</w:t>
      </w:r>
      <w:r>
        <w:t xml:space="preserve">ntecedent dry and wet season (median) values for U in GTB for </w:t>
      </w:r>
      <w:r w:rsidRPr="002D1605">
        <w:rPr>
          <w:szCs w:val="48"/>
          <w:lang w:eastAsia="en-AU"/>
        </w:rPr>
        <w:t>1995, 1996, 2006, 2009</w:t>
      </w:r>
      <w:r>
        <w:rPr>
          <w:szCs w:val="48"/>
          <w:lang w:eastAsia="en-AU"/>
        </w:rPr>
        <w:t xml:space="preserve"> and</w:t>
      </w:r>
      <w:r w:rsidRPr="002D1605">
        <w:rPr>
          <w:szCs w:val="48"/>
          <w:lang w:eastAsia="en-AU"/>
        </w:rPr>
        <w:t xml:space="preserve"> 2013</w:t>
      </w:r>
      <w:r w:rsidRPr="00051F5C">
        <w:rPr>
          <w:szCs w:val="36"/>
          <w:lang w:eastAsia="en-AU"/>
        </w:rPr>
        <w:t xml:space="preserve"> </w:t>
      </w:r>
      <w:r>
        <w:rPr>
          <w:szCs w:val="36"/>
          <w:lang w:eastAsia="en-AU"/>
        </w:rPr>
        <w:t xml:space="preserve">are lower than laboratory-determined guideline values, and </w:t>
      </w:r>
      <w:r w:rsidRPr="00827B6C">
        <w:rPr>
          <w:szCs w:val="36"/>
          <w:lang w:eastAsia="en-AU"/>
        </w:rPr>
        <w:t>support ‘no effects’</w:t>
      </w:r>
      <w:r>
        <w:rPr>
          <w:szCs w:val="36"/>
          <w:lang w:eastAsia="en-AU"/>
        </w:rPr>
        <w:t>. Values exceed those recorded in reference waterbodies, nevertheless, and so could be considered amongst other U closure criteria being determined for surface waters.</w:t>
      </w:r>
    </w:p>
    <w:p w:rsidR="001F37B9" w:rsidRPr="00A04079" w:rsidRDefault="001F37B9" w:rsidP="001F37B9">
      <w:pPr>
        <w:rPr>
          <w:szCs w:val="48"/>
          <w:lang w:eastAsia="en-AU"/>
        </w:rPr>
      </w:pPr>
      <w:r>
        <w:rPr>
          <w:color w:val="000000" w:themeColor="text1"/>
          <w:lang w:val="en-US"/>
        </w:rPr>
        <w:t>The AETWG</w:t>
      </w:r>
      <w:r>
        <w:t xml:space="preserve"> is also considering the derivation of different criteria that would apply on and outside of the </w:t>
      </w:r>
      <w:r w:rsidRPr="003D1032">
        <w:t>RPA</w:t>
      </w:r>
      <w:r>
        <w:t xml:space="preserve"> and whether or what criteria would apply for </w:t>
      </w:r>
      <w:r w:rsidRPr="00A04079">
        <w:t>different phases of the rehabilitation trajectory.</w:t>
      </w:r>
      <w:r>
        <w:t xml:space="preserve"> This is further considered below.</w:t>
      </w:r>
    </w:p>
    <w:p w:rsidR="00A05829" w:rsidRDefault="00A05829" w:rsidP="00E8531D">
      <w:pPr>
        <w:pStyle w:val="Heading3"/>
        <w:rPr>
          <w:lang w:val="en-US"/>
        </w:rPr>
      </w:pPr>
      <w:r>
        <w:rPr>
          <w:lang w:val="en-US"/>
        </w:rPr>
        <w:t>Acclimation of biota to MgSO</w:t>
      </w:r>
      <w:r w:rsidRPr="003A3F09">
        <w:rPr>
          <w:rFonts w:ascii="Arial Bold" w:hAnsi="Arial Bold"/>
          <w:snapToGrid w:val="0"/>
          <w:color w:val="000000"/>
          <w:position w:val="-6"/>
          <w:sz w:val="24"/>
          <w:szCs w:val="24"/>
          <w:u w:color="000000"/>
          <w:vertAlign w:val="superscript"/>
          <w:lang w:val="en-US"/>
        </w:rPr>
        <w:t>4</w:t>
      </w:r>
      <w:r>
        <w:rPr>
          <w:lang w:val="en-US"/>
        </w:rPr>
        <w:t xml:space="preserve"> in other on-site waterbodies</w:t>
      </w:r>
    </w:p>
    <w:p w:rsidR="001F37B9" w:rsidRPr="006D7C2D" w:rsidRDefault="001F37B9" w:rsidP="001F37B9">
      <w:pPr>
        <w:rPr>
          <w:spacing w:val="-4"/>
        </w:rPr>
      </w:pPr>
      <w:r w:rsidRPr="006D7C2D">
        <w:rPr>
          <w:spacing w:val="-4"/>
          <w:lang w:val="en-US"/>
        </w:rPr>
        <w:t xml:space="preserve">Noting the presence of </w:t>
      </w:r>
      <w:r w:rsidRPr="006D7C2D">
        <w:rPr>
          <w:i/>
          <w:spacing w:val="-4"/>
          <w:lang w:val="en-US"/>
        </w:rPr>
        <w:t>Hydra</w:t>
      </w:r>
      <w:r w:rsidRPr="006D7C2D">
        <w:rPr>
          <w:spacing w:val="-4"/>
          <w:lang w:val="en-US"/>
        </w:rPr>
        <w:t xml:space="preserve"> (and other freshwater species used in </w:t>
      </w:r>
      <w:r w:rsidR="004A3C4C" w:rsidRPr="004A3C4C">
        <w:rPr>
          <w:rFonts w:ascii="Times New Roman" w:hAnsi="Times New Roman"/>
          <w:b/>
          <w:i/>
          <w:spacing w:val="-4"/>
          <w:sz w:val="26"/>
          <w:szCs w:val="24"/>
          <w:lang w:val="en-US"/>
        </w:rPr>
        <w:t>eriss</w:t>
      </w:r>
      <w:r w:rsidRPr="00BA2549">
        <w:rPr>
          <w:spacing w:val="-4"/>
          <w:szCs w:val="24"/>
          <w:lang w:val="en-US"/>
        </w:rPr>
        <w:t>’</w:t>
      </w:r>
      <w:r w:rsidRPr="006D7C2D">
        <w:rPr>
          <w:spacing w:val="-4"/>
          <w:lang w:val="en-US"/>
        </w:rPr>
        <w:t xml:space="preserve"> toxicity testing </w:t>
      </w:r>
      <w:r w:rsidR="00E16AC4">
        <w:rPr>
          <w:spacing w:val="-4"/>
          <w:lang w:val="en-US"/>
        </w:rPr>
        <w:t>programme</w:t>
      </w:r>
      <w:r w:rsidRPr="006D7C2D">
        <w:rPr>
          <w:spacing w:val="-4"/>
          <w:lang w:val="en-US"/>
        </w:rPr>
        <w:t>) in Coonjimba (CJB) and Ranger Retention Pond 1 (RP1) adjacent to Ranger, at concentrations well above the laboratory-determined guideline, McCullough et al</w:t>
      </w:r>
      <w:r w:rsidR="00F15ED8" w:rsidRPr="006D7C2D">
        <w:rPr>
          <w:spacing w:val="-4"/>
          <w:lang w:val="en-US"/>
        </w:rPr>
        <w:t>.</w:t>
      </w:r>
      <w:r w:rsidRPr="006D7C2D">
        <w:rPr>
          <w:spacing w:val="-4"/>
          <w:lang w:val="en-US"/>
        </w:rPr>
        <w:t xml:space="preserve"> (2008) sought to determine the basis for this residency. They noted the same responses to Mg in </w:t>
      </w:r>
      <w:r w:rsidRPr="006D7C2D">
        <w:rPr>
          <w:i/>
          <w:spacing w:val="-4"/>
          <w:lang w:val="en-US"/>
        </w:rPr>
        <w:t>Hydra</w:t>
      </w:r>
      <w:r w:rsidRPr="006D7C2D">
        <w:rPr>
          <w:spacing w:val="-4"/>
          <w:lang w:val="en-US"/>
        </w:rPr>
        <w:t xml:space="preserve"> sourced from CJB and a reference billabong (i.e. lack of genetic adaptation in CJB </w:t>
      </w:r>
      <w:r w:rsidRPr="006D7C2D">
        <w:rPr>
          <w:i/>
          <w:spacing w:val="-4"/>
          <w:lang w:val="en-US"/>
        </w:rPr>
        <w:t>Hydra</w:t>
      </w:r>
      <w:r w:rsidRPr="006D7C2D">
        <w:rPr>
          <w:spacing w:val="-4"/>
          <w:lang w:val="en-US"/>
        </w:rPr>
        <w:t xml:space="preserve">) and with further work, concluded that </w:t>
      </w:r>
      <w:r w:rsidRPr="006D7C2D">
        <w:rPr>
          <w:spacing w:val="-4"/>
        </w:rPr>
        <w:t>CJB tolerance was due to Ca amelioration (i.e. Mg</w:t>
      </w:r>
      <w:proofErr w:type="gramStart"/>
      <w:r w:rsidRPr="006D7C2D">
        <w:rPr>
          <w:spacing w:val="-4"/>
        </w:rPr>
        <w:t>:Ca</w:t>
      </w:r>
      <w:proofErr w:type="gramEnd"/>
      <w:r w:rsidRPr="006D7C2D">
        <w:rPr>
          <w:spacing w:val="-4"/>
        </w:rPr>
        <w:t xml:space="preserve"> ratio &lt;9:1 in CJB and thereby protective). Apart from ionic protection of this type, similar high tolerances without </w:t>
      </w:r>
      <w:r w:rsidRPr="006D7C2D">
        <w:rPr>
          <w:spacing w:val="-4"/>
          <w:lang w:val="en-US"/>
        </w:rPr>
        <w:t xml:space="preserve">genetic adaptation </w:t>
      </w:r>
      <w:r w:rsidRPr="006D7C2D">
        <w:rPr>
          <w:spacing w:val="-4"/>
        </w:rPr>
        <w:t>are often ascribed as evidence of physiological tolerance (e.g. Weis &amp; Weis 1989) or acclimation.</w:t>
      </w:r>
    </w:p>
    <w:p w:rsidR="001F37B9" w:rsidRPr="006D7C2D" w:rsidRDefault="001F37B9" w:rsidP="001F37B9">
      <w:pPr>
        <w:rPr>
          <w:spacing w:val="-4"/>
        </w:rPr>
      </w:pPr>
      <w:r w:rsidRPr="006D7C2D">
        <w:rPr>
          <w:spacing w:val="-4"/>
        </w:rPr>
        <w:t>Further evidence of acclimation in CJB and RP1 macroinvertebrate communities can be shown by plotting, together with the GTB results from Figure 3A, ANOSIM R values for CJB and RP1 comparisons with reference waterbodies with associated antecedent (to sampling) Mg concentrations. These results are shown in Figure 9 where it is evident that group separation in CJB and RP1 are elicited at increasingly higher Mg concentrations, respectively, than for GTB. Thus, the fauna of these waterbodies has a higher tolerance to Mg than GTB fauna. Mg</w:t>
      </w:r>
      <w:proofErr w:type="gramStart"/>
      <w:r w:rsidRPr="006D7C2D">
        <w:rPr>
          <w:spacing w:val="-4"/>
        </w:rPr>
        <w:t>:Ca</w:t>
      </w:r>
      <w:proofErr w:type="gramEnd"/>
      <w:r w:rsidRPr="006D7C2D">
        <w:rPr>
          <w:spacing w:val="-4"/>
        </w:rPr>
        <w:t xml:space="preserve"> ratios in GTB, CJB and RP1 are, respectively, ~3.5:1, 8:1 and 7.5:1. Thus, Ca amelioration (i.e. Mg:Ca ratio &lt;9:1) cannot explain this greater tolerance because the prevailing Mg:Ca ratio in GTB has been much less than CJB and RP1 for all sampling years and hence, and according to van Dam etc (2010), should actually confer </w:t>
      </w:r>
      <w:r w:rsidRPr="006D7C2D">
        <w:rPr>
          <w:i/>
          <w:spacing w:val="-4"/>
        </w:rPr>
        <w:t>greater</w:t>
      </w:r>
      <w:r w:rsidRPr="006D7C2D">
        <w:rPr>
          <w:spacing w:val="-4"/>
        </w:rPr>
        <w:t xml:space="preserve"> protection. Other (unknown) antagonistic ionic interactions in GTB may be interfering with the protective role of Ca. This requires further study.</w:t>
      </w:r>
    </w:p>
    <w:p w:rsidR="001F37B9" w:rsidRPr="006D7C2D" w:rsidRDefault="001F37B9" w:rsidP="001F37B9">
      <w:pPr>
        <w:rPr>
          <w:spacing w:val="-4"/>
        </w:rPr>
      </w:pPr>
      <w:r w:rsidRPr="006D7C2D">
        <w:rPr>
          <w:spacing w:val="-4"/>
        </w:rPr>
        <w:t>The different exposures to minewaters for the three waterbodies might also explain the different tolerances of resident macro invertebrate fauna. Greatest to least spatial connectivity of waterbodies to Magela Creek follows the order GTB, CJB then RP1. RP1 has no direct connectivity to Magela Creek while CJB backflows occasionally at high creek flows. GTB both backflows regularly and becomes a channel of Magela Creek itself at high flow events due to its very close proximity to the adjacent creek channel. GTB’s exposure to mine-derived waters in the wet season is intermittent due to its closer contact and exchange with flow in Magela Creek, though since 2006, these ‘partial-cleansing’ events during backflow and high creek-flow events have reduced in frequency. Conversely, CJB and RP1 have constant exposure to minewaters with negligible flushing events. It is possible that tolerance and acclimation of the biota in CJB and RP1 are only maintained by constant exposure to mine wastewaters and this is the explanation for results observed (Figure 9).</w:t>
      </w:r>
    </w:p>
    <w:p w:rsidR="001F37B9" w:rsidRPr="006D7C2D" w:rsidRDefault="001F37B9" w:rsidP="001F37B9">
      <w:pPr>
        <w:rPr>
          <w:spacing w:val="-4"/>
        </w:rPr>
      </w:pPr>
      <w:r w:rsidRPr="006D7C2D">
        <w:rPr>
          <w:spacing w:val="-4"/>
        </w:rPr>
        <w:t xml:space="preserve">Because taxonomic identification of macroinvertebrates in this billabong study is conducted at the family-level, another explanation for the higher tolerances observed in CJB and RP1 is species or genus replacement, i.e. sensitive taxa being replaced by more tolerant taxa from the same family. Only limited species-level identifications have been conducted, most notably Chironomidae in 1995 sampling (O’Connor et al. 1996). This study demonstrated a preference of a few species from the genera </w:t>
      </w:r>
      <w:r w:rsidRPr="006D7C2D">
        <w:rPr>
          <w:i/>
          <w:spacing w:val="-4"/>
        </w:rPr>
        <w:t>Tanytarsus</w:t>
      </w:r>
      <w:r w:rsidRPr="006D7C2D">
        <w:rPr>
          <w:spacing w:val="-4"/>
        </w:rPr>
        <w:t xml:space="preserve">, </w:t>
      </w:r>
      <w:r w:rsidRPr="006D7C2D">
        <w:rPr>
          <w:i/>
          <w:spacing w:val="-4"/>
        </w:rPr>
        <w:t>Larsia</w:t>
      </w:r>
      <w:r w:rsidRPr="006D7C2D">
        <w:rPr>
          <w:spacing w:val="-4"/>
        </w:rPr>
        <w:t xml:space="preserve"> and </w:t>
      </w:r>
      <w:r w:rsidRPr="006D7C2D">
        <w:rPr>
          <w:i/>
          <w:spacing w:val="-4"/>
        </w:rPr>
        <w:t>Polypedilum</w:t>
      </w:r>
      <w:r w:rsidRPr="006D7C2D">
        <w:rPr>
          <w:spacing w:val="-4"/>
        </w:rPr>
        <w:t xml:space="preserve"> for high EC waters, but none of the 45 chironomid species was unique to either waterbodies receiving mine wastewaters or reference waterbodies with no mine influence. Persistence of taxa in waterbodies receiving Ranger mine wastewaters appears best explained by physiological acclimation.</w:t>
      </w:r>
    </w:p>
    <w:p w:rsidR="00A05829" w:rsidRDefault="00A05829" w:rsidP="00A05829">
      <w:pPr>
        <w:jc w:val="center"/>
        <w:rPr>
          <w:b/>
          <w:lang w:val="en-US"/>
        </w:rPr>
      </w:pPr>
      <w:r w:rsidRPr="00841119">
        <w:rPr>
          <w:noProof/>
          <w:lang w:eastAsia="en-AU"/>
        </w:rPr>
        <w:drawing>
          <wp:inline distT="0" distB="0" distL="0" distR="0">
            <wp:extent cx="3714750" cy="2784923"/>
            <wp:effectExtent l="19050" t="0" r="0" b="0"/>
            <wp:docPr id="8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02" cstate="screen"/>
                    <a:srcRect t="9624" r="1878"/>
                    <a:stretch>
                      <a:fillRect/>
                    </a:stretch>
                  </pic:blipFill>
                  <pic:spPr bwMode="auto">
                    <a:xfrm>
                      <a:off x="0" y="0"/>
                      <a:ext cx="3714950" cy="2785073"/>
                    </a:xfrm>
                    <a:prstGeom prst="rect">
                      <a:avLst/>
                    </a:prstGeom>
                    <a:noFill/>
                    <a:ln w="9525">
                      <a:noFill/>
                      <a:miter lim="800000"/>
                      <a:headEnd/>
                      <a:tailEnd/>
                    </a:ln>
                  </pic:spPr>
                </pic:pic>
              </a:graphicData>
            </a:graphic>
          </wp:inline>
        </w:drawing>
      </w:r>
    </w:p>
    <w:p w:rsidR="00A05829" w:rsidRDefault="00A05829" w:rsidP="00A05829">
      <w:pPr>
        <w:pStyle w:val="figurecaption"/>
      </w:pPr>
      <w:r w:rsidRPr="00EA3641">
        <w:rPr>
          <w:b/>
        </w:rPr>
        <w:t xml:space="preserve">Figure </w:t>
      </w:r>
      <w:proofErr w:type="gramStart"/>
      <w:r>
        <w:rPr>
          <w:b/>
        </w:rPr>
        <w:t>9</w:t>
      </w:r>
      <w:r w:rsidRPr="0091613D">
        <w:t xml:space="preserve">  </w:t>
      </w:r>
      <w:r>
        <w:t>GTB</w:t>
      </w:r>
      <w:proofErr w:type="gramEnd"/>
      <w:r>
        <w:t xml:space="preserve">, Coonjimba Billabong (CJB) and Ranger Retention Pond 1 (RP1) vs reference waterbody ANOSIM R values, in relation to median antecedent wet and dry season Mg concentration. </w:t>
      </w:r>
    </w:p>
    <w:p w:rsidR="001F37B9" w:rsidRDefault="001F37B9" w:rsidP="001F37B9">
      <w:r w:rsidRPr="006D7C2D">
        <w:rPr>
          <w:spacing w:val="-4"/>
        </w:rPr>
        <w:t xml:space="preserve">From the results presented in Figure 9, the macroinvertebrate communities of CJB and RP1 in 1995 and 1996, when median annual Mg concentrations approached 20 mg/L (RP1), were similar to reference (interpretation of ANOSIM R values &lt;~0.3; </w:t>
      </w:r>
      <w:r w:rsidRPr="006D7C2D">
        <w:rPr>
          <w:spacing w:val="-4"/>
          <w:szCs w:val="22"/>
        </w:rPr>
        <w:t xml:space="preserve">Clarke &amp; Gorley 2006). </w:t>
      </w:r>
      <w:r w:rsidRPr="006D7C2D">
        <w:rPr>
          <w:spacing w:val="-4"/>
        </w:rPr>
        <w:t xml:space="preserve">As a relative percentage of taxa number occurring in reference waterbodies, however, taxa number in both waterbodies for both </w:t>
      </w:r>
      <w:proofErr w:type="gramStart"/>
      <w:r w:rsidRPr="006D7C2D">
        <w:rPr>
          <w:spacing w:val="-4"/>
        </w:rPr>
        <w:t>years,</w:t>
      </w:r>
      <w:proofErr w:type="gramEnd"/>
      <w:r w:rsidRPr="006D7C2D">
        <w:rPr>
          <w:spacing w:val="-4"/>
        </w:rPr>
        <w:t xml:space="preserve"> was less than 100% (Figure 10). </w:t>
      </w:r>
      <w:r w:rsidRPr="006D7C2D">
        <w:rPr>
          <w:spacing w:val="-4"/>
          <w:szCs w:val="22"/>
        </w:rPr>
        <w:t>It is possible that for waterbodies lying w</w:t>
      </w:r>
      <w:r w:rsidRPr="006D7C2D">
        <w:rPr>
          <w:spacing w:val="-4"/>
        </w:rPr>
        <w:t>ithin the RPA and constantly exposed to minewaters (including CJB), Mg values in this range may serve as transitional criteria, along a trajectory of continual water quality improvement</w:t>
      </w:r>
      <w:r w:rsidR="006D7C2D">
        <w:rPr>
          <w:spacing w:val="-4"/>
        </w:rPr>
        <w:t xml:space="preserve">. </w:t>
      </w:r>
    </w:p>
    <w:p w:rsidR="00A05829" w:rsidRDefault="00A05829" w:rsidP="00A05829">
      <w:pPr>
        <w:jc w:val="center"/>
      </w:pPr>
      <w:r w:rsidRPr="00841119">
        <w:rPr>
          <w:noProof/>
          <w:lang w:eastAsia="en-AU"/>
        </w:rPr>
        <w:drawing>
          <wp:inline distT="0" distB="0" distL="0" distR="0">
            <wp:extent cx="3648075" cy="2766419"/>
            <wp:effectExtent l="19050" t="0" r="9525" b="0"/>
            <wp:docPr id="8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3" cstate="screen"/>
                    <a:srcRect t="9159" r="2360"/>
                    <a:stretch>
                      <a:fillRect/>
                    </a:stretch>
                  </pic:blipFill>
                  <pic:spPr bwMode="auto">
                    <a:xfrm>
                      <a:off x="0" y="0"/>
                      <a:ext cx="3651217" cy="2768802"/>
                    </a:xfrm>
                    <a:prstGeom prst="rect">
                      <a:avLst/>
                    </a:prstGeom>
                    <a:noFill/>
                    <a:ln w="9525">
                      <a:noFill/>
                      <a:miter lim="800000"/>
                      <a:headEnd/>
                      <a:tailEnd/>
                    </a:ln>
                  </pic:spPr>
                </pic:pic>
              </a:graphicData>
            </a:graphic>
          </wp:inline>
        </w:drawing>
      </w:r>
    </w:p>
    <w:p w:rsidR="006D7C2D" w:rsidRDefault="00A05829" w:rsidP="00A05829">
      <w:pPr>
        <w:pStyle w:val="figurecaption"/>
      </w:pPr>
      <w:r w:rsidRPr="00EA3641">
        <w:rPr>
          <w:b/>
        </w:rPr>
        <w:t xml:space="preserve">Figure </w:t>
      </w:r>
      <w:proofErr w:type="gramStart"/>
      <w:r>
        <w:rPr>
          <w:b/>
        </w:rPr>
        <w:t>9</w:t>
      </w:r>
      <w:r w:rsidRPr="0091613D">
        <w:t xml:space="preserve">  </w:t>
      </w:r>
      <w:r>
        <w:t>GTB</w:t>
      </w:r>
      <w:proofErr w:type="gramEnd"/>
      <w:r>
        <w:t>, CJB and Ranger RP1 taxa number, as a percent of control waterbody taxa number, in relation to median antecedent wet and dry season Mg concentration.</w:t>
      </w:r>
    </w:p>
    <w:p w:rsidR="00C60A98" w:rsidRDefault="00C60A98" w:rsidP="00C60A98"/>
    <w:p w:rsidR="00C60A98" w:rsidRDefault="00C60A98" w:rsidP="00C60A98">
      <w:pPr>
        <w:pStyle w:val="Heading2"/>
      </w:pPr>
      <w:r>
        <w:t>Conclusions and further studies</w:t>
      </w:r>
    </w:p>
    <w:p w:rsidR="00C60A98" w:rsidRDefault="00C60A98" w:rsidP="00C60A98">
      <w:r>
        <w:t>Further sampling is needed to improve the u</w:t>
      </w:r>
      <w:r w:rsidRPr="00A37D21">
        <w:t>nderstanding of contaminant-response relationships</w:t>
      </w:r>
      <w:r>
        <w:t xml:space="preserve"> amongst waterbodies receiving mine wastewaters. The preceding assessments assume different macroinvertebrate responses to minewater contamination in GTB, CJB and RP1. Alternatively, it is possible that responses are a continuum across the range of Mg observed in the three waterbodies, when collective data are plotted together (Figures 9 &amp; 10). Further taxonomic and water quality information may assist in this assessment, and thereby improve understanding of a suitable</w:t>
      </w:r>
      <w:r w:rsidRPr="00A37D21">
        <w:t xml:space="preserve"> trajectory-based rehabilitation/restoration model</w:t>
      </w:r>
      <w:r>
        <w:t xml:space="preserve"> for these system</w:t>
      </w:r>
      <w:r w:rsidRPr="00A37D21">
        <w:t>s</w:t>
      </w:r>
      <w:r>
        <w:t>.</w:t>
      </w:r>
    </w:p>
    <w:p w:rsidR="00A05829" w:rsidRPr="00FA58AF" w:rsidRDefault="00A05829" w:rsidP="00506065">
      <w:pPr>
        <w:pStyle w:val="Heading2"/>
      </w:pPr>
      <w:r w:rsidRPr="00FA58AF">
        <w:t>References</w:t>
      </w:r>
    </w:p>
    <w:p w:rsidR="00A05829" w:rsidRPr="00F72EA1" w:rsidRDefault="00A05829" w:rsidP="00E40670">
      <w:pPr>
        <w:pStyle w:val="referencelist1"/>
      </w:pPr>
      <w:proofErr w:type="gramStart"/>
      <w:r w:rsidRPr="00F72EA1">
        <w:t>ANZECC &amp; ARMCANZ 2000.</w:t>
      </w:r>
      <w:proofErr w:type="gramEnd"/>
      <w:r w:rsidRPr="00F72EA1">
        <w:t xml:space="preserve"> </w:t>
      </w:r>
      <w:proofErr w:type="gramStart"/>
      <w:r w:rsidRPr="00F72EA1">
        <w:rPr>
          <w:i/>
        </w:rPr>
        <w:t>Australian and New Zealand guidelines for fresh and marine water quality.</w:t>
      </w:r>
      <w:proofErr w:type="gramEnd"/>
      <w:r w:rsidRPr="00F72EA1">
        <w:rPr>
          <w:i/>
        </w:rPr>
        <w:t xml:space="preserve"> National Water Quality Management Strategy </w:t>
      </w:r>
      <w:r w:rsidRPr="00F72EA1">
        <w:t xml:space="preserve">Paper No 4. </w:t>
      </w:r>
      <w:proofErr w:type="gramStart"/>
      <w:r w:rsidRPr="00F72EA1">
        <w:t>Australian and New Zealand Environment and Conservation Council &amp; Agriculture and Resource Management Council of Australia and New Zealand, Canberra.</w:t>
      </w:r>
      <w:proofErr w:type="gramEnd"/>
    </w:p>
    <w:p w:rsidR="00A05829" w:rsidRPr="001016EA" w:rsidRDefault="00A05829" w:rsidP="00E40670">
      <w:pPr>
        <w:pStyle w:val="referencelist1"/>
        <w:rPr>
          <w:szCs w:val="22"/>
        </w:rPr>
      </w:pPr>
      <w:proofErr w:type="gramStart"/>
      <w:r w:rsidRPr="001016EA">
        <w:rPr>
          <w:szCs w:val="22"/>
        </w:rPr>
        <w:t>Clarke KR &amp; Gorley RN 2006.</w:t>
      </w:r>
      <w:proofErr w:type="gramEnd"/>
      <w:r w:rsidRPr="001016EA">
        <w:rPr>
          <w:szCs w:val="22"/>
        </w:rPr>
        <w:t xml:space="preserve"> </w:t>
      </w:r>
      <w:r w:rsidRPr="001016EA">
        <w:rPr>
          <w:i/>
          <w:szCs w:val="22"/>
        </w:rPr>
        <w:t>Primer v6: User manual/Tutorial</w:t>
      </w:r>
      <w:r w:rsidRPr="001016EA">
        <w:rPr>
          <w:szCs w:val="22"/>
        </w:rPr>
        <w:t>. Primer-E: Plymouth.</w:t>
      </w:r>
    </w:p>
    <w:p w:rsidR="00A05829" w:rsidRDefault="00A05829" w:rsidP="00E40670">
      <w:pPr>
        <w:pStyle w:val="referencelist1"/>
        <w:rPr>
          <w:lang w:eastAsia="en-AU"/>
        </w:rPr>
      </w:pPr>
      <w:proofErr w:type="gramStart"/>
      <w:r w:rsidRPr="00653ACF">
        <w:rPr>
          <w:lang w:eastAsia="en-AU"/>
        </w:rPr>
        <w:t>Chapman MG &amp; Underwood AJ 1999</w:t>
      </w:r>
      <w:r>
        <w:rPr>
          <w:lang w:eastAsia="en-AU"/>
        </w:rPr>
        <w:t>.</w:t>
      </w:r>
      <w:proofErr w:type="gramEnd"/>
      <w:r w:rsidRPr="00653ACF">
        <w:rPr>
          <w:lang w:eastAsia="en-AU"/>
        </w:rPr>
        <w:t xml:space="preserve"> Ecological patterns in multivariate assemblages: information and interpretation of negative values in ANOSIM tests</w:t>
      </w:r>
      <w:r>
        <w:rPr>
          <w:lang w:eastAsia="en-AU"/>
        </w:rPr>
        <w:t xml:space="preserve">. </w:t>
      </w:r>
      <w:r w:rsidRPr="00E40670">
        <w:rPr>
          <w:i/>
          <w:lang w:eastAsia="en-AU"/>
        </w:rPr>
        <w:t>Marine Ecology Progress Series</w:t>
      </w:r>
      <w:r w:rsidR="00E40670">
        <w:rPr>
          <w:lang w:eastAsia="en-AU"/>
        </w:rPr>
        <w:t xml:space="preserve"> 180, 257–</w:t>
      </w:r>
      <w:r w:rsidRPr="00653ACF">
        <w:rPr>
          <w:lang w:eastAsia="en-AU"/>
        </w:rPr>
        <w:t>265</w:t>
      </w:r>
      <w:r>
        <w:rPr>
          <w:lang w:eastAsia="en-AU"/>
        </w:rPr>
        <w:t>.</w:t>
      </w:r>
    </w:p>
    <w:p w:rsidR="00A05829" w:rsidRPr="00653ACF" w:rsidRDefault="00A05829" w:rsidP="00E40670">
      <w:pPr>
        <w:pStyle w:val="referencelist1"/>
        <w:rPr>
          <w:lang w:eastAsia="en-AU"/>
        </w:rPr>
      </w:pPr>
      <w:proofErr w:type="gramStart"/>
      <w:r>
        <w:t>ERA 2014.</w:t>
      </w:r>
      <w:proofErr w:type="gramEnd"/>
      <w:r>
        <w:t xml:space="preserve"> Ranger Closure Criteria: Record of development by the closure criteria working group, Draft report </w:t>
      </w:r>
      <w:r w:rsidRPr="0014630E">
        <w:t>version</w:t>
      </w:r>
      <w:r>
        <w:t xml:space="preserve"> E, Energy Resources of Australia, Darwin, July 2014.</w:t>
      </w:r>
    </w:p>
    <w:p w:rsidR="00A05829" w:rsidRPr="00BB2AE3" w:rsidRDefault="00A05829" w:rsidP="00E40670">
      <w:pPr>
        <w:pStyle w:val="referencelist1"/>
      </w:pPr>
      <w:bookmarkStart w:id="237" w:name="_Toc348009160"/>
      <w:bookmarkStart w:id="238" w:name="_Toc349310730"/>
      <w:r w:rsidRPr="004B2028">
        <w:t>Harford AJ, van Dam RA, Humphrey CL, Jones DR, Simpson SL,</w:t>
      </w:r>
      <w:r w:rsidR="00A34017">
        <w:t xml:space="preserve"> </w:t>
      </w:r>
      <w:r w:rsidRPr="004B2028">
        <w:t>Chariton AA, Gibb KS &amp; Staube</w:t>
      </w:r>
      <w:bookmarkEnd w:id="237"/>
      <w:bookmarkEnd w:id="238"/>
      <w:r w:rsidRPr="004B2028">
        <w:t xml:space="preserve">r JL 2013. </w:t>
      </w:r>
      <w:bookmarkStart w:id="239" w:name="_Toc341449002"/>
      <w:bookmarkStart w:id="240" w:name="_Toc349310729"/>
      <w:proofErr w:type="gramStart"/>
      <w:r w:rsidRPr="004B2028">
        <w:t>The toxicity of uranium (U) to sediment biota of Magela Creek backflow billabong environments</w:t>
      </w:r>
      <w:bookmarkEnd w:id="239"/>
      <w:bookmarkEnd w:id="240"/>
      <w:r w:rsidRPr="004B2028">
        <w:t>.</w:t>
      </w:r>
      <w:proofErr w:type="gramEnd"/>
      <w:r w:rsidRPr="004B2028">
        <w:rPr>
          <w:rFonts w:ascii="Arial" w:hAnsi="Arial" w:cs="Arial"/>
          <w:spacing w:val="-2"/>
          <w:sz w:val="18"/>
          <w:szCs w:val="18"/>
          <w:lang w:eastAsia="en-AU"/>
        </w:rPr>
        <w:t xml:space="preserve"> </w:t>
      </w:r>
      <w:r w:rsidRPr="004B2028">
        <w:t xml:space="preserve">In </w:t>
      </w:r>
      <w:r w:rsidR="00E40670" w:rsidRPr="004B2028">
        <w:t xml:space="preserve">van Dam RA, Webb </w:t>
      </w:r>
      <w:proofErr w:type="gramStart"/>
      <w:r w:rsidR="00E40670" w:rsidRPr="004B2028">
        <w:t>A</w:t>
      </w:r>
      <w:proofErr w:type="gramEnd"/>
      <w:r w:rsidR="00E40670">
        <w:t xml:space="preserve"> &amp; Parker SM (eds) </w:t>
      </w:r>
      <w:r w:rsidRPr="004E6332">
        <w:rPr>
          <w:rFonts w:ascii="Times New Roman" w:hAnsi="Times New Roman"/>
          <w:b/>
          <w:i/>
          <w:iCs/>
          <w:sz w:val="26"/>
        </w:rPr>
        <w:t>eriss</w:t>
      </w:r>
      <w:r w:rsidRPr="00E40670">
        <w:rPr>
          <w:rFonts w:ascii="Times New Roman" w:hAnsi="Times New Roman"/>
          <w:i/>
          <w:sz w:val="26"/>
          <w:szCs w:val="26"/>
        </w:rPr>
        <w:t xml:space="preserve"> </w:t>
      </w:r>
      <w:r w:rsidRPr="00E40670">
        <w:rPr>
          <w:i/>
        </w:rPr>
        <w:t>research summary 2011–2012</w:t>
      </w:r>
      <w:r w:rsidR="00E40670">
        <w:t xml:space="preserve">. </w:t>
      </w:r>
      <w:r w:rsidRPr="00BB2AE3">
        <w:t xml:space="preserve">Supervising Scientist Report 204, Supervising Scientist, Darwin NT, </w:t>
      </w:r>
      <w:r w:rsidR="00F15ED8">
        <w:t xml:space="preserve">pp </w:t>
      </w:r>
      <w:r w:rsidRPr="00BB2AE3">
        <w:t>14–23.</w:t>
      </w:r>
    </w:p>
    <w:p w:rsidR="00A05829" w:rsidRDefault="00A05829" w:rsidP="00E40670">
      <w:pPr>
        <w:pStyle w:val="referencelist1"/>
      </w:pPr>
      <w:r>
        <w:t xml:space="preserve">Humphrey C, Jones D, Chandler L &amp; Frostick A 2013. </w:t>
      </w:r>
      <w:proofErr w:type="gramStart"/>
      <w:r>
        <w:t>Developing water quality closure criteria for Ranger billabongs using macroinvertebrate community data.</w:t>
      </w:r>
      <w:proofErr w:type="gramEnd"/>
      <w:r w:rsidRPr="00E860D3">
        <w:rPr>
          <w:rFonts w:ascii="Arial" w:hAnsi="Arial" w:cs="Arial"/>
          <w:spacing w:val="-2"/>
          <w:sz w:val="18"/>
          <w:szCs w:val="18"/>
          <w:lang w:eastAsia="en-AU"/>
        </w:rPr>
        <w:t xml:space="preserve"> </w:t>
      </w:r>
      <w:r w:rsidRPr="00E860D3">
        <w:t xml:space="preserve">In </w:t>
      </w:r>
      <w:r w:rsidR="00E40670">
        <w:t xml:space="preserve">van Dam RA, Webb </w:t>
      </w:r>
      <w:proofErr w:type="gramStart"/>
      <w:r w:rsidR="00E40670">
        <w:t>A</w:t>
      </w:r>
      <w:proofErr w:type="gramEnd"/>
      <w:r w:rsidR="00E40670">
        <w:t xml:space="preserve"> &amp; Parker SM (eds), </w:t>
      </w:r>
      <w:r w:rsidRPr="004E6332">
        <w:rPr>
          <w:rFonts w:ascii="Times New Roman" w:hAnsi="Times New Roman"/>
          <w:b/>
          <w:i/>
          <w:iCs/>
          <w:sz w:val="26"/>
        </w:rPr>
        <w:t>eriss</w:t>
      </w:r>
      <w:r w:rsidRPr="00E40670">
        <w:rPr>
          <w:i/>
        </w:rPr>
        <w:t xml:space="preserve"> research summary 2011–2012</w:t>
      </w:r>
      <w:r w:rsidRPr="00E860D3">
        <w:t>. Supervising Scientist Report 204, Supervising Scientist, Darwin NT,</w:t>
      </w:r>
      <w:r w:rsidR="00F15ED8">
        <w:t xml:space="preserve"> pp</w:t>
      </w:r>
      <w:r w:rsidRPr="00E860D3">
        <w:t xml:space="preserve"> </w:t>
      </w:r>
      <w:r>
        <w:t>141–149</w:t>
      </w:r>
      <w:r w:rsidRPr="00E860D3">
        <w:t>.</w:t>
      </w:r>
    </w:p>
    <w:p w:rsidR="00A05829" w:rsidRPr="00F504E2" w:rsidRDefault="00A05829" w:rsidP="00E40670">
      <w:pPr>
        <w:pStyle w:val="referencelist1"/>
        <w:rPr>
          <w:snapToGrid w:val="0"/>
          <w:lang w:val="en-US"/>
        </w:rPr>
      </w:pPr>
      <w:r w:rsidRPr="00F504E2">
        <w:rPr>
          <w:snapToGrid w:val="0"/>
          <w:lang w:val="en-US"/>
        </w:rPr>
        <w:t xml:space="preserve">Humphrey CL, Storey AW &amp; Thurtell L 2000. AUSRIVAS: operator sample processing errors and </w:t>
      </w:r>
      <w:r w:rsidRPr="00E944AE">
        <w:t>temporal</w:t>
      </w:r>
      <w:r w:rsidRPr="00F504E2">
        <w:rPr>
          <w:snapToGrid w:val="0"/>
          <w:lang w:val="en-US"/>
        </w:rPr>
        <w:t xml:space="preserve"> variability </w:t>
      </w:r>
      <w:r w:rsidRPr="00F504E2">
        <w:t>–</w:t>
      </w:r>
      <w:r w:rsidRPr="00F504E2">
        <w:rPr>
          <w:snapToGrid w:val="0"/>
          <w:lang w:val="en-US"/>
        </w:rPr>
        <w:t xml:space="preserve"> implications for model sensitivity. In </w:t>
      </w:r>
      <w:proofErr w:type="gramStart"/>
      <w:r w:rsidRPr="00F504E2">
        <w:rPr>
          <w:i/>
          <w:snapToGrid w:val="0"/>
          <w:lang w:val="en-US"/>
        </w:rPr>
        <w:t>Assessing</w:t>
      </w:r>
      <w:proofErr w:type="gramEnd"/>
      <w:r w:rsidRPr="00F504E2">
        <w:rPr>
          <w:i/>
          <w:snapToGrid w:val="0"/>
          <w:lang w:val="en-US"/>
        </w:rPr>
        <w:t xml:space="preserve"> the biological quality of fresh waters. RIVPACS and other techniques,</w:t>
      </w:r>
      <w:r w:rsidRPr="00F504E2">
        <w:rPr>
          <w:snapToGrid w:val="0"/>
          <w:lang w:val="en-US"/>
        </w:rPr>
        <w:t xml:space="preserve"> </w:t>
      </w:r>
      <w:proofErr w:type="gramStart"/>
      <w:r w:rsidRPr="00F504E2">
        <w:rPr>
          <w:snapToGrid w:val="0"/>
          <w:lang w:val="en-US"/>
        </w:rPr>
        <w:t>eds</w:t>
      </w:r>
      <w:proofErr w:type="gramEnd"/>
      <w:r w:rsidRPr="00F504E2">
        <w:rPr>
          <w:snapToGrid w:val="0"/>
          <w:lang w:val="en-US"/>
        </w:rPr>
        <w:t xml:space="preserve"> JF Wright, DW Sutcliffe &amp; MT Furse, Freshwater Biological Association, Ambleside, 143</w:t>
      </w:r>
      <w:r w:rsidRPr="00F504E2">
        <w:t>–</w:t>
      </w:r>
      <w:r w:rsidRPr="00F504E2">
        <w:rPr>
          <w:snapToGrid w:val="0"/>
          <w:lang w:val="en-US"/>
        </w:rPr>
        <w:t>163.</w:t>
      </w:r>
    </w:p>
    <w:p w:rsidR="00A05829" w:rsidRPr="00CC261E" w:rsidRDefault="00A05829" w:rsidP="00E40670">
      <w:pPr>
        <w:pStyle w:val="referencelist1"/>
      </w:pPr>
      <w:r w:rsidRPr="00CC261E">
        <w:rPr>
          <w:bCs/>
        </w:rPr>
        <w:t>McCullough</w:t>
      </w:r>
      <w:r w:rsidRPr="00CC261E">
        <w:t xml:space="preserve"> CD</w:t>
      </w:r>
      <w:r>
        <w:t>,</w:t>
      </w:r>
      <w:r w:rsidRPr="00CC261E">
        <w:t xml:space="preserve"> Hogan AC</w:t>
      </w:r>
      <w:r>
        <w:t>,</w:t>
      </w:r>
      <w:r w:rsidRPr="00CC261E">
        <w:t xml:space="preserve"> Humphrey CL</w:t>
      </w:r>
      <w:r>
        <w:t>, van Dam</w:t>
      </w:r>
      <w:r w:rsidRPr="00CC261E">
        <w:t xml:space="preserve"> RA &amp; Douglas MM</w:t>
      </w:r>
      <w:r>
        <w:t xml:space="preserve"> 2008</w:t>
      </w:r>
      <w:r w:rsidRPr="00CC261E">
        <w:t xml:space="preserve">. Failure of </w:t>
      </w:r>
      <w:r w:rsidRPr="00CC261E">
        <w:rPr>
          <w:i/>
        </w:rPr>
        <w:t>Hydra</w:t>
      </w:r>
      <w:r w:rsidRPr="00CC261E">
        <w:t xml:space="preserve"> populations to </w:t>
      </w:r>
      <w:r w:rsidRPr="00CC261E">
        <w:rPr>
          <w:bCs/>
        </w:rPr>
        <w:t xml:space="preserve">develop </w:t>
      </w:r>
      <w:proofErr w:type="gramStart"/>
      <w:r w:rsidRPr="00CC261E">
        <w:rPr>
          <w:bCs/>
        </w:rPr>
        <w:t>tolerance</w:t>
      </w:r>
      <w:r w:rsidRPr="00CC261E">
        <w:t>,</w:t>
      </w:r>
      <w:proofErr w:type="gramEnd"/>
      <w:r w:rsidRPr="00CC261E">
        <w:t xml:space="preserve"> </w:t>
      </w:r>
      <w:r w:rsidRPr="00CC261E">
        <w:rPr>
          <w:bCs/>
        </w:rPr>
        <w:t>indicates absence</w:t>
      </w:r>
      <w:r w:rsidRPr="00CC261E">
        <w:t xml:space="preserve"> of </w:t>
      </w:r>
      <w:r w:rsidRPr="00CC261E">
        <w:rPr>
          <w:bCs/>
        </w:rPr>
        <w:t>toxicity</w:t>
      </w:r>
      <w:r w:rsidRPr="00CC261E">
        <w:t xml:space="preserve"> from a </w:t>
      </w:r>
      <w:r w:rsidRPr="00CC261E">
        <w:rPr>
          <w:bCs/>
        </w:rPr>
        <w:t>whole</w:t>
      </w:r>
      <w:r w:rsidRPr="00CC261E">
        <w:t>-</w:t>
      </w:r>
      <w:r w:rsidRPr="00CC261E">
        <w:rPr>
          <w:bCs/>
        </w:rPr>
        <w:t>effluent</w:t>
      </w:r>
      <w:r w:rsidRPr="00CC261E">
        <w:t xml:space="preserve">. </w:t>
      </w:r>
      <w:r>
        <w:rPr>
          <w:i/>
          <w:iCs/>
          <w:szCs w:val="22"/>
          <w:lang w:eastAsia="en-AU"/>
        </w:rPr>
        <w:t xml:space="preserve">Verhandlungen der Internationalen Vereinigung fur Limnologie </w:t>
      </w:r>
      <w:r w:rsidR="00E40670">
        <w:rPr>
          <w:szCs w:val="22"/>
          <w:lang w:eastAsia="en-AU"/>
        </w:rPr>
        <w:t>32, 223–</w:t>
      </w:r>
      <w:r>
        <w:rPr>
          <w:szCs w:val="22"/>
          <w:lang w:eastAsia="en-AU"/>
        </w:rPr>
        <w:t>226.</w:t>
      </w:r>
    </w:p>
    <w:p w:rsidR="00A05829" w:rsidRDefault="00A05829" w:rsidP="00E40670">
      <w:pPr>
        <w:pStyle w:val="referencelist1"/>
      </w:pPr>
      <w:r>
        <w:t xml:space="preserve">O’Connor R, Humphrey C, Dostine P, Lynch C &amp; Spiers </w:t>
      </w:r>
      <w:proofErr w:type="gramStart"/>
      <w:r>
        <w:t>A</w:t>
      </w:r>
      <w:proofErr w:type="gramEnd"/>
      <w:r>
        <w:t xml:space="preserve"> 1996. </w:t>
      </w:r>
      <w:proofErr w:type="gramStart"/>
      <w:r>
        <w:t>A survey of aquatic macroinvertebrates in lentic waterbodies of Magela and Nourlangie Creek catchments, Alligator Rivers Region, NT. Internal report 225, Supervising Scientist, Canberra.</w:t>
      </w:r>
      <w:proofErr w:type="gramEnd"/>
      <w:r>
        <w:t xml:space="preserve">  </w:t>
      </w:r>
    </w:p>
    <w:p w:rsidR="00A05829" w:rsidRDefault="00A05829" w:rsidP="00E40670">
      <w:pPr>
        <w:pStyle w:val="referencelist1"/>
      </w:pPr>
      <w:proofErr w:type="gramStart"/>
      <w:r>
        <w:t>Sainty GR &amp; Jacobs SWL 1994.</w:t>
      </w:r>
      <w:proofErr w:type="gramEnd"/>
      <w:r>
        <w:t xml:space="preserve"> </w:t>
      </w:r>
      <w:proofErr w:type="gramStart"/>
      <w:r>
        <w:rPr>
          <w:i/>
        </w:rPr>
        <w:t>Waterplants in Australia</w:t>
      </w:r>
      <w:r>
        <w:t>.</w:t>
      </w:r>
      <w:proofErr w:type="gramEnd"/>
      <w:r>
        <w:t xml:space="preserve"> </w:t>
      </w:r>
      <w:proofErr w:type="gramStart"/>
      <w:r>
        <w:t>Sainty &amp; Associates, Sydney</w:t>
      </w:r>
      <w:r w:rsidR="00C45CAA">
        <w:t>.</w:t>
      </w:r>
      <w:proofErr w:type="gramEnd"/>
    </w:p>
    <w:p w:rsidR="00A05829" w:rsidRPr="00F72EA1" w:rsidRDefault="00A05829" w:rsidP="00E40670">
      <w:pPr>
        <w:pStyle w:val="referencelist1"/>
        <w:rPr>
          <w:szCs w:val="22"/>
          <w:lang w:eastAsia="en-AU"/>
        </w:rPr>
      </w:pPr>
      <w:proofErr w:type="gramStart"/>
      <w:r w:rsidRPr="00F72EA1">
        <w:rPr>
          <w:szCs w:val="22"/>
          <w:lang w:eastAsia="en-AU"/>
        </w:rPr>
        <w:t>van</w:t>
      </w:r>
      <w:proofErr w:type="gramEnd"/>
      <w:r w:rsidRPr="00F72EA1">
        <w:rPr>
          <w:szCs w:val="22"/>
          <w:lang w:eastAsia="en-AU"/>
        </w:rPr>
        <w:t xml:space="preserve"> Dam RA, Hogan AC, McCullough CD, Houston MA, Humphrey CL &amp; Harford AJ 2010. </w:t>
      </w:r>
      <w:proofErr w:type="gramStart"/>
      <w:r w:rsidRPr="00F72EA1">
        <w:rPr>
          <w:szCs w:val="22"/>
          <w:lang w:eastAsia="en-AU"/>
        </w:rPr>
        <w:t>Aquatic toxicity of magnesium sulphate, and the influence of calcium, in very low ionic concentration water.</w:t>
      </w:r>
      <w:proofErr w:type="gramEnd"/>
      <w:r w:rsidRPr="00F72EA1">
        <w:rPr>
          <w:szCs w:val="22"/>
          <w:lang w:eastAsia="en-AU"/>
        </w:rPr>
        <w:t xml:space="preserve"> </w:t>
      </w:r>
      <w:r w:rsidRPr="00F72EA1">
        <w:rPr>
          <w:i/>
          <w:szCs w:val="22"/>
          <w:lang w:eastAsia="en-AU"/>
        </w:rPr>
        <w:t>Environmental Toxicology and Chemistry</w:t>
      </w:r>
      <w:r w:rsidR="00E40670">
        <w:rPr>
          <w:szCs w:val="22"/>
          <w:lang w:eastAsia="en-AU"/>
        </w:rPr>
        <w:t xml:space="preserve"> 29</w:t>
      </w:r>
      <w:r w:rsidRPr="00F72EA1">
        <w:rPr>
          <w:szCs w:val="22"/>
          <w:lang w:eastAsia="en-AU"/>
        </w:rPr>
        <w:t>(2), 410–421.</w:t>
      </w:r>
    </w:p>
    <w:p w:rsidR="00A05829" w:rsidRPr="00F72EA1" w:rsidRDefault="00A05829" w:rsidP="00E40670">
      <w:pPr>
        <w:pStyle w:val="referencelist1"/>
        <w:rPr>
          <w:szCs w:val="22"/>
        </w:rPr>
      </w:pPr>
      <w:proofErr w:type="gramStart"/>
      <w:r w:rsidRPr="00F72EA1">
        <w:rPr>
          <w:szCs w:val="22"/>
          <w:lang w:eastAsia="en-AU"/>
        </w:rPr>
        <w:t>van</w:t>
      </w:r>
      <w:proofErr w:type="gramEnd"/>
      <w:r w:rsidRPr="00F72EA1">
        <w:rPr>
          <w:szCs w:val="22"/>
          <w:lang w:eastAsia="en-AU"/>
        </w:rPr>
        <w:t xml:space="preserve"> Dam RA, Trenfield MA, Markich SJ, Harford AJ, Humphrey CL, Hogan AC &amp; Stauber JL 2012. Re-analysis of uranium toxicity data for freshwater organisms and the influence of dissolved organic carbon. </w:t>
      </w:r>
      <w:r w:rsidRPr="00F72EA1">
        <w:rPr>
          <w:i/>
          <w:szCs w:val="22"/>
          <w:lang w:eastAsia="en-AU"/>
        </w:rPr>
        <w:t>Environmental Toxicology and Chemistry</w:t>
      </w:r>
      <w:r w:rsidRPr="00F72EA1">
        <w:rPr>
          <w:szCs w:val="22"/>
          <w:lang w:eastAsia="en-AU"/>
        </w:rPr>
        <w:t xml:space="preserve"> 31(11), 2606–2614.</w:t>
      </w:r>
    </w:p>
    <w:p w:rsidR="00C03A34" w:rsidRDefault="00A05829">
      <w:pPr>
        <w:spacing w:after="0" w:line="240" w:lineRule="auto"/>
        <w:jc w:val="left"/>
      </w:pPr>
      <w:proofErr w:type="gramStart"/>
      <w:r>
        <w:t>Weis JS &amp; Weis P 1989.</w:t>
      </w:r>
      <w:proofErr w:type="gramEnd"/>
      <w:r>
        <w:t xml:space="preserve"> Tolerance and stress in a polluted environment. </w:t>
      </w:r>
      <w:proofErr w:type="gramStart"/>
      <w:r>
        <w:t>The case of the mummichog.</w:t>
      </w:r>
      <w:proofErr w:type="gramEnd"/>
      <w:r>
        <w:t xml:space="preserve"> </w:t>
      </w:r>
      <w:r w:rsidRPr="0037482D">
        <w:rPr>
          <w:i/>
        </w:rPr>
        <w:t>BioScience</w:t>
      </w:r>
      <w:r w:rsidR="00E40670">
        <w:t xml:space="preserve"> 39, 89–</w:t>
      </w:r>
      <w:r>
        <w:t>96</w:t>
      </w:r>
      <w:r w:rsidR="00892A1F">
        <w:t>.</w:t>
      </w:r>
    </w:p>
    <w:p w:rsidR="003A3F09" w:rsidRDefault="003A3F09">
      <w:pPr>
        <w:spacing w:after="0" w:line="240" w:lineRule="auto"/>
        <w:jc w:val="left"/>
        <w:rPr>
          <w:rFonts w:ascii="Arial" w:hAnsi="Arial"/>
          <w:b/>
          <w:sz w:val="36"/>
        </w:rPr>
      </w:pPr>
      <w:bookmarkStart w:id="241" w:name="_Toc356293383"/>
      <w:bookmarkStart w:id="242" w:name="_Toc401910197"/>
      <w:bookmarkStart w:id="243" w:name="_Toc409772822"/>
      <w:bookmarkStart w:id="244" w:name="_Toc365635537"/>
      <w:r>
        <w:br w:type="page"/>
      </w:r>
    </w:p>
    <w:p w:rsidR="00A05829" w:rsidRDefault="00A05829" w:rsidP="00EF4C0F">
      <w:pPr>
        <w:pStyle w:val="Heading1"/>
      </w:pPr>
      <w:bookmarkStart w:id="245" w:name="_Toc418172720"/>
      <w:r>
        <w:t>Development of turbidity closure criteria for receiving surface waters following Ranger minesite rehabilitation</w:t>
      </w:r>
      <w:bookmarkEnd w:id="241"/>
      <w:bookmarkEnd w:id="242"/>
      <w:bookmarkEnd w:id="243"/>
      <w:bookmarkEnd w:id="245"/>
    </w:p>
    <w:p w:rsidR="00C03A34" w:rsidRDefault="00B0482C" w:rsidP="00C03A34">
      <w:pPr>
        <w:pStyle w:val="Heading3"/>
        <w:spacing w:after="480"/>
        <w:jc w:val="center"/>
      </w:pPr>
      <w:r>
        <w:t>A George, S Mueller</w:t>
      </w:r>
      <w:r w:rsidR="00A80CC1">
        <w:rPr>
          <w:rStyle w:val="FootnoteReference"/>
        </w:rPr>
        <w:footnoteReference w:id="14"/>
      </w:r>
      <w:r>
        <w:t>, S Mitrovich</w:t>
      </w:r>
      <w:r w:rsidR="00A80CC1" w:rsidRPr="00C14AC5">
        <w:rPr>
          <w:snapToGrid w:val="0"/>
          <w:color w:val="000000"/>
          <w:position w:val="6"/>
          <w:sz w:val="17"/>
          <w:szCs w:val="0"/>
          <w:u w:color="000000"/>
        </w:rPr>
        <w:t>1</w:t>
      </w:r>
      <w:r>
        <w:t xml:space="preserve"> &amp; C Humphrey</w:t>
      </w:r>
    </w:p>
    <w:p w:rsidR="00A05829" w:rsidRDefault="00A05829" w:rsidP="00C03A34">
      <w:pPr>
        <w:pStyle w:val="Heading2"/>
      </w:pPr>
      <w:r>
        <w:t>Background</w:t>
      </w:r>
    </w:p>
    <w:p w:rsidR="00A05829" w:rsidRDefault="00A05829" w:rsidP="00A05829">
      <w:r>
        <w:t>Georgetown Billabong (GTB) is a natural waterbody lying in very close proximity to Ranger and is one of the first waterbodies to receive runoff from the minesite. The billabong experiences natural increases in turbidity over the dry season as a consequence of (mainly) wind-induced re-suspension of the silt-clay sediments, exacerbated by evaporation and decreasing water depth. Biological responses associated with these natural increases in turbidity have been studied to assist in developing local water quality criteria for this stressor, including closure criteria for the Ranger minesite during and after rehabilitation.</w:t>
      </w:r>
    </w:p>
    <w:p w:rsidR="00A05829" w:rsidRDefault="00A05829" w:rsidP="00A05829">
      <w:r>
        <w:t xml:space="preserve">Biological-effects information </w:t>
      </w:r>
      <w:proofErr w:type="gramStart"/>
      <w:r>
        <w:t>are</w:t>
      </w:r>
      <w:proofErr w:type="gramEnd"/>
      <w:r>
        <w:t xml:space="preserve"> being sought in GTB from the relationship between turbidity and measures of phytoplanktonic biomass and productivity</w:t>
      </w:r>
      <w:r w:rsidR="006B5A61">
        <w:fldChar w:fldCharType="begin">
          <w:fldData xml:space="preserve">PEVuZE5vdGU+PENpdGU+PEF1dGhvcj5CdWNrbGU8L0F1dGhvcj48WWVhcj4yMDEwPC9ZZWFyPjxS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==
</w:fldData>
        </w:fldChar>
      </w:r>
      <w:r>
        <w:instrText xml:space="preserve"> ADDIN EN.CITE </w:instrText>
      </w:r>
      <w:r w:rsidR="006B5A61">
        <w:fldChar w:fldCharType="begin">
          <w:fldData xml:space="preserve">PEVuZE5vdGU+PENpdGU+PEF1dGhvcj5CdWNrbGU8L0F1dGhvcj48WWVhcj4yMDEwPC9ZZWFyPjxS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==
</w:fldData>
        </w:fldChar>
      </w:r>
      <w:r>
        <w:instrText xml:space="preserve"> ADDIN EN.CITE.DATA </w:instrText>
      </w:r>
      <w:r w:rsidR="006B5A61">
        <w:fldChar w:fldCharType="end"/>
      </w:r>
      <w:r w:rsidR="006B5A61">
        <w:fldChar w:fldCharType="separate"/>
      </w:r>
      <w:r>
        <w:rPr>
          <w:noProof/>
        </w:rPr>
        <w:t> (</w:t>
      </w:r>
      <w:hyperlink w:anchor="_ENREF_1" w:tooltip="Buckle, 2010 #515" w:history="1">
        <w:r>
          <w:rPr>
            <w:noProof/>
          </w:rPr>
          <w:t>Buckle et al</w:t>
        </w:r>
        <w:r w:rsidR="00BD4830">
          <w:rPr>
            <w:noProof/>
          </w:rPr>
          <w:t>.</w:t>
        </w:r>
        <w:r>
          <w:rPr>
            <w:noProof/>
          </w:rPr>
          <w:t xml:space="preserve"> 2010</w:t>
        </w:r>
      </w:hyperlink>
      <w:r>
        <w:rPr>
          <w:noProof/>
        </w:rPr>
        <w:t xml:space="preserve">, </w:t>
      </w:r>
      <w:hyperlink w:anchor="_ENREF_2" w:tooltip="George, 2013 #516" w:history="1">
        <w:r>
          <w:rPr>
            <w:noProof/>
          </w:rPr>
          <w:t>George &amp; Humphrey 2013</w:t>
        </w:r>
      </w:hyperlink>
      <w:r>
        <w:rPr>
          <w:noProof/>
        </w:rPr>
        <w:t>)</w:t>
      </w:r>
      <w:r w:rsidR="006B5A61">
        <w:fldChar w:fldCharType="end"/>
      </w:r>
      <w:r>
        <w:t xml:space="preserve">. In the dry season of 2009 </w:t>
      </w:r>
      <w:r w:rsidR="006B5A61">
        <w:fldChar w:fldCharType="begin"/>
      </w:r>
      <w:r>
        <w:instrText xml:space="preserve"> ADDIN EN.CITE &lt;EndNote&gt;&lt;Cite&gt;&lt;Author&gt;Buckle&lt;/Author&gt;&lt;Year&gt;2010&lt;/Year&gt;&lt;RecNum&gt;515&lt;/RecNum&gt;&lt;DisplayText&gt; (Buckle et al 2010)&lt;/DisplayText&gt;&lt;record&gt;&lt;rec-number&gt;515&lt;/rec-number&gt;&lt;foreign-keys&gt;&lt;key app="EN" db-id="vs2vvzpdndr0pae2p0txvvruwdvp2svzeftf"&gt;515&lt;/key&gt;&lt;/foreign-keys&gt;&lt;ref-type name="Book Section"&gt;5&lt;/ref-type&gt;&lt;contributors&gt;&lt;authors&gt;&lt;author&gt;Buckle, D&lt;/author&gt;&lt;author&gt;Humphrey, C&lt;/author&gt;&lt;author&gt;Jones, D.R&lt;/author&gt;&lt;/authors&gt;&lt;secondary-authors&gt;&lt;author&gt;Jones, D. R.&lt;/author&gt;&lt;author&gt;Webb, A.&lt;/author&gt;&lt;/secondary-authors&gt;&lt;/contributors&gt;&lt;titles&gt;&lt;title&gt;Effects of fine suspended sediment on billabong limnology&lt;/title&gt;&lt;secondary-title&gt;&lt;style face="bold italic" font="Times New Roman" size="13"&gt;eriss &lt;/style&gt;&lt;style face="normal" font="default" size="100%"&gt;research summary 2008-2009&lt;/style&gt;&lt;/secondary-title&gt;&lt;/titles&gt;&lt;pages&gt;143-149&lt;/pages&gt;&lt;number&gt;201&lt;/number&gt;&lt;dates&gt;&lt;year&gt;2010&lt;/year&gt;&lt;/dates&gt;&lt;pub-location&gt;Darwin NT&lt;/pub-location&gt;&lt;publisher&gt;Supervising Scientist&lt;/publisher&gt;&lt;isbn&gt;978-1-921069-12-3&lt;/isbn&gt;&lt;work-type&gt;Supervising Scientist Report&lt;/work-type&gt;&lt;urls&gt;&lt;/urls&gt;&lt;remote-database-provider&gt; SSD Publication&lt;/remote-database-provider&gt;&lt;/record&gt;&lt;/Cite&gt;&lt;/EndNote&gt;</w:instrText>
      </w:r>
      <w:r w:rsidR="006B5A61">
        <w:fldChar w:fldCharType="separate"/>
      </w:r>
      <w:r>
        <w:rPr>
          <w:noProof/>
        </w:rPr>
        <w:t> (</w:t>
      </w:r>
      <w:hyperlink w:anchor="_ENREF_1" w:tooltip="Buckle, 2010 #515" w:history="1">
        <w:r>
          <w:rPr>
            <w:noProof/>
          </w:rPr>
          <w:t>Buckle et al</w:t>
        </w:r>
        <w:r w:rsidR="00BA51CE">
          <w:rPr>
            <w:noProof/>
          </w:rPr>
          <w:t>.</w:t>
        </w:r>
        <w:r>
          <w:rPr>
            <w:noProof/>
          </w:rPr>
          <w:t xml:space="preserve"> 2010</w:t>
        </w:r>
      </w:hyperlink>
      <w:r>
        <w:rPr>
          <w:noProof/>
        </w:rPr>
        <w:t>)</w:t>
      </w:r>
      <w:r w:rsidR="006B5A61">
        <w:fldChar w:fldCharType="end"/>
      </w:r>
      <w:r>
        <w:t xml:space="preserve"> and since the dry season of 2012 (</w:t>
      </w:r>
      <w:r w:rsidR="006B5A61">
        <w:fldChar w:fldCharType="begin"/>
      </w:r>
      <w:r>
        <w:instrText xml:space="preserve"> ADDIN EN.CITE &lt;EndNote&gt;&lt;Cite AuthorYear="1"&gt;&lt;Author&gt;George&lt;/Author&gt;&lt;Year&gt;in prep&lt;/Year&gt;&lt;RecNum&gt;539&lt;/RecNum&gt;&lt;DisplayText&gt;George and Humphrey  (in prep)&lt;/DisplayText&gt;&lt;record&gt;&lt;rec-number&gt;539&lt;/rec-number&gt;&lt;foreign-keys&gt;&lt;key app="EN" db-id="vs2vvzpdndr0pae2p0txvvruwdvp2svzeftf"&gt;539&lt;/key&gt;&lt;/foreign-keys&gt;&lt;ref-type name="Report"&gt;27&lt;/ref-type&gt;&lt;contributors&gt;&lt;authors&gt;&lt;author&gt;George, Amy&lt;/author&gt;&lt;author&gt;Humphrey, C&lt;/author&gt;&lt;/authors&gt;&lt;/contributors&gt;&lt;titles&gt;&lt;title&gt;Surface water clsoure criteria for turbidity originating from rehabilitation of the Ranger minesite&lt;/title&gt;&lt;/titles&gt;&lt;dates&gt;&lt;year&gt;in prep&lt;/year&gt;&lt;/dates&gt;&lt;publisher&gt;Australian Government, Department of the Environment&lt;/publisher&gt;&lt;work-type&gt;Internal Report&lt;/work-type&gt;&lt;urls&gt;&lt;/urls&gt;&lt;/record&gt;&lt;/Cite&gt;&lt;/EndNote&gt;</w:instrText>
      </w:r>
      <w:r w:rsidR="006B5A61">
        <w:fldChar w:fldCharType="separate"/>
      </w:r>
      <w:hyperlink w:anchor="_ENREF_3" w:tooltip="George, in prep #539" w:history="1">
        <w:r w:rsidR="009853FD">
          <w:rPr>
            <w:noProof/>
          </w:rPr>
          <w:t>George and Humphrey</w:t>
        </w:r>
        <w:r>
          <w:rPr>
            <w:noProof/>
          </w:rPr>
          <w:t xml:space="preserve"> (in prep</w:t>
        </w:r>
      </w:hyperlink>
      <w:r>
        <w:rPr>
          <w:noProof/>
        </w:rPr>
        <w:t>)</w:t>
      </w:r>
      <w:r w:rsidR="006B5A61">
        <w:fldChar w:fldCharType="end"/>
      </w:r>
      <w:r>
        <w:t>, turbidity, chlorophyll-a and other water quality variables have been collected in GTB. The aim of the studies has been to elucidate the range of (natural) turbidity values in GTB that inhibit phytoplankton biomass (indirectly represented by chlorophyll-a) so that these ranges can be used to inform the development of closure criteria. The data show that despite an absence of extreme turbidity events (150+ NTU), an inverse relationship between turbidity and chlorophyll-a is typical when turbidity reaches and exceeds sustained (high) threshold values in the mid-late dry season</w:t>
      </w:r>
      <w:r w:rsidR="006B5A61">
        <w:fldChar w:fldCharType="begin"/>
      </w:r>
      <w:r>
        <w:instrText xml:space="preserve"> ADDIN EN.CITE &lt;EndNote&gt;&lt;Cite&gt;&lt;Author&gt;George&lt;/Author&gt;&lt;Year&gt;in prep&lt;/Year&gt;&lt;RecNum&gt;539&lt;/RecNum&gt;&lt;DisplayText&gt; (George &amp;amp; Humphrey in prep)&lt;/DisplayText&gt;&lt;record&gt;&lt;rec-number&gt;539&lt;/rec-number&gt;&lt;foreign-keys&gt;&lt;key app="EN" db-id="vs2vvzpdndr0pae2p0txvvruwdvp2svzeftf"&gt;539&lt;/key&gt;&lt;/foreign-keys&gt;&lt;ref-type name="Report"&gt;27&lt;/ref-type&gt;&lt;contributors&gt;&lt;authors&gt;&lt;author&gt;George, Amy&lt;/author&gt;&lt;author&gt;Humphrey, C&lt;/author&gt;&lt;/authors&gt;&lt;/contributors&gt;&lt;titles&gt;&lt;title&gt;Surface water clsoure criteria for turbidity originating from rehabilitation of the Ranger minesite&lt;/title&gt;&lt;/titles&gt;&lt;dates&gt;&lt;year&gt;in prep&lt;/year&gt;&lt;/dates&gt;&lt;publisher&gt;Australian Government, Department of the Environment&lt;/publisher&gt;&lt;work-type&gt;Internal Report&lt;/work-type&gt;&lt;urls&gt;&lt;/urls&gt;&lt;/record&gt;&lt;/Cite&gt;&lt;/EndNote&gt;</w:instrText>
      </w:r>
      <w:r w:rsidR="006B5A61">
        <w:fldChar w:fldCharType="separate"/>
      </w:r>
      <w:r>
        <w:rPr>
          <w:noProof/>
        </w:rPr>
        <w:t> (</w:t>
      </w:r>
      <w:hyperlink w:anchor="_ENREF_3" w:tooltip="George, in prep #539" w:history="1">
        <w:r>
          <w:rPr>
            <w:noProof/>
          </w:rPr>
          <w:t>George &amp; Humphrey in prep</w:t>
        </w:r>
      </w:hyperlink>
      <w:r>
        <w:rPr>
          <w:noProof/>
        </w:rPr>
        <w:t>)</w:t>
      </w:r>
      <w:r w:rsidR="006B5A61">
        <w:fldChar w:fldCharType="end"/>
      </w:r>
      <w:r>
        <w:t xml:space="preserve">.  </w:t>
      </w:r>
    </w:p>
    <w:p w:rsidR="00A05829" w:rsidRDefault="00A05829" w:rsidP="00A05829">
      <w:pPr>
        <w:rPr>
          <w:color w:val="000000" w:themeColor="text1"/>
        </w:rPr>
      </w:pPr>
      <w:r>
        <w:t>These same studies have indicated a peak in chlorophyll-</w:t>
      </w:r>
      <w:proofErr w:type="gramStart"/>
      <w:r>
        <w:t>a</w:t>
      </w:r>
      <w:proofErr w:type="gramEnd"/>
      <w:r>
        <w:t xml:space="preserve"> in GTB during the mid dry season. More recent work </w:t>
      </w:r>
      <w:r w:rsidR="006B5A61">
        <w:fldChar w:fldCharType="begin"/>
      </w:r>
      <w:r>
        <w:instrText xml:space="preserve"> ADDIN EN.CITE &lt;EndNote&gt;&lt;Cite&gt;&lt;Author&gt;George&lt;/Author&gt;&lt;Year&gt;2013&lt;/Year&gt;&lt;RecNum&gt;516&lt;/RecNum&gt;&lt;DisplayText&gt; (George &amp;amp; Humphrey 2013)&lt;/DisplayText&gt;&lt;record&gt;&lt;rec-number&gt;516&lt;/rec-number&gt;&lt;foreign-keys&gt;&lt;key app="EN" db-id="vs2vvzpdndr0pae2p0txvvruwdvp2svzeftf"&gt;516&lt;/key&gt;&lt;/foreign-keys&gt;&lt;ref-type name="Book Section"&gt;5&lt;/ref-type&gt;&lt;contributors&gt;&lt;authors&gt;&lt;author&gt;George, A&lt;/author&gt;&lt;author&gt;Humphrey, C&lt;/author&gt;&lt;/authors&gt;&lt;secondary-authors&gt;&lt;author&gt;Van Dam , R.A.&lt;/author&gt;&lt;author&gt;Webb, A.&lt;/author&gt;&lt;author&gt;Parker, SM&lt;/author&gt;&lt;/secondary-authors&gt;&lt;tertiary-authors&gt;&lt;author&gt;Supervising Scientists&lt;/author&gt;&lt;/tertiary-authors&gt;&lt;/contributors&gt;&lt;titles&gt;&lt;title&gt;Effects of fine suspended sediment on billabong limnology&lt;/title&gt;&lt;secondary-title&gt;&lt;style face="bold italic" font="Times New Roman" size="13"&gt;eriss &lt;/style&gt;&lt;style face="normal" font="default" size="100%"&gt;research summary 2011-2012&lt;/style&gt;&lt;/secondary-title&gt;&lt;/titles&gt;&lt;pages&gt;150-157&lt;/pages&gt;&lt;num-vols&gt;204&lt;/num-vols&gt;&lt;dates&gt;&lt;year&gt;2013&lt;/year&gt;&lt;/dates&gt;&lt;pub-location&gt;Darwin, NT&lt;/pub-location&gt;&lt;publisher&gt;Supervising Scientist&lt;/publisher&gt;&lt;isbn&gt;978-1-921069-21-5&lt;/isbn&gt;&lt;work-type&gt;Supervising Scientist Report&lt;/work-type&gt;&lt;urls&gt;&lt;/urls&gt;&lt;remote-database-provider&gt; SSD Publication&lt;/remote-database-provider&gt;&lt;/record&gt;&lt;/Cite&gt;&lt;/EndNote&gt;</w:instrText>
      </w:r>
      <w:r w:rsidR="006B5A61">
        <w:fldChar w:fldCharType="separate"/>
      </w:r>
      <w:r w:rsidR="00B0482C">
        <w:rPr>
          <w:noProof/>
        </w:rPr>
        <w:t xml:space="preserve">by </w:t>
      </w:r>
      <w:hyperlink w:anchor="_ENREF_2" w:tooltip="George, 2013 #516" w:history="1">
        <w:r>
          <w:rPr>
            <w:noProof/>
          </w:rPr>
          <w:t xml:space="preserve">George &amp; Humphrey </w:t>
        </w:r>
        <w:r w:rsidR="00B0482C">
          <w:rPr>
            <w:noProof/>
          </w:rPr>
          <w:t>(</w:t>
        </w:r>
        <w:r>
          <w:rPr>
            <w:noProof/>
          </w:rPr>
          <w:t>2013</w:t>
        </w:r>
      </w:hyperlink>
      <w:r>
        <w:rPr>
          <w:noProof/>
        </w:rPr>
        <w:t>)</w:t>
      </w:r>
      <w:r w:rsidR="006B5A61">
        <w:fldChar w:fldCharType="end"/>
      </w:r>
      <w:r>
        <w:t xml:space="preserve"> found that a short spike in chlorophyll-a was associated with the onset of wet season flows, just after turbidity values had fallen. </w:t>
      </w:r>
      <w:r>
        <w:rPr>
          <w:color w:val="000000" w:themeColor="text1"/>
        </w:rPr>
        <w:t>Such a relationship suggested</w:t>
      </w:r>
      <w:r w:rsidRPr="001A19A3">
        <w:rPr>
          <w:color w:val="000000" w:themeColor="text1"/>
        </w:rPr>
        <w:t xml:space="preserve"> that phytoplankton biomass may have a secondary, though short, response to rapid changes in turbidity, in th</w:t>
      </w:r>
      <w:r>
        <w:rPr>
          <w:color w:val="000000" w:themeColor="text1"/>
        </w:rPr>
        <w:t>e latter</w:t>
      </w:r>
      <w:r w:rsidRPr="001A19A3">
        <w:rPr>
          <w:color w:val="000000" w:themeColor="text1"/>
        </w:rPr>
        <w:t xml:space="preserve"> case, elicited by a return to higher water clarity with wet season re-wetting and inundation</w:t>
      </w:r>
      <w:r>
        <w:rPr>
          <w:color w:val="000000" w:themeColor="text1"/>
        </w:rPr>
        <w:t xml:space="preserve"> of the billabong</w:t>
      </w:r>
      <w:r w:rsidRPr="001A19A3">
        <w:rPr>
          <w:color w:val="000000" w:themeColor="text1"/>
        </w:rPr>
        <w:t xml:space="preserve">. </w:t>
      </w:r>
    </w:p>
    <w:p w:rsidR="00A05829" w:rsidRPr="004A58DE" w:rsidRDefault="00A05829" w:rsidP="00A05829">
      <w:r>
        <w:rPr>
          <w:color w:val="000000" w:themeColor="text1"/>
        </w:rPr>
        <w:t xml:space="preserve">Phytoplankton identification and enumeration conducted on three samples associated with the spikes in chlorophyll-a from </w:t>
      </w:r>
      <w:r w:rsidR="00146279">
        <w:rPr>
          <w:color w:val="000000" w:themeColor="text1"/>
        </w:rPr>
        <w:t>the 2012–</w:t>
      </w:r>
      <w:r w:rsidRPr="005214A0">
        <w:rPr>
          <w:color w:val="000000" w:themeColor="text1"/>
        </w:rPr>
        <w:t>13 wet</w:t>
      </w:r>
      <w:r>
        <w:rPr>
          <w:color w:val="000000" w:themeColor="text1"/>
        </w:rPr>
        <w:t xml:space="preserve"> season suggested that the greatest </w:t>
      </w:r>
      <w:r>
        <w:rPr>
          <w:snapToGrid w:val="0"/>
          <w:color w:val="000000"/>
          <w:szCs w:val="0"/>
          <w:u w:color="000000"/>
        </w:rPr>
        <w:t xml:space="preserve">diversity in phytoplankton may correspond to higher turbidity, while also suggesting the lowest diversity was associated with flushing flows and reductions in turbidity </w:t>
      </w:r>
      <w:r w:rsidR="006B5A61">
        <w:fldChar w:fldCharType="begin"/>
      </w:r>
      <w:r>
        <w:instrText xml:space="preserve"> ADDIN EN.CITE &lt;EndNote&gt;&lt;Cite&gt;&lt;Author&gt;George&lt;/Author&gt;&lt;Year&gt;2013&lt;/Year&gt;&lt;RecNum&gt;516&lt;/RecNum&gt;&lt;DisplayText&gt; (George &amp;amp; Humphrey 2013)&lt;/DisplayText&gt;&lt;record&gt;&lt;rec-number&gt;516&lt;/rec-number&gt;&lt;foreign-keys&gt;&lt;key app="EN" db-id="vs2vvzpdndr0pae2p0txvvruwdvp2svzeftf"&gt;516&lt;/key&gt;&lt;/foreign-keys&gt;&lt;ref-type name="Book Section"&gt;5&lt;/ref-type&gt;&lt;contributors&gt;&lt;authors&gt;&lt;author&gt;George, A&lt;/author&gt;&lt;author&gt;Humphrey, C&lt;/author&gt;&lt;/authors&gt;&lt;secondary-authors&gt;&lt;author&gt;Van Dam , R.A.&lt;/author&gt;&lt;author&gt;Webb, A.&lt;/author&gt;&lt;author&gt;Parker, SM&lt;/author&gt;&lt;/secondary-authors&gt;&lt;tertiary-authors&gt;&lt;author&gt;Supervising Scientists&lt;/author&gt;&lt;/tertiary-authors&gt;&lt;/contributors&gt;&lt;titles&gt;&lt;title&gt;Effects of fine suspended sediment on billabong limnology&lt;/title&gt;&lt;secondary-title&gt;&lt;style face="bold italic" font="Times New Roman" size="13"&gt;eriss &lt;/style&gt;&lt;style face="normal" font="default" size="100%"&gt;research summary 2011-2012&lt;/style&gt;&lt;/secondary-title&gt;&lt;/titles&gt;&lt;pages&gt;150-157&lt;/pages&gt;&lt;num-vols&gt;204&lt;/num-vols&gt;&lt;dates&gt;&lt;year&gt;2013&lt;/year&gt;&lt;/dates&gt;&lt;pub-location&gt;Darwin, NT&lt;/pub-location&gt;&lt;publisher&gt;Supervising Scientist&lt;/publisher&gt;&lt;isbn&gt;978-1-921069-21-5&lt;/isbn&gt;&lt;work-type&gt;Supervising Scientist Report&lt;/work-type&gt;&lt;urls&gt;&lt;/urls&gt;&lt;remote-database-provider&gt; SSD Publication&lt;/remote-database-provider&gt;&lt;/record&gt;&lt;/Cite&gt;&lt;/EndNote&gt;</w:instrText>
      </w:r>
      <w:r w:rsidR="006B5A61">
        <w:fldChar w:fldCharType="separate"/>
      </w:r>
      <w:r>
        <w:rPr>
          <w:noProof/>
        </w:rPr>
        <w:t> (</w:t>
      </w:r>
      <w:hyperlink w:anchor="_ENREF_2" w:tooltip="George, 2013 #516" w:history="1">
        <w:r>
          <w:rPr>
            <w:noProof/>
          </w:rPr>
          <w:t>George &amp; Humphrey 2013</w:t>
        </w:r>
      </w:hyperlink>
      <w:r>
        <w:rPr>
          <w:noProof/>
        </w:rPr>
        <w:t>)</w:t>
      </w:r>
      <w:r w:rsidR="006B5A61">
        <w:fldChar w:fldCharType="end"/>
      </w:r>
      <w:r>
        <w:rPr>
          <w:snapToGrid w:val="0"/>
          <w:color w:val="000000"/>
          <w:szCs w:val="0"/>
          <w:u w:color="000000"/>
        </w:rPr>
        <w:t>.</w:t>
      </w:r>
      <w:r w:rsidRPr="00CD62E0">
        <w:rPr>
          <w:snapToGrid w:val="0"/>
          <w:color w:val="000000"/>
          <w:szCs w:val="0"/>
          <w:u w:color="000000"/>
        </w:rPr>
        <w:t xml:space="preserve"> </w:t>
      </w:r>
      <w:r>
        <w:t xml:space="preserve">The shifts in phytoplankton diversity between the three samples highlighted the need to better ascertain the representativeness of chlorophyll-a (an indirect measure of phytoplankton biomass) as an indicator of biological activity and biodiversity more generally. A broader examination </w:t>
      </w:r>
      <w:proofErr w:type="gramStart"/>
      <w:r>
        <w:t>of  phytoplankton</w:t>
      </w:r>
      <w:proofErr w:type="gramEnd"/>
      <w:r>
        <w:t xml:space="preserve"> community structure in GTB was initiated to determine whether relationships were evident between concurrent changes in chlorophyll-a concentrations, turbidity and phytoplankton biovolumes. The results </w:t>
      </w:r>
      <w:r w:rsidR="00B0482C">
        <w:t>aimed to</w:t>
      </w:r>
      <w:r>
        <w:t xml:space="preserve"> identify environmental drivers for changes in phytoplankton communities, and where turbidity was implicated, improve knowledge about the responses of phytoplankton communities. </w:t>
      </w:r>
    </w:p>
    <w:p w:rsidR="00A05829" w:rsidRDefault="00A05829" w:rsidP="00587AA9">
      <w:pPr>
        <w:pStyle w:val="Heading2"/>
      </w:pPr>
      <w:r>
        <w:t>Methods</w:t>
      </w:r>
    </w:p>
    <w:p w:rsidR="00A05829" w:rsidRDefault="00A05829" w:rsidP="00A05829">
      <w:pPr>
        <w:autoSpaceDE w:val="0"/>
        <w:autoSpaceDN w:val="0"/>
        <w:adjustRightInd w:val="0"/>
      </w:pPr>
      <w:r>
        <w:t xml:space="preserve">Over the past two years, water samples for phytoplankton analyses have been routinely collected in conjunction with monthly and fortnightly field-based sampling (see </w:t>
      </w:r>
      <w:r w:rsidR="006B5A61">
        <w:fldChar w:fldCharType="begin"/>
      </w:r>
      <w:r>
        <w:instrText xml:space="preserve"> ADDIN EN.CITE &lt;EndNote&gt;&lt;Cite AuthorYear="1"&gt;&lt;Author&gt;George&lt;/Author&gt;&lt;Year&gt;2013&lt;/Year&gt;&lt;RecNum&gt;516&lt;/RecNum&gt;&lt;DisplayText&gt;George and Humphrey  (2013)&lt;/DisplayText&gt;&lt;record&gt;&lt;rec-number&gt;516&lt;/rec-number&gt;&lt;foreign-keys&gt;&lt;key app="EN" db-id="vs2vvzpdndr0pae2p0txvvruwdvp2svzeftf"&gt;516&lt;/key&gt;&lt;/foreign-keys&gt;&lt;ref-type name="Book Section"&gt;5&lt;/ref-type&gt;&lt;contributors&gt;&lt;authors&gt;&lt;author&gt;George, A&lt;/author&gt;&lt;author&gt;Humphrey, C&lt;/author&gt;&lt;/authors&gt;&lt;secondary-authors&gt;&lt;author&gt;Van Dam , R.A.&lt;/author&gt;&lt;author&gt;Webb, A.&lt;/author&gt;&lt;author&gt;Parker, SM&lt;/author&gt;&lt;/secondary-authors&gt;&lt;tertiary-authors&gt;&lt;author&gt;Supervising Scientists&lt;/author&gt;&lt;/tertiary-authors&gt;&lt;/contributors&gt;&lt;titles&gt;&lt;title&gt;Effects of fine suspended sediment on billabong limnology&lt;/title&gt;&lt;secondary-title&gt;&lt;style face="bold italic" font="Times New Roman" size="13"&gt;eriss &lt;/style&gt;&lt;style face="normal" font="default" size="100%"&gt;research summary 2011-2012&lt;/style&gt;&lt;/secondary-title&gt;&lt;/titles&gt;&lt;pages&gt;150-157&lt;/pages&gt;&lt;num-vols&gt;204&lt;/num-vols&gt;&lt;dates&gt;&lt;year&gt;2013&lt;/year&gt;&lt;/dates&gt;&lt;pub-location&gt;Darwin, NT&lt;/pub-location&gt;&lt;publisher&gt;Supervising Scientist&lt;/publisher&gt;&lt;isbn&gt;978-1-921069-21-5&lt;/isbn&gt;&lt;work-type&gt;Supervising Scientist Report&lt;/work-type&gt;&lt;urls&gt;&lt;/urls&gt;&lt;remote-database-provider&gt; SSD Publication&lt;/remote-database-provider&gt;&lt;/record&gt;&lt;/Cite&gt;&lt;/EndNote&gt;</w:instrText>
      </w:r>
      <w:r w:rsidR="006B5A61">
        <w:fldChar w:fldCharType="separate"/>
      </w:r>
      <w:hyperlink w:anchor="_ENREF_2" w:tooltip="George, 2013 #516" w:history="1">
        <w:r w:rsidR="009853FD">
          <w:rPr>
            <w:noProof/>
          </w:rPr>
          <w:t>George and Humphrey</w:t>
        </w:r>
        <w:r>
          <w:rPr>
            <w:noProof/>
          </w:rPr>
          <w:t xml:space="preserve"> (2013</w:t>
        </w:r>
      </w:hyperlink>
      <w:r>
        <w:rPr>
          <w:noProof/>
        </w:rPr>
        <w:t>)</w:t>
      </w:r>
      <w:r w:rsidR="006B5A61">
        <w:fldChar w:fldCharType="end"/>
      </w:r>
      <w:r>
        <w:t>. A total of 37 preserved samples collected between November 2012 and April 2014 were provided to the University of Technology Sydney, where phytoplankton</w:t>
      </w:r>
      <w:r w:rsidR="00B0482C">
        <w:t xml:space="preserve"> were identified and</w:t>
      </w:r>
      <w:r>
        <w:t xml:space="preserve"> enumerated. </w:t>
      </w:r>
      <w:proofErr w:type="gramStart"/>
      <w:r>
        <w:t>Biovolumes  were</w:t>
      </w:r>
      <w:proofErr w:type="gramEnd"/>
      <w:r>
        <w:t xml:space="preserve"> determined by measuring the dimension of 20 cells of each taxon using 400 times magnification. UTS analysed the data using multivariate techniques. In particular, two multivariate ordination techniques, N</w:t>
      </w:r>
      <w:r>
        <w:rPr>
          <w:color w:val="222222"/>
        </w:rPr>
        <w:t>on-metric Multidimensional S</w:t>
      </w:r>
      <w:r w:rsidRPr="002D55CE">
        <w:rPr>
          <w:color w:val="222222"/>
        </w:rPr>
        <w:t>caling (</w:t>
      </w:r>
      <w:r w:rsidRPr="002D55CE">
        <w:rPr>
          <w:bCs/>
          <w:color w:val="222222"/>
        </w:rPr>
        <w:t>NMDS</w:t>
      </w:r>
      <w:r w:rsidRPr="002D55CE">
        <w:rPr>
          <w:color w:val="222222"/>
        </w:rPr>
        <w:t>)</w:t>
      </w:r>
      <w:r>
        <w:rPr>
          <w:color w:val="222222"/>
        </w:rPr>
        <w:t xml:space="preserve"> and </w:t>
      </w:r>
      <w:r w:rsidRPr="00BE3CC5">
        <w:rPr>
          <w:bCs/>
          <w:color w:val="222222"/>
        </w:rPr>
        <w:t>Canonical Correspondence Analysis</w:t>
      </w:r>
      <w:r>
        <w:rPr>
          <w:bCs/>
          <w:color w:val="222222"/>
        </w:rPr>
        <w:t xml:space="preserve"> (CCA), </w:t>
      </w:r>
      <w:r>
        <w:t xml:space="preserve">explored patterns amongst the phytoplankton samples with vectors of taxa and/or environmental variables overlain on the ordinations to explore associations with the samples. Results presented below are the first analyses conducted on the data. Additional analyses exploring some of the relationships presented below will be further developed in 2015. </w:t>
      </w:r>
    </w:p>
    <w:bookmarkEnd w:id="244"/>
    <w:p w:rsidR="00A05829" w:rsidRDefault="00A05829" w:rsidP="00587AA9">
      <w:pPr>
        <w:pStyle w:val="Heading3"/>
      </w:pPr>
      <w:r>
        <w:t>Preliminary p</w:t>
      </w:r>
      <w:r w:rsidRPr="00F204F7">
        <w:t xml:space="preserve">hytoplankton </w:t>
      </w:r>
      <w:r>
        <w:t>community results</w:t>
      </w:r>
    </w:p>
    <w:p w:rsidR="00A05829" w:rsidRDefault="00A05829" w:rsidP="00A05829">
      <w:pPr>
        <w:rPr>
          <w:snapToGrid w:val="0"/>
          <w:color w:val="000000"/>
          <w:szCs w:val="0"/>
          <w:u w:color="000000"/>
        </w:rPr>
      </w:pPr>
      <w:bookmarkStart w:id="246" w:name="_Toc365635540"/>
      <w:r>
        <w:rPr>
          <w:snapToGrid w:val="0"/>
          <w:color w:val="000000"/>
          <w:szCs w:val="0"/>
          <w:u w:color="000000"/>
        </w:rPr>
        <w:t>The greatest biovolumes of phytoplankton (cell volume in mm</w:t>
      </w:r>
      <w:r>
        <w:rPr>
          <w:snapToGrid w:val="0"/>
          <w:color w:val="000000"/>
          <w:position w:val="5"/>
          <w:sz w:val="15"/>
          <w:szCs w:val="0"/>
          <w:u w:color="000000"/>
        </w:rPr>
        <w:t>3</w:t>
      </w:r>
      <w:r>
        <w:rPr>
          <w:snapToGrid w:val="0"/>
          <w:color w:val="000000"/>
          <w:szCs w:val="0"/>
          <w:u w:color="000000"/>
        </w:rPr>
        <w:t xml:space="preserve">/L) corresponded to the mid-late dry season of 2013. Based on biovolume, dinoflagellates were the most abundant taxa assemblage during this period, followed by euglenoids and green algae </w:t>
      </w:r>
      <w:r w:rsidR="006B5A61">
        <w:rPr>
          <w:snapToGrid w:val="0"/>
          <w:color w:val="000000"/>
          <w:szCs w:val="0"/>
          <w:u w:color="000000"/>
        </w:rPr>
        <w:fldChar w:fldCharType="begin"/>
      </w:r>
      <w:r>
        <w:rPr>
          <w:snapToGrid w:val="0"/>
          <w:color w:val="000000"/>
          <w:szCs w:val="0"/>
          <w:u w:color="000000"/>
        </w:rPr>
        <w:instrText xml:space="preserve"> ADDIN EN.CITE &lt;EndNote&gt;&lt;Cite&gt;&lt;Author&gt;Mueller&lt;/Author&gt;&lt;Year&gt;in prep&lt;/Year&gt;&lt;RecNum&gt;540&lt;/RecNum&gt;&lt;DisplayText&gt; (Mueller et al in prep)&lt;/DisplayText&gt;&lt;record&gt;&lt;rec-number&gt;540&lt;/rec-number&gt;&lt;foreign-keys&gt;&lt;key app="EN" db-id="vs2vvzpdndr0pae2p0txvvruwdvp2svzeftf"&gt;540&lt;/key&gt;&lt;/foreign-keys&gt;&lt;ref-type name="Report"&gt;27&lt;/ref-type&gt;&lt;contributors&gt;&lt;authors&gt;&lt;author&gt;Mueller, Stefanie&lt;/author&gt;&lt;author&gt;Mitrovic, Simon M.&lt;/author&gt;&lt;author&gt;George, Amy&lt;/author&gt;&lt;/authors&gt;&lt;/contributors&gt;&lt;titles&gt;&lt;title&gt;Phytoplankton changes in the Alligator River&lt;/title&gt;&lt;/titles&gt;&lt;dates&gt;&lt;year&gt;in prep&lt;/year&gt;&lt;/dates&gt;&lt;pub-location&gt;Darwin, NT&lt;/pub-location&gt;&lt;work-type&gt;Report prepared for the Supervising Scientist Branch of the Department of the Environment&lt;/work-type&gt;&lt;urls&gt;&lt;/urls&gt;&lt;/record&gt;&lt;/Cite&gt;&lt;/EndNote&gt;</w:instrText>
      </w:r>
      <w:r w:rsidR="006B5A61">
        <w:rPr>
          <w:snapToGrid w:val="0"/>
          <w:color w:val="000000"/>
          <w:szCs w:val="0"/>
          <w:u w:color="000000"/>
        </w:rPr>
        <w:fldChar w:fldCharType="separate"/>
      </w:r>
      <w:r>
        <w:rPr>
          <w:noProof/>
          <w:snapToGrid w:val="0"/>
          <w:color w:val="000000"/>
          <w:szCs w:val="0"/>
          <w:u w:color="000000"/>
        </w:rPr>
        <w:t> (</w:t>
      </w:r>
      <w:hyperlink w:anchor="_ENREF_4" w:tooltip="Mueller, in prep #540" w:history="1">
        <w:r>
          <w:rPr>
            <w:noProof/>
            <w:snapToGrid w:val="0"/>
            <w:color w:val="000000"/>
            <w:szCs w:val="0"/>
            <w:u w:color="000000"/>
          </w:rPr>
          <w:t>Mueller et al</w:t>
        </w:r>
        <w:r w:rsidR="00BA51CE">
          <w:rPr>
            <w:noProof/>
            <w:snapToGrid w:val="0"/>
            <w:color w:val="000000"/>
            <w:szCs w:val="0"/>
            <w:u w:color="000000"/>
          </w:rPr>
          <w:t>.</w:t>
        </w:r>
        <w:r>
          <w:rPr>
            <w:noProof/>
            <w:snapToGrid w:val="0"/>
            <w:color w:val="000000"/>
            <w:szCs w:val="0"/>
            <w:u w:color="000000"/>
          </w:rPr>
          <w:t xml:space="preserve"> in prep</w:t>
        </w:r>
      </w:hyperlink>
      <w:r>
        <w:rPr>
          <w:noProof/>
          <w:snapToGrid w:val="0"/>
          <w:color w:val="000000"/>
          <w:szCs w:val="0"/>
          <w:u w:color="000000"/>
        </w:rPr>
        <w:t>)</w:t>
      </w:r>
      <w:r w:rsidR="006B5A61">
        <w:rPr>
          <w:snapToGrid w:val="0"/>
          <w:color w:val="000000"/>
          <w:szCs w:val="0"/>
          <w:u w:color="000000"/>
        </w:rPr>
        <w:fldChar w:fldCharType="end"/>
      </w:r>
      <w:r w:rsidRPr="00D20FC2">
        <w:rPr>
          <w:snapToGrid w:val="0"/>
          <w:color w:val="000000"/>
          <w:szCs w:val="0"/>
          <w:u w:color="000000"/>
        </w:rPr>
        <w:t xml:space="preserve"> </w:t>
      </w:r>
      <w:r>
        <w:rPr>
          <w:snapToGrid w:val="0"/>
          <w:color w:val="000000"/>
          <w:szCs w:val="0"/>
          <w:u w:color="000000"/>
        </w:rPr>
        <w:t xml:space="preserve">(Figure 1). Generally, variation and abundance in biovolume were greatest at the 10 cm sampling depth, with biovolumes nearly two-fold greater than at the 50 cm and 100 cm depths (data for depths &gt;10 cm not provided here). Data presented in George &amp; Humphrey (in prep) indicate that the most dynamic zone of activity is the upper 10 cm of the water column and that changes in turbidity are likely to impact phytoplankton communities that are resident at this depth.  Life history characterisation of the communites was not included in the preliminary analyses and should be evaluated further to extrapolate the importance of the observed communities and assemblages.  </w:t>
      </w:r>
    </w:p>
    <w:p w:rsidR="00B35B8B" w:rsidRDefault="00B35B8B" w:rsidP="00B35B8B">
      <w:pPr>
        <w:rPr>
          <w:szCs w:val="22"/>
        </w:rPr>
      </w:pPr>
      <w:r w:rsidRPr="006170C4">
        <w:t>To assess relationships between phytoplankton and turbidity, three turbidity categories were applied, which aligned with turbidity ranges corresponding to changes in chlorophyll-a values (e.g. 30–70 NTU) (George &amp; Humphrey in prep). The ranges applied to the phytoplankton analyses included: &lt;10 NTU, 10-70 NTU and &gt;70 NTU. Ordination techniques illustrate distinct phytoplankton taxa groups associated with each of the three pre-defined turbidity categories (Figure 2), with no overlap between the defined zones. While it appears t</w:t>
      </w:r>
      <w:r w:rsidRPr="00F204F7">
        <w:rPr>
          <w:szCs w:val="22"/>
        </w:rPr>
        <w:t>urbidity has a structuring role for phytoplankton assemblages (Mueller et a</w:t>
      </w:r>
      <w:r>
        <w:rPr>
          <w:szCs w:val="22"/>
        </w:rPr>
        <w:t>l. in prep), in addition to its influence</w:t>
      </w:r>
      <w:r w:rsidRPr="00F204F7">
        <w:rPr>
          <w:szCs w:val="22"/>
        </w:rPr>
        <w:t xml:space="preserve"> </w:t>
      </w:r>
      <w:r>
        <w:rPr>
          <w:szCs w:val="22"/>
        </w:rPr>
        <w:t xml:space="preserve">on biomass (viz </w:t>
      </w:r>
      <w:r w:rsidRPr="00F204F7">
        <w:rPr>
          <w:szCs w:val="22"/>
        </w:rPr>
        <w:t xml:space="preserve">chlorophyll-a concentrations </w:t>
      </w:r>
      <w:r>
        <w:rPr>
          <w:szCs w:val="22"/>
        </w:rPr>
        <w:t>(</w:t>
      </w:r>
      <w:r w:rsidRPr="00F204F7">
        <w:rPr>
          <w:szCs w:val="22"/>
        </w:rPr>
        <w:t xml:space="preserve">George </w:t>
      </w:r>
      <w:r>
        <w:rPr>
          <w:szCs w:val="22"/>
        </w:rPr>
        <w:t>&amp;</w:t>
      </w:r>
      <w:r w:rsidR="00892A1F">
        <w:rPr>
          <w:szCs w:val="22"/>
        </w:rPr>
        <w:t xml:space="preserve"> Humphrey in prep</w:t>
      </w:r>
      <w:r>
        <w:rPr>
          <w:szCs w:val="22"/>
        </w:rPr>
        <w:t>), seasonal changes in turbidity are also highly correlated with other environmental variables (not assessed here) and, hence, further analyses are required to confirm the relationships observed in these data</w:t>
      </w:r>
      <w:r w:rsidRPr="00F204F7">
        <w:rPr>
          <w:szCs w:val="22"/>
        </w:rPr>
        <w:t>.</w:t>
      </w:r>
    </w:p>
    <w:p w:rsidR="00A05829" w:rsidRPr="008E09F1" w:rsidRDefault="00A05829" w:rsidP="00A05829">
      <w:pPr>
        <w:rPr>
          <w:snapToGrid w:val="0"/>
          <w:color w:val="000000"/>
          <w:szCs w:val="0"/>
          <w:u w:color="000000"/>
        </w:rPr>
      </w:pPr>
    </w:p>
    <w:p w:rsidR="00A05829" w:rsidRDefault="00B0482C" w:rsidP="00B35B8B">
      <w:pPr>
        <w:pStyle w:val="platecaption"/>
      </w:pPr>
      <w:r>
        <w:rPr>
          <w:noProof/>
          <w:lang w:eastAsia="en-AU"/>
        </w:rPr>
        <w:drawing>
          <wp:inline distT="0" distB="0" distL="0" distR="0">
            <wp:extent cx="5693664" cy="4474464"/>
            <wp:effectExtent l="19050" t="0" r="2286" b="0"/>
            <wp:docPr id="230" name="Picture 229" descr="Phytoplankton Figur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ytoplankton Figure 2.JPG"/>
                    <pic:cNvPicPr/>
                  </pic:nvPicPr>
                  <pic:blipFill>
                    <a:blip r:embed="rId204" cstate="screen"/>
                    <a:stretch>
                      <a:fillRect/>
                    </a:stretch>
                  </pic:blipFill>
                  <pic:spPr>
                    <a:xfrm>
                      <a:off x="0" y="0"/>
                      <a:ext cx="5693664" cy="4474464"/>
                    </a:xfrm>
                    <a:prstGeom prst="rect">
                      <a:avLst/>
                    </a:prstGeom>
                  </pic:spPr>
                </pic:pic>
              </a:graphicData>
            </a:graphic>
          </wp:inline>
        </w:drawing>
      </w:r>
      <w:r w:rsidR="00A05829" w:rsidRPr="0060190D">
        <w:rPr>
          <w:b/>
        </w:rPr>
        <w:t xml:space="preserve">Figure </w:t>
      </w:r>
      <w:r w:rsidR="006B5A61" w:rsidRPr="0060190D">
        <w:rPr>
          <w:b/>
        </w:rPr>
        <w:fldChar w:fldCharType="begin"/>
      </w:r>
      <w:r w:rsidR="00A05829" w:rsidRPr="0060190D">
        <w:rPr>
          <w:b/>
        </w:rPr>
        <w:instrText xml:space="preserve"> SEQ Figure \* ARABIC </w:instrText>
      </w:r>
      <w:r w:rsidR="006B5A61" w:rsidRPr="0060190D">
        <w:rPr>
          <w:b/>
        </w:rPr>
        <w:fldChar w:fldCharType="separate"/>
      </w:r>
      <w:r w:rsidR="00D3231E">
        <w:rPr>
          <w:b/>
          <w:noProof/>
        </w:rPr>
        <w:t>1</w:t>
      </w:r>
      <w:r w:rsidR="006B5A61" w:rsidRPr="0060190D">
        <w:rPr>
          <w:b/>
        </w:rPr>
        <w:fldChar w:fldCharType="end"/>
      </w:r>
      <w:r w:rsidR="00A05829" w:rsidRPr="00CA59A1">
        <w:t xml:space="preserve"> Phytoplankton biovolume change </w:t>
      </w:r>
      <w:r w:rsidR="00A05829">
        <w:t xml:space="preserve">in GTB </w:t>
      </w:r>
      <w:r w:rsidR="00A05829" w:rsidRPr="00CA59A1">
        <w:t>at the surface (10</w:t>
      </w:r>
      <w:r w:rsidR="00A05829">
        <w:t xml:space="preserve"> </w:t>
      </w:r>
      <w:r w:rsidR="00A05829" w:rsidRPr="00CA59A1">
        <w:t>cm) b</w:t>
      </w:r>
      <w:r w:rsidR="00A05829">
        <w:t>etween November 2012 and April 2</w:t>
      </w:r>
      <w:r w:rsidR="00A05829" w:rsidRPr="00CA59A1">
        <w:t>014.</w:t>
      </w:r>
      <w:r w:rsidR="00A05829">
        <w:t xml:space="preserve"> Sample dates provided for analyses are indicated by the dates on the X axis. The dates placed closely together are within the dry seasons with </w:t>
      </w:r>
      <w:proofErr w:type="gramStart"/>
      <w:r w:rsidR="00A05829">
        <w:t>dates</w:t>
      </w:r>
      <w:proofErr w:type="gramEnd"/>
      <w:r w:rsidR="00A05829">
        <w:t xml:space="preserve"> spaced further apart representing wet season sampling occasions.  </w:t>
      </w:r>
    </w:p>
    <w:p w:rsidR="00B35B8B" w:rsidRDefault="00B35B8B" w:rsidP="00B35B8B"/>
    <w:p w:rsidR="00B35B8B" w:rsidRPr="006170C4" w:rsidRDefault="00B35B8B" w:rsidP="00B35B8B">
      <w:r w:rsidRPr="006170C4">
        <w:t xml:space="preserve">Phytoplankton biovolumes were analysed in relation to other water quality variables including nutrients (total nitrogen, total phosphorus, phosphate, ammonium and nitrate), metals, </w:t>
      </w:r>
      <w:proofErr w:type="gramStart"/>
      <w:r w:rsidRPr="006170C4">
        <w:t>light</w:t>
      </w:r>
      <w:proofErr w:type="gramEnd"/>
      <w:r w:rsidRPr="006170C4">
        <w:t xml:space="preserve"> and dissolved oxygen to elucidate if other water quality variables were confounding the turbidity </w:t>
      </w:r>
      <w:r w:rsidR="00A85FC5" w:rsidRPr="006170C4">
        <w:t>responses</w:t>
      </w:r>
      <w:r w:rsidRPr="006170C4">
        <w:t xml:space="preserve">. Field EC data have not yet been analysed in association with phytoplankton data. While trace metals alone did not influence phytoplankton (results not provided here), some samples showed association with particulate concentrations of Mn, Al, U (co-linear variables) and Fe (Figure 3), while also showing a shift in dominance of some taxa related to metals. The significance of these associations is unclear from such preliminary analyses and requires additional consideration. In particular, the association of phytoplankton communities and particulate U will need to be evaluated. The ordination results also suggest that light availability, phosphate and dissolved oxygen were not strong drivers of phytoplankton change (Figure 4). </w:t>
      </w:r>
    </w:p>
    <w:p w:rsidR="00B35B8B" w:rsidRPr="00B35B8B" w:rsidRDefault="00B35B8B" w:rsidP="00B35B8B">
      <w:pPr>
        <w:pStyle w:val="platecaption"/>
        <w:jc w:val="left"/>
      </w:pPr>
    </w:p>
    <w:p w:rsidR="00A05829" w:rsidRDefault="00A05829" w:rsidP="00A05829">
      <w:pPr>
        <w:keepNext/>
        <w:jc w:val="center"/>
      </w:pPr>
      <w:r>
        <w:rPr>
          <w:noProof/>
          <w:lang w:eastAsia="en-AU"/>
        </w:rPr>
        <w:drawing>
          <wp:inline distT="0" distB="0" distL="0" distR="0">
            <wp:extent cx="3765460" cy="3760839"/>
            <wp:effectExtent l="0" t="0" r="6440" b="0"/>
            <wp:docPr id="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5" cstate="screen"/>
                    <a:srcRect/>
                    <a:stretch>
                      <a:fillRect/>
                    </a:stretch>
                  </pic:blipFill>
                  <pic:spPr bwMode="auto">
                    <a:xfrm>
                      <a:off x="0" y="0"/>
                      <a:ext cx="3769461" cy="3764835"/>
                    </a:xfrm>
                    <a:prstGeom prst="rect">
                      <a:avLst/>
                    </a:prstGeom>
                    <a:noFill/>
                    <a:ln w="9525">
                      <a:noFill/>
                      <a:miter lim="800000"/>
                      <a:headEnd/>
                      <a:tailEnd/>
                    </a:ln>
                  </pic:spPr>
                </pic:pic>
              </a:graphicData>
            </a:graphic>
          </wp:inline>
        </w:drawing>
      </w:r>
    </w:p>
    <w:p w:rsidR="00A05829" w:rsidRDefault="00A05829" w:rsidP="00A05829">
      <w:pPr>
        <w:pStyle w:val="platecaption"/>
        <w:rPr>
          <w:snapToGrid w:val="0"/>
          <w:szCs w:val="0"/>
          <w:u w:color="000000"/>
        </w:rPr>
      </w:pPr>
      <w:r w:rsidRPr="0060190D">
        <w:rPr>
          <w:b/>
        </w:rPr>
        <w:t xml:space="preserve">Figure </w:t>
      </w:r>
      <w:r w:rsidR="006B5A61" w:rsidRPr="0060190D">
        <w:rPr>
          <w:b/>
        </w:rPr>
        <w:fldChar w:fldCharType="begin"/>
      </w:r>
      <w:r w:rsidRPr="0060190D">
        <w:rPr>
          <w:b/>
        </w:rPr>
        <w:instrText xml:space="preserve"> SEQ Figure \* ARABIC </w:instrText>
      </w:r>
      <w:r w:rsidR="006B5A61" w:rsidRPr="0060190D">
        <w:rPr>
          <w:b/>
        </w:rPr>
        <w:fldChar w:fldCharType="separate"/>
      </w:r>
      <w:r w:rsidR="00D3231E">
        <w:rPr>
          <w:b/>
          <w:noProof/>
        </w:rPr>
        <w:t>2</w:t>
      </w:r>
      <w:r w:rsidR="006B5A61" w:rsidRPr="0060190D">
        <w:rPr>
          <w:b/>
        </w:rPr>
        <w:fldChar w:fldCharType="end"/>
      </w:r>
      <w:r w:rsidRPr="00CA59A1">
        <w:t xml:space="preserve"> </w:t>
      </w:r>
      <w:r>
        <w:rPr>
          <w:rStyle w:val="st"/>
          <w:rFonts w:cs="Arial"/>
          <w:color w:val="222222"/>
        </w:rPr>
        <w:t xml:space="preserve">Non-Metric Multidimensional Scaling </w:t>
      </w:r>
      <w:r w:rsidRPr="00CA59A1">
        <w:t xml:space="preserve">of </w:t>
      </w:r>
      <w:r>
        <w:t xml:space="preserve">GTB phytoplankton samples (black labels representing sample number and turbidity category) overlain with abbreviations of </w:t>
      </w:r>
      <w:r w:rsidRPr="00CA59A1">
        <w:t>genera and species</w:t>
      </w:r>
      <w:r>
        <w:t xml:space="preserve"> (in red)</w:t>
      </w:r>
      <w:r w:rsidRPr="00CA59A1">
        <w:t xml:space="preserve"> (Stress=0.19). The convex hulls </w:t>
      </w:r>
      <w:r>
        <w:t>(polygons) group</w:t>
      </w:r>
      <w:r w:rsidRPr="00CA59A1">
        <w:t xml:space="preserve"> the turbidity categories</w:t>
      </w:r>
      <w:r>
        <w:t xml:space="preserve"> (&lt;10, 10-70 and &gt;70 NTU)</w:t>
      </w:r>
      <w:r w:rsidRPr="00CA59A1">
        <w:t>.</w:t>
      </w:r>
    </w:p>
    <w:p w:rsidR="00A05829" w:rsidRDefault="00A05829" w:rsidP="004E6332">
      <w:pPr>
        <w:jc w:val="center"/>
      </w:pPr>
      <w:r w:rsidRPr="006170C4">
        <w:rPr>
          <w:noProof/>
          <w:lang w:eastAsia="en-AU"/>
        </w:rPr>
        <w:drawing>
          <wp:inline distT="0" distB="0" distL="0" distR="0">
            <wp:extent cx="3881639" cy="3781425"/>
            <wp:effectExtent l="0" t="0" r="4561" b="0"/>
            <wp:docPr id="8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6" cstate="screen"/>
                    <a:srcRect b="2414"/>
                    <a:stretch>
                      <a:fillRect/>
                    </a:stretch>
                  </pic:blipFill>
                  <pic:spPr bwMode="auto">
                    <a:xfrm>
                      <a:off x="0" y="0"/>
                      <a:ext cx="3881639" cy="3781425"/>
                    </a:xfrm>
                    <a:prstGeom prst="rect">
                      <a:avLst/>
                    </a:prstGeom>
                    <a:noFill/>
                    <a:ln w="9525">
                      <a:noFill/>
                      <a:miter lim="800000"/>
                      <a:headEnd/>
                      <a:tailEnd/>
                    </a:ln>
                  </pic:spPr>
                </pic:pic>
              </a:graphicData>
            </a:graphic>
          </wp:inline>
        </w:drawing>
      </w:r>
    </w:p>
    <w:p w:rsidR="00A05829" w:rsidRPr="003D70E0" w:rsidRDefault="00A05829" w:rsidP="00A05829">
      <w:pPr>
        <w:pStyle w:val="figurecaption"/>
        <w:rPr>
          <w:rFonts w:ascii="CMR10" w:hAnsi="CMR10" w:cs="CMR10"/>
          <w:szCs w:val="18"/>
          <w:lang w:eastAsia="en-AU"/>
        </w:rPr>
      </w:pPr>
      <w:r w:rsidRPr="0060190D">
        <w:rPr>
          <w:b/>
        </w:rPr>
        <w:t xml:space="preserve">Figure </w:t>
      </w:r>
      <w:r w:rsidR="006B5A61" w:rsidRPr="0060190D">
        <w:rPr>
          <w:b/>
        </w:rPr>
        <w:fldChar w:fldCharType="begin"/>
      </w:r>
      <w:r w:rsidRPr="0060190D">
        <w:rPr>
          <w:b/>
        </w:rPr>
        <w:instrText xml:space="preserve"> SEQ Figure \* ARABIC </w:instrText>
      </w:r>
      <w:r w:rsidR="006B5A61" w:rsidRPr="0060190D">
        <w:rPr>
          <w:b/>
        </w:rPr>
        <w:fldChar w:fldCharType="separate"/>
      </w:r>
      <w:r w:rsidR="00D3231E">
        <w:rPr>
          <w:b/>
          <w:noProof/>
        </w:rPr>
        <w:t>3</w:t>
      </w:r>
      <w:r w:rsidR="006B5A61" w:rsidRPr="0060190D">
        <w:rPr>
          <w:b/>
        </w:rPr>
        <w:fldChar w:fldCharType="end"/>
      </w:r>
      <w:r w:rsidRPr="003E3123">
        <w:t xml:space="preserve"> C</w:t>
      </w:r>
      <w:r>
        <w:t xml:space="preserve">anonical </w:t>
      </w:r>
      <w:r w:rsidRPr="003E3123">
        <w:t>C</w:t>
      </w:r>
      <w:r>
        <w:t xml:space="preserve">orrelation </w:t>
      </w:r>
      <w:r w:rsidRPr="003E3123">
        <w:t>A</w:t>
      </w:r>
      <w:r>
        <w:t>nalysis</w:t>
      </w:r>
      <w:r w:rsidRPr="003E3123">
        <w:t xml:space="preserve"> using </w:t>
      </w:r>
      <w:r w:rsidRPr="00CC725B">
        <w:t xml:space="preserve">particulate trace </w:t>
      </w:r>
      <w:r w:rsidRPr="003D70E0">
        <w:rPr>
          <w:szCs w:val="18"/>
        </w:rPr>
        <w:t>metal concentrations, dissolved oxygen, water temperature, chlorophyll-a and turbidity as const</w:t>
      </w:r>
      <w:r w:rsidRPr="003D70E0">
        <w:rPr>
          <w:rFonts w:cs="Arial"/>
          <w:szCs w:val="18"/>
        </w:rPr>
        <w:t>raints. A</w:t>
      </w:r>
      <w:r w:rsidRPr="003D70E0">
        <w:rPr>
          <w:rFonts w:cs="Arial"/>
          <w:szCs w:val="18"/>
          <w:lang w:eastAsia="en-AU"/>
        </w:rPr>
        <w:t xml:space="preserve">rrows shows the direction of the environmental gradient, and length of the arrow is proportional to the correlation between the variable and the ordination. </w:t>
      </w:r>
    </w:p>
    <w:p w:rsidR="00A05829" w:rsidRDefault="00A05829" w:rsidP="00A05829">
      <w:pPr>
        <w:keepNext/>
        <w:jc w:val="center"/>
      </w:pPr>
      <w:bookmarkStart w:id="247" w:name="_Toc365635541"/>
      <w:bookmarkEnd w:id="246"/>
      <w:r>
        <w:rPr>
          <w:noProof/>
          <w:lang w:eastAsia="en-AU"/>
        </w:rPr>
        <w:drawing>
          <wp:inline distT="0" distB="0" distL="0" distR="0">
            <wp:extent cx="3970366" cy="3829050"/>
            <wp:effectExtent l="0" t="0" r="0" b="0"/>
            <wp:docPr id="9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7" cstate="screen"/>
                    <a:srcRect b="3511"/>
                    <a:stretch>
                      <a:fillRect/>
                    </a:stretch>
                  </pic:blipFill>
                  <pic:spPr bwMode="auto">
                    <a:xfrm>
                      <a:off x="0" y="0"/>
                      <a:ext cx="3977161" cy="3835603"/>
                    </a:xfrm>
                    <a:prstGeom prst="rect">
                      <a:avLst/>
                    </a:prstGeom>
                    <a:noFill/>
                    <a:ln w="9525">
                      <a:noFill/>
                      <a:miter lim="800000"/>
                      <a:headEnd/>
                      <a:tailEnd/>
                    </a:ln>
                  </pic:spPr>
                </pic:pic>
              </a:graphicData>
            </a:graphic>
          </wp:inline>
        </w:drawing>
      </w:r>
    </w:p>
    <w:p w:rsidR="00A05829" w:rsidRDefault="00A05829" w:rsidP="00A05829">
      <w:pPr>
        <w:pStyle w:val="figurecaption"/>
      </w:pPr>
      <w:r w:rsidRPr="0060190D">
        <w:rPr>
          <w:b/>
        </w:rPr>
        <w:t xml:space="preserve">Figure </w:t>
      </w:r>
      <w:r w:rsidR="006B5A61" w:rsidRPr="0060190D">
        <w:rPr>
          <w:b/>
        </w:rPr>
        <w:fldChar w:fldCharType="begin"/>
      </w:r>
      <w:r w:rsidRPr="0060190D">
        <w:rPr>
          <w:b/>
        </w:rPr>
        <w:instrText xml:space="preserve"> SEQ Figure \* ARABIC </w:instrText>
      </w:r>
      <w:r w:rsidR="006B5A61" w:rsidRPr="0060190D">
        <w:rPr>
          <w:b/>
        </w:rPr>
        <w:fldChar w:fldCharType="separate"/>
      </w:r>
      <w:r w:rsidR="00D3231E">
        <w:rPr>
          <w:b/>
          <w:noProof/>
        </w:rPr>
        <w:t>4</w:t>
      </w:r>
      <w:r w:rsidR="006B5A61" w:rsidRPr="0060190D">
        <w:rPr>
          <w:b/>
        </w:rPr>
        <w:fldChar w:fldCharType="end"/>
      </w:r>
      <w:r w:rsidRPr="003E3123">
        <w:t xml:space="preserve"> C</w:t>
      </w:r>
      <w:r>
        <w:t xml:space="preserve">anonical </w:t>
      </w:r>
      <w:r w:rsidRPr="003E3123">
        <w:t>C</w:t>
      </w:r>
      <w:r>
        <w:t xml:space="preserve">orrelation </w:t>
      </w:r>
      <w:r w:rsidRPr="003E3123">
        <w:t>A</w:t>
      </w:r>
      <w:r>
        <w:t>nalysis</w:t>
      </w:r>
      <w:r w:rsidRPr="003E3123">
        <w:t xml:space="preserve"> applying water quality parameters. </w:t>
      </w:r>
      <w:r>
        <w:t>A</w:t>
      </w:r>
      <w:r>
        <w:rPr>
          <w:lang w:eastAsia="en-AU"/>
        </w:rPr>
        <w:t>rrows shows the direction of the environmental gradient, and length of the arrow is proportional to the correlation between the variable and the ordination.</w:t>
      </w:r>
    </w:p>
    <w:p w:rsidR="00A05829" w:rsidRPr="00B35B8B" w:rsidRDefault="00A05829" w:rsidP="00587AA9">
      <w:pPr>
        <w:pStyle w:val="Heading2"/>
      </w:pPr>
      <w:r w:rsidRPr="00B35B8B">
        <w:t>Conclusions</w:t>
      </w:r>
      <w:bookmarkEnd w:id="247"/>
    </w:p>
    <w:p w:rsidR="00A05829" w:rsidRDefault="00A05829" w:rsidP="00A05829">
      <w:r>
        <w:t xml:space="preserve">The current phytoplankton analyses appear to provide support for the conclusions from </w:t>
      </w:r>
      <w:r w:rsidR="006B5A61">
        <w:fldChar w:fldCharType="begin"/>
      </w:r>
      <w:r>
        <w:instrText xml:space="preserve"> ADDIN EN.CITE &lt;EndNote&gt;&lt;Cite AuthorYear="1"&gt;&lt;Author&gt;George&lt;/Author&gt;&lt;Year&gt;in prep&lt;/Year&gt;&lt;RecNum&gt;539&lt;/RecNum&gt;&lt;DisplayText&gt;George and Humphrey  (in prep)&lt;/DisplayText&gt;&lt;record&gt;&lt;rec-number&gt;539&lt;/rec-number&gt;&lt;foreign-keys&gt;&lt;key app="EN" db-id="vs2vvzpdndr0pae2p0txvvruwdvp2svzeftf"&gt;539&lt;/key&gt;&lt;/foreign-keys&gt;&lt;ref-type name="Report"&gt;27&lt;/ref-type&gt;&lt;contributors&gt;&lt;authors&gt;&lt;author&gt;George, Amy&lt;/author&gt;&lt;author&gt;Humphrey, C&lt;/author&gt;&lt;/authors&gt;&lt;/contributors&gt;&lt;titles&gt;&lt;title&gt;Surface water clsoure criteria for turbidity originating from rehabilitation of the Ranger minesite&lt;/title&gt;&lt;/titles&gt;&lt;dates&gt;&lt;year&gt;in prep&lt;/year&gt;&lt;/dates&gt;&lt;publisher&gt;Australian Government, Department of the Environment&lt;/publisher&gt;&lt;work-type&gt;Internal Report&lt;/work-type&gt;&lt;urls&gt;&lt;/urls&gt;&lt;/record&gt;&lt;/Cite&gt;&lt;/EndNote&gt;</w:instrText>
      </w:r>
      <w:r w:rsidR="006B5A61">
        <w:fldChar w:fldCharType="separate"/>
      </w:r>
      <w:hyperlink w:anchor="_ENREF_3" w:tooltip="George, in prep #539" w:history="1">
        <w:r w:rsidR="003A3F09">
          <w:rPr>
            <w:noProof/>
          </w:rPr>
          <w:t xml:space="preserve">George and Humphrey </w:t>
        </w:r>
        <w:r>
          <w:rPr>
            <w:noProof/>
          </w:rPr>
          <w:t>(in prep</w:t>
        </w:r>
      </w:hyperlink>
      <w:r>
        <w:rPr>
          <w:noProof/>
        </w:rPr>
        <w:t>)</w:t>
      </w:r>
      <w:r w:rsidR="006B5A61">
        <w:fldChar w:fldCharType="end"/>
      </w:r>
      <w:r>
        <w:t xml:space="preserve"> regarding the potential role of turbidity in altering phytoplankton communities in GTB.</w:t>
      </w:r>
      <w:r w:rsidRPr="00447D2B">
        <w:t xml:space="preserve"> </w:t>
      </w:r>
      <w:r>
        <w:t>Initial data analyses have focused on turbidity and phytoplankton community structure relationships. Additional analyses on the responses of phytoplankton to turbidity (and other minewater contaminants) that will inform mine closure and rehabilitation include:</w:t>
      </w:r>
    </w:p>
    <w:p w:rsidR="00A05829" w:rsidRDefault="00A05829" w:rsidP="00146279">
      <w:pPr>
        <w:pStyle w:val="ListParagraph"/>
        <w:numPr>
          <w:ilvl w:val="0"/>
          <w:numId w:val="15"/>
        </w:numPr>
        <w:ind w:left="426" w:hanging="284"/>
        <w:contextualSpacing w:val="0"/>
      </w:pPr>
      <w:r>
        <w:t>Improved assessment of the importance of turbidity relative to other measured environmental variables in structuring phytoplankton communities;</w:t>
      </w:r>
    </w:p>
    <w:p w:rsidR="00A05829" w:rsidRDefault="00A05829" w:rsidP="00146279">
      <w:pPr>
        <w:pStyle w:val="ListParagraph"/>
        <w:numPr>
          <w:ilvl w:val="0"/>
          <w:numId w:val="15"/>
        </w:numPr>
        <w:ind w:left="426" w:hanging="284"/>
        <w:contextualSpacing w:val="0"/>
      </w:pPr>
      <w:r>
        <w:t>Improved characterisation of particular phytoplankton species and assemblages and evaluation of their responses across turbidity gradients (e.g. confirmation from extended spatial and interannual studies);</w:t>
      </w:r>
    </w:p>
    <w:p w:rsidR="00A05829" w:rsidRDefault="00A05829" w:rsidP="00146279">
      <w:pPr>
        <w:pStyle w:val="ListParagraph"/>
        <w:numPr>
          <w:ilvl w:val="0"/>
          <w:numId w:val="15"/>
        </w:numPr>
        <w:ind w:left="426" w:hanging="284"/>
        <w:contextualSpacing w:val="0"/>
      </w:pPr>
      <w:r>
        <w:t xml:space="preserve">Assessment of the responses of phytoplankton communities to other key mine water contaminants (Mg, U, Mn) that may inform the development of closure criteria for these variables; </w:t>
      </w:r>
    </w:p>
    <w:p w:rsidR="00A05829" w:rsidRDefault="00A05829" w:rsidP="00146279">
      <w:pPr>
        <w:pStyle w:val="ListParagraph"/>
        <w:numPr>
          <w:ilvl w:val="0"/>
          <w:numId w:val="15"/>
        </w:numPr>
        <w:ind w:left="426" w:hanging="284"/>
        <w:contextualSpacing w:val="0"/>
      </w:pPr>
      <w:r>
        <w:t>Identification of any relationships between chlorophyll-a and phytoplankton viz common community summaries, including taxa number and total abundance; and</w:t>
      </w:r>
    </w:p>
    <w:p w:rsidR="00A05829" w:rsidRDefault="00A05829" w:rsidP="00146279">
      <w:pPr>
        <w:pStyle w:val="ListParagraph"/>
        <w:numPr>
          <w:ilvl w:val="0"/>
          <w:numId w:val="15"/>
        </w:numPr>
        <w:ind w:left="426" w:hanging="284"/>
        <w:contextualSpacing w:val="0"/>
      </w:pPr>
      <w:r>
        <w:t>Assessment of whether changes in phytoplankton community structure or in community summaries are occurring at lower turbidity thresholds than currently determined for chlorophyll-a. Such a finding would require a refinement of the currently-proposed closure criteria for turbidity (George &amp; Humphrey, in prep).</w:t>
      </w:r>
    </w:p>
    <w:p w:rsidR="00273CD5" w:rsidRDefault="00273CD5" w:rsidP="00273CD5">
      <w:pPr>
        <w:pStyle w:val="Heading2"/>
      </w:pPr>
      <w:r>
        <w:t>References</w:t>
      </w:r>
    </w:p>
    <w:p w:rsidR="00273CD5" w:rsidRPr="006C0783" w:rsidRDefault="00273CD5" w:rsidP="00273CD5">
      <w:pPr>
        <w:pStyle w:val="referencelist1"/>
        <w:rPr>
          <w:noProof/>
        </w:rPr>
      </w:pPr>
      <w:r w:rsidRPr="006C0783">
        <w:rPr>
          <w:noProof/>
        </w:rPr>
        <w:t xml:space="preserve">Buckle D, Humphrey C &amp; Jones DR 2010. Effects of fine suspended sediment on billabong limnology. </w:t>
      </w:r>
      <w:r w:rsidRPr="006C0783">
        <w:t>In</w:t>
      </w:r>
      <w:r w:rsidRPr="006C0783">
        <w:rPr>
          <w:noProof/>
        </w:rPr>
        <w:t xml:space="preserve"> DR Jones &amp; A Webb (eds), </w:t>
      </w:r>
      <w:r w:rsidRPr="006C0783">
        <w:rPr>
          <w:rFonts w:ascii="Times New Roman" w:hAnsi="Times New Roman"/>
          <w:b/>
          <w:i/>
          <w:noProof/>
          <w:sz w:val="26"/>
        </w:rPr>
        <w:t>eriss</w:t>
      </w:r>
      <w:r w:rsidRPr="006C0783">
        <w:rPr>
          <w:i/>
          <w:noProof/>
        </w:rPr>
        <w:t xml:space="preserve"> research summary 2008-2009</w:t>
      </w:r>
      <w:r w:rsidRPr="006C0783">
        <w:rPr>
          <w:noProof/>
        </w:rPr>
        <w:t>. Supervising Scientist, Darwin NT, 143–149.</w:t>
      </w:r>
    </w:p>
    <w:p w:rsidR="00273CD5" w:rsidRPr="006C0783" w:rsidRDefault="00273CD5" w:rsidP="00273CD5">
      <w:pPr>
        <w:pStyle w:val="referencelist1"/>
        <w:rPr>
          <w:noProof/>
        </w:rPr>
      </w:pPr>
      <w:r w:rsidRPr="006C0783">
        <w:rPr>
          <w:noProof/>
        </w:rPr>
        <w:t xml:space="preserve">George A &amp; Humphrey C 2013. Effects of fine suspended sediment on billabong limnology. In RA Van Dam , A Webb &amp; S Parker (eds), </w:t>
      </w:r>
      <w:r w:rsidRPr="006C0783">
        <w:rPr>
          <w:rFonts w:ascii="Times New Roman" w:hAnsi="Times New Roman"/>
          <w:b/>
          <w:i/>
          <w:noProof/>
          <w:sz w:val="26"/>
        </w:rPr>
        <w:t xml:space="preserve">eriss </w:t>
      </w:r>
      <w:r w:rsidRPr="006C0783">
        <w:rPr>
          <w:i/>
          <w:noProof/>
        </w:rPr>
        <w:t>research summary 2011-2012</w:t>
      </w:r>
      <w:r w:rsidRPr="006C0783">
        <w:rPr>
          <w:noProof/>
        </w:rPr>
        <w:t>. Supervising Scientist, Darwin, NT, 150–157.</w:t>
      </w:r>
    </w:p>
    <w:p w:rsidR="00273CD5" w:rsidRPr="006C0783" w:rsidRDefault="00273CD5" w:rsidP="00273CD5">
      <w:pPr>
        <w:pStyle w:val="referencelist1"/>
        <w:rPr>
          <w:noProof/>
        </w:rPr>
      </w:pPr>
      <w:r w:rsidRPr="006C0783">
        <w:rPr>
          <w:noProof/>
        </w:rPr>
        <w:t>Mueller S, Mitrovic SM &amp; George A in prep. Phytoplankton changes in the Alligator River. Report prepared for the Supervising Scientist Branch of the Department of the Environment, Darwin, NT.</w:t>
      </w:r>
    </w:p>
    <w:p w:rsidR="00273CD5" w:rsidRDefault="00273CD5" w:rsidP="00273CD5">
      <w:pPr>
        <w:spacing w:after="0" w:line="240" w:lineRule="auto"/>
        <w:jc w:val="left"/>
        <w:rPr>
          <w:noProof/>
        </w:rPr>
        <w:sectPr w:rsidR="00273CD5" w:rsidSect="00C14AC5">
          <w:footnotePr>
            <w:numRestart w:val="eachPage"/>
          </w:footnotePr>
          <w:pgSz w:w="11906" w:h="16838" w:code="9"/>
          <w:pgMar w:top="1440" w:right="1440" w:bottom="1440" w:left="1440" w:header="1080" w:footer="835" w:gutter="0"/>
          <w:cols w:space="360"/>
          <w:noEndnote/>
          <w:docGrid w:linePitch="299"/>
        </w:sectPr>
      </w:pPr>
    </w:p>
    <w:p w:rsidR="00273CD5" w:rsidRDefault="00273CD5" w:rsidP="00273CD5"/>
    <w:p w:rsidR="00273CD5" w:rsidRPr="00273CD5" w:rsidRDefault="00273CD5" w:rsidP="00F50F50">
      <w:pPr>
        <w:pStyle w:val="Heading1"/>
      </w:pPr>
      <w:bookmarkStart w:id="248" w:name="_Toc418172721"/>
      <w:r w:rsidRPr="00273CD5">
        <w:t>Aquatic ecosystem establishment</w:t>
      </w:r>
      <w:bookmarkEnd w:id="248"/>
      <w:r w:rsidRPr="00273CD5">
        <w:t xml:space="preserve"> </w:t>
      </w:r>
    </w:p>
    <w:p w:rsidR="00273CD5" w:rsidRPr="00273CD5" w:rsidRDefault="00273CD5" w:rsidP="00F50F50">
      <w:pPr>
        <w:pStyle w:val="Heading3"/>
        <w:spacing w:after="480"/>
        <w:jc w:val="center"/>
      </w:pPr>
      <w:r w:rsidRPr="00273CD5">
        <w:t>A George, K Clark, C Humphrey</w:t>
      </w:r>
    </w:p>
    <w:p w:rsidR="00273CD5" w:rsidRPr="00273CD5" w:rsidRDefault="00273CD5" w:rsidP="00F50F50">
      <w:pPr>
        <w:pStyle w:val="Heading2"/>
      </w:pPr>
      <w:r w:rsidRPr="00273CD5">
        <w:t>Background</w:t>
      </w:r>
    </w:p>
    <w:p w:rsidR="00273CD5" w:rsidRPr="00273CD5" w:rsidRDefault="00273CD5" w:rsidP="00F50F50">
      <w:r w:rsidRPr="00273CD5">
        <w:t xml:space="preserve">In 2012, a review of the Key Knowledge Needs (KKNs) for the Alligator Rivers Region (ARR) identified that components related to aquatic ecosystems were scattered across a large number of KKNs and project areas, with the result being a diluted strategic approach to rehabilitation of aquatic ecosystems. In response to this, it was proposed during the ARRTC 29 meeting that a targeted KKN or research </w:t>
      </w:r>
      <w:r w:rsidR="00E16AC4">
        <w:t>programme</w:t>
      </w:r>
      <w:r w:rsidRPr="00273CD5">
        <w:t xml:space="preserve"> be established to specifically address the needs of aquatic ecosystem rehabilitation. These efforts were deemed to be best met in a re-organisation of KKNs into two themes, provision of services (e.g. contaminant amelioration) and characterisation and functionality. The initial intent was to develop a research </w:t>
      </w:r>
      <w:r w:rsidR="00E16AC4">
        <w:t>programme</w:t>
      </w:r>
      <w:r w:rsidRPr="00273CD5">
        <w:t xml:space="preserve"> focused on ecosystem establishment that accorded with the relevant Environmental Requirements. This was to include any necessary rehabilitation of receiving water environments as well as closure criteria development for aquatic environments. For the Ranger Project Area, efforts could include, but are not restricted to: research associated with waterbodies constructed for water treatment; possible construction of, and influences on, permanent waterbodies; rehabilitation, if required, of natural waterbodies; and re-establishment of creeklines. While waterbodies associated with the Ranger Project Area will certainly be included, the full spatial extent of the </w:t>
      </w:r>
      <w:r w:rsidR="00E16AC4">
        <w:t>programme</w:t>
      </w:r>
      <w:r w:rsidRPr="00273CD5">
        <w:t xml:space="preserve"> has not yet been determined. </w:t>
      </w:r>
    </w:p>
    <w:p w:rsidR="00273CD5" w:rsidRPr="00273CD5" w:rsidRDefault="00273CD5" w:rsidP="00F50F50">
      <w:pPr>
        <w:pStyle w:val="Heading3"/>
      </w:pPr>
      <w:r w:rsidRPr="00273CD5">
        <w:t>Progress to date</w:t>
      </w:r>
    </w:p>
    <w:p w:rsidR="00273CD5" w:rsidRPr="00273CD5" w:rsidRDefault="00273CD5" w:rsidP="00F50F50">
      <w:r w:rsidRPr="00273CD5">
        <w:t xml:space="preserve">At the outset, a joint project between ERA and SSB within the Aquatic Ecosystem Establishment (AEE) </w:t>
      </w:r>
      <w:r w:rsidR="00E16AC4">
        <w:t>programm</w:t>
      </w:r>
      <w:r w:rsidR="00A85FC5">
        <w:t>e</w:t>
      </w:r>
      <w:r w:rsidRPr="00273CD5">
        <w:t xml:space="preserve">, “Aquatic ecosystem establishment knowledge assessment and evaluation”, was initiated. This project aimed to review existing available literature on aquatic ecosystems of the Alligator Rivers Region and thereby identify key areas requiring research to meet the rehabilitation expectations and needs for the Ranger minesite. The intent was that the literature review would establish the parameters and future direction of the overarching AEE </w:t>
      </w:r>
      <w:r w:rsidR="00E16AC4">
        <w:t>programme</w:t>
      </w:r>
      <w:r w:rsidRPr="00273CD5">
        <w:t xml:space="preserve"> and identify knowledge gaps to provide to the Closure Criteria Working Group (CCWG). The review has since evolved to provide guidance to other parallel activities, including the ecological processes and closure assessments. A review of available literature is ongoing with datasets for aquatic macrophytes being compiled. </w:t>
      </w:r>
    </w:p>
    <w:p w:rsidR="00273CD5" w:rsidRPr="00273CD5" w:rsidRDefault="00273CD5" w:rsidP="00F50F50">
      <w:r w:rsidRPr="00273CD5">
        <w:t xml:space="preserve">A key knowledge gap was identified within the literature review pertaining to aquatic vegetation. The Supervising Scientist has monitored water quality, sediments, macroinvertebrates and fish as key components of aquatic </w:t>
      </w:r>
      <w:proofErr w:type="gramStart"/>
      <w:r w:rsidRPr="00273CD5">
        <w:t>ecosystems,</w:t>
      </w:r>
      <w:proofErr w:type="gramEnd"/>
      <w:r w:rsidRPr="00273CD5">
        <w:t xml:space="preserve"> however, aquatic vegetation as a component on its own has not been studied since the 1980s. </w:t>
      </w:r>
    </w:p>
    <w:p w:rsidR="00273CD5" w:rsidRPr="00273CD5" w:rsidRDefault="00273CD5" w:rsidP="00F50F50">
      <w:r w:rsidRPr="00273CD5">
        <w:t xml:space="preserve">The early published flora list compiled in Cowie and </w:t>
      </w:r>
      <w:proofErr w:type="gramStart"/>
      <w:r w:rsidRPr="00273CD5">
        <w:t>Finlayson  (</w:t>
      </w:r>
      <w:proofErr w:type="gramEnd"/>
      <w:r w:rsidRPr="00273CD5">
        <w:t>1986) encompassed work from the 1970s and 1980s. Even work published during the 1990s is based on data collected for Finlayson et al</w:t>
      </w:r>
      <w:r w:rsidR="00892A1F">
        <w:t>.</w:t>
      </w:r>
      <w:r w:rsidR="00493492">
        <w:t xml:space="preserve">  </w:t>
      </w:r>
      <w:proofErr w:type="gramStart"/>
      <w:r w:rsidR="00493492">
        <w:t xml:space="preserve">(1989) (see </w:t>
      </w:r>
      <w:r w:rsidRPr="00273CD5">
        <w:t>Finlayson et al</w:t>
      </w:r>
      <w:r w:rsidR="00892A1F">
        <w:t>.</w:t>
      </w:r>
      <w:r w:rsidRPr="00273CD5">
        <w:t xml:space="preserve"> 1992, 1994, Finlayson et al</w:t>
      </w:r>
      <w:r w:rsidR="00892A1F">
        <w:t>.</w:t>
      </w:r>
      <w:r w:rsidRPr="00273CD5">
        <w:t xml:space="preserve"> 1997).</w:t>
      </w:r>
      <w:proofErr w:type="gramEnd"/>
      <w:r w:rsidRPr="00273CD5">
        <w:t xml:space="preserve"> A limitation of the information is that the period over which such data were collected was a period of high disturbance associated with buffalo activity. Since that time vegetation work has shifted focus to Ranger-specific, terrestrial vegetation   (Ashwath et al</w:t>
      </w:r>
      <w:r w:rsidR="00892A1F">
        <w:t>.</w:t>
      </w:r>
      <w:r w:rsidRPr="00273CD5">
        <w:t xml:space="preserve"> 1994, Brennan 1994, Bayliss et al</w:t>
      </w:r>
      <w:r w:rsidR="00892A1F">
        <w:t>.</w:t>
      </w:r>
      <w:r w:rsidRPr="00273CD5">
        <w:t xml:space="preserve"> 2004, Brennan 2005), while aquatic vegetation has only received attention during the last few years as technology has improved aerial capacity to view emergent and floating aquatic vegetation (e</w:t>
      </w:r>
      <w:r w:rsidR="00892A1F">
        <w:t>.</w:t>
      </w:r>
      <w:r w:rsidRPr="00273CD5">
        <w:t xml:space="preserve">g. unmanned aerial systems technology). There is a need to </w:t>
      </w:r>
      <w:r w:rsidR="00A85FC5" w:rsidRPr="00273CD5">
        <w:t>differentiate</w:t>
      </w:r>
      <w:r w:rsidRPr="00273CD5">
        <w:t xml:space="preserve"> the types of information that can be obtained from new technology and that gained from on-ground research. Integration of information will be most beneficial for understanding the requirements for successful aquatic ecosystem establishment. </w:t>
      </w:r>
    </w:p>
    <w:p w:rsidR="00273CD5" w:rsidRPr="00273CD5" w:rsidRDefault="00273CD5" w:rsidP="00F50F50">
      <w:r w:rsidRPr="00273CD5">
        <w:t xml:space="preserve">A meeting was held between ERA and </w:t>
      </w:r>
      <w:r w:rsidR="004A3C4C" w:rsidRPr="004A3C4C">
        <w:rPr>
          <w:b/>
          <w:i/>
          <w:sz w:val="26"/>
        </w:rPr>
        <w:t>eriss</w:t>
      </w:r>
      <w:r w:rsidRPr="00273CD5">
        <w:t xml:space="preserve"> to evaluate current progress of this </w:t>
      </w:r>
      <w:r w:rsidR="00E16AC4">
        <w:t>programme</w:t>
      </w:r>
      <w:r w:rsidRPr="00273CD5">
        <w:t xml:space="preserve"> and determine a revised focus for intended work. Individual projects for addressing Aquatic Ecosystem Establishment are now being considered within the context of ecological processes. For an ecosystem processes approach for rehabilitation to be successful, the key measures need to be strongly underpinned by targeted research which improves understanding of the linkages between monitoring variables and ecosystem processes. </w:t>
      </w:r>
    </w:p>
    <w:p w:rsidR="00273CD5" w:rsidRPr="00273CD5" w:rsidRDefault="00273CD5" w:rsidP="00F50F50">
      <w:r w:rsidRPr="00273CD5">
        <w:t>Within this context, a number of projects have been identified that could begin to address the limited information available for aquatic vegetation:</w:t>
      </w:r>
    </w:p>
    <w:p w:rsidR="00273CD5" w:rsidRPr="00273CD5" w:rsidRDefault="00273CD5" w:rsidP="00F50F50">
      <w:r w:rsidRPr="00273CD5">
        <w:t>1.</w:t>
      </w:r>
      <w:r w:rsidRPr="00273CD5">
        <w:tab/>
        <w:t xml:space="preserve">Analysis and evaluation of historical aquatic vegetation data. </w:t>
      </w:r>
    </w:p>
    <w:p w:rsidR="00273CD5" w:rsidRPr="00273CD5" w:rsidRDefault="00273CD5" w:rsidP="00F50F50">
      <w:r w:rsidRPr="00273CD5">
        <w:t>2.</w:t>
      </w:r>
      <w:r w:rsidRPr="00273CD5">
        <w:tab/>
        <w:t xml:space="preserve">Re-survey of the sites used in the early vegetation reports. </w:t>
      </w:r>
    </w:p>
    <w:p w:rsidR="00273CD5" w:rsidRPr="00273CD5" w:rsidRDefault="00273CD5" w:rsidP="00F50F50">
      <w:r w:rsidRPr="00273CD5">
        <w:t>3.</w:t>
      </w:r>
      <w:r w:rsidRPr="00273CD5">
        <w:tab/>
        <w:t xml:space="preserve">Analysis of water quality influences upon aquatic vegetation seedbanks. </w:t>
      </w:r>
    </w:p>
    <w:p w:rsidR="00273CD5" w:rsidRPr="00273CD5" w:rsidRDefault="00273CD5" w:rsidP="00F50F50">
      <w:r w:rsidRPr="00273CD5">
        <w:t>4.</w:t>
      </w:r>
      <w:r w:rsidRPr="00273CD5">
        <w:tab/>
        <w:t>Defining aquatic analogue sites.</w:t>
      </w:r>
    </w:p>
    <w:p w:rsidR="00273CD5" w:rsidRPr="00273CD5" w:rsidRDefault="00273CD5" w:rsidP="00F50F50">
      <w:r w:rsidRPr="00273CD5">
        <w:t>Dealing with these in turn:</w:t>
      </w:r>
    </w:p>
    <w:p w:rsidR="00273CD5" w:rsidRPr="00273CD5" w:rsidRDefault="00273CD5" w:rsidP="0044162C">
      <w:pPr>
        <w:pStyle w:val="Heading4"/>
        <w:spacing w:before="240"/>
      </w:pPr>
      <w:r w:rsidRPr="00273CD5">
        <w:t xml:space="preserve">Project 1 – Analysis and evaluation of historical aquatic vegetation data: </w:t>
      </w:r>
    </w:p>
    <w:p w:rsidR="00273CD5" w:rsidRPr="00273CD5" w:rsidRDefault="00273CD5" w:rsidP="00F50F50">
      <w:r w:rsidRPr="00273CD5">
        <w:t>Objective: Describe the spatial and temporal patterns of aquatic plant communities in ARR waterbodies.</w:t>
      </w:r>
    </w:p>
    <w:p w:rsidR="00273CD5" w:rsidRPr="00273CD5" w:rsidRDefault="00273CD5" w:rsidP="00F50F50">
      <w:r w:rsidRPr="00273CD5">
        <w:t xml:space="preserve">Although existing </w:t>
      </w:r>
      <w:r w:rsidR="004A3C4C" w:rsidRPr="004A3C4C">
        <w:rPr>
          <w:b/>
          <w:i/>
          <w:sz w:val="26"/>
        </w:rPr>
        <w:t>eriss</w:t>
      </w:r>
      <w:r w:rsidRPr="00273CD5">
        <w:t xml:space="preserve"> data from early aquatic vegetation surveys have been evaluated and mapped, full analysis and description of seasonal and interannual variations are required. Semi-quantitative aquatic vegetation data have been collected over the years as part of monitoring </w:t>
      </w:r>
      <w:r w:rsidR="00E16AC4">
        <w:t>programme</w:t>
      </w:r>
      <w:r w:rsidRPr="00273CD5">
        <w:t xml:space="preserve">s for macroinvertebrates and fish while quantitative data are available from the biennial </w:t>
      </w:r>
      <w:r w:rsidR="004A3C4C" w:rsidRPr="004A3C4C">
        <w:rPr>
          <w:b/>
          <w:i/>
          <w:sz w:val="26"/>
        </w:rPr>
        <w:t>eriss</w:t>
      </w:r>
      <w:r w:rsidRPr="00273CD5">
        <w:t xml:space="preserve"> popnetting </w:t>
      </w:r>
      <w:r w:rsidR="00E16AC4">
        <w:t>programme</w:t>
      </w:r>
      <w:r w:rsidRPr="00273CD5">
        <w:t>. In addition, data collected and evaluated by ERA may also be examined. Amalgamating these data may provide a dataset suitable for:</w:t>
      </w:r>
    </w:p>
    <w:p w:rsidR="00273CD5" w:rsidRPr="00273CD5" w:rsidRDefault="00273CD5" w:rsidP="00F50F50">
      <w:r w:rsidRPr="00273CD5">
        <w:t>(i)</w:t>
      </w:r>
      <w:r w:rsidRPr="00273CD5">
        <w:tab/>
      </w:r>
      <w:proofErr w:type="gramStart"/>
      <w:r w:rsidRPr="00273CD5">
        <w:t>assessing</w:t>
      </w:r>
      <w:proofErr w:type="gramEnd"/>
      <w:r w:rsidRPr="00273CD5">
        <w:t xml:space="preserve"> temporal and spatial variation in aquatic vegetation, </w:t>
      </w:r>
    </w:p>
    <w:p w:rsidR="00273CD5" w:rsidRPr="00273CD5" w:rsidRDefault="00273CD5" w:rsidP="00F50F50">
      <w:r w:rsidRPr="00273CD5">
        <w:t>(ii)</w:t>
      </w:r>
      <w:r w:rsidRPr="00273CD5">
        <w:tab/>
      </w:r>
      <w:proofErr w:type="gramStart"/>
      <w:r w:rsidRPr="00273CD5">
        <w:t>determining</w:t>
      </w:r>
      <w:proofErr w:type="gramEnd"/>
      <w:r w:rsidRPr="00273CD5">
        <w:t xml:space="preserve"> if community typology and classification are evident, and </w:t>
      </w:r>
    </w:p>
    <w:p w:rsidR="00273CD5" w:rsidRPr="00273CD5" w:rsidRDefault="00273CD5" w:rsidP="00F50F50">
      <w:r w:rsidRPr="00273CD5">
        <w:t>(iii)</w:t>
      </w:r>
      <w:r w:rsidRPr="00273CD5">
        <w:tab/>
      </w:r>
      <w:proofErr w:type="gramStart"/>
      <w:r w:rsidRPr="00273CD5">
        <w:t>seeking</w:t>
      </w:r>
      <w:proofErr w:type="gramEnd"/>
      <w:r w:rsidRPr="00273CD5">
        <w:t xml:space="preserve"> environmental correlates of community structure, including water quality variables. </w:t>
      </w:r>
    </w:p>
    <w:p w:rsidR="00273CD5" w:rsidRPr="00273CD5" w:rsidRDefault="00273CD5" w:rsidP="00F50F50">
      <w:r w:rsidRPr="00273CD5">
        <w:t xml:space="preserve">Project 1 is proceeding in </w:t>
      </w:r>
      <w:r w:rsidR="004A3C4C" w:rsidRPr="004A3C4C">
        <w:rPr>
          <w:b/>
          <w:i/>
          <w:sz w:val="26"/>
        </w:rPr>
        <w:t>eriss</w:t>
      </w:r>
      <w:r w:rsidR="00A85FC5" w:rsidRPr="00273CD5">
        <w:t>’</w:t>
      </w:r>
      <w:r w:rsidRPr="00273CD5">
        <w:t xml:space="preserve"> current workplan for Q2 2014–15. The results of these analyses will inform further proposals.</w:t>
      </w:r>
    </w:p>
    <w:p w:rsidR="00273CD5" w:rsidRPr="00273CD5" w:rsidRDefault="00273CD5" w:rsidP="0044162C">
      <w:pPr>
        <w:pStyle w:val="Heading4"/>
        <w:spacing w:before="240"/>
      </w:pPr>
      <w:r w:rsidRPr="00273CD5">
        <w:t xml:space="preserve">Project 2 – Re-survey of the sites used in the early vegetation reports: </w:t>
      </w:r>
    </w:p>
    <w:p w:rsidR="00273CD5" w:rsidRPr="00273CD5" w:rsidRDefault="00273CD5" w:rsidP="00F50F50">
      <w:r w:rsidRPr="00273CD5">
        <w:t>Objective: Assessment of aquatic vegetation recovery from historical feral animal disturbance to determine shifts in vegetation baselines.</w:t>
      </w:r>
    </w:p>
    <w:p w:rsidR="00273CD5" w:rsidRPr="00273CD5" w:rsidRDefault="00273CD5" w:rsidP="00F50F50">
      <w:r w:rsidRPr="00273CD5">
        <w:t>To support an amalgamated dataset, it would be beneficial to re-survey aquatic vegetation at each of the sites cited in the early vegetation repo</w:t>
      </w:r>
      <w:r w:rsidR="00892A1F">
        <w:t>rts (reports by Finlayson et al.,</w:t>
      </w:r>
      <w:r w:rsidRPr="00273CD5">
        <w:t xml:space="preserve"> multiple years). The current macroinvertebrate and fish monitoring </w:t>
      </w:r>
      <w:r w:rsidR="00E16AC4">
        <w:t>programme</w:t>
      </w:r>
      <w:r w:rsidRPr="00273CD5">
        <w:t xml:space="preserve">s sample billabongs annually or bi-annually. However, these are only a subset of the sites surveyed in the early reports. Re-surveying the sites would allow comparisons of vegetation communities between a period of significant disturbance (feral buffalo) and 30 years of post-disturbance recovery. This should provide a general indication of the rate of recovery expected following rehabilitation management activities.  </w:t>
      </w:r>
    </w:p>
    <w:p w:rsidR="00273CD5" w:rsidRPr="00273CD5" w:rsidRDefault="00273CD5" w:rsidP="00F50F50">
      <w:r w:rsidRPr="00273CD5">
        <w:t>Potential commencement planned for lat</w:t>
      </w:r>
      <w:r w:rsidR="00AF237F">
        <w:t>e 2015–</w:t>
      </w:r>
      <w:r w:rsidRPr="00273CD5">
        <w:t xml:space="preserve">16. </w:t>
      </w:r>
    </w:p>
    <w:p w:rsidR="00273CD5" w:rsidRPr="00273CD5" w:rsidRDefault="00273CD5" w:rsidP="0044162C">
      <w:pPr>
        <w:pStyle w:val="Heading4"/>
        <w:spacing w:before="240"/>
      </w:pPr>
      <w:r w:rsidRPr="00273CD5">
        <w:t xml:space="preserve">Project 3 – Analysis of water quality influences upon aquatic vegetation seedbanks: </w:t>
      </w:r>
    </w:p>
    <w:p w:rsidR="00273CD5" w:rsidRPr="00273CD5" w:rsidRDefault="00273CD5" w:rsidP="00F50F50">
      <w:r w:rsidRPr="00273CD5">
        <w:t xml:space="preserve">Objective: Evaluate aquatic plant biodiversity between on-site and off-site aquatic ecosystems. </w:t>
      </w:r>
    </w:p>
    <w:p w:rsidR="00273CD5" w:rsidRPr="00273CD5" w:rsidRDefault="00273CD5" w:rsidP="00F50F50">
      <w:r w:rsidRPr="00273CD5">
        <w:t>This project addresses the question of how variation in water quality affects germination of sediment seed banks in aquatic ecosystems. As the mine moves into the rehabilitation phase, there is a need to understand what vegetation may eventually be found on the rehabilitated site if aquatic ecosystems form naturally or through active management (e</w:t>
      </w:r>
      <w:r w:rsidR="00AF237F">
        <w:t>.</w:t>
      </w:r>
      <w:r w:rsidRPr="00273CD5">
        <w:t xml:space="preserve">g. re-establishment of creeklines, construction of water treatment waterbodies). Water quality on site will be different than surrounding areas, and highly disturbed sites often exhibit different seedbanks compared to surrounding natural areas. Identifying such effects on the emergence and establishment of aquatic vegetation is essential for applying adaptive management principles within a rehabilitation context. The proposed seedbank study takes an experimental approach and thereby reduces uncertainty in the cause of species absences from surveyed mine-disturbed environments. Such data will complement the visual surveys conducted by ERA and may provide information about the causes of species missing from the current </w:t>
      </w:r>
      <w:r w:rsidR="00A85FC5" w:rsidRPr="00273CD5">
        <w:t>communities</w:t>
      </w:r>
      <w:r w:rsidRPr="00273CD5">
        <w:t>.</w:t>
      </w:r>
    </w:p>
    <w:p w:rsidR="00273CD5" w:rsidRPr="00273CD5" w:rsidRDefault="00273CD5" w:rsidP="00F50F50">
      <w:r w:rsidRPr="00273CD5">
        <w:t>Potential com</w:t>
      </w:r>
      <w:r w:rsidR="00AF237F">
        <w:t>mencement planned for late 2015–</w:t>
      </w:r>
      <w:r w:rsidRPr="00273CD5">
        <w:t xml:space="preserve">16. </w:t>
      </w:r>
    </w:p>
    <w:p w:rsidR="00273CD5" w:rsidRPr="00273CD5" w:rsidRDefault="00273CD5" w:rsidP="0044162C">
      <w:pPr>
        <w:pStyle w:val="Heading4"/>
        <w:spacing w:before="240"/>
      </w:pPr>
      <w:r w:rsidRPr="00273CD5">
        <w:t xml:space="preserve">Project 4 – Defining aquatic analogue sites: </w:t>
      </w:r>
    </w:p>
    <w:p w:rsidR="00273CD5" w:rsidRPr="00273CD5" w:rsidRDefault="00273CD5" w:rsidP="00F50F50">
      <w:r w:rsidRPr="00273CD5">
        <w:t xml:space="preserve">Objective: Evaluate and catalogue the characteristics to be applied for measuring aquatic ecosystem recovery. </w:t>
      </w:r>
    </w:p>
    <w:p w:rsidR="00273CD5" w:rsidRPr="00273CD5" w:rsidRDefault="00273CD5" w:rsidP="00F50F50">
      <w:r w:rsidRPr="00273CD5">
        <w:t>Analogue sites have been used in developing the rehabilitation plan for the terrestrial landform and its associated revegetation. Such an approach may be useful for aquatic ecosystems. This project is only in the early stages of conceptualisation, but it would aim to integrate and evaluate the natural variability of aquatic ecosystem characteristics in order to define acceptable levels of change in biodiversity and ecosystem health for rehabilitation. Results from Projects 1–3 would inform this project.</w:t>
      </w:r>
    </w:p>
    <w:p w:rsidR="00273CD5" w:rsidRPr="00273CD5" w:rsidRDefault="00273CD5" w:rsidP="00F50F50">
      <w:r w:rsidRPr="00273CD5">
        <w:t xml:space="preserve">Commencement time for this project has yet to be determined. </w:t>
      </w:r>
    </w:p>
    <w:p w:rsidR="00273CD5" w:rsidRPr="00273CD5" w:rsidRDefault="00273CD5" w:rsidP="00F50F50">
      <w:pPr>
        <w:pStyle w:val="Heading2"/>
      </w:pPr>
      <w:r w:rsidRPr="00273CD5">
        <w:t>References</w:t>
      </w:r>
    </w:p>
    <w:p w:rsidR="00273CD5" w:rsidRPr="00273CD5" w:rsidRDefault="00273CD5" w:rsidP="00F50F50">
      <w:pPr>
        <w:pStyle w:val="referencelist1"/>
      </w:pPr>
      <w:r w:rsidRPr="00273CD5">
        <w:t xml:space="preserve">Ashwath N, McLaughlin M, McIntyre W, Plummer J &amp; Slee M Seed germination in selected tree, shrub, forb and grass species native to Kakadu National Park and its environs. </w:t>
      </w:r>
      <w:proofErr w:type="gramStart"/>
      <w:r w:rsidRPr="00273CD5">
        <w:t>In Proceedings of the National Workshop on native seed biology for revegetation.</w:t>
      </w:r>
      <w:proofErr w:type="gramEnd"/>
      <w:r w:rsidRPr="00273CD5">
        <w:t xml:space="preserve"> Perth WA 24–26 August 94, 81–86.</w:t>
      </w:r>
    </w:p>
    <w:p w:rsidR="00273CD5" w:rsidRPr="00273CD5" w:rsidRDefault="00273CD5" w:rsidP="00F50F50">
      <w:pPr>
        <w:pStyle w:val="referencelist1"/>
      </w:pPr>
      <w:proofErr w:type="gramStart"/>
      <w:r w:rsidRPr="00273CD5">
        <w:t>Bayliss P, Pfitzner K &amp; Bellairs S 2004.</w:t>
      </w:r>
      <w:proofErr w:type="gramEnd"/>
      <w:r w:rsidRPr="00273CD5">
        <w:t xml:space="preserve"> Revegetation of Nabarlek minesite: Seasonal comparison of groundcover vegetation on the minesite and adjacent natural reference areas (September 2003 &amp; May 2004). Internal Report 491, Supervising Scientist, Darwin.</w:t>
      </w:r>
    </w:p>
    <w:p w:rsidR="00273CD5" w:rsidRPr="00273CD5" w:rsidRDefault="00273CD5" w:rsidP="00F50F50">
      <w:pPr>
        <w:pStyle w:val="referencelist1"/>
      </w:pPr>
      <w:r w:rsidRPr="00273CD5">
        <w:t xml:space="preserve">Brennan K 1994. </w:t>
      </w:r>
      <w:proofErr w:type="gramStart"/>
      <w:r w:rsidRPr="00273CD5">
        <w:t>Project 320702: Phenology of native plants with potential for use for revegetation on the Ranger uranium mine project area.</w:t>
      </w:r>
      <w:proofErr w:type="gramEnd"/>
      <w:r w:rsidRPr="00273CD5">
        <w:t xml:space="preserve"> Internal Report 145, Supervising Scientist for the Alligator Rivers Region, Canberra.</w:t>
      </w:r>
    </w:p>
    <w:p w:rsidR="00273CD5" w:rsidRPr="00273CD5" w:rsidRDefault="00273CD5" w:rsidP="00F50F50">
      <w:pPr>
        <w:pStyle w:val="referencelist1"/>
      </w:pPr>
      <w:r w:rsidRPr="00273CD5">
        <w:t>Brennan K 2005. Quantitative descriptions of native plant communities with potential for use in revegetation at Ranger uranium mine. Internal Report 502, Supervising Scientist, Darwin.</w:t>
      </w:r>
    </w:p>
    <w:p w:rsidR="00273CD5" w:rsidRPr="00273CD5" w:rsidRDefault="00273CD5" w:rsidP="00F50F50">
      <w:pPr>
        <w:pStyle w:val="referencelist1"/>
      </w:pPr>
      <w:proofErr w:type="gramStart"/>
      <w:r w:rsidRPr="00273CD5">
        <w:t>Cowie I &amp; Finlayson C 1986.</w:t>
      </w:r>
      <w:proofErr w:type="gramEnd"/>
      <w:r w:rsidRPr="00273CD5">
        <w:t xml:space="preserve"> </w:t>
      </w:r>
      <w:proofErr w:type="gramStart"/>
      <w:r w:rsidRPr="00273CD5">
        <w:t>Plants of the Alligator Rivers Region, Northern Territory.</w:t>
      </w:r>
      <w:proofErr w:type="gramEnd"/>
      <w:r w:rsidRPr="00273CD5">
        <w:t xml:space="preserve"> </w:t>
      </w:r>
      <w:proofErr w:type="gramStart"/>
      <w:r w:rsidRPr="00273CD5">
        <w:t>Technical memorandum, Supervising Scientist for the Alligator Rivers Region, AGPS, Canberra.</w:t>
      </w:r>
      <w:proofErr w:type="gramEnd"/>
    </w:p>
    <w:p w:rsidR="00273CD5" w:rsidRPr="00273CD5" w:rsidRDefault="00273CD5" w:rsidP="00F50F50">
      <w:pPr>
        <w:pStyle w:val="referencelist1"/>
      </w:pPr>
      <w:proofErr w:type="gramStart"/>
      <w:r w:rsidRPr="00273CD5">
        <w:t>Finlayson C, Bailey B &amp; Cowie I 1989.</w:t>
      </w:r>
      <w:proofErr w:type="gramEnd"/>
      <w:r w:rsidRPr="00273CD5">
        <w:t xml:space="preserve"> </w:t>
      </w:r>
      <w:proofErr w:type="gramStart"/>
      <w:r w:rsidRPr="00273CD5">
        <w:t>Macrophyte vegetation of the Magela Creek flood plain, Alligator Rivers Region, Northern Territory.</w:t>
      </w:r>
      <w:proofErr w:type="gramEnd"/>
      <w:r w:rsidRPr="00273CD5">
        <w:t xml:space="preserve"> </w:t>
      </w:r>
      <w:proofErr w:type="gramStart"/>
      <w:r w:rsidRPr="00273CD5">
        <w:t>Research Report, Supervising Scientist for the Alligator Rivers Region, AGPS, Canberra.</w:t>
      </w:r>
      <w:proofErr w:type="gramEnd"/>
    </w:p>
    <w:p w:rsidR="00273CD5" w:rsidRPr="00273CD5" w:rsidRDefault="00273CD5" w:rsidP="00F50F50">
      <w:pPr>
        <w:pStyle w:val="referencelist1"/>
      </w:pPr>
      <w:proofErr w:type="gramStart"/>
      <w:r w:rsidRPr="00273CD5">
        <w:t>Finlayson C, Thompson K, von Oertzen I &amp; Cowie I 1992.</w:t>
      </w:r>
      <w:proofErr w:type="gramEnd"/>
      <w:r w:rsidRPr="00273CD5">
        <w:t xml:space="preserve"> </w:t>
      </w:r>
      <w:proofErr w:type="gramStart"/>
      <w:r w:rsidRPr="00273CD5">
        <w:t>Macrophytic vegetation of five Magela Creek billabongs, Alligator Rivers Region, Northern Territory.</w:t>
      </w:r>
      <w:proofErr w:type="gramEnd"/>
      <w:r w:rsidRPr="00273CD5">
        <w:t xml:space="preserve"> Internal Report 54, Supervising Scientist for the Alligator Rivers Region, Canberra.</w:t>
      </w:r>
    </w:p>
    <w:p w:rsidR="00273CD5" w:rsidRPr="00273CD5" w:rsidRDefault="00273CD5" w:rsidP="00F50F50">
      <w:pPr>
        <w:pStyle w:val="referencelist1"/>
      </w:pPr>
      <w:proofErr w:type="gramStart"/>
      <w:r w:rsidRPr="00273CD5">
        <w:t>Finlayson C, Thompson K, von Oertzen I &amp; Cowie I 1994.</w:t>
      </w:r>
      <w:proofErr w:type="gramEnd"/>
      <w:r w:rsidRPr="00273CD5">
        <w:t xml:space="preserve"> </w:t>
      </w:r>
      <w:proofErr w:type="gramStart"/>
      <w:r w:rsidRPr="00273CD5">
        <w:t>Vegetation communities of five Magela Creek billabongs, Alligator Rivers Region, Northern Territory.</w:t>
      </w:r>
      <w:proofErr w:type="gramEnd"/>
      <w:r w:rsidRPr="00273CD5">
        <w:t xml:space="preserve"> </w:t>
      </w:r>
      <w:proofErr w:type="gramStart"/>
      <w:r w:rsidRPr="00273CD5">
        <w:t>Technical memorandum 46, Supervising Scientist for the Alligator Rivers Region, AGPS, Canberra.</w:t>
      </w:r>
      <w:proofErr w:type="gramEnd"/>
    </w:p>
    <w:p w:rsidR="00EF4C0F" w:rsidRDefault="00273CD5" w:rsidP="00F50F50">
      <w:pPr>
        <w:pStyle w:val="referencelist1"/>
        <w:sectPr w:rsidR="00EF4C0F" w:rsidSect="00224F8A">
          <w:headerReference w:type="default" r:id="rId208"/>
          <w:pgSz w:w="11906" w:h="16838" w:code="9"/>
          <w:pgMar w:top="1440" w:right="1440" w:bottom="1440" w:left="1440" w:header="1080" w:footer="835" w:gutter="0"/>
          <w:cols w:space="360"/>
          <w:noEndnote/>
          <w:docGrid w:linePitch="299"/>
        </w:sectPr>
      </w:pPr>
      <w:r w:rsidRPr="00273CD5">
        <w:t xml:space="preserve">Finlayson CM, Storrs MJ &amp; Linder G 1997. </w:t>
      </w:r>
      <w:proofErr w:type="gramStart"/>
      <w:r w:rsidRPr="00273CD5">
        <w:t>Degradation and rehabilitation of wetlands in the Alligator Rivers Region of Northern Australia.</w:t>
      </w:r>
      <w:proofErr w:type="gramEnd"/>
      <w:r w:rsidRPr="00273CD5">
        <w:t xml:space="preserve"> Wetlands Ecology and Management 5, </w:t>
      </w:r>
      <w:r w:rsidR="00AF237F">
        <w:t>19–</w:t>
      </w:r>
      <w:r w:rsidRPr="00273CD5">
        <w:t>36.</w:t>
      </w:r>
    </w:p>
    <w:p w:rsidR="007E337C" w:rsidRDefault="007E337C" w:rsidP="00F50F50">
      <w:pPr>
        <w:pStyle w:val="Heading1"/>
      </w:pPr>
      <w:bookmarkStart w:id="249" w:name="_Toc413139186"/>
      <w:bookmarkStart w:id="250" w:name="_Toc418172722"/>
      <w:bookmarkStart w:id="251" w:name="_Toc401910199"/>
      <w:bookmarkStart w:id="252" w:name="_Toc409772824"/>
      <w:r w:rsidRPr="009C417A">
        <w:t>Ranger revegetation</w:t>
      </w:r>
      <w:bookmarkEnd w:id="249"/>
      <w:bookmarkEnd w:id="250"/>
    </w:p>
    <w:p w:rsidR="007E337C" w:rsidRPr="008F3FE2" w:rsidRDefault="007E337C" w:rsidP="007E337C">
      <w:pPr>
        <w:pStyle w:val="Heading3"/>
        <w:spacing w:after="360"/>
        <w:jc w:val="center"/>
      </w:pPr>
      <w:r>
        <w:t>C Humphrey, M Gardener</w:t>
      </w:r>
      <w:r w:rsidR="00D6266C">
        <w:rPr>
          <w:rStyle w:val="FootnoteReference"/>
        </w:rPr>
        <w:footnoteReference w:id="15"/>
      </w:r>
      <w:r>
        <w:t>, P Lu</w:t>
      </w:r>
      <w:r>
        <w:rPr>
          <w:rStyle w:val="FootnoteReference"/>
          <w:snapToGrid w:val="0"/>
          <w:color w:val="000000"/>
          <w:position w:val="6"/>
          <w:sz w:val="17"/>
          <w:szCs w:val="0"/>
          <w:u w:color="000000"/>
        </w:rPr>
        <w:footnoteReference w:id="16"/>
      </w:r>
      <w:r>
        <w:t xml:space="preserve"> &amp; R Bartolo</w:t>
      </w:r>
    </w:p>
    <w:p w:rsidR="007E337C" w:rsidRDefault="007E337C" w:rsidP="007E337C">
      <w:r>
        <w:t>This summary paper provides an update on research and monitoring activities associated with Key Knowledge Needs (KKNs) relevant to Ranger revegetation. Relevant KKNs include:</w:t>
      </w:r>
    </w:p>
    <w:p w:rsidR="007E337C" w:rsidRPr="00E475EE" w:rsidRDefault="007E337C" w:rsidP="007E337C">
      <w:pPr>
        <w:spacing w:after="0"/>
        <w:ind w:left="357"/>
        <w:jc w:val="left"/>
      </w:pPr>
      <w:proofErr w:type="gramStart"/>
      <w:r w:rsidRPr="00E475EE">
        <w:t xml:space="preserve">2.5 </w:t>
      </w:r>
      <w:r>
        <w:t xml:space="preserve"> </w:t>
      </w:r>
      <w:r w:rsidRPr="00E475EE">
        <w:t>Ecosystem</w:t>
      </w:r>
      <w:proofErr w:type="gramEnd"/>
      <w:r w:rsidRPr="00E475EE">
        <w:t xml:space="preserve"> establishment</w:t>
      </w:r>
    </w:p>
    <w:p w:rsidR="007E337C" w:rsidRPr="00E475EE" w:rsidRDefault="007E337C" w:rsidP="007E337C">
      <w:pPr>
        <w:spacing w:after="0"/>
        <w:ind w:left="714"/>
        <w:jc w:val="left"/>
      </w:pPr>
      <w:bookmarkStart w:id="253" w:name="_Toc372540210"/>
      <w:proofErr w:type="gramStart"/>
      <w:r w:rsidRPr="00E475EE">
        <w:t>2.5.1  Development</w:t>
      </w:r>
      <w:proofErr w:type="gramEnd"/>
      <w:r w:rsidRPr="00E475EE">
        <w:t xml:space="preserve"> and agreement of closure criteria from ecosystem establishment perspective</w:t>
      </w:r>
      <w:bookmarkEnd w:id="253"/>
    </w:p>
    <w:p w:rsidR="007E337C" w:rsidRPr="00E475EE" w:rsidRDefault="007E337C" w:rsidP="007E337C">
      <w:pPr>
        <w:spacing w:after="0"/>
        <w:ind w:left="714"/>
      </w:pPr>
      <w:proofErr w:type="gramStart"/>
      <w:r w:rsidRPr="00E475EE">
        <w:t xml:space="preserve">2.5.2  </w:t>
      </w:r>
      <w:r>
        <w:t>C</w:t>
      </w:r>
      <w:r w:rsidRPr="00E475EE">
        <w:t>haracterisation</w:t>
      </w:r>
      <w:proofErr w:type="gramEnd"/>
      <w:r w:rsidRPr="00E475EE">
        <w:t xml:space="preserve"> of terrestrial and aquatic ecosystem types at analogue sites</w:t>
      </w:r>
    </w:p>
    <w:p w:rsidR="007E337C" w:rsidRPr="00E475EE" w:rsidRDefault="007E337C" w:rsidP="007E337C">
      <w:pPr>
        <w:ind w:left="714"/>
      </w:pPr>
      <w:proofErr w:type="gramStart"/>
      <w:r w:rsidRPr="00E475EE">
        <w:t xml:space="preserve">2.5.3  </w:t>
      </w:r>
      <w:r>
        <w:t>E</w:t>
      </w:r>
      <w:r w:rsidRPr="00E475EE">
        <w:t>stablishment</w:t>
      </w:r>
      <w:proofErr w:type="gramEnd"/>
      <w:r w:rsidRPr="00E475EE">
        <w:t xml:space="preserve"> and sustainability of ecosystems on mine landform</w:t>
      </w:r>
    </w:p>
    <w:p w:rsidR="007E337C" w:rsidRPr="00E475EE" w:rsidRDefault="007E337C" w:rsidP="007E337C">
      <w:pPr>
        <w:spacing w:after="0"/>
        <w:ind w:left="357"/>
      </w:pPr>
      <w:proofErr w:type="gramStart"/>
      <w:r w:rsidRPr="00E475EE">
        <w:t xml:space="preserve">2.6  </w:t>
      </w:r>
      <w:r>
        <w:t>M</w:t>
      </w:r>
      <w:r w:rsidRPr="00E475EE">
        <w:t>onitoring</w:t>
      </w:r>
      <w:proofErr w:type="gramEnd"/>
      <w:r w:rsidRPr="00E475EE">
        <w:t xml:space="preserve"> </w:t>
      </w:r>
    </w:p>
    <w:p w:rsidR="007E337C" w:rsidRPr="00E475EE" w:rsidRDefault="007E337C" w:rsidP="007E337C">
      <w:pPr>
        <w:spacing w:after="0"/>
        <w:ind w:left="714"/>
      </w:pPr>
      <w:proofErr w:type="gramStart"/>
      <w:r w:rsidRPr="00E475EE">
        <w:t xml:space="preserve">2.6.1  </w:t>
      </w:r>
      <w:r>
        <w:t>M</w:t>
      </w:r>
      <w:r w:rsidRPr="00E475EE">
        <w:t>onitoring</w:t>
      </w:r>
      <w:proofErr w:type="gramEnd"/>
      <w:r w:rsidRPr="00E475EE">
        <w:t xml:space="preserve"> of the rehabilitated landform</w:t>
      </w:r>
    </w:p>
    <w:p w:rsidR="007E337C" w:rsidRPr="00E475EE" w:rsidRDefault="007E337C" w:rsidP="007E337C">
      <w:pPr>
        <w:ind w:left="714"/>
      </w:pPr>
      <w:proofErr w:type="gramStart"/>
      <w:r w:rsidRPr="00E475EE">
        <w:t xml:space="preserve">2.6.2  </w:t>
      </w:r>
      <w:r>
        <w:t>O</w:t>
      </w:r>
      <w:r w:rsidRPr="00E475EE">
        <w:t>ff</w:t>
      </w:r>
      <w:proofErr w:type="gramEnd"/>
      <w:r w:rsidRPr="00E475EE">
        <w:t>-site monitoring during and following rehabilitation</w:t>
      </w:r>
    </w:p>
    <w:p w:rsidR="007E337C" w:rsidRDefault="007E337C" w:rsidP="00F50F50">
      <w:pPr>
        <w:pStyle w:val="Heading2"/>
      </w:pPr>
      <w:r>
        <w:t>Background and progress to date</w:t>
      </w:r>
    </w:p>
    <w:p w:rsidR="007E337C" w:rsidRPr="00841A73" w:rsidRDefault="007E337C" w:rsidP="007E337C">
      <w:pPr>
        <w:rPr>
          <w:lang w:eastAsia="en-AU"/>
        </w:rPr>
      </w:pPr>
      <w:proofErr w:type="gramStart"/>
      <w:r w:rsidRPr="00841A73">
        <w:rPr>
          <w:lang w:eastAsia="en-AU"/>
        </w:rPr>
        <w:t>For each of the major rehabilitation activities required for closure at Ranger, stepwise processes for planning and approvals are required (ERA 2014).</w:t>
      </w:r>
      <w:proofErr w:type="gramEnd"/>
      <w:r w:rsidRPr="00841A73">
        <w:rPr>
          <w:lang w:eastAsia="en-AU"/>
        </w:rPr>
        <w:t xml:space="preserve"> These are shown in Figure 1 (left hand column). A key component of rehabilitation and closure planning is the development of closure criteria. These measurable and quantifiable benchmarks are the targets against which the long term success and sustainability of rehabilitation will be measured. They will serve as the basis for issuing of a close-out certificate (ERA 2014).</w:t>
      </w:r>
      <w:r>
        <w:rPr>
          <w:lang w:eastAsia="en-AU"/>
        </w:rPr>
        <w:t xml:space="preserve"> For revegetation, the development of closure criteria, </w:t>
      </w:r>
      <w:r>
        <w:rPr>
          <w:lang w:val="en-US"/>
        </w:rPr>
        <w:t>together with development of assessment criteria for monitoring and sign-off, will be considered by a Flora and Fauna Technical Working Group (TWG) that will report to the Ranger Closure Criteria Working Group (CCWG)</w:t>
      </w:r>
      <w:r>
        <w:rPr>
          <w:lang w:eastAsia="en-AU"/>
        </w:rPr>
        <w:t>. The steps that the TWG must consider in developing closure criteria are shown in</w:t>
      </w:r>
      <w:r>
        <w:rPr>
          <w:lang w:val="en-US"/>
        </w:rPr>
        <w:t xml:space="preserve"> </w:t>
      </w:r>
      <w:r>
        <w:rPr>
          <w:lang w:eastAsia="en-AU"/>
        </w:rPr>
        <w:t>Figure 1 (right-hand column).</w:t>
      </w:r>
    </w:p>
    <w:p w:rsidR="007E337C" w:rsidRPr="00B565CB" w:rsidRDefault="007E337C" w:rsidP="007E337C">
      <w:r>
        <w:rPr>
          <w:lang w:val="en-US"/>
        </w:rPr>
        <w:t xml:space="preserve">At ARRTC 31 (November 2013), ERA articulated a trajectory approach for assessing closure criteria for monitoring and sign-off (Paulka &amp; Humphrey 2013). This approach has been further refined (ERA 2014) and is demonstrated in Figure 2. Trajectories are applicable to any measurement endpoint that is </w:t>
      </w:r>
      <w:r w:rsidRPr="00B565CB">
        <w:rPr>
          <w:lang w:val="en-US"/>
        </w:rPr>
        <w:t xml:space="preserve">expected to be reached after a (typically modelled) period of time from initial establishment. Where short-term achievement is likely, the trajectory provides a management tool </w:t>
      </w:r>
      <w:r w:rsidRPr="00B565CB">
        <w:rPr>
          <w:lang w:eastAsia="en-AU"/>
        </w:rPr>
        <w:t>to demonstrate to stakeholders that the rehabilitated area is behaving as predicted and is moving through the stabilisation and monitoring phase towards the post-closure phase – see left-hand panel of Figure 2. Milestones along the path may be selected, with deviations from the milestone triggering mitigating actions.</w:t>
      </w:r>
      <w:r w:rsidRPr="00B565CB">
        <w:rPr>
          <w:lang w:val="en-US"/>
        </w:rPr>
        <w:t xml:space="preserve"> Where a measurement endpoint will not </w:t>
      </w:r>
      <w:r w:rsidRPr="00B565CB">
        <w:rPr>
          <w:lang w:eastAsia="en-AU"/>
        </w:rPr>
        <w:t>be achieved in the short term, there is a need to model the trajectory carefully, then select points on the modelled pathway that would culminate in the ‘pseudo’ final, agreed criteria – see right-hand panel of Figure 2.</w:t>
      </w:r>
    </w:p>
    <w:p w:rsidR="007E337C" w:rsidRDefault="007E337C" w:rsidP="007E337C"/>
    <w:p w:rsidR="007E337C" w:rsidRDefault="007E337C" w:rsidP="007E337C">
      <w:pPr>
        <w:pStyle w:val="figurecaption"/>
        <w:rPr>
          <w:iCs/>
        </w:rPr>
        <w:sectPr w:rsidR="007E337C" w:rsidSect="00CC2265">
          <w:footnotePr>
            <w:numRestart w:val="eachPage"/>
          </w:footnotePr>
          <w:pgSz w:w="11906" w:h="16838" w:code="9"/>
          <w:pgMar w:top="1440" w:right="1800" w:bottom="1440" w:left="1800" w:header="1080" w:footer="835" w:gutter="0"/>
          <w:cols w:space="360"/>
          <w:noEndnote/>
        </w:sectPr>
      </w:pPr>
    </w:p>
    <w:p w:rsidR="007E337C" w:rsidRDefault="007E337C" w:rsidP="007E337C">
      <w:pPr>
        <w:pStyle w:val="figurecaption"/>
      </w:pPr>
      <w:r w:rsidRPr="00694CA3">
        <w:rPr>
          <w:noProof/>
          <w:lang w:eastAsia="en-AU"/>
        </w:rPr>
        <w:drawing>
          <wp:inline distT="0" distB="0" distL="0" distR="0">
            <wp:extent cx="7673380" cy="8123274"/>
            <wp:effectExtent l="19050" t="0" r="3770" b="0"/>
            <wp:docPr id="1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9" cstate="screen"/>
                    <a:srcRect/>
                    <a:stretch>
                      <a:fillRect/>
                    </a:stretch>
                  </pic:blipFill>
                  <pic:spPr bwMode="auto">
                    <a:xfrm>
                      <a:off x="0" y="0"/>
                      <a:ext cx="7682722" cy="8133164"/>
                    </a:xfrm>
                    <a:prstGeom prst="rect">
                      <a:avLst/>
                    </a:prstGeom>
                    <a:noFill/>
                    <a:ln w="9525">
                      <a:noFill/>
                      <a:miter lim="800000"/>
                      <a:headEnd/>
                      <a:tailEnd/>
                    </a:ln>
                  </pic:spPr>
                </pic:pic>
              </a:graphicData>
            </a:graphic>
          </wp:inline>
        </w:drawing>
      </w:r>
    </w:p>
    <w:p w:rsidR="007E337C" w:rsidRDefault="007E337C" w:rsidP="007E337C">
      <w:pPr>
        <w:pStyle w:val="figurecaption"/>
      </w:pPr>
      <w:proofErr w:type="gramStart"/>
      <w:r w:rsidRPr="008B6CE4">
        <w:rPr>
          <w:b/>
        </w:rPr>
        <w:t>Figure 1</w:t>
      </w:r>
      <w:r>
        <w:t>.</w:t>
      </w:r>
      <w:proofErr w:type="gramEnd"/>
      <w:r>
        <w:t xml:space="preserve"> </w:t>
      </w:r>
      <w:proofErr w:type="gramStart"/>
      <w:r>
        <w:t>Closure process for Ranger, including development of closure criteria.</w:t>
      </w:r>
      <w:proofErr w:type="gramEnd"/>
      <w:r>
        <w:t xml:space="preserve"> </w:t>
      </w:r>
      <w:proofErr w:type="gramStart"/>
      <w:r>
        <w:t>From ERA (2014).</w:t>
      </w:r>
      <w:proofErr w:type="gramEnd"/>
    </w:p>
    <w:p w:rsidR="007E337C" w:rsidRDefault="007E337C" w:rsidP="007E337C">
      <w:pPr>
        <w:jc w:val="center"/>
        <w:sectPr w:rsidR="007E337C" w:rsidSect="007E337C">
          <w:pgSz w:w="11906" w:h="16838" w:code="9"/>
          <w:pgMar w:top="720" w:right="720" w:bottom="720" w:left="720" w:header="1080" w:footer="835" w:gutter="0"/>
          <w:cols w:space="360"/>
          <w:noEndnote/>
          <w:docGrid w:linePitch="299"/>
        </w:sectPr>
      </w:pPr>
    </w:p>
    <w:p w:rsidR="007E337C" w:rsidRDefault="007E337C" w:rsidP="007E337C">
      <w:pPr>
        <w:jc w:val="center"/>
      </w:pPr>
      <w:r w:rsidRPr="0014308F">
        <w:rPr>
          <w:noProof/>
          <w:lang w:eastAsia="en-AU"/>
        </w:rPr>
        <w:drawing>
          <wp:inline distT="0" distB="0" distL="0" distR="0">
            <wp:extent cx="5605573" cy="4178595"/>
            <wp:effectExtent l="19050" t="0" r="0" b="0"/>
            <wp:docPr id="147" name="Picture 1"/>
            <wp:cNvGraphicFramePr/>
            <a:graphic xmlns:a="http://schemas.openxmlformats.org/drawingml/2006/main">
              <a:graphicData uri="http://schemas.openxmlformats.org/drawingml/2006/picture">
                <pic:pic xmlns:pic="http://schemas.openxmlformats.org/drawingml/2006/picture">
                  <pic:nvPicPr>
                    <pic:cNvPr id="5127" name="Picture 7"/>
                    <pic:cNvPicPr>
                      <a:picLocks noChangeAspect="1" noChangeArrowheads="1"/>
                    </pic:cNvPicPr>
                  </pic:nvPicPr>
                  <pic:blipFill>
                    <a:blip r:embed="rId210" cstate="screen"/>
                    <a:srcRect/>
                    <a:stretch>
                      <a:fillRect/>
                    </a:stretch>
                  </pic:blipFill>
                  <pic:spPr bwMode="auto">
                    <a:xfrm>
                      <a:off x="0" y="0"/>
                      <a:ext cx="5612898" cy="4184055"/>
                    </a:xfrm>
                    <a:prstGeom prst="rect">
                      <a:avLst/>
                    </a:prstGeom>
                    <a:noFill/>
                    <a:ln w="9525">
                      <a:noFill/>
                      <a:miter lim="800000"/>
                      <a:headEnd/>
                      <a:tailEnd/>
                    </a:ln>
                    <a:effectLst/>
                  </pic:spPr>
                </pic:pic>
              </a:graphicData>
            </a:graphic>
          </wp:inline>
        </w:drawing>
      </w:r>
    </w:p>
    <w:p w:rsidR="007E337C" w:rsidRDefault="007E337C" w:rsidP="007E337C">
      <w:pPr>
        <w:pStyle w:val="figurecaption"/>
      </w:pPr>
      <w:proofErr w:type="gramStart"/>
      <w:r w:rsidRPr="008B6CE4">
        <w:rPr>
          <w:b/>
        </w:rPr>
        <w:t>Figure 2</w:t>
      </w:r>
      <w:r>
        <w:t>.</w:t>
      </w:r>
      <w:proofErr w:type="gramEnd"/>
      <w:r>
        <w:t xml:space="preserve"> </w:t>
      </w:r>
      <w:proofErr w:type="gramStart"/>
      <w:r>
        <w:rPr>
          <w:lang w:eastAsia="en-AU"/>
        </w:rPr>
        <w:t xml:space="preserve">Use of trajectory approach </w:t>
      </w:r>
      <w:r w:rsidRPr="0019554F">
        <w:rPr>
          <w:szCs w:val="16"/>
        </w:rPr>
        <w:t>in</w:t>
      </w:r>
      <w:r>
        <w:rPr>
          <w:lang w:eastAsia="en-AU"/>
        </w:rPr>
        <w:t xml:space="preserve"> closure criteria</w:t>
      </w:r>
      <w:r w:rsidRPr="0019554F">
        <w:t xml:space="preserve"> </w:t>
      </w:r>
      <w:r>
        <w:t>From ERA (2014).</w:t>
      </w:r>
      <w:proofErr w:type="gramEnd"/>
    </w:p>
    <w:p w:rsidR="007E337C" w:rsidRPr="005C4E8E" w:rsidRDefault="007E337C" w:rsidP="007E337C"/>
    <w:p w:rsidR="007E337C" w:rsidRDefault="007E337C" w:rsidP="007E337C">
      <w:pPr>
        <w:rPr>
          <w:lang w:eastAsia="en-AU"/>
        </w:rPr>
      </w:pPr>
      <w:r>
        <w:rPr>
          <w:lang w:val="en-US"/>
        </w:rPr>
        <w:t>For ARRTC 31, Humphrey &amp; Paulka (2013) re-stated the conceptual and ecological model for revegetation of the restored Ranger minesite that is the basis for trajectory development for this (revegetation) activity. Such models are important to identify in order to u</w:t>
      </w:r>
      <w:r w:rsidRPr="00691096">
        <w:rPr>
          <w:lang w:val="en-US"/>
        </w:rPr>
        <w:t>nderstand recovery/restoration trajectories</w:t>
      </w:r>
      <w:r>
        <w:rPr>
          <w:lang w:val="en-US"/>
        </w:rPr>
        <w:t xml:space="preserve">, </w:t>
      </w:r>
      <w:r w:rsidRPr="0014308F">
        <w:rPr>
          <w:lang w:val="en-US"/>
        </w:rPr>
        <w:t>understand</w:t>
      </w:r>
      <w:r w:rsidRPr="00691096">
        <w:rPr>
          <w:lang w:val="en-US"/>
        </w:rPr>
        <w:t xml:space="preserve"> and predict potential thresholds</w:t>
      </w:r>
      <w:r w:rsidRPr="00FC5085">
        <w:rPr>
          <w:lang w:val="en-US"/>
        </w:rPr>
        <w:t xml:space="preserve"> </w:t>
      </w:r>
      <w:r>
        <w:rPr>
          <w:lang w:val="en-US"/>
        </w:rPr>
        <w:t>of change towards undesired states, and to d</w:t>
      </w:r>
      <w:r w:rsidRPr="00691096">
        <w:rPr>
          <w:lang w:val="en-US"/>
        </w:rPr>
        <w:t xml:space="preserve">etermine if and when appropriate management intervention is required and </w:t>
      </w:r>
      <w:r>
        <w:rPr>
          <w:lang w:val="en-US"/>
        </w:rPr>
        <w:t xml:space="preserve">the </w:t>
      </w:r>
      <w:r w:rsidRPr="00691096">
        <w:rPr>
          <w:lang w:val="en-US"/>
        </w:rPr>
        <w:t>type of intervention</w:t>
      </w:r>
      <w:r>
        <w:rPr>
          <w:lang w:val="en-US"/>
        </w:rPr>
        <w:t xml:space="preserve"> (</w:t>
      </w:r>
      <w:r w:rsidRPr="00A66396">
        <w:rPr>
          <w:lang w:eastAsia="en-AU"/>
        </w:rPr>
        <w:t>Hobbs</w:t>
      </w:r>
      <w:r>
        <w:rPr>
          <w:lang w:eastAsia="en-AU"/>
        </w:rPr>
        <w:t xml:space="preserve"> &amp;</w:t>
      </w:r>
      <w:r w:rsidRPr="00A66396">
        <w:rPr>
          <w:lang w:eastAsia="en-AU"/>
        </w:rPr>
        <w:t xml:space="preserve"> Suding</w:t>
      </w:r>
      <w:r>
        <w:rPr>
          <w:lang w:eastAsia="en-AU"/>
        </w:rPr>
        <w:t xml:space="preserve"> 2009). </w:t>
      </w:r>
    </w:p>
    <w:p w:rsidR="007E337C" w:rsidRDefault="007E337C" w:rsidP="007E337C">
      <w:pPr>
        <w:rPr>
          <w:lang w:eastAsia="en-AU"/>
        </w:rPr>
      </w:pPr>
      <w:r w:rsidRPr="00691096">
        <w:rPr>
          <w:lang w:val="en-US"/>
        </w:rPr>
        <w:t>Alternative stable states</w:t>
      </w:r>
      <w:r>
        <w:rPr>
          <w:lang w:val="en-US"/>
        </w:rPr>
        <w:t xml:space="preserve"> (or </w:t>
      </w:r>
      <w:r w:rsidRPr="00DC0B23">
        <w:rPr>
          <w:lang w:val="en-US"/>
        </w:rPr>
        <w:t>state-and-transition</w:t>
      </w:r>
      <w:r>
        <w:rPr>
          <w:lang w:val="en-US"/>
        </w:rPr>
        <w:t>)</w:t>
      </w:r>
      <w:r w:rsidRPr="00691096">
        <w:rPr>
          <w:lang w:val="en-US"/>
        </w:rPr>
        <w:t xml:space="preserve"> </w:t>
      </w:r>
      <w:r>
        <w:rPr>
          <w:lang w:val="en-US"/>
        </w:rPr>
        <w:t xml:space="preserve">models of ecosystem dynamics have been recognized as relevant to revegetation </w:t>
      </w:r>
      <w:r w:rsidR="00E16AC4">
        <w:rPr>
          <w:lang w:val="en-US"/>
        </w:rPr>
        <w:t>programme</w:t>
      </w:r>
      <w:r>
        <w:rPr>
          <w:lang w:val="en-US"/>
        </w:rPr>
        <w:t xml:space="preserve">s in wet-dry tropical savannas, including Ranger (see </w:t>
      </w:r>
      <w:r>
        <w:rPr>
          <w:lang w:eastAsia="en-AU"/>
        </w:rPr>
        <w:t xml:space="preserve">Bayliss &amp; Gardener 2006). </w:t>
      </w:r>
      <w:r w:rsidRPr="00691096">
        <w:rPr>
          <w:lang w:val="en-US"/>
        </w:rPr>
        <w:t xml:space="preserve">As applied to restoration, </w:t>
      </w:r>
      <w:r>
        <w:rPr>
          <w:lang w:val="en-US"/>
        </w:rPr>
        <w:t xml:space="preserve">this particular </w:t>
      </w:r>
      <w:r w:rsidRPr="00691096">
        <w:rPr>
          <w:lang w:val="en-US"/>
        </w:rPr>
        <w:t>model</w:t>
      </w:r>
      <w:r>
        <w:rPr>
          <w:lang w:val="en-US"/>
        </w:rPr>
        <w:t xml:space="preserve"> has</w:t>
      </w:r>
      <w:r w:rsidRPr="00691096">
        <w:rPr>
          <w:lang w:val="en-US"/>
        </w:rPr>
        <w:t xml:space="preserve"> been informed by Australian rangelands ecology research</w:t>
      </w:r>
      <w:r>
        <w:rPr>
          <w:lang w:val="en-US"/>
        </w:rPr>
        <w:t xml:space="preserve">, </w:t>
      </w:r>
      <w:r w:rsidRPr="00691096">
        <w:rPr>
          <w:lang w:val="en-US"/>
        </w:rPr>
        <w:t>depicting shift</w:t>
      </w:r>
      <w:r>
        <w:rPr>
          <w:lang w:val="en-US"/>
        </w:rPr>
        <w:t>s</w:t>
      </w:r>
      <w:r w:rsidRPr="00691096">
        <w:rPr>
          <w:lang w:val="en-US"/>
        </w:rPr>
        <w:t xml:space="preserve"> between natural and degraded states</w:t>
      </w:r>
      <w:r>
        <w:rPr>
          <w:lang w:val="en-US"/>
        </w:rPr>
        <w:t xml:space="preserve"> (e.g. </w:t>
      </w:r>
      <w:r w:rsidRPr="00A66396">
        <w:rPr>
          <w:lang w:eastAsia="en-AU"/>
        </w:rPr>
        <w:t>Hobbs</w:t>
      </w:r>
      <w:r>
        <w:rPr>
          <w:lang w:eastAsia="en-AU"/>
        </w:rPr>
        <w:t xml:space="preserve"> &amp;</w:t>
      </w:r>
      <w:r w:rsidRPr="00A66396">
        <w:rPr>
          <w:lang w:eastAsia="en-AU"/>
        </w:rPr>
        <w:t xml:space="preserve"> Suding</w:t>
      </w:r>
      <w:r>
        <w:rPr>
          <w:lang w:eastAsia="en-AU"/>
        </w:rPr>
        <w:t xml:space="preserve"> 2009). State and transition models identify processes that cause transition between defined states and in the context of </w:t>
      </w:r>
      <w:proofErr w:type="gramStart"/>
      <w:r>
        <w:rPr>
          <w:lang w:eastAsia="en-AU"/>
        </w:rPr>
        <w:t>restoration,</w:t>
      </w:r>
      <w:proofErr w:type="gramEnd"/>
      <w:r>
        <w:rPr>
          <w:lang w:eastAsia="en-AU"/>
        </w:rPr>
        <w:t xml:space="preserve"> thresholds may be reached that prevent recovery without significant management intervention. For revegetation efforts in the wet-dry tropics, the interaction between early establishment of high fuel-load grasses and/or acacias and intense fires can lead to a b</w:t>
      </w:r>
      <w:r w:rsidRPr="00DC0B23">
        <w:rPr>
          <w:lang w:val="en-US"/>
        </w:rPr>
        <w:t>iotic-abiotic positive feedback</w:t>
      </w:r>
      <w:r>
        <w:rPr>
          <w:lang w:val="en-US"/>
        </w:rPr>
        <w:t xml:space="preserve"> that prevents establishment of mature eucalypt woodlands (see Groote Eylandt, Nabarlek and Ranger case studies in </w:t>
      </w:r>
      <w:r>
        <w:rPr>
          <w:lang w:eastAsia="en-AU"/>
        </w:rPr>
        <w:t>Bayliss &amp; Gardener (2006).</w:t>
      </w:r>
    </w:p>
    <w:p w:rsidR="007E337C" w:rsidRDefault="007E337C" w:rsidP="007E337C">
      <w:r>
        <w:rPr>
          <w:lang w:val="en-US"/>
        </w:rPr>
        <w:t>This ‘deviant’ grass-acacia state was identified early in revegetation trials at Ranger and preventative steps were developed as part of the Ranger revegetation strategy (</w:t>
      </w:r>
      <w:r>
        <w:t xml:space="preserve">Reddell &amp; Meek </w:t>
      </w:r>
      <w:r w:rsidRPr="00692B7C">
        <w:t>2004)</w:t>
      </w:r>
      <w:r>
        <w:t>.</w:t>
      </w:r>
    </w:p>
    <w:p w:rsidR="007E337C" w:rsidRDefault="007E337C" w:rsidP="007E337C">
      <w:r>
        <w:t xml:space="preserve">On the basis of (i) the original </w:t>
      </w:r>
      <w:r>
        <w:rPr>
          <w:lang w:val="en-US"/>
        </w:rPr>
        <w:t>Ranger revegetation strategy (</w:t>
      </w:r>
      <w:r>
        <w:t xml:space="preserve">Reddell &amp; Meek </w:t>
      </w:r>
      <w:r w:rsidRPr="00692B7C">
        <w:t>2004)</w:t>
      </w:r>
      <w:r>
        <w:t>, (ii) ongoing refinements to the strategy, particularly through learnings from the Ranger trial landform (Gellert 2012), and (iii) practical understanding of state and transition responses, a trajectory-based model for Ranger revegetation can be readily conceptualised – see Figure 3.</w:t>
      </w:r>
    </w:p>
    <w:p w:rsidR="007E337C" w:rsidRDefault="007E337C" w:rsidP="007E337C"/>
    <w:p w:rsidR="007E337C" w:rsidRDefault="007E337C" w:rsidP="007E337C">
      <w:pPr>
        <w:jc w:val="center"/>
      </w:pPr>
      <w:r w:rsidRPr="00C951CC">
        <w:rPr>
          <w:noProof/>
          <w:lang w:eastAsia="en-AU"/>
        </w:rPr>
        <w:drawing>
          <wp:inline distT="0" distB="0" distL="0" distR="0">
            <wp:extent cx="4560901" cy="3409052"/>
            <wp:effectExtent l="19050" t="0" r="0" b="0"/>
            <wp:docPr id="1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1" cstate="screen"/>
                    <a:srcRect/>
                    <a:stretch>
                      <a:fillRect/>
                    </a:stretch>
                  </pic:blipFill>
                  <pic:spPr bwMode="auto">
                    <a:xfrm>
                      <a:off x="0" y="0"/>
                      <a:ext cx="4563198" cy="3410769"/>
                    </a:xfrm>
                    <a:prstGeom prst="rect">
                      <a:avLst/>
                    </a:prstGeom>
                    <a:noFill/>
                    <a:ln w="9525">
                      <a:noFill/>
                      <a:miter lim="800000"/>
                      <a:headEnd/>
                      <a:tailEnd/>
                    </a:ln>
                  </pic:spPr>
                </pic:pic>
              </a:graphicData>
            </a:graphic>
          </wp:inline>
        </w:drawing>
      </w:r>
    </w:p>
    <w:p w:rsidR="007E337C" w:rsidRDefault="007E337C" w:rsidP="007E337C">
      <w:pPr>
        <w:pStyle w:val="figurecaption"/>
        <w:rPr>
          <w:i/>
          <w:iCs/>
        </w:rPr>
      </w:pPr>
      <w:proofErr w:type="gramStart"/>
      <w:r w:rsidRPr="009511E2">
        <w:rPr>
          <w:b/>
        </w:rPr>
        <w:t xml:space="preserve">Figure </w:t>
      </w:r>
      <w:r>
        <w:rPr>
          <w:b/>
        </w:rPr>
        <w:t>3</w:t>
      </w:r>
      <w:r>
        <w:t>.</w:t>
      </w:r>
      <w:proofErr w:type="gramEnd"/>
      <w:r>
        <w:t xml:space="preserve"> General trajectory for revegetation of the Ranger minesite embedding transitions (T) or drivers to move between states (viz </w:t>
      </w:r>
      <w:r w:rsidRPr="00C14346">
        <w:t>state and transition model</w:t>
      </w:r>
      <w:r>
        <w:t xml:space="preserve"> for ecosystem dynamics)</w:t>
      </w:r>
    </w:p>
    <w:p w:rsidR="007E337C" w:rsidRDefault="007E337C" w:rsidP="007E337C">
      <w:pPr>
        <w:spacing w:after="0"/>
      </w:pPr>
      <w:r>
        <w:t xml:space="preserve">The model for successful development of a mature vegetation community for the site is highly </w:t>
      </w:r>
      <w:r w:rsidR="00A85FC5">
        <w:t>dependent</w:t>
      </w:r>
      <w:r>
        <w:t xml:space="preserve"> upon several assumptions:</w:t>
      </w:r>
    </w:p>
    <w:p w:rsidR="007E337C" w:rsidRPr="000108F6" w:rsidRDefault="007E337C" w:rsidP="007E337C">
      <w:pPr>
        <w:pStyle w:val="ListParagraph"/>
        <w:numPr>
          <w:ilvl w:val="0"/>
          <w:numId w:val="40"/>
        </w:numPr>
      </w:pPr>
      <w:r>
        <w:t>Landform c</w:t>
      </w:r>
      <w:r w:rsidRPr="000108F6">
        <w:t>over built to specifications (</w:t>
      </w:r>
      <w:r>
        <w:t xml:space="preserve">waste </w:t>
      </w:r>
      <w:r w:rsidRPr="000108F6">
        <w:t xml:space="preserve">rock with no </w:t>
      </w:r>
      <w:r>
        <w:t xml:space="preserve">additional </w:t>
      </w:r>
      <w:r w:rsidRPr="000108F6">
        <w:t>fines)</w:t>
      </w:r>
      <w:r>
        <w:t xml:space="preserve">; </w:t>
      </w:r>
    </w:p>
    <w:p w:rsidR="007E337C" w:rsidRPr="000108F6" w:rsidRDefault="007E337C" w:rsidP="007E337C">
      <w:pPr>
        <w:pStyle w:val="ListParagraph"/>
        <w:numPr>
          <w:ilvl w:val="0"/>
          <w:numId w:val="40"/>
        </w:numPr>
      </w:pPr>
      <w:r>
        <w:t>Site is revegetated</w:t>
      </w:r>
      <w:r w:rsidRPr="000108F6">
        <w:t xml:space="preserve"> </w:t>
      </w:r>
      <w:r>
        <w:t>using</w:t>
      </w:r>
      <w:r w:rsidRPr="000108F6">
        <w:t xml:space="preserve"> tubestock</w:t>
      </w:r>
      <w:r>
        <w:t>s,</w:t>
      </w:r>
      <w:r w:rsidRPr="000108F6">
        <w:t xml:space="preserve"> </w:t>
      </w:r>
      <w:r>
        <w:t>with supplementary</w:t>
      </w:r>
      <w:r w:rsidRPr="000108F6">
        <w:t xml:space="preserve"> irrigation </w:t>
      </w:r>
      <w:r>
        <w:t xml:space="preserve">needed </w:t>
      </w:r>
      <w:r w:rsidRPr="000108F6">
        <w:t xml:space="preserve">for </w:t>
      </w:r>
      <w:r>
        <w:t>3-6</w:t>
      </w:r>
      <w:r w:rsidRPr="000108F6">
        <w:t xml:space="preserve"> months</w:t>
      </w:r>
      <w:r>
        <w:t xml:space="preserve"> if planted during the dry season;</w:t>
      </w:r>
    </w:p>
    <w:p w:rsidR="007E337C" w:rsidRPr="000108F6" w:rsidRDefault="007E337C" w:rsidP="007E337C">
      <w:pPr>
        <w:pStyle w:val="ListParagraph"/>
        <w:numPr>
          <w:ilvl w:val="0"/>
          <w:numId w:val="40"/>
        </w:numPr>
      </w:pPr>
      <w:r w:rsidRPr="000108F6">
        <w:t>Sufficient water and nutrients</w:t>
      </w:r>
      <w:r>
        <w:t xml:space="preserve"> in waste rock cover</w:t>
      </w:r>
      <w:r w:rsidRPr="000108F6">
        <w:t xml:space="preserve"> </w:t>
      </w:r>
      <w:r>
        <w:t xml:space="preserve">available for vegetation </w:t>
      </w:r>
      <w:r w:rsidRPr="000108F6">
        <w:t>establish</w:t>
      </w:r>
      <w:r>
        <w:t>ment</w:t>
      </w:r>
      <w:r w:rsidRPr="000108F6">
        <w:t xml:space="preserve"> and </w:t>
      </w:r>
      <w:r>
        <w:t>reproduction;</w:t>
      </w:r>
    </w:p>
    <w:p w:rsidR="007E337C" w:rsidRPr="000108F6" w:rsidRDefault="007E337C" w:rsidP="007E337C">
      <w:pPr>
        <w:pStyle w:val="ListParagraph"/>
        <w:numPr>
          <w:ilvl w:val="0"/>
          <w:numId w:val="40"/>
        </w:numPr>
      </w:pPr>
      <w:r w:rsidRPr="000108F6">
        <w:t>Fire excluded until</w:t>
      </w:r>
      <w:r>
        <w:t xml:space="preserve"> plants are 5-</w:t>
      </w:r>
      <w:r w:rsidRPr="000108F6">
        <w:t>years</w:t>
      </w:r>
      <w:r>
        <w:t xml:space="preserve"> old,</w:t>
      </w:r>
      <w:r w:rsidRPr="000108F6">
        <w:t xml:space="preserve"> then managed thereafter</w:t>
      </w:r>
      <w:r>
        <w:t>; and</w:t>
      </w:r>
    </w:p>
    <w:p w:rsidR="007E337C" w:rsidRPr="000108F6" w:rsidRDefault="007E337C" w:rsidP="007E337C">
      <w:pPr>
        <w:pStyle w:val="ListParagraph"/>
        <w:numPr>
          <w:ilvl w:val="0"/>
          <w:numId w:val="40"/>
        </w:numPr>
      </w:pPr>
      <w:r>
        <w:t>Aggressive acacias and weeds controlled.</w:t>
      </w:r>
    </w:p>
    <w:p w:rsidR="007E337C" w:rsidRPr="00B8151C" w:rsidRDefault="007E337C" w:rsidP="007E337C">
      <w:r>
        <w:t xml:space="preserve">Elements of the original revegetation strategy (Reddell &amp; Meek </w:t>
      </w:r>
      <w:r w:rsidRPr="00692B7C">
        <w:t>2004)</w:t>
      </w:r>
      <w:r>
        <w:t>, knowledge subsequently acquired to the present (2014) and potential r</w:t>
      </w:r>
      <w:r w:rsidRPr="0061322A">
        <w:t xml:space="preserve">isks </w:t>
      </w:r>
      <w:r>
        <w:t>and k</w:t>
      </w:r>
      <w:r w:rsidRPr="0061322A">
        <w:t xml:space="preserve">ey knowledge gaps </w:t>
      </w:r>
      <w:r>
        <w:t>that require further work, are provided in Table 1.</w:t>
      </w:r>
    </w:p>
    <w:p w:rsidR="007E337C" w:rsidRDefault="007E337C" w:rsidP="007E337C">
      <w:pPr>
        <w:rPr>
          <w:szCs w:val="22"/>
        </w:rPr>
        <w:sectPr w:rsidR="007E337C" w:rsidSect="00D444BD">
          <w:headerReference w:type="even" r:id="rId212"/>
          <w:footerReference w:type="even" r:id="rId213"/>
          <w:footerReference w:type="default" r:id="rId214"/>
          <w:headerReference w:type="first" r:id="rId215"/>
          <w:footerReference w:type="first" r:id="rId216"/>
          <w:pgSz w:w="11906" w:h="16838" w:code="9"/>
          <w:pgMar w:top="1440" w:right="1800" w:bottom="1440" w:left="1800" w:header="1080" w:footer="835" w:gutter="0"/>
          <w:cols w:space="360"/>
          <w:noEndnote/>
        </w:sectPr>
      </w:pPr>
    </w:p>
    <w:p w:rsidR="007E337C" w:rsidRDefault="007E337C" w:rsidP="007E337C">
      <w:pPr>
        <w:pStyle w:val="tablecaption"/>
      </w:pPr>
      <w:proofErr w:type="gramStart"/>
      <w:r w:rsidRPr="00AA0FD6">
        <w:rPr>
          <w:b/>
        </w:rPr>
        <w:t>Table 1</w:t>
      </w:r>
      <w:r>
        <w:t>.</w:t>
      </w:r>
      <w:proofErr w:type="gramEnd"/>
      <w:r>
        <w:t xml:space="preserve"> </w:t>
      </w:r>
      <w:proofErr w:type="gramStart"/>
      <w:r>
        <w:t>Elements of the Ranger revegetation strategy with key learnings, risks and identified research needs, to 2104.</w:t>
      </w:r>
      <w:proofErr w:type="gramEnd"/>
    </w:p>
    <w:tbl>
      <w:tblPr>
        <w:tblW w:w="155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CellMar>
          <w:left w:w="0" w:type="dxa"/>
          <w:right w:w="0" w:type="dxa"/>
        </w:tblCellMar>
        <w:tblLook w:val="04A0"/>
      </w:tblPr>
      <w:tblGrid>
        <w:gridCol w:w="3085"/>
        <w:gridCol w:w="6379"/>
        <w:gridCol w:w="6095"/>
      </w:tblGrid>
      <w:tr w:rsidR="007E337C" w:rsidRPr="00413ED9" w:rsidTr="003132F8">
        <w:trPr>
          <w:trHeight w:val="594"/>
          <w:tblHeader/>
        </w:trPr>
        <w:tc>
          <w:tcPr>
            <w:tcW w:w="3085" w:type="dxa"/>
            <w:shd w:val="clear" w:color="auto" w:fill="FFFFFF" w:themeFill="background1"/>
            <w:tcMar>
              <w:top w:w="15" w:type="dxa"/>
              <w:left w:w="108" w:type="dxa"/>
              <w:bottom w:w="0" w:type="dxa"/>
              <w:right w:w="108" w:type="dxa"/>
            </w:tcMar>
            <w:vAlign w:val="center"/>
            <w:hideMark/>
          </w:tcPr>
          <w:p w:rsidR="007E337C" w:rsidRPr="00413ED9" w:rsidRDefault="007E337C" w:rsidP="007E337C">
            <w:pPr>
              <w:pStyle w:val="table2"/>
              <w:rPr>
                <w:b/>
                <w:sz w:val="20"/>
              </w:rPr>
            </w:pPr>
            <w:r w:rsidRPr="00413ED9">
              <w:rPr>
                <w:b/>
                <w:sz w:val="20"/>
                <w:lang w:val="en-US"/>
              </w:rPr>
              <w:t>Reddell &amp; Meek (200</w:t>
            </w:r>
            <w:r>
              <w:rPr>
                <w:b/>
                <w:sz w:val="20"/>
                <w:lang w:val="en-US"/>
              </w:rPr>
              <w:t>4</w:t>
            </w:r>
            <w:r w:rsidRPr="00413ED9">
              <w:rPr>
                <w:b/>
                <w:sz w:val="20"/>
                <w:lang w:val="en-US"/>
              </w:rPr>
              <w:t>)</w:t>
            </w:r>
            <w:r w:rsidRPr="00413ED9">
              <w:rPr>
                <w:b/>
                <w:sz w:val="20"/>
              </w:rPr>
              <w:t xml:space="preserve"> </w:t>
            </w:r>
          </w:p>
        </w:tc>
        <w:tc>
          <w:tcPr>
            <w:tcW w:w="6379" w:type="dxa"/>
            <w:shd w:val="clear" w:color="auto" w:fill="FFFFFF" w:themeFill="background1"/>
            <w:tcMar>
              <w:top w:w="15" w:type="dxa"/>
              <w:left w:w="108" w:type="dxa"/>
              <w:bottom w:w="0" w:type="dxa"/>
              <w:right w:w="108" w:type="dxa"/>
            </w:tcMar>
            <w:vAlign w:val="center"/>
            <w:hideMark/>
          </w:tcPr>
          <w:p w:rsidR="007E337C" w:rsidRPr="00413ED9" w:rsidRDefault="007E337C" w:rsidP="007E337C">
            <w:pPr>
              <w:pStyle w:val="table2"/>
              <w:rPr>
                <w:b/>
                <w:sz w:val="20"/>
              </w:rPr>
            </w:pPr>
            <w:r w:rsidRPr="00413ED9">
              <w:rPr>
                <w:b/>
                <w:sz w:val="20"/>
                <w:lang w:val="en-US"/>
              </w:rPr>
              <w:t>Knowledge (2014)</w:t>
            </w:r>
            <w:r w:rsidRPr="00413ED9">
              <w:rPr>
                <w:b/>
                <w:sz w:val="20"/>
              </w:rPr>
              <w:t xml:space="preserve"> </w:t>
            </w:r>
          </w:p>
        </w:tc>
        <w:tc>
          <w:tcPr>
            <w:tcW w:w="6095" w:type="dxa"/>
            <w:shd w:val="clear" w:color="auto" w:fill="FFFFFF" w:themeFill="background1"/>
            <w:tcMar>
              <w:top w:w="15" w:type="dxa"/>
              <w:left w:w="108" w:type="dxa"/>
              <w:bottom w:w="0" w:type="dxa"/>
              <w:right w:w="108" w:type="dxa"/>
            </w:tcMar>
            <w:vAlign w:val="center"/>
            <w:hideMark/>
          </w:tcPr>
          <w:p w:rsidR="007E337C" w:rsidRPr="00413ED9" w:rsidRDefault="007E337C" w:rsidP="007E337C">
            <w:pPr>
              <w:pStyle w:val="table2"/>
              <w:rPr>
                <w:b/>
                <w:sz w:val="20"/>
              </w:rPr>
            </w:pPr>
            <w:r w:rsidRPr="00413ED9">
              <w:rPr>
                <w:b/>
                <w:sz w:val="20"/>
              </w:rPr>
              <w:t>Potential risks and further work</w:t>
            </w:r>
          </w:p>
        </w:tc>
      </w:tr>
      <w:tr w:rsidR="007E337C" w:rsidRPr="00F91A77" w:rsidTr="003132F8">
        <w:trPr>
          <w:trHeight w:val="994"/>
        </w:trPr>
        <w:tc>
          <w:tcPr>
            <w:tcW w:w="3085" w:type="dxa"/>
            <w:shd w:val="clear" w:color="auto" w:fill="FFFFFF" w:themeFill="background1"/>
            <w:tcMar>
              <w:top w:w="15" w:type="dxa"/>
              <w:left w:w="108" w:type="dxa"/>
              <w:bottom w:w="0" w:type="dxa"/>
              <w:right w:w="108" w:type="dxa"/>
            </w:tcMar>
            <w:vAlign w:val="center"/>
            <w:hideMark/>
          </w:tcPr>
          <w:p w:rsidR="007E337C" w:rsidRPr="00F91A77" w:rsidRDefault="007E337C" w:rsidP="007E337C">
            <w:pPr>
              <w:pStyle w:val="table2"/>
              <w:spacing w:after="60"/>
              <w:rPr>
                <w:szCs w:val="16"/>
              </w:rPr>
            </w:pPr>
            <w:r w:rsidRPr="00F91A77">
              <w:rPr>
                <w:szCs w:val="16"/>
              </w:rPr>
              <w:t>1. Determine likely physical and chemical characteristics of final landform</w:t>
            </w:r>
          </w:p>
          <w:p w:rsidR="007E337C" w:rsidRPr="00F91A77" w:rsidRDefault="007E337C" w:rsidP="007E337C">
            <w:pPr>
              <w:pStyle w:val="table2"/>
              <w:numPr>
                <w:ilvl w:val="0"/>
                <w:numId w:val="38"/>
              </w:numPr>
              <w:ind w:left="284" w:hanging="284"/>
              <w:rPr>
                <w:szCs w:val="16"/>
              </w:rPr>
            </w:pPr>
            <w:r w:rsidRPr="00F91A77">
              <w:rPr>
                <w:szCs w:val="16"/>
              </w:rPr>
              <w:t xml:space="preserve">Identify constraints to </w:t>
            </w:r>
            <w:r>
              <w:rPr>
                <w:szCs w:val="16"/>
              </w:rPr>
              <w:t xml:space="preserve">vegetation </w:t>
            </w:r>
            <w:r w:rsidRPr="00F91A77">
              <w:rPr>
                <w:szCs w:val="16"/>
              </w:rPr>
              <w:t xml:space="preserve">establishment and long-term success </w:t>
            </w:r>
          </w:p>
        </w:tc>
        <w:tc>
          <w:tcPr>
            <w:tcW w:w="6379" w:type="dxa"/>
            <w:shd w:val="clear" w:color="auto" w:fill="FFFFFF" w:themeFill="background1"/>
            <w:tcMar>
              <w:top w:w="15" w:type="dxa"/>
              <w:left w:w="108" w:type="dxa"/>
              <w:bottom w:w="0" w:type="dxa"/>
              <w:right w:w="108" w:type="dxa"/>
            </w:tcMar>
            <w:vAlign w:val="center"/>
            <w:hideMark/>
          </w:tcPr>
          <w:p w:rsidR="007E337C" w:rsidRPr="00D2094A" w:rsidRDefault="007E337C" w:rsidP="007E337C">
            <w:pPr>
              <w:pStyle w:val="table2"/>
              <w:spacing w:after="60"/>
              <w:rPr>
                <w:szCs w:val="16"/>
              </w:rPr>
            </w:pPr>
            <w:r w:rsidRPr="00D2094A">
              <w:rPr>
                <w:szCs w:val="16"/>
                <w:lang w:val="en-US"/>
              </w:rPr>
              <w:t xml:space="preserve">Trial </w:t>
            </w:r>
            <w:proofErr w:type="gramStart"/>
            <w:r w:rsidRPr="00D2094A">
              <w:rPr>
                <w:szCs w:val="16"/>
                <w:lang w:val="en-US"/>
              </w:rPr>
              <w:t>landform</w:t>
            </w:r>
            <w:r>
              <w:rPr>
                <w:szCs w:val="16"/>
                <w:lang w:val="en-US"/>
              </w:rPr>
              <w:t xml:space="preserve"> </w:t>
            </w:r>
            <w:r w:rsidRPr="00D2094A">
              <w:rPr>
                <w:szCs w:val="16"/>
                <w:lang w:val="en-US"/>
              </w:rPr>
              <w:t xml:space="preserve"> indicating</w:t>
            </w:r>
            <w:proofErr w:type="gramEnd"/>
            <w:r w:rsidRPr="00D2094A">
              <w:rPr>
                <w:szCs w:val="16"/>
                <w:lang w:val="en-US"/>
              </w:rPr>
              <w:t xml:space="preserve"> no short-term constraints </w:t>
            </w:r>
            <w:r>
              <w:rPr>
                <w:szCs w:val="16"/>
                <w:lang w:val="en-US"/>
              </w:rPr>
              <w:t xml:space="preserve">of landform substrate for </w:t>
            </w:r>
            <w:r w:rsidRPr="00D2094A">
              <w:rPr>
                <w:szCs w:val="16"/>
                <w:lang w:val="en-US"/>
              </w:rPr>
              <w:t>plant growth</w:t>
            </w:r>
            <w:r>
              <w:rPr>
                <w:szCs w:val="16"/>
                <w:lang w:val="en-US"/>
              </w:rPr>
              <w:t>.</w:t>
            </w:r>
          </w:p>
          <w:p w:rsidR="007E337C" w:rsidRPr="00D2094A" w:rsidRDefault="007E337C" w:rsidP="007E337C">
            <w:pPr>
              <w:pStyle w:val="table2"/>
              <w:rPr>
                <w:szCs w:val="16"/>
              </w:rPr>
            </w:pPr>
            <w:r w:rsidRPr="00D2094A">
              <w:rPr>
                <w:iCs/>
                <w:szCs w:val="16"/>
                <w:lang w:val="en-US"/>
              </w:rPr>
              <w:t xml:space="preserve">ERA’s water balance study </w:t>
            </w:r>
            <w:r>
              <w:rPr>
                <w:iCs/>
                <w:szCs w:val="16"/>
                <w:lang w:val="en-US"/>
              </w:rPr>
              <w:t>indicates</w:t>
            </w:r>
            <w:r w:rsidRPr="00D2094A">
              <w:rPr>
                <w:iCs/>
                <w:szCs w:val="16"/>
                <w:lang w:val="en-US"/>
              </w:rPr>
              <w:t xml:space="preserve"> Potential Available Water </w:t>
            </w:r>
            <w:r>
              <w:rPr>
                <w:iCs/>
                <w:szCs w:val="16"/>
                <w:lang w:val="en-US"/>
              </w:rPr>
              <w:t>(PAW) on the trial landform (4 m of waste rock) is</w:t>
            </w:r>
            <w:r w:rsidRPr="00D2094A">
              <w:rPr>
                <w:iCs/>
                <w:szCs w:val="16"/>
                <w:lang w:val="en-US"/>
              </w:rPr>
              <w:t xml:space="preserve"> lower than analogue sites</w:t>
            </w:r>
            <w:r>
              <w:rPr>
                <w:iCs/>
                <w:szCs w:val="16"/>
                <w:lang w:val="en-US"/>
              </w:rPr>
              <w:t xml:space="preserve">; whether this is the reason for </w:t>
            </w:r>
            <w:r w:rsidRPr="00D2094A">
              <w:rPr>
                <w:iCs/>
                <w:szCs w:val="16"/>
                <w:lang w:val="en-US"/>
              </w:rPr>
              <w:t>signs of stress</w:t>
            </w:r>
            <w:r>
              <w:rPr>
                <w:iCs/>
                <w:szCs w:val="16"/>
                <w:lang w:val="en-US"/>
              </w:rPr>
              <w:t xml:space="preserve"> amongst</w:t>
            </w:r>
            <w:r w:rsidRPr="00D2094A">
              <w:rPr>
                <w:iCs/>
                <w:szCs w:val="16"/>
                <w:lang w:val="en-US"/>
              </w:rPr>
              <w:t xml:space="preserve"> some species on </w:t>
            </w:r>
            <w:r>
              <w:rPr>
                <w:iCs/>
                <w:szCs w:val="16"/>
                <w:lang w:val="en-US"/>
              </w:rPr>
              <w:t xml:space="preserve">the </w:t>
            </w:r>
            <w:r w:rsidRPr="00D2094A">
              <w:rPr>
                <w:iCs/>
                <w:szCs w:val="16"/>
                <w:lang w:val="en-US"/>
              </w:rPr>
              <w:t xml:space="preserve">trial landform (e.g. </w:t>
            </w:r>
            <w:r w:rsidRPr="00A62379">
              <w:rPr>
                <w:i/>
                <w:iCs/>
                <w:szCs w:val="16"/>
                <w:lang w:val="en-US"/>
              </w:rPr>
              <w:t>E. miniata</w:t>
            </w:r>
            <w:r w:rsidRPr="00D2094A">
              <w:rPr>
                <w:iCs/>
                <w:szCs w:val="16"/>
                <w:lang w:val="en-US"/>
              </w:rPr>
              <w:t xml:space="preserve">) </w:t>
            </w:r>
            <w:r>
              <w:rPr>
                <w:iCs/>
                <w:szCs w:val="16"/>
                <w:lang w:val="en-US"/>
              </w:rPr>
              <w:t>is unknown</w:t>
            </w:r>
            <w:r w:rsidRPr="00D2094A">
              <w:rPr>
                <w:iCs/>
                <w:szCs w:val="16"/>
                <w:lang w:val="en-US"/>
              </w:rPr>
              <w:t>.</w:t>
            </w:r>
            <w:r w:rsidRPr="00D2094A">
              <w:rPr>
                <w:iCs/>
                <w:szCs w:val="16"/>
              </w:rPr>
              <w:t xml:space="preserve"> </w:t>
            </w:r>
            <w:r w:rsidRPr="00F91A77">
              <w:rPr>
                <w:szCs w:val="16"/>
                <w:lang w:val="en-US"/>
              </w:rPr>
              <w:t xml:space="preserve">Partially compacted subsurface layers </w:t>
            </w:r>
            <w:r>
              <w:rPr>
                <w:szCs w:val="16"/>
                <w:lang w:val="en-US"/>
              </w:rPr>
              <w:t xml:space="preserve">or thicker layer of waste rock cover </w:t>
            </w:r>
            <w:r w:rsidRPr="00F91A77">
              <w:rPr>
                <w:szCs w:val="16"/>
                <w:lang w:val="en-US"/>
              </w:rPr>
              <w:t>will improve the local PAW</w:t>
            </w:r>
            <w:r>
              <w:rPr>
                <w:szCs w:val="16"/>
                <w:lang w:val="en-US"/>
              </w:rPr>
              <w:t>.</w:t>
            </w:r>
          </w:p>
        </w:tc>
        <w:tc>
          <w:tcPr>
            <w:tcW w:w="6095" w:type="dxa"/>
            <w:shd w:val="clear" w:color="auto" w:fill="FFFFFF" w:themeFill="background1"/>
            <w:tcMar>
              <w:top w:w="15" w:type="dxa"/>
              <w:left w:w="108" w:type="dxa"/>
              <w:bottom w:w="0" w:type="dxa"/>
              <w:right w:w="108" w:type="dxa"/>
            </w:tcMar>
            <w:vAlign w:val="center"/>
            <w:hideMark/>
          </w:tcPr>
          <w:p w:rsidR="007E337C" w:rsidRPr="00A62379" w:rsidRDefault="007E337C" w:rsidP="007E337C">
            <w:pPr>
              <w:pStyle w:val="table2"/>
              <w:spacing w:after="60"/>
              <w:rPr>
                <w:szCs w:val="16"/>
              </w:rPr>
            </w:pPr>
            <w:r w:rsidRPr="00A62379">
              <w:rPr>
                <w:iCs/>
                <w:szCs w:val="16"/>
                <w:lang w:val="en-US"/>
              </w:rPr>
              <w:t xml:space="preserve">Water balance studies could suggest risks to long term sustainability of the vegetation (at maturity), especially where </w:t>
            </w:r>
            <w:r>
              <w:rPr>
                <w:iCs/>
                <w:szCs w:val="16"/>
                <w:lang w:val="en-US"/>
              </w:rPr>
              <w:t>thickness</w:t>
            </w:r>
            <w:r w:rsidRPr="00A62379">
              <w:rPr>
                <w:iCs/>
                <w:szCs w:val="16"/>
                <w:lang w:val="en-US"/>
              </w:rPr>
              <w:t xml:space="preserve"> of waste rock </w:t>
            </w:r>
            <w:r>
              <w:rPr>
                <w:iCs/>
                <w:szCs w:val="16"/>
                <w:lang w:val="en-US"/>
              </w:rPr>
              <w:t xml:space="preserve">is less (i.e. thinner) than </w:t>
            </w:r>
            <w:r w:rsidRPr="00A62379">
              <w:rPr>
                <w:iCs/>
                <w:szCs w:val="16"/>
                <w:lang w:val="en-US"/>
              </w:rPr>
              <w:t>a particular – and unknown – threshold</w:t>
            </w:r>
            <w:r>
              <w:rPr>
                <w:iCs/>
                <w:szCs w:val="16"/>
                <w:lang w:val="en-US"/>
              </w:rPr>
              <w:t xml:space="preserve"> (this requirement is currently being assessed)</w:t>
            </w:r>
            <w:r w:rsidRPr="00A62379">
              <w:rPr>
                <w:iCs/>
                <w:szCs w:val="16"/>
                <w:lang w:val="en-US"/>
              </w:rPr>
              <w:t>. Water availability may similarly be limited for vegetation establishment on steeper slopes.</w:t>
            </w:r>
          </w:p>
          <w:p w:rsidR="007E337C" w:rsidRPr="00A62379" w:rsidRDefault="007E337C" w:rsidP="007E337C">
            <w:pPr>
              <w:pStyle w:val="table2"/>
              <w:spacing w:after="60"/>
              <w:rPr>
                <w:szCs w:val="16"/>
              </w:rPr>
            </w:pPr>
            <w:r w:rsidRPr="00A62379">
              <w:rPr>
                <w:b/>
                <w:iCs/>
                <w:szCs w:val="16"/>
                <w:lang w:val="en-US"/>
              </w:rPr>
              <w:t>Further studies</w:t>
            </w:r>
            <w:r w:rsidRPr="00A62379">
              <w:rPr>
                <w:iCs/>
                <w:szCs w:val="16"/>
                <w:lang w:val="en-US"/>
              </w:rPr>
              <w:t xml:space="preserve">: Use Pit 1 capping and re-vegetation to trial performance of vegetation over various waste rock </w:t>
            </w:r>
            <w:r>
              <w:rPr>
                <w:iCs/>
                <w:szCs w:val="16"/>
                <w:lang w:val="en-US"/>
              </w:rPr>
              <w:t>layer designs (</w:t>
            </w:r>
            <w:r w:rsidRPr="00A62379">
              <w:rPr>
                <w:iCs/>
                <w:szCs w:val="16"/>
                <w:lang w:val="en-US"/>
              </w:rPr>
              <w:t>thicknesses</w:t>
            </w:r>
            <w:r>
              <w:rPr>
                <w:iCs/>
                <w:szCs w:val="16"/>
                <w:lang w:val="en-US"/>
              </w:rPr>
              <w:t xml:space="preserve">, partial compacted subsurface layer) </w:t>
            </w:r>
            <w:r w:rsidRPr="00A62379">
              <w:rPr>
                <w:iCs/>
                <w:szCs w:val="16"/>
                <w:lang w:val="en-US"/>
              </w:rPr>
              <w:t xml:space="preserve">and slopes. </w:t>
            </w:r>
          </w:p>
        </w:tc>
      </w:tr>
      <w:tr w:rsidR="007E337C" w:rsidRPr="00F91A77" w:rsidTr="003132F8">
        <w:trPr>
          <w:trHeight w:val="587"/>
        </w:trPr>
        <w:tc>
          <w:tcPr>
            <w:tcW w:w="3085" w:type="dxa"/>
            <w:shd w:val="clear" w:color="auto" w:fill="FFFFFF" w:themeFill="background1"/>
            <w:tcMar>
              <w:top w:w="15" w:type="dxa"/>
              <w:left w:w="108" w:type="dxa"/>
              <w:bottom w:w="0" w:type="dxa"/>
              <w:right w:w="108" w:type="dxa"/>
            </w:tcMar>
            <w:vAlign w:val="center"/>
            <w:hideMark/>
          </w:tcPr>
          <w:p w:rsidR="007E337C" w:rsidRPr="00F91A77" w:rsidRDefault="007E337C" w:rsidP="007E337C">
            <w:pPr>
              <w:pStyle w:val="table2"/>
              <w:rPr>
                <w:szCs w:val="16"/>
              </w:rPr>
            </w:pPr>
            <w:r w:rsidRPr="00F91A77">
              <w:rPr>
                <w:kern w:val="24"/>
                <w:szCs w:val="16"/>
                <w:lang w:val="en-US"/>
              </w:rPr>
              <w:t>2. Identify suitable vegetation types for establishment</w:t>
            </w:r>
            <w:r w:rsidRPr="00F91A77">
              <w:rPr>
                <w:kern w:val="24"/>
                <w:szCs w:val="16"/>
              </w:rPr>
              <w:t xml:space="preserve"> </w:t>
            </w:r>
          </w:p>
        </w:tc>
        <w:tc>
          <w:tcPr>
            <w:tcW w:w="6379" w:type="dxa"/>
            <w:shd w:val="clear" w:color="auto" w:fill="FFFFFF" w:themeFill="background1"/>
            <w:tcMar>
              <w:top w:w="15" w:type="dxa"/>
              <w:left w:w="108" w:type="dxa"/>
              <w:bottom w:w="0" w:type="dxa"/>
              <w:right w:w="108" w:type="dxa"/>
            </w:tcMar>
            <w:vAlign w:val="center"/>
            <w:hideMark/>
          </w:tcPr>
          <w:p w:rsidR="007E337C" w:rsidRPr="00F91A77" w:rsidRDefault="007E337C" w:rsidP="007E337C">
            <w:pPr>
              <w:pStyle w:val="table2"/>
              <w:rPr>
                <w:szCs w:val="16"/>
              </w:rPr>
            </w:pPr>
            <w:r w:rsidRPr="00F91A77">
              <w:rPr>
                <w:kern w:val="24"/>
                <w:szCs w:val="16"/>
                <w:lang w:val="en-US"/>
              </w:rPr>
              <w:t>Analogue studies have identified key plant community types and species densities</w:t>
            </w:r>
            <w:r w:rsidRPr="00F91A77">
              <w:rPr>
                <w:kern w:val="24"/>
                <w:szCs w:val="16"/>
              </w:rPr>
              <w:t xml:space="preserve"> </w:t>
            </w:r>
          </w:p>
        </w:tc>
        <w:tc>
          <w:tcPr>
            <w:tcW w:w="6095" w:type="dxa"/>
            <w:shd w:val="clear" w:color="auto" w:fill="FFFFFF" w:themeFill="background1"/>
            <w:tcMar>
              <w:top w:w="15" w:type="dxa"/>
              <w:left w:w="108" w:type="dxa"/>
              <w:bottom w:w="0" w:type="dxa"/>
              <w:right w:w="108" w:type="dxa"/>
            </w:tcMar>
            <w:vAlign w:val="center"/>
            <w:hideMark/>
          </w:tcPr>
          <w:p w:rsidR="007E337C" w:rsidRPr="00192301" w:rsidRDefault="007E337C" w:rsidP="007E337C">
            <w:pPr>
              <w:pStyle w:val="table2"/>
              <w:spacing w:after="60"/>
              <w:rPr>
                <w:szCs w:val="16"/>
              </w:rPr>
            </w:pPr>
            <w:r>
              <w:rPr>
                <w:iCs/>
                <w:kern w:val="24"/>
                <w:szCs w:val="16"/>
              </w:rPr>
              <w:t>R</w:t>
            </w:r>
            <w:r w:rsidRPr="00192301">
              <w:rPr>
                <w:iCs/>
                <w:kern w:val="24"/>
                <w:szCs w:val="16"/>
              </w:rPr>
              <w:t xml:space="preserve">ehabilitation targets </w:t>
            </w:r>
            <w:r w:rsidRPr="00192301">
              <w:rPr>
                <w:kern w:val="24"/>
                <w:szCs w:val="16"/>
              </w:rPr>
              <w:t>wrt</w:t>
            </w:r>
            <w:r w:rsidRPr="00192301">
              <w:rPr>
                <w:iCs/>
                <w:kern w:val="24"/>
                <w:szCs w:val="16"/>
              </w:rPr>
              <w:t xml:space="preserve"> analogues yet to be negotiated</w:t>
            </w:r>
            <w:r>
              <w:rPr>
                <w:iCs/>
                <w:kern w:val="24"/>
                <w:szCs w:val="16"/>
              </w:rPr>
              <w:t xml:space="preserve"> in light of (i) plant-environment relationships determined from analogue studies, and (ii) </w:t>
            </w:r>
            <w:proofErr w:type="gramStart"/>
            <w:r>
              <w:rPr>
                <w:iCs/>
                <w:kern w:val="24"/>
                <w:szCs w:val="16"/>
              </w:rPr>
              <w:t xml:space="preserve">recent  </w:t>
            </w:r>
            <w:r>
              <w:t>learnings</w:t>
            </w:r>
            <w:proofErr w:type="gramEnd"/>
            <w:r>
              <w:t xml:space="preserve"> from trial landform and plant propagation</w:t>
            </w:r>
            <w:r>
              <w:rPr>
                <w:iCs/>
                <w:kern w:val="24"/>
                <w:szCs w:val="16"/>
              </w:rPr>
              <w:t xml:space="preserve">. </w:t>
            </w:r>
          </w:p>
        </w:tc>
      </w:tr>
      <w:tr w:rsidR="007E337C" w:rsidRPr="00F91A77" w:rsidTr="003132F8">
        <w:trPr>
          <w:trHeight w:val="567"/>
        </w:trPr>
        <w:tc>
          <w:tcPr>
            <w:tcW w:w="3085" w:type="dxa"/>
            <w:shd w:val="clear" w:color="auto" w:fill="FFFFFF" w:themeFill="background1"/>
            <w:tcMar>
              <w:top w:w="15" w:type="dxa"/>
              <w:left w:w="108" w:type="dxa"/>
              <w:bottom w:w="0" w:type="dxa"/>
              <w:right w:w="108" w:type="dxa"/>
            </w:tcMar>
            <w:vAlign w:val="center"/>
            <w:hideMark/>
          </w:tcPr>
          <w:p w:rsidR="007E337C" w:rsidRPr="00F91A77" w:rsidRDefault="007E337C" w:rsidP="007E337C">
            <w:pPr>
              <w:pStyle w:val="table2"/>
              <w:rPr>
                <w:szCs w:val="16"/>
              </w:rPr>
            </w:pPr>
            <w:r w:rsidRPr="00F91A77">
              <w:rPr>
                <w:szCs w:val="16"/>
              </w:rPr>
              <w:t xml:space="preserve">3. Establish vegetation directly into </w:t>
            </w:r>
            <w:r>
              <w:rPr>
                <w:szCs w:val="16"/>
              </w:rPr>
              <w:t>landform substrate</w:t>
            </w:r>
          </w:p>
        </w:tc>
        <w:tc>
          <w:tcPr>
            <w:tcW w:w="6379" w:type="dxa"/>
            <w:shd w:val="clear" w:color="auto" w:fill="FFFFFF" w:themeFill="background1"/>
            <w:tcMar>
              <w:top w:w="15" w:type="dxa"/>
              <w:left w:w="108" w:type="dxa"/>
              <w:bottom w:w="0" w:type="dxa"/>
              <w:right w:w="108" w:type="dxa"/>
            </w:tcMar>
            <w:vAlign w:val="center"/>
            <w:hideMark/>
          </w:tcPr>
          <w:p w:rsidR="007E337C" w:rsidRPr="00F91A77" w:rsidRDefault="007E337C" w:rsidP="007E337C">
            <w:pPr>
              <w:pStyle w:val="table2"/>
              <w:rPr>
                <w:szCs w:val="16"/>
              </w:rPr>
            </w:pPr>
            <w:r>
              <w:rPr>
                <w:iCs/>
                <w:szCs w:val="16"/>
                <w:lang w:val="en-US"/>
              </w:rPr>
              <w:t xml:space="preserve">Additional laterite mixed into waste rock (appearing at surface) facilitated weed and other fire-prone and vegetation-smothering establishment on the trial landform. </w:t>
            </w:r>
            <w:r w:rsidRPr="00F91A77">
              <w:rPr>
                <w:szCs w:val="16"/>
                <w:lang w:val="en-US"/>
              </w:rPr>
              <w:t xml:space="preserve">Waste rock </w:t>
            </w:r>
            <w:r w:rsidRPr="00E018B0">
              <w:rPr>
                <w:szCs w:val="16"/>
                <w:u w:val="single"/>
                <w:lang w:val="en-US"/>
              </w:rPr>
              <w:t>only</w:t>
            </w:r>
            <w:r w:rsidRPr="00F91A77">
              <w:rPr>
                <w:szCs w:val="16"/>
                <w:lang w:val="en-US"/>
              </w:rPr>
              <w:t xml:space="preserve"> substrate appears to be a suitable medium, for at least early </w:t>
            </w:r>
            <w:r>
              <w:rPr>
                <w:szCs w:val="16"/>
                <w:lang w:val="en-US"/>
              </w:rPr>
              <w:t>establishing plants</w:t>
            </w:r>
            <w:r w:rsidRPr="00F91A77">
              <w:rPr>
                <w:szCs w:val="16"/>
                <w:lang w:val="en-US"/>
              </w:rPr>
              <w:t xml:space="preserve"> (4-5 years).</w:t>
            </w:r>
            <w:r>
              <w:t xml:space="preserve"> </w:t>
            </w:r>
          </w:p>
        </w:tc>
        <w:tc>
          <w:tcPr>
            <w:tcW w:w="6095" w:type="dxa"/>
            <w:shd w:val="clear" w:color="auto" w:fill="FFFFFF" w:themeFill="background1"/>
            <w:tcMar>
              <w:top w:w="15" w:type="dxa"/>
              <w:left w:w="108" w:type="dxa"/>
              <w:bottom w:w="0" w:type="dxa"/>
              <w:right w:w="108" w:type="dxa"/>
            </w:tcMar>
            <w:vAlign w:val="center"/>
            <w:hideMark/>
          </w:tcPr>
          <w:p w:rsidR="007E337C" w:rsidRPr="00773C4F" w:rsidRDefault="007E337C" w:rsidP="007E337C">
            <w:pPr>
              <w:pStyle w:val="table2"/>
              <w:jc w:val="both"/>
              <w:rPr>
                <w:iCs/>
                <w:szCs w:val="16"/>
                <w:lang w:val="en-US"/>
              </w:rPr>
            </w:pPr>
            <w:r w:rsidRPr="00E018B0">
              <w:rPr>
                <w:iCs/>
                <w:szCs w:val="16"/>
                <w:lang w:val="en-US"/>
              </w:rPr>
              <w:t>Waste rock</w:t>
            </w:r>
            <w:r>
              <w:rPr>
                <w:iCs/>
                <w:szCs w:val="16"/>
                <w:lang w:val="en-US"/>
              </w:rPr>
              <w:t xml:space="preserve"> mixed with ‘contaminated’ laterite introduced weeds and aggressive</w:t>
            </w:r>
            <w:r w:rsidRPr="00E018B0">
              <w:rPr>
                <w:iCs/>
                <w:szCs w:val="16"/>
                <w:lang w:val="en-US"/>
              </w:rPr>
              <w:t xml:space="preserve"> acacias</w:t>
            </w:r>
            <w:r>
              <w:rPr>
                <w:iCs/>
                <w:szCs w:val="16"/>
                <w:lang w:val="en-US"/>
              </w:rPr>
              <w:t xml:space="preserve"> (</w:t>
            </w:r>
            <w:r w:rsidRPr="00107100">
              <w:rPr>
                <w:i/>
                <w:iCs/>
                <w:szCs w:val="16"/>
                <w:lang w:val="en-US"/>
              </w:rPr>
              <w:t>Acacia holosericea</w:t>
            </w:r>
            <w:r>
              <w:rPr>
                <w:iCs/>
                <w:szCs w:val="16"/>
                <w:lang w:val="en-US"/>
              </w:rPr>
              <w:t>) on the trial landform</w:t>
            </w:r>
            <w:r w:rsidRPr="00E018B0">
              <w:rPr>
                <w:iCs/>
                <w:szCs w:val="16"/>
                <w:lang w:val="en-US"/>
              </w:rPr>
              <w:t xml:space="preserve">. </w:t>
            </w:r>
            <w:r>
              <w:t xml:space="preserve">Even if laterite materials were weed-propagule free, surface laterite could still facilitate establishment of weeds blown in from nearby infested areas. Laterite mix layer </w:t>
            </w:r>
            <w:r w:rsidRPr="00107100">
              <w:rPr>
                <w:i/>
              </w:rPr>
              <w:t>below</w:t>
            </w:r>
            <w:r>
              <w:t xml:space="preserve"> a layer of clean waste rock would negate those risks.</w:t>
            </w:r>
          </w:p>
        </w:tc>
      </w:tr>
      <w:tr w:rsidR="007E337C" w:rsidRPr="00F91A77" w:rsidTr="003132F8">
        <w:trPr>
          <w:trHeight w:val="1028"/>
        </w:trPr>
        <w:tc>
          <w:tcPr>
            <w:tcW w:w="3085" w:type="dxa"/>
            <w:shd w:val="clear" w:color="auto" w:fill="FFFFFF" w:themeFill="background1"/>
            <w:tcMar>
              <w:top w:w="15" w:type="dxa"/>
              <w:left w:w="108" w:type="dxa"/>
              <w:bottom w:w="0" w:type="dxa"/>
              <w:right w:w="108" w:type="dxa"/>
            </w:tcMar>
            <w:vAlign w:val="center"/>
            <w:hideMark/>
          </w:tcPr>
          <w:p w:rsidR="007E337C" w:rsidRPr="00F91A77" w:rsidRDefault="007E337C" w:rsidP="007E337C">
            <w:pPr>
              <w:pStyle w:val="table2"/>
              <w:rPr>
                <w:szCs w:val="16"/>
              </w:rPr>
            </w:pPr>
            <w:r w:rsidRPr="00F91A77">
              <w:rPr>
                <w:szCs w:val="16"/>
              </w:rPr>
              <w:t xml:space="preserve">4. Maximise surface roughness and ‘patchiness’ during site preparation. </w:t>
            </w:r>
          </w:p>
        </w:tc>
        <w:tc>
          <w:tcPr>
            <w:tcW w:w="6379" w:type="dxa"/>
            <w:shd w:val="clear" w:color="auto" w:fill="FFFFFF" w:themeFill="background1"/>
            <w:tcMar>
              <w:top w:w="15" w:type="dxa"/>
              <w:left w:w="108" w:type="dxa"/>
              <w:bottom w:w="0" w:type="dxa"/>
              <w:right w:w="108" w:type="dxa"/>
            </w:tcMar>
            <w:vAlign w:val="center"/>
            <w:hideMark/>
          </w:tcPr>
          <w:p w:rsidR="007E337C" w:rsidRPr="00451E24" w:rsidRDefault="007E337C" w:rsidP="007E337C">
            <w:pPr>
              <w:pStyle w:val="table2"/>
              <w:rPr>
                <w:szCs w:val="16"/>
              </w:rPr>
            </w:pPr>
            <w:r>
              <w:rPr>
                <w:iCs/>
                <w:szCs w:val="16"/>
              </w:rPr>
              <w:t>Several a</w:t>
            </w:r>
            <w:r w:rsidRPr="00337242">
              <w:rPr>
                <w:iCs/>
                <w:szCs w:val="16"/>
              </w:rPr>
              <w:t xml:space="preserve">dvantages </w:t>
            </w:r>
            <w:r>
              <w:rPr>
                <w:iCs/>
                <w:szCs w:val="16"/>
              </w:rPr>
              <w:t xml:space="preserve">to the </w:t>
            </w:r>
            <w:r w:rsidRPr="00337242">
              <w:rPr>
                <w:iCs/>
                <w:szCs w:val="16"/>
              </w:rPr>
              <w:t>inclusion of riplines</w:t>
            </w:r>
            <w:r>
              <w:rPr>
                <w:iCs/>
                <w:szCs w:val="16"/>
              </w:rPr>
              <w:t xml:space="preserve"> have been found. They</w:t>
            </w:r>
            <w:r w:rsidRPr="00337242">
              <w:rPr>
                <w:iCs/>
                <w:szCs w:val="16"/>
              </w:rPr>
              <w:t xml:space="preserve"> increase available microhabitats</w:t>
            </w:r>
            <w:r>
              <w:rPr>
                <w:iCs/>
                <w:szCs w:val="16"/>
              </w:rPr>
              <w:t>, nutrient cycling</w:t>
            </w:r>
            <w:r w:rsidRPr="00337242">
              <w:rPr>
                <w:iCs/>
                <w:szCs w:val="16"/>
              </w:rPr>
              <w:t xml:space="preserve"> and ecosystem patchiness, and trap leaf litter on leeward side</w:t>
            </w:r>
            <w:r>
              <w:rPr>
                <w:iCs/>
                <w:szCs w:val="16"/>
              </w:rPr>
              <w:t>.</w:t>
            </w:r>
            <w:r w:rsidRPr="00337242">
              <w:rPr>
                <w:iCs/>
                <w:szCs w:val="16"/>
              </w:rPr>
              <w:t xml:space="preserve"> Riplines, also reduce short term erosion, thus </w:t>
            </w:r>
            <w:r>
              <w:rPr>
                <w:iCs/>
                <w:szCs w:val="16"/>
              </w:rPr>
              <w:t>retaining</w:t>
            </w:r>
            <w:r w:rsidRPr="00337242">
              <w:rPr>
                <w:iCs/>
                <w:szCs w:val="16"/>
              </w:rPr>
              <w:t xml:space="preserve"> </w:t>
            </w:r>
            <w:r>
              <w:rPr>
                <w:iCs/>
                <w:szCs w:val="16"/>
              </w:rPr>
              <w:t>fines and nutrients</w:t>
            </w:r>
            <w:r w:rsidRPr="00337242">
              <w:rPr>
                <w:iCs/>
                <w:szCs w:val="16"/>
              </w:rPr>
              <w:t xml:space="preserve"> </w:t>
            </w:r>
            <w:r>
              <w:rPr>
                <w:iCs/>
                <w:szCs w:val="16"/>
              </w:rPr>
              <w:t>for plant use</w:t>
            </w:r>
            <w:r w:rsidRPr="00337242">
              <w:rPr>
                <w:iCs/>
                <w:szCs w:val="16"/>
              </w:rPr>
              <w:t xml:space="preserve">. </w:t>
            </w:r>
          </w:p>
        </w:tc>
        <w:tc>
          <w:tcPr>
            <w:tcW w:w="6095" w:type="dxa"/>
            <w:shd w:val="clear" w:color="auto" w:fill="FFFFFF" w:themeFill="background1"/>
            <w:tcMar>
              <w:top w:w="15" w:type="dxa"/>
              <w:left w:w="108" w:type="dxa"/>
              <w:bottom w:w="0" w:type="dxa"/>
              <w:right w:w="108" w:type="dxa"/>
            </w:tcMar>
            <w:vAlign w:val="center"/>
            <w:hideMark/>
          </w:tcPr>
          <w:p w:rsidR="007E337C" w:rsidRDefault="007E337C" w:rsidP="007E337C">
            <w:pPr>
              <w:pStyle w:val="table2"/>
              <w:rPr>
                <w:iCs/>
                <w:szCs w:val="16"/>
                <w:lang w:val="en-US"/>
              </w:rPr>
            </w:pPr>
            <w:r w:rsidRPr="00A62379">
              <w:rPr>
                <w:b/>
                <w:iCs/>
                <w:szCs w:val="16"/>
                <w:lang w:val="en-US"/>
              </w:rPr>
              <w:t>Further studies</w:t>
            </w:r>
            <w:r>
              <w:rPr>
                <w:iCs/>
                <w:szCs w:val="16"/>
                <w:lang w:val="en-US"/>
              </w:rPr>
              <w:t>:</w:t>
            </w:r>
          </w:p>
          <w:p w:rsidR="007E337C" w:rsidRDefault="007E337C" w:rsidP="007E337C">
            <w:pPr>
              <w:pStyle w:val="table2"/>
              <w:spacing w:after="60"/>
              <w:rPr>
                <w:iCs/>
                <w:szCs w:val="16"/>
                <w:lang w:val="en-US"/>
              </w:rPr>
            </w:pPr>
            <w:r>
              <w:rPr>
                <w:iCs/>
                <w:szCs w:val="16"/>
                <w:lang w:val="en-US"/>
              </w:rPr>
              <w:t>Nutrient cycling and proxies have not yet been studied on trial landform.</w:t>
            </w:r>
          </w:p>
          <w:p w:rsidR="007E337C" w:rsidRPr="00F91A77" w:rsidRDefault="007E337C" w:rsidP="007E337C">
            <w:pPr>
              <w:pStyle w:val="table2"/>
              <w:spacing w:after="60"/>
              <w:rPr>
                <w:szCs w:val="16"/>
              </w:rPr>
            </w:pPr>
            <w:r w:rsidRPr="00E04329">
              <w:rPr>
                <w:b/>
                <w:iCs/>
                <w:szCs w:val="16"/>
                <w:lang w:val="en-US"/>
              </w:rPr>
              <w:t>Further consultation</w:t>
            </w:r>
            <w:r>
              <w:rPr>
                <w:iCs/>
                <w:szCs w:val="16"/>
                <w:lang w:val="en-US"/>
              </w:rPr>
              <w:t xml:space="preserve">: Landowners have concerns about rough surfaces left after landform formation for traversing country. </w:t>
            </w:r>
            <w:r>
              <w:rPr>
                <w:iCs/>
                <w:szCs w:val="16"/>
              </w:rPr>
              <w:t>Large size rocks brought to surface while ripping (creating useful habitat structure) is purported to be less a problem than riplines themselves. Further negotiation is required; for example, landowners</w:t>
            </w:r>
            <w:r w:rsidRPr="00E04329">
              <w:rPr>
                <w:iCs/>
                <w:szCs w:val="16"/>
                <w:lang w:val="en-US"/>
              </w:rPr>
              <w:t xml:space="preserve"> may be satisfied that by the time vegetation is </w:t>
            </w:r>
            <w:r w:rsidRPr="00E04329">
              <w:rPr>
                <w:iCs/>
                <w:szCs w:val="16"/>
              </w:rPr>
              <w:t>established (1</w:t>
            </w:r>
            <w:r>
              <w:rPr>
                <w:iCs/>
                <w:szCs w:val="16"/>
              </w:rPr>
              <w:t>0</w:t>
            </w:r>
            <w:r w:rsidRPr="00E04329">
              <w:rPr>
                <w:iCs/>
                <w:szCs w:val="16"/>
              </w:rPr>
              <w:t>-20 years), weathering of rocks and smoothing out of the riplines will have occurred.</w:t>
            </w:r>
            <w:r>
              <w:rPr>
                <w:iCs/>
                <w:szCs w:val="16"/>
              </w:rPr>
              <w:t xml:space="preserve"> Further, adequate spacing of riplines (e.g. 10 m apart) would provide greater ease of traversing.</w:t>
            </w:r>
          </w:p>
        </w:tc>
      </w:tr>
      <w:tr w:rsidR="007E337C" w:rsidRPr="001C5375" w:rsidTr="003132F8">
        <w:trPr>
          <w:trHeight w:val="788"/>
        </w:trPr>
        <w:tc>
          <w:tcPr>
            <w:tcW w:w="3085" w:type="dxa"/>
            <w:shd w:val="clear" w:color="auto" w:fill="FFFFFF" w:themeFill="background1"/>
            <w:tcMar>
              <w:top w:w="15" w:type="dxa"/>
              <w:left w:w="108" w:type="dxa"/>
              <w:bottom w:w="0" w:type="dxa"/>
              <w:right w:w="108" w:type="dxa"/>
            </w:tcMar>
            <w:vAlign w:val="center"/>
            <w:hideMark/>
          </w:tcPr>
          <w:p w:rsidR="007E337C" w:rsidRPr="001C5375" w:rsidRDefault="007E337C" w:rsidP="007E337C">
            <w:pPr>
              <w:pStyle w:val="table2"/>
            </w:pPr>
            <w:r w:rsidRPr="001C5375">
              <w:t xml:space="preserve">5. Use seed and propagation material collected within 30 km of Ranger for all species. </w:t>
            </w:r>
          </w:p>
        </w:tc>
        <w:tc>
          <w:tcPr>
            <w:tcW w:w="6379" w:type="dxa"/>
            <w:shd w:val="clear" w:color="auto" w:fill="FFFFFF" w:themeFill="background1"/>
            <w:tcMar>
              <w:top w:w="15" w:type="dxa"/>
              <w:left w:w="108" w:type="dxa"/>
              <w:bottom w:w="0" w:type="dxa"/>
              <w:right w:w="108" w:type="dxa"/>
            </w:tcMar>
            <w:vAlign w:val="center"/>
            <w:hideMark/>
          </w:tcPr>
          <w:p w:rsidR="007E337C" w:rsidRPr="00BB550F" w:rsidRDefault="007E337C" w:rsidP="007E337C">
            <w:pPr>
              <w:pStyle w:val="table2"/>
            </w:pPr>
            <w:r w:rsidRPr="00BB550F">
              <w:rPr>
                <w:lang w:val="en-US"/>
              </w:rPr>
              <w:t>Limited seed stock available within recommended radius</w:t>
            </w:r>
            <w:r>
              <w:rPr>
                <w:lang w:val="en-US"/>
              </w:rPr>
              <w:t>. This has</w:t>
            </w:r>
            <w:r w:rsidRPr="00BB550F">
              <w:rPr>
                <w:iCs/>
                <w:lang w:val="en-US"/>
              </w:rPr>
              <w:t xml:space="preserve"> lead to a provenance radius re-assessment </w:t>
            </w:r>
            <w:r>
              <w:rPr>
                <w:iCs/>
                <w:lang w:val="en-US"/>
              </w:rPr>
              <w:t>with an e</w:t>
            </w:r>
            <w:r w:rsidRPr="00BB550F">
              <w:t>xpanded radius proposed.</w:t>
            </w:r>
          </w:p>
        </w:tc>
        <w:tc>
          <w:tcPr>
            <w:tcW w:w="6095" w:type="dxa"/>
            <w:shd w:val="clear" w:color="auto" w:fill="FFFFFF" w:themeFill="background1"/>
            <w:tcMar>
              <w:top w:w="15" w:type="dxa"/>
              <w:left w:w="108" w:type="dxa"/>
              <w:bottom w:w="0" w:type="dxa"/>
              <w:right w:w="108" w:type="dxa"/>
            </w:tcMar>
            <w:vAlign w:val="center"/>
            <w:hideMark/>
          </w:tcPr>
          <w:p w:rsidR="007E337C" w:rsidRPr="00192301" w:rsidRDefault="007E337C" w:rsidP="007E337C">
            <w:pPr>
              <w:pStyle w:val="table2"/>
            </w:pPr>
            <w:r w:rsidRPr="00192301">
              <w:rPr>
                <w:b/>
                <w:iCs/>
                <w:szCs w:val="16"/>
                <w:lang w:val="en-US"/>
              </w:rPr>
              <w:t>Further consultation</w:t>
            </w:r>
            <w:r w:rsidRPr="00192301">
              <w:rPr>
                <w:iCs/>
                <w:szCs w:val="16"/>
                <w:lang w:val="en-US"/>
              </w:rPr>
              <w:t xml:space="preserve">: </w:t>
            </w:r>
            <w:r w:rsidRPr="00192301">
              <w:rPr>
                <w:iCs/>
                <w:lang w:val="en-US"/>
              </w:rPr>
              <w:t>Expanded provenance radius presented to stakeholders; awaiting endorsement of KNP and GAC</w:t>
            </w:r>
            <w:r w:rsidRPr="00192301">
              <w:rPr>
                <w:iCs/>
              </w:rPr>
              <w:t xml:space="preserve"> </w:t>
            </w:r>
          </w:p>
        </w:tc>
      </w:tr>
      <w:tr w:rsidR="007E337C" w:rsidRPr="00F91A77" w:rsidTr="003132F8">
        <w:trPr>
          <w:trHeight w:val="675"/>
        </w:trPr>
        <w:tc>
          <w:tcPr>
            <w:tcW w:w="3085" w:type="dxa"/>
            <w:shd w:val="clear" w:color="auto" w:fill="FFFFFF" w:themeFill="background1"/>
            <w:tcMar>
              <w:top w:w="15" w:type="dxa"/>
              <w:left w:w="108" w:type="dxa"/>
              <w:bottom w:w="0" w:type="dxa"/>
              <w:right w:w="108" w:type="dxa"/>
            </w:tcMar>
            <w:vAlign w:val="center"/>
            <w:hideMark/>
          </w:tcPr>
          <w:p w:rsidR="007E337C" w:rsidRPr="00F91A77" w:rsidRDefault="007E337C" w:rsidP="007E337C">
            <w:pPr>
              <w:pStyle w:val="table2"/>
              <w:spacing w:after="60"/>
              <w:rPr>
                <w:szCs w:val="16"/>
              </w:rPr>
            </w:pPr>
            <w:r w:rsidRPr="00F91A77">
              <w:rPr>
                <w:kern w:val="24"/>
                <w:szCs w:val="16"/>
              </w:rPr>
              <w:t xml:space="preserve">6. Focus on initially establishing diverse range of the long-lived ‘framework’ species. </w:t>
            </w:r>
          </w:p>
        </w:tc>
        <w:tc>
          <w:tcPr>
            <w:tcW w:w="6379" w:type="dxa"/>
            <w:shd w:val="clear" w:color="auto" w:fill="FFFFFF" w:themeFill="background1"/>
            <w:tcMar>
              <w:top w:w="15" w:type="dxa"/>
              <w:left w:w="108" w:type="dxa"/>
              <w:bottom w:w="0" w:type="dxa"/>
              <w:right w:w="108" w:type="dxa"/>
            </w:tcMar>
            <w:vAlign w:val="center"/>
            <w:hideMark/>
          </w:tcPr>
          <w:p w:rsidR="007E337C" w:rsidRPr="00F91A77" w:rsidRDefault="007E337C" w:rsidP="007E337C">
            <w:pPr>
              <w:pStyle w:val="table2"/>
              <w:spacing w:after="60"/>
              <w:rPr>
                <w:szCs w:val="16"/>
              </w:rPr>
            </w:pPr>
            <w:r w:rsidRPr="00F91A77">
              <w:rPr>
                <w:kern w:val="24"/>
                <w:szCs w:val="16"/>
                <w:lang w:val="en-US"/>
              </w:rPr>
              <w:t>Informed by analogue studies</w:t>
            </w:r>
            <w:r>
              <w:rPr>
                <w:kern w:val="24"/>
                <w:szCs w:val="16"/>
                <w:lang w:val="en-US"/>
              </w:rPr>
              <w:t xml:space="preserve"> and c</w:t>
            </w:r>
            <w:r>
              <w:rPr>
                <w:kern w:val="24"/>
                <w:szCs w:val="16"/>
              </w:rPr>
              <w:t xml:space="preserve">onfirmed by trial landform revegetation. With few exceptions (see 10 below), no significant impediments to propagation of most </w:t>
            </w:r>
            <w:r w:rsidRPr="00F91A77">
              <w:rPr>
                <w:szCs w:val="16"/>
              </w:rPr>
              <w:t>long-lived ‘framework’ species</w:t>
            </w:r>
            <w:r>
              <w:rPr>
                <w:szCs w:val="16"/>
              </w:rPr>
              <w:t>.</w:t>
            </w:r>
          </w:p>
        </w:tc>
        <w:tc>
          <w:tcPr>
            <w:tcW w:w="6095" w:type="dxa"/>
            <w:shd w:val="clear" w:color="auto" w:fill="FFFFFF" w:themeFill="background1"/>
            <w:tcMar>
              <w:top w:w="15" w:type="dxa"/>
              <w:left w:w="108" w:type="dxa"/>
              <w:bottom w:w="0" w:type="dxa"/>
              <w:right w:w="108" w:type="dxa"/>
            </w:tcMar>
            <w:vAlign w:val="center"/>
            <w:hideMark/>
          </w:tcPr>
          <w:p w:rsidR="007E337C" w:rsidRPr="00192301" w:rsidRDefault="007E337C" w:rsidP="007E337C">
            <w:pPr>
              <w:pStyle w:val="table2"/>
              <w:rPr>
                <w:szCs w:val="16"/>
              </w:rPr>
            </w:pPr>
            <w:r>
              <w:rPr>
                <w:szCs w:val="16"/>
              </w:rPr>
              <w:t>See 10 below.</w:t>
            </w:r>
          </w:p>
        </w:tc>
      </w:tr>
      <w:tr w:rsidR="007E337C" w:rsidRPr="00F91A77" w:rsidTr="003132F8">
        <w:trPr>
          <w:trHeight w:val="788"/>
        </w:trPr>
        <w:tc>
          <w:tcPr>
            <w:tcW w:w="3085" w:type="dxa"/>
            <w:shd w:val="clear" w:color="auto" w:fill="FFFFFF" w:themeFill="background1"/>
            <w:tcMar>
              <w:top w:w="15" w:type="dxa"/>
              <w:left w:w="108" w:type="dxa"/>
              <w:bottom w:w="0" w:type="dxa"/>
              <w:right w:w="108" w:type="dxa"/>
            </w:tcMar>
            <w:vAlign w:val="center"/>
            <w:hideMark/>
          </w:tcPr>
          <w:p w:rsidR="007E337C" w:rsidRPr="00F91A77" w:rsidRDefault="007E337C" w:rsidP="007E337C">
            <w:pPr>
              <w:pStyle w:val="table2"/>
              <w:spacing w:after="60"/>
              <w:rPr>
                <w:szCs w:val="16"/>
              </w:rPr>
            </w:pPr>
            <w:r w:rsidRPr="00F91A77">
              <w:rPr>
                <w:szCs w:val="16"/>
              </w:rPr>
              <w:t xml:space="preserve">7. Introduce a range of mycorrhizal fungi from local environments to aid in the establishment of framework species </w:t>
            </w:r>
          </w:p>
        </w:tc>
        <w:tc>
          <w:tcPr>
            <w:tcW w:w="6379" w:type="dxa"/>
            <w:shd w:val="clear" w:color="auto" w:fill="FFFFFF" w:themeFill="background1"/>
            <w:tcMar>
              <w:top w:w="15" w:type="dxa"/>
              <w:left w:w="108" w:type="dxa"/>
              <w:bottom w:w="0" w:type="dxa"/>
              <w:right w:w="108" w:type="dxa"/>
            </w:tcMar>
            <w:vAlign w:val="center"/>
            <w:hideMark/>
          </w:tcPr>
          <w:p w:rsidR="007E337C" w:rsidRPr="00F91A77" w:rsidRDefault="007E337C" w:rsidP="007E337C">
            <w:pPr>
              <w:pStyle w:val="table2"/>
              <w:rPr>
                <w:szCs w:val="16"/>
              </w:rPr>
            </w:pPr>
            <w:r w:rsidRPr="00F91A77">
              <w:rPr>
                <w:szCs w:val="16"/>
              </w:rPr>
              <w:t>Currently limited</w:t>
            </w:r>
            <w:r>
              <w:rPr>
                <w:szCs w:val="16"/>
              </w:rPr>
              <w:t xml:space="preserve"> although suites</w:t>
            </w:r>
            <w:r w:rsidRPr="00F91A77">
              <w:rPr>
                <w:szCs w:val="16"/>
              </w:rPr>
              <w:t xml:space="preserve"> of mycorrhizal fungi are incorporated in the potting mix used for the tubestock </w:t>
            </w:r>
          </w:p>
        </w:tc>
        <w:tc>
          <w:tcPr>
            <w:tcW w:w="6095" w:type="dxa"/>
            <w:shd w:val="clear" w:color="auto" w:fill="FFFFFF" w:themeFill="background1"/>
            <w:tcMar>
              <w:top w:w="15" w:type="dxa"/>
              <w:left w:w="108" w:type="dxa"/>
              <w:bottom w:w="0" w:type="dxa"/>
              <w:right w:w="108" w:type="dxa"/>
            </w:tcMar>
            <w:vAlign w:val="center"/>
            <w:hideMark/>
          </w:tcPr>
          <w:p w:rsidR="007E337C" w:rsidRPr="00192301" w:rsidRDefault="007E337C" w:rsidP="007E337C">
            <w:pPr>
              <w:pStyle w:val="table2"/>
              <w:rPr>
                <w:szCs w:val="16"/>
              </w:rPr>
            </w:pPr>
            <w:r>
              <w:rPr>
                <w:iCs/>
                <w:szCs w:val="16"/>
                <w:lang w:val="en-US"/>
              </w:rPr>
              <w:t xml:space="preserve">Addition of </w:t>
            </w:r>
            <w:r w:rsidRPr="00F91A77">
              <w:rPr>
                <w:szCs w:val="16"/>
              </w:rPr>
              <w:t xml:space="preserve">mycorrhizal fungi </w:t>
            </w:r>
            <w:r>
              <w:rPr>
                <w:iCs/>
                <w:szCs w:val="16"/>
                <w:lang w:val="en-US"/>
              </w:rPr>
              <w:t>n</w:t>
            </w:r>
            <w:r w:rsidRPr="00192301">
              <w:rPr>
                <w:iCs/>
                <w:szCs w:val="16"/>
                <w:lang w:val="en-US"/>
              </w:rPr>
              <w:t>ot tested on trial landform</w:t>
            </w:r>
            <w:r>
              <w:rPr>
                <w:iCs/>
                <w:szCs w:val="16"/>
                <w:lang w:val="en-US"/>
              </w:rPr>
              <w:t xml:space="preserve">. </w:t>
            </w:r>
          </w:p>
        </w:tc>
      </w:tr>
    </w:tbl>
    <w:p w:rsidR="007E337C" w:rsidRDefault="007E337C" w:rsidP="007E337C">
      <w:r>
        <w:br w:type="page"/>
      </w:r>
    </w:p>
    <w:p w:rsidR="007E337C" w:rsidRDefault="007E337C" w:rsidP="007E337C"/>
    <w:p w:rsidR="007E337C" w:rsidRDefault="007E337C" w:rsidP="007E337C">
      <w:pPr>
        <w:pStyle w:val="tablecaption"/>
      </w:pPr>
      <w:proofErr w:type="gramStart"/>
      <w:r w:rsidRPr="00A946D0">
        <w:rPr>
          <w:b/>
        </w:rPr>
        <w:t>Table 1</w:t>
      </w:r>
      <w:r w:rsidR="003132F8">
        <w:t>.</w:t>
      </w:r>
      <w:proofErr w:type="gramEnd"/>
      <w:r w:rsidR="003132F8">
        <w:t xml:space="preserve"> </w:t>
      </w:r>
      <w:proofErr w:type="gramStart"/>
      <w:r w:rsidR="003132F8">
        <w:t>Cont</w:t>
      </w:r>
      <w:r>
        <w:t>.</w:t>
      </w:r>
      <w:proofErr w:type="gramEnd"/>
    </w:p>
    <w:tbl>
      <w:tblPr>
        <w:tblW w:w="16160"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CellMar>
          <w:left w:w="0" w:type="dxa"/>
          <w:right w:w="0" w:type="dxa"/>
        </w:tblCellMar>
        <w:tblLook w:val="04A0"/>
      </w:tblPr>
      <w:tblGrid>
        <w:gridCol w:w="3261"/>
        <w:gridCol w:w="6662"/>
        <w:gridCol w:w="6237"/>
      </w:tblGrid>
      <w:tr w:rsidR="007E337C" w:rsidRPr="00413ED9" w:rsidTr="003132F8">
        <w:trPr>
          <w:trHeight w:val="767"/>
        </w:trPr>
        <w:tc>
          <w:tcPr>
            <w:tcW w:w="3261"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08" w:type="dxa"/>
              <w:bottom w:w="0" w:type="dxa"/>
              <w:right w:w="108" w:type="dxa"/>
            </w:tcMar>
            <w:vAlign w:val="center"/>
            <w:hideMark/>
          </w:tcPr>
          <w:p w:rsidR="007E337C" w:rsidRPr="00413ED9" w:rsidRDefault="007E337C" w:rsidP="007E337C">
            <w:pPr>
              <w:pStyle w:val="table2"/>
              <w:rPr>
                <w:b/>
                <w:sz w:val="20"/>
              </w:rPr>
            </w:pPr>
            <w:r w:rsidRPr="00413ED9">
              <w:rPr>
                <w:b/>
                <w:sz w:val="20"/>
              </w:rPr>
              <w:t>Reddell &amp; Meek (200</w:t>
            </w:r>
            <w:r>
              <w:rPr>
                <w:b/>
                <w:sz w:val="20"/>
              </w:rPr>
              <w:t>4</w:t>
            </w:r>
            <w:r w:rsidRPr="00413ED9">
              <w:rPr>
                <w:b/>
                <w:sz w:val="20"/>
              </w:rPr>
              <w:t xml:space="preserve">) </w:t>
            </w:r>
          </w:p>
        </w:tc>
        <w:tc>
          <w:tcPr>
            <w:tcW w:w="6662"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08" w:type="dxa"/>
              <w:bottom w:w="0" w:type="dxa"/>
              <w:right w:w="108" w:type="dxa"/>
            </w:tcMar>
            <w:vAlign w:val="center"/>
            <w:hideMark/>
          </w:tcPr>
          <w:p w:rsidR="007E337C" w:rsidRPr="00413ED9" w:rsidRDefault="007E337C" w:rsidP="007E337C">
            <w:pPr>
              <w:pStyle w:val="table2"/>
              <w:spacing w:after="60"/>
              <w:rPr>
                <w:b/>
                <w:sz w:val="20"/>
              </w:rPr>
            </w:pPr>
            <w:r w:rsidRPr="00413ED9">
              <w:rPr>
                <w:b/>
                <w:sz w:val="20"/>
              </w:rPr>
              <w:t xml:space="preserve">Knowledge (2014) </w:t>
            </w:r>
          </w:p>
        </w:tc>
        <w:tc>
          <w:tcPr>
            <w:tcW w:w="6237"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08" w:type="dxa"/>
              <w:bottom w:w="0" w:type="dxa"/>
              <w:right w:w="108" w:type="dxa"/>
            </w:tcMar>
            <w:vAlign w:val="center"/>
            <w:hideMark/>
          </w:tcPr>
          <w:p w:rsidR="007E337C" w:rsidRPr="00413ED9" w:rsidRDefault="007E337C" w:rsidP="007E337C">
            <w:pPr>
              <w:pStyle w:val="table2"/>
              <w:rPr>
                <w:b/>
                <w:iCs/>
                <w:sz w:val="20"/>
                <w:lang w:val="en-US"/>
              </w:rPr>
            </w:pPr>
            <w:r w:rsidRPr="00413ED9">
              <w:rPr>
                <w:b/>
                <w:iCs/>
                <w:sz w:val="20"/>
                <w:lang w:val="en-US"/>
              </w:rPr>
              <w:t>Potential risks and further work</w:t>
            </w:r>
          </w:p>
        </w:tc>
      </w:tr>
      <w:tr w:rsidR="007E337C" w:rsidRPr="00F91A77" w:rsidTr="003132F8">
        <w:trPr>
          <w:trHeight w:val="602"/>
        </w:trPr>
        <w:tc>
          <w:tcPr>
            <w:tcW w:w="3261" w:type="dxa"/>
            <w:shd w:val="clear" w:color="auto" w:fill="FFFFFF" w:themeFill="background1"/>
            <w:tcMar>
              <w:top w:w="15" w:type="dxa"/>
              <w:left w:w="108" w:type="dxa"/>
              <w:bottom w:w="0" w:type="dxa"/>
              <w:right w:w="108" w:type="dxa"/>
            </w:tcMar>
            <w:vAlign w:val="center"/>
            <w:hideMark/>
          </w:tcPr>
          <w:p w:rsidR="007E337C" w:rsidRPr="00F91A77" w:rsidRDefault="007E337C" w:rsidP="007E337C">
            <w:pPr>
              <w:pStyle w:val="table2"/>
              <w:rPr>
                <w:szCs w:val="16"/>
              </w:rPr>
            </w:pPr>
            <w:r w:rsidRPr="00F91A77">
              <w:rPr>
                <w:kern w:val="24"/>
                <w:szCs w:val="16"/>
                <w:lang w:val="en-US"/>
              </w:rPr>
              <w:t xml:space="preserve">8. Avoid use of high densities of </w:t>
            </w:r>
            <w:r>
              <w:rPr>
                <w:kern w:val="24"/>
                <w:szCs w:val="16"/>
                <w:lang w:val="en-US"/>
              </w:rPr>
              <w:t>a</w:t>
            </w:r>
            <w:r w:rsidRPr="00F91A77">
              <w:rPr>
                <w:kern w:val="24"/>
                <w:szCs w:val="16"/>
                <w:lang w:val="en-US"/>
              </w:rPr>
              <w:t>cacia species</w:t>
            </w:r>
            <w:r w:rsidRPr="00F91A77">
              <w:rPr>
                <w:kern w:val="24"/>
                <w:szCs w:val="16"/>
              </w:rPr>
              <w:t xml:space="preserve"> </w:t>
            </w:r>
          </w:p>
        </w:tc>
        <w:tc>
          <w:tcPr>
            <w:tcW w:w="6662" w:type="dxa"/>
            <w:shd w:val="clear" w:color="auto" w:fill="FFFFFF" w:themeFill="background1"/>
            <w:tcMar>
              <w:top w:w="15" w:type="dxa"/>
              <w:left w:w="108" w:type="dxa"/>
              <w:bottom w:w="0" w:type="dxa"/>
              <w:right w:w="108" w:type="dxa"/>
            </w:tcMar>
            <w:vAlign w:val="center"/>
            <w:hideMark/>
          </w:tcPr>
          <w:p w:rsidR="007E337C" w:rsidRPr="00F91A77" w:rsidRDefault="007E337C" w:rsidP="007E337C">
            <w:pPr>
              <w:pStyle w:val="table2"/>
              <w:spacing w:after="60"/>
              <w:rPr>
                <w:szCs w:val="16"/>
              </w:rPr>
            </w:pPr>
            <w:r w:rsidRPr="00337242">
              <w:rPr>
                <w:kern w:val="24"/>
                <w:szCs w:val="16"/>
                <w:lang w:val="fr-FR"/>
              </w:rPr>
              <w:t xml:space="preserve">Certain </w:t>
            </w:r>
            <w:r>
              <w:rPr>
                <w:kern w:val="24"/>
                <w:szCs w:val="16"/>
                <w:lang w:val="fr-FR"/>
              </w:rPr>
              <w:t xml:space="preserve">aggressive </w:t>
            </w:r>
            <w:r w:rsidRPr="00337242">
              <w:rPr>
                <w:kern w:val="24"/>
                <w:szCs w:val="16"/>
                <w:lang w:val="fr-FR"/>
              </w:rPr>
              <w:t xml:space="preserve">acacias cause deviant revegetation trajectory. </w:t>
            </w:r>
            <w:r w:rsidRPr="00773C4F">
              <w:rPr>
                <w:kern w:val="24"/>
                <w:szCs w:val="16"/>
              </w:rPr>
              <w:t>Even local (to the area)</w:t>
            </w:r>
            <w:r>
              <w:rPr>
                <w:kern w:val="24"/>
                <w:szCs w:val="16"/>
              </w:rPr>
              <w:t xml:space="preserve"> acacias may need to be planted at lower densities than they occur in surrounding analogue sites.</w:t>
            </w:r>
          </w:p>
        </w:tc>
        <w:tc>
          <w:tcPr>
            <w:tcW w:w="6237" w:type="dxa"/>
            <w:shd w:val="clear" w:color="auto" w:fill="FFFFFF" w:themeFill="background1"/>
            <w:tcMar>
              <w:top w:w="15" w:type="dxa"/>
              <w:left w:w="108" w:type="dxa"/>
              <w:bottom w:w="0" w:type="dxa"/>
              <w:right w:w="108" w:type="dxa"/>
            </w:tcMar>
            <w:vAlign w:val="center"/>
            <w:hideMark/>
          </w:tcPr>
          <w:p w:rsidR="007E337C" w:rsidRPr="00192301" w:rsidRDefault="007E337C" w:rsidP="007E337C">
            <w:pPr>
              <w:pStyle w:val="table2"/>
              <w:rPr>
                <w:szCs w:val="16"/>
              </w:rPr>
            </w:pPr>
            <w:r w:rsidRPr="00192301">
              <w:rPr>
                <w:iCs/>
                <w:kern w:val="24"/>
                <w:szCs w:val="16"/>
              </w:rPr>
              <w:t xml:space="preserve">Poor knowledge on controlling acacias and </w:t>
            </w:r>
            <w:r>
              <w:rPr>
                <w:iCs/>
                <w:kern w:val="24"/>
                <w:szCs w:val="16"/>
              </w:rPr>
              <w:t xml:space="preserve">their </w:t>
            </w:r>
            <w:r w:rsidRPr="00192301">
              <w:rPr>
                <w:iCs/>
                <w:kern w:val="24"/>
                <w:szCs w:val="16"/>
              </w:rPr>
              <w:t>seedbank</w:t>
            </w:r>
            <w:r>
              <w:rPr>
                <w:iCs/>
                <w:kern w:val="24"/>
                <w:szCs w:val="16"/>
              </w:rPr>
              <w:t xml:space="preserve"> though on the trial landform, </w:t>
            </w:r>
            <w:r w:rsidRPr="00427D79">
              <w:rPr>
                <w:i/>
                <w:iCs/>
                <w:szCs w:val="16"/>
                <w:lang w:val="en-US"/>
              </w:rPr>
              <w:t>Acacia holosericea</w:t>
            </w:r>
            <w:r>
              <w:rPr>
                <w:iCs/>
                <w:szCs w:val="16"/>
                <w:lang w:val="en-US"/>
              </w:rPr>
              <w:t xml:space="preserve"> has not established itself on the waste-rock-only surface (though is present on lateritic surfaces).A screening process is required to identify local acacias that may pose a risk to initial vegetation establishment.</w:t>
            </w:r>
          </w:p>
        </w:tc>
      </w:tr>
      <w:tr w:rsidR="007E337C" w:rsidRPr="001C5375" w:rsidTr="003132F8">
        <w:trPr>
          <w:trHeight w:val="767"/>
        </w:trPr>
        <w:tc>
          <w:tcPr>
            <w:tcW w:w="3261" w:type="dxa"/>
            <w:shd w:val="clear" w:color="auto" w:fill="FFFFFF" w:themeFill="background1"/>
            <w:tcMar>
              <w:top w:w="15" w:type="dxa"/>
              <w:left w:w="108" w:type="dxa"/>
              <w:bottom w:w="0" w:type="dxa"/>
              <w:right w:w="108" w:type="dxa"/>
            </w:tcMar>
            <w:vAlign w:val="center"/>
            <w:hideMark/>
          </w:tcPr>
          <w:p w:rsidR="007E337C" w:rsidRPr="001C5375" w:rsidRDefault="007E337C" w:rsidP="007E337C">
            <w:pPr>
              <w:pStyle w:val="table2"/>
            </w:pPr>
            <w:r w:rsidRPr="001C5375">
              <w:t xml:space="preserve">9. Avoid actively re-introducing grasses and vigorous herbs during the first year </w:t>
            </w:r>
          </w:p>
        </w:tc>
        <w:tc>
          <w:tcPr>
            <w:tcW w:w="6662" w:type="dxa"/>
            <w:shd w:val="clear" w:color="auto" w:fill="FFFFFF" w:themeFill="background1"/>
            <w:tcMar>
              <w:top w:w="15" w:type="dxa"/>
              <w:left w:w="108" w:type="dxa"/>
              <w:bottom w:w="0" w:type="dxa"/>
              <w:right w:w="108" w:type="dxa"/>
            </w:tcMar>
            <w:vAlign w:val="center"/>
            <w:hideMark/>
          </w:tcPr>
          <w:p w:rsidR="007E337C" w:rsidRDefault="007E337C" w:rsidP="007E337C">
            <w:pPr>
              <w:pStyle w:val="table2"/>
              <w:spacing w:after="60"/>
            </w:pPr>
            <w:r>
              <w:t xml:space="preserve">All Ranger revegetation and </w:t>
            </w:r>
            <w:r w:rsidRPr="001C5375">
              <w:t>landform</w:t>
            </w:r>
            <w:r>
              <w:t xml:space="preserve"> tr</w:t>
            </w:r>
            <w:r w:rsidRPr="001C5375">
              <w:t>ial</w:t>
            </w:r>
            <w:r>
              <w:t xml:space="preserve">s </w:t>
            </w:r>
            <w:r w:rsidRPr="001C5375">
              <w:t>demonstrate that sites with weeds (as a proxy</w:t>
            </w:r>
            <w:r>
              <w:t xml:space="preserve"> for native grasses and herbs</w:t>
            </w:r>
            <w:r w:rsidRPr="001C5375">
              <w:t xml:space="preserve">) </w:t>
            </w:r>
            <w:r>
              <w:t>impede the establishment of framework species.</w:t>
            </w:r>
          </w:p>
          <w:p w:rsidR="007E337C" w:rsidRPr="001C5375" w:rsidRDefault="007E337C" w:rsidP="007E337C">
            <w:pPr>
              <w:pStyle w:val="table2"/>
              <w:spacing w:after="60"/>
            </w:pPr>
            <w:r>
              <w:t>Delay i</w:t>
            </w:r>
            <w:r w:rsidRPr="001C5375">
              <w:t>ntroduc</w:t>
            </w:r>
            <w:r>
              <w:t>tion of</w:t>
            </w:r>
            <w:r w:rsidRPr="001C5375">
              <w:t xml:space="preserve"> ground cover </w:t>
            </w:r>
            <w:r>
              <w:t xml:space="preserve">for at least </w:t>
            </w:r>
            <w:r w:rsidRPr="001C5375">
              <w:t xml:space="preserve">5 years after establishment of the </w:t>
            </w:r>
            <w:r>
              <w:t xml:space="preserve">framework species. This </w:t>
            </w:r>
            <w:r w:rsidRPr="001C5375">
              <w:t>avoid</w:t>
            </w:r>
            <w:r>
              <w:t>s</w:t>
            </w:r>
            <w:r w:rsidRPr="001C5375">
              <w:t xml:space="preserve"> potential fire damage from </w:t>
            </w:r>
            <w:r>
              <w:t xml:space="preserve">high fuel-load </w:t>
            </w:r>
            <w:r w:rsidRPr="001C5375">
              <w:t xml:space="preserve">grasses </w:t>
            </w:r>
            <w:r>
              <w:t xml:space="preserve">and reduces </w:t>
            </w:r>
            <w:r w:rsidRPr="001C5375">
              <w:t>competition</w:t>
            </w:r>
            <w:r>
              <w:t>.</w:t>
            </w:r>
            <w:r w:rsidRPr="001C5375">
              <w:t xml:space="preserve"> </w:t>
            </w:r>
          </w:p>
        </w:tc>
        <w:tc>
          <w:tcPr>
            <w:tcW w:w="6237" w:type="dxa"/>
            <w:shd w:val="clear" w:color="auto" w:fill="FFFFFF" w:themeFill="background1"/>
            <w:tcMar>
              <w:top w:w="15" w:type="dxa"/>
              <w:left w:w="108" w:type="dxa"/>
              <w:bottom w:w="0" w:type="dxa"/>
              <w:right w:w="108" w:type="dxa"/>
            </w:tcMar>
            <w:vAlign w:val="center"/>
            <w:hideMark/>
          </w:tcPr>
          <w:p w:rsidR="007E337C" w:rsidRPr="00F47545" w:rsidRDefault="007E337C" w:rsidP="007E337C">
            <w:pPr>
              <w:pStyle w:val="table2"/>
            </w:pPr>
            <w:r w:rsidRPr="00F47545">
              <w:rPr>
                <w:iCs/>
                <w:lang w:val="en-US"/>
              </w:rPr>
              <w:t xml:space="preserve">No </w:t>
            </w:r>
            <w:r>
              <w:rPr>
                <w:iCs/>
                <w:lang w:val="en-US"/>
              </w:rPr>
              <w:t xml:space="preserve">initial </w:t>
            </w:r>
            <w:r w:rsidRPr="00F47545">
              <w:rPr>
                <w:iCs/>
                <w:lang w:val="en-US"/>
              </w:rPr>
              <w:t xml:space="preserve">ground cover increases erosion risks. </w:t>
            </w:r>
            <w:r>
              <w:rPr>
                <w:iCs/>
                <w:lang w:val="en-US"/>
              </w:rPr>
              <w:t>E</w:t>
            </w:r>
            <w:r w:rsidRPr="00F47545">
              <w:rPr>
                <w:iCs/>
                <w:lang w:val="en-US"/>
              </w:rPr>
              <w:t xml:space="preserve">rosion risks </w:t>
            </w:r>
            <w:r>
              <w:rPr>
                <w:iCs/>
                <w:lang w:val="en-US"/>
              </w:rPr>
              <w:t>can be</w:t>
            </w:r>
            <w:r w:rsidRPr="00F47545">
              <w:rPr>
                <w:iCs/>
                <w:lang w:val="en-US"/>
              </w:rPr>
              <w:t xml:space="preserve"> mitigated by use of</w:t>
            </w:r>
            <w:r>
              <w:rPr>
                <w:iCs/>
                <w:lang w:val="en-US"/>
              </w:rPr>
              <w:t xml:space="preserve"> strategic</w:t>
            </w:r>
            <w:r w:rsidRPr="00F47545">
              <w:rPr>
                <w:iCs/>
                <w:lang w:val="en-US"/>
              </w:rPr>
              <w:t xml:space="preserve"> riplines</w:t>
            </w:r>
            <w:r>
              <w:rPr>
                <w:iCs/>
                <w:lang w:val="en-US"/>
              </w:rPr>
              <w:t xml:space="preserve">. </w:t>
            </w:r>
          </w:p>
        </w:tc>
      </w:tr>
      <w:tr w:rsidR="007E337C" w:rsidRPr="001C5375" w:rsidTr="003132F8">
        <w:trPr>
          <w:trHeight w:val="1013"/>
          <w:tblHeader/>
        </w:trPr>
        <w:tc>
          <w:tcPr>
            <w:tcW w:w="3261" w:type="dxa"/>
            <w:shd w:val="clear" w:color="auto" w:fill="FFFFFF" w:themeFill="background1"/>
            <w:tcMar>
              <w:top w:w="15" w:type="dxa"/>
              <w:left w:w="108" w:type="dxa"/>
              <w:bottom w:w="0" w:type="dxa"/>
              <w:right w:w="108" w:type="dxa"/>
            </w:tcMar>
            <w:vAlign w:val="center"/>
            <w:hideMark/>
          </w:tcPr>
          <w:p w:rsidR="007E337C" w:rsidRPr="001C5375" w:rsidRDefault="007E337C" w:rsidP="007E337C">
            <w:pPr>
              <w:pStyle w:val="table2"/>
            </w:pPr>
            <w:r w:rsidRPr="001C5375">
              <w:rPr>
                <w:lang w:val="en-US"/>
              </w:rPr>
              <w:t xml:space="preserve">10. </w:t>
            </w:r>
            <w:r w:rsidRPr="001C5375">
              <w:t xml:space="preserve">Use nursery-grown planting stock to establish framework species. </w:t>
            </w:r>
          </w:p>
        </w:tc>
        <w:tc>
          <w:tcPr>
            <w:tcW w:w="6662" w:type="dxa"/>
            <w:shd w:val="clear" w:color="auto" w:fill="FFFFFF" w:themeFill="background1"/>
            <w:tcMar>
              <w:top w:w="15" w:type="dxa"/>
              <w:left w:w="108" w:type="dxa"/>
              <w:bottom w:w="0" w:type="dxa"/>
              <w:right w:w="108" w:type="dxa"/>
            </w:tcMar>
            <w:vAlign w:val="center"/>
            <w:hideMark/>
          </w:tcPr>
          <w:p w:rsidR="007E337C" w:rsidRDefault="007E337C" w:rsidP="007E337C">
            <w:pPr>
              <w:pStyle w:val="table2"/>
              <w:spacing w:after="60"/>
              <w:rPr>
                <w:lang w:val="en-US"/>
              </w:rPr>
            </w:pPr>
            <w:r w:rsidRPr="001C5375">
              <w:rPr>
                <w:lang w:val="en-US"/>
              </w:rPr>
              <w:t xml:space="preserve">Direct seeding </w:t>
            </w:r>
            <w:r>
              <w:rPr>
                <w:lang w:val="en-US"/>
              </w:rPr>
              <w:t>on</w:t>
            </w:r>
            <w:r w:rsidRPr="001C5375">
              <w:rPr>
                <w:lang w:val="en-US"/>
              </w:rPr>
              <w:t xml:space="preserve"> trial landform </w:t>
            </w:r>
            <w:r>
              <w:rPr>
                <w:lang w:val="en-US"/>
              </w:rPr>
              <w:t xml:space="preserve">had </w:t>
            </w:r>
            <w:r w:rsidRPr="001C5375">
              <w:rPr>
                <w:lang w:val="en-US"/>
              </w:rPr>
              <w:t xml:space="preserve">very limited success </w:t>
            </w:r>
            <w:r>
              <w:rPr>
                <w:lang w:val="en-US"/>
              </w:rPr>
              <w:t xml:space="preserve">though </w:t>
            </w:r>
            <w:r w:rsidRPr="001C5375">
              <w:rPr>
                <w:lang w:val="en-US"/>
              </w:rPr>
              <w:t>kapok</w:t>
            </w:r>
            <w:r>
              <w:rPr>
                <w:lang w:val="en-US"/>
              </w:rPr>
              <w:t>,</w:t>
            </w:r>
            <w:r w:rsidRPr="001C5375">
              <w:rPr>
                <w:lang w:val="en-US"/>
              </w:rPr>
              <w:t xml:space="preserve"> </w:t>
            </w:r>
            <w:r>
              <w:rPr>
                <w:lang w:val="en-US"/>
              </w:rPr>
              <w:t xml:space="preserve">and some </w:t>
            </w:r>
            <w:r w:rsidRPr="001C5375">
              <w:rPr>
                <w:lang w:val="en-US"/>
              </w:rPr>
              <w:t xml:space="preserve">grevillea and acacia species could be directly seeded into waste rock. If </w:t>
            </w:r>
            <w:r>
              <w:rPr>
                <w:lang w:val="en-US"/>
              </w:rPr>
              <w:t xml:space="preserve">tubestock </w:t>
            </w:r>
            <w:r w:rsidRPr="001C5375">
              <w:rPr>
                <w:lang w:val="en-US"/>
              </w:rPr>
              <w:t xml:space="preserve">planted during the dry season, 3-4 months of irrigation appears to be adequate </w:t>
            </w:r>
            <w:r>
              <w:rPr>
                <w:lang w:val="en-US"/>
              </w:rPr>
              <w:t>for</w:t>
            </w:r>
            <w:r w:rsidRPr="001C5375">
              <w:rPr>
                <w:lang w:val="en-US"/>
              </w:rPr>
              <w:t xml:space="preserve"> establishment. </w:t>
            </w:r>
          </w:p>
          <w:p w:rsidR="007E337C" w:rsidRPr="001C5375" w:rsidRDefault="007E337C" w:rsidP="007E337C">
            <w:pPr>
              <w:pStyle w:val="table2"/>
              <w:spacing w:after="60"/>
            </w:pPr>
            <w:r w:rsidRPr="001C5375">
              <w:rPr>
                <w:lang w:val="en-US"/>
              </w:rPr>
              <w:t>Volunteers</w:t>
            </w:r>
            <w:r>
              <w:rPr>
                <w:lang w:val="en-US"/>
              </w:rPr>
              <w:t xml:space="preserve"> / self-recruits</w:t>
            </w:r>
            <w:r w:rsidRPr="001C5375">
              <w:rPr>
                <w:lang w:val="en-US"/>
              </w:rPr>
              <w:t xml:space="preserve"> </w:t>
            </w:r>
            <w:r>
              <w:rPr>
                <w:lang w:val="en-US"/>
              </w:rPr>
              <w:t xml:space="preserve">(&gt;10 species to date) </w:t>
            </w:r>
            <w:r w:rsidRPr="001C5375">
              <w:rPr>
                <w:lang w:val="en-US"/>
              </w:rPr>
              <w:t xml:space="preserve">and recalcitrants </w:t>
            </w:r>
            <w:r>
              <w:rPr>
                <w:lang w:val="en-US"/>
              </w:rPr>
              <w:t>(e.g. emu apples [</w:t>
            </w:r>
            <w:r w:rsidRPr="00C025D7">
              <w:rPr>
                <w:i/>
                <w:lang w:val="en-US"/>
              </w:rPr>
              <w:t>Owenia</w:t>
            </w:r>
            <w:r>
              <w:rPr>
                <w:lang w:val="en-US"/>
              </w:rPr>
              <w:t xml:space="preserve">]) </w:t>
            </w:r>
            <w:r w:rsidRPr="001C5375">
              <w:rPr>
                <w:lang w:val="en-US"/>
              </w:rPr>
              <w:t>i</w:t>
            </w:r>
            <w:r>
              <w:rPr>
                <w:lang w:val="en-US"/>
              </w:rPr>
              <w:t xml:space="preserve">nforming nursery efforts, </w:t>
            </w:r>
            <w:r w:rsidRPr="00A23170">
              <w:rPr>
                <w:lang w:val="en-US"/>
              </w:rPr>
              <w:t xml:space="preserve">while an understanding of specific planting requirements of some species is developing (e.g. </w:t>
            </w:r>
            <w:r w:rsidRPr="00A23170">
              <w:rPr>
                <w:i/>
                <w:iCs/>
                <w:lang w:val="en-US"/>
              </w:rPr>
              <w:t xml:space="preserve">E. miniata </w:t>
            </w:r>
            <w:r w:rsidRPr="00A23170">
              <w:rPr>
                <w:iCs/>
                <w:lang w:val="en-US"/>
              </w:rPr>
              <w:t>should not be planted</w:t>
            </w:r>
            <w:r>
              <w:rPr>
                <w:iCs/>
                <w:lang w:val="en-US"/>
              </w:rPr>
              <w:t xml:space="preserve"> at the bottom of rip lines</w:t>
            </w:r>
            <w:r w:rsidRPr="00A23170">
              <w:rPr>
                <w:iCs/>
                <w:lang w:val="en-US"/>
              </w:rPr>
              <w:t xml:space="preserve">; best </w:t>
            </w:r>
            <w:r>
              <w:rPr>
                <w:iCs/>
                <w:lang w:val="en-US"/>
              </w:rPr>
              <w:t xml:space="preserve">establishment/survival </w:t>
            </w:r>
            <w:r w:rsidRPr="00A23170">
              <w:rPr>
                <w:iCs/>
                <w:lang w:val="en-US"/>
              </w:rPr>
              <w:t xml:space="preserve">of </w:t>
            </w:r>
            <w:r w:rsidRPr="00E65606">
              <w:rPr>
                <w:i/>
                <w:lang w:val="en-US"/>
              </w:rPr>
              <w:t>Xanthostermon</w:t>
            </w:r>
            <w:r>
              <w:rPr>
                <w:i/>
                <w:lang w:val="en-US"/>
              </w:rPr>
              <w:t xml:space="preserve"> </w:t>
            </w:r>
            <w:r w:rsidRPr="00A23170">
              <w:rPr>
                <w:i/>
                <w:lang w:val="en-US"/>
              </w:rPr>
              <w:t>paradoxus</w:t>
            </w:r>
            <w:r w:rsidRPr="00A23170">
              <w:rPr>
                <w:lang w:val="en-US"/>
              </w:rPr>
              <w:t xml:space="preserve"> is </w:t>
            </w:r>
            <w:r>
              <w:rPr>
                <w:lang w:val="en-US"/>
              </w:rPr>
              <w:t>in patrial</w:t>
            </w:r>
            <w:r w:rsidRPr="00A23170">
              <w:rPr>
                <w:lang w:val="en-US"/>
              </w:rPr>
              <w:t xml:space="preserve"> shade</w:t>
            </w:r>
            <w:r>
              <w:rPr>
                <w:lang w:val="en-US"/>
              </w:rPr>
              <w:t>).</w:t>
            </w:r>
          </w:p>
        </w:tc>
        <w:tc>
          <w:tcPr>
            <w:tcW w:w="6237" w:type="dxa"/>
            <w:shd w:val="clear" w:color="auto" w:fill="FFFFFF" w:themeFill="background1"/>
            <w:tcMar>
              <w:top w:w="15" w:type="dxa"/>
              <w:left w:w="108" w:type="dxa"/>
              <w:bottom w:w="0" w:type="dxa"/>
              <w:right w:w="108" w:type="dxa"/>
            </w:tcMar>
            <w:vAlign w:val="center"/>
            <w:hideMark/>
          </w:tcPr>
          <w:p w:rsidR="007E337C" w:rsidRPr="00A23170" w:rsidRDefault="007E337C" w:rsidP="007E337C">
            <w:pPr>
              <w:pStyle w:val="table2"/>
            </w:pPr>
            <w:r>
              <w:rPr>
                <w:iCs/>
              </w:rPr>
              <w:t xml:space="preserve">Inability of propagation some </w:t>
            </w:r>
            <w:r w:rsidR="00A85FC5">
              <w:rPr>
                <w:iCs/>
              </w:rPr>
              <w:t>recalcitrant</w:t>
            </w:r>
            <w:r>
              <w:rPr>
                <w:iCs/>
              </w:rPr>
              <w:t xml:space="preserve"> species has implications regarding meeting the </w:t>
            </w:r>
            <w:r w:rsidRPr="00A23170">
              <w:rPr>
                <w:iCs/>
              </w:rPr>
              <w:t>ERs (i.e. species composition /densities matching natural surrounding environment). See 2 above</w:t>
            </w:r>
            <w:r>
              <w:rPr>
                <w:iCs/>
              </w:rPr>
              <w:t>. Notwithstanding, vast majority of framework species can be successfully propagated.</w:t>
            </w:r>
          </w:p>
        </w:tc>
      </w:tr>
      <w:tr w:rsidR="007E337C" w:rsidRPr="001C5375" w:rsidTr="003132F8">
        <w:trPr>
          <w:trHeight w:val="636"/>
        </w:trPr>
        <w:tc>
          <w:tcPr>
            <w:tcW w:w="3261" w:type="dxa"/>
            <w:shd w:val="clear" w:color="auto" w:fill="FFFFFF" w:themeFill="background1"/>
            <w:tcMar>
              <w:top w:w="15" w:type="dxa"/>
              <w:left w:w="108" w:type="dxa"/>
              <w:bottom w:w="0" w:type="dxa"/>
              <w:right w:w="108" w:type="dxa"/>
            </w:tcMar>
            <w:vAlign w:val="center"/>
            <w:hideMark/>
          </w:tcPr>
          <w:p w:rsidR="007E337C" w:rsidRPr="001C5375" w:rsidRDefault="007E337C" w:rsidP="007E337C">
            <w:pPr>
              <w:pStyle w:val="table2"/>
            </w:pPr>
            <w:r w:rsidRPr="001C5375">
              <w:rPr>
                <w:lang w:val="en-US"/>
              </w:rPr>
              <w:t xml:space="preserve">11. </w:t>
            </w:r>
            <w:r w:rsidRPr="001C5375">
              <w:t xml:space="preserve">Apply fertilisers in a strategic manner using formulations and delivery methods that maximise their effectiveness. </w:t>
            </w:r>
          </w:p>
        </w:tc>
        <w:tc>
          <w:tcPr>
            <w:tcW w:w="6662" w:type="dxa"/>
            <w:shd w:val="clear" w:color="auto" w:fill="FFFFFF" w:themeFill="background1"/>
            <w:tcMar>
              <w:top w:w="15" w:type="dxa"/>
              <w:left w:w="108" w:type="dxa"/>
              <w:bottom w:w="0" w:type="dxa"/>
              <w:right w:w="108" w:type="dxa"/>
            </w:tcMar>
            <w:vAlign w:val="center"/>
            <w:hideMark/>
          </w:tcPr>
          <w:p w:rsidR="007E337C" w:rsidRPr="001C5375" w:rsidRDefault="007E337C" w:rsidP="007E337C">
            <w:pPr>
              <w:pStyle w:val="table2"/>
            </w:pPr>
            <w:r>
              <w:t xml:space="preserve">For trial </w:t>
            </w:r>
            <w:r w:rsidRPr="001C5375">
              <w:t>landform</w:t>
            </w:r>
            <w:r>
              <w:t>, o</w:t>
            </w:r>
            <w:r w:rsidRPr="001C5375">
              <w:t xml:space="preserve">smocote slow release fertiliser (low P) for natives </w:t>
            </w:r>
            <w:r>
              <w:t>was hand-</w:t>
            </w:r>
            <w:r w:rsidRPr="001C5375">
              <w:t>broadcasted to side of plants during two wet seasons</w:t>
            </w:r>
            <w:r>
              <w:t xml:space="preserve"> subsequent to planting</w:t>
            </w:r>
            <w:r w:rsidRPr="001C5375">
              <w:t xml:space="preserve">. </w:t>
            </w:r>
          </w:p>
        </w:tc>
        <w:tc>
          <w:tcPr>
            <w:tcW w:w="6237" w:type="dxa"/>
            <w:shd w:val="clear" w:color="auto" w:fill="FFFFFF" w:themeFill="background1"/>
            <w:tcMar>
              <w:top w:w="15" w:type="dxa"/>
              <w:left w:w="108" w:type="dxa"/>
              <w:bottom w:w="0" w:type="dxa"/>
              <w:right w:w="108" w:type="dxa"/>
            </w:tcMar>
            <w:vAlign w:val="center"/>
            <w:hideMark/>
          </w:tcPr>
          <w:p w:rsidR="007E337C" w:rsidRDefault="007E337C" w:rsidP="007E337C">
            <w:pPr>
              <w:pStyle w:val="table2"/>
              <w:spacing w:after="60"/>
              <w:rPr>
                <w:iCs/>
              </w:rPr>
            </w:pPr>
            <w:r w:rsidRPr="00AA2319">
              <w:rPr>
                <w:b/>
                <w:iCs/>
                <w:lang w:val="en-US"/>
              </w:rPr>
              <w:t>Further assessment</w:t>
            </w:r>
            <w:r>
              <w:rPr>
                <w:iCs/>
                <w:lang w:val="en-US"/>
              </w:rPr>
              <w:t>: potential eutrophication r</w:t>
            </w:r>
            <w:r w:rsidRPr="00AA2319">
              <w:rPr>
                <w:iCs/>
                <w:lang w:val="en-US"/>
              </w:rPr>
              <w:t xml:space="preserve">isks to receiving water environments (including native ‘pests’ in establishment sumps/wetlands, e.g. </w:t>
            </w:r>
            <w:r w:rsidRPr="00E512AB">
              <w:rPr>
                <w:i/>
                <w:lang w:val="en-US"/>
              </w:rPr>
              <w:t>Typha</w:t>
            </w:r>
            <w:r w:rsidRPr="00AA2319">
              <w:rPr>
                <w:iCs/>
                <w:lang w:val="en-US"/>
              </w:rPr>
              <w:t>)</w:t>
            </w:r>
            <w:r>
              <w:rPr>
                <w:iCs/>
              </w:rPr>
              <w:t>.</w:t>
            </w:r>
          </w:p>
          <w:p w:rsidR="007E337C" w:rsidRPr="00AA2319" w:rsidRDefault="007E337C" w:rsidP="007E337C">
            <w:pPr>
              <w:pStyle w:val="table2"/>
              <w:spacing w:after="60"/>
            </w:pPr>
            <w:r>
              <w:rPr>
                <w:iCs/>
              </w:rPr>
              <w:t>Plant and soil nutrients should be monitored and adequacy and ‘downstream’ risks assessed</w:t>
            </w:r>
          </w:p>
        </w:tc>
      </w:tr>
      <w:tr w:rsidR="007E337C" w:rsidRPr="00F91A77" w:rsidTr="003132F8">
        <w:trPr>
          <w:trHeight w:val="1125"/>
        </w:trPr>
        <w:tc>
          <w:tcPr>
            <w:tcW w:w="3261" w:type="dxa"/>
            <w:shd w:val="clear" w:color="auto" w:fill="FFFFFF" w:themeFill="background1"/>
            <w:tcMar>
              <w:top w:w="15" w:type="dxa"/>
              <w:left w:w="108" w:type="dxa"/>
              <w:bottom w:w="0" w:type="dxa"/>
              <w:right w:w="108" w:type="dxa"/>
            </w:tcMar>
            <w:vAlign w:val="center"/>
            <w:hideMark/>
          </w:tcPr>
          <w:p w:rsidR="007E337C" w:rsidRPr="00F91A77" w:rsidRDefault="007E337C" w:rsidP="007E337C">
            <w:pPr>
              <w:pStyle w:val="table2"/>
              <w:rPr>
                <w:szCs w:val="16"/>
              </w:rPr>
            </w:pPr>
            <w:r w:rsidRPr="00F91A77">
              <w:rPr>
                <w:kern w:val="24"/>
                <w:szCs w:val="16"/>
                <w:lang w:val="en-US"/>
              </w:rPr>
              <w:t xml:space="preserve">12. </w:t>
            </w:r>
            <w:r w:rsidRPr="00F91A77">
              <w:rPr>
                <w:kern w:val="24"/>
                <w:szCs w:val="16"/>
              </w:rPr>
              <w:t>Rigorous control</w:t>
            </w:r>
            <w:r>
              <w:rPr>
                <w:kern w:val="24"/>
                <w:szCs w:val="16"/>
              </w:rPr>
              <w:t xml:space="preserve"> of</w:t>
            </w:r>
            <w:r w:rsidRPr="00F91A77">
              <w:rPr>
                <w:kern w:val="24"/>
                <w:szCs w:val="16"/>
              </w:rPr>
              <w:t xml:space="preserve"> potentially threatening weed species. </w:t>
            </w:r>
          </w:p>
        </w:tc>
        <w:tc>
          <w:tcPr>
            <w:tcW w:w="6662" w:type="dxa"/>
            <w:shd w:val="clear" w:color="auto" w:fill="FFFFFF" w:themeFill="background1"/>
            <w:tcMar>
              <w:top w:w="15" w:type="dxa"/>
              <w:left w:w="108" w:type="dxa"/>
              <w:bottom w:w="0" w:type="dxa"/>
              <w:right w:w="108" w:type="dxa"/>
            </w:tcMar>
            <w:vAlign w:val="center"/>
            <w:hideMark/>
          </w:tcPr>
          <w:p w:rsidR="007E337C" w:rsidRPr="00F91A77" w:rsidRDefault="007E337C" w:rsidP="007E337C">
            <w:pPr>
              <w:pStyle w:val="table2"/>
              <w:rPr>
                <w:szCs w:val="16"/>
              </w:rPr>
            </w:pPr>
            <w:r w:rsidRPr="00F91A77">
              <w:rPr>
                <w:kern w:val="24"/>
                <w:szCs w:val="16"/>
                <w:lang w:val="en-US"/>
              </w:rPr>
              <w:t xml:space="preserve">Weed species can be controlled but if </w:t>
            </w:r>
            <w:r w:rsidR="00E16AC4">
              <w:rPr>
                <w:kern w:val="24"/>
                <w:szCs w:val="16"/>
                <w:lang w:val="en-US"/>
              </w:rPr>
              <w:t>programme</w:t>
            </w:r>
            <w:r w:rsidRPr="00F91A77">
              <w:rPr>
                <w:kern w:val="24"/>
                <w:szCs w:val="16"/>
                <w:lang w:val="en-US"/>
              </w:rPr>
              <w:t xml:space="preserve"> is halted</w:t>
            </w:r>
            <w:r>
              <w:rPr>
                <w:kern w:val="24"/>
                <w:szCs w:val="16"/>
                <w:lang w:val="en-US"/>
              </w:rPr>
              <w:t>,</w:t>
            </w:r>
            <w:r w:rsidRPr="00F91A77">
              <w:rPr>
                <w:kern w:val="24"/>
                <w:szCs w:val="16"/>
                <w:lang w:val="en-US"/>
              </w:rPr>
              <w:t xml:space="preserve"> weeds can quickly recover</w:t>
            </w:r>
            <w:r>
              <w:rPr>
                <w:kern w:val="24"/>
                <w:szCs w:val="16"/>
              </w:rPr>
              <w:t xml:space="preserve">. </w:t>
            </w:r>
            <w:r w:rsidRPr="001C5375">
              <w:rPr>
                <w:lang w:val="en-US"/>
              </w:rPr>
              <w:t>Weed</w:t>
            </w:r>
            <w:r>
              <w:rPr>
                <w:lang w:val="en-US"/>
              </w:rPr>
              <w:t>s much less of a concern</w:t>
            </w:r>
            <w:r w:rsidRPr="001C5375">
              <w:rPr>
                <w:lang w:val="en-US"/>
              </w:rPr>
              <w:t xml:space="preserve"> for </w:t>
            </w:r>
            <w:r>
              <w:rPr>
                <w:lang w:val="en-US"/>
              </w:rPr>
              <w:t>waste-rock-</w:t>
            </w:r>
            <w:r w:rsidRPr="001C5375">
              <w:rPr>
                <w:lang w:val="en-US"/>
              </w:rPr>
              <w:t xml:space="preserve">only </w:t>
            </w:r>
            <w:r>
              <w:rPr>
                <w:lang w:val="en-US"/>
              </w:rPr>
              <w:t>substrates.</w:t>
            </w:r>
          </w:p>
        </w:tc>
        <w:tc>
          <w:tcPr>
            <w:tcW w:w="6237" w:type="dxa"/>
            <w:shd w:val="clear" w:color="auto" w:fill="FFFFFF" w:themeFill="background1"/>
            <w:tcMar>
              <w:top w:w="15" w:type="dxa"/>
              <w:left w:w="108" w:type="dxa"/>
              <w:bottom w:w="0" w:type="dxa"/>
              <w:right w:w="108" w:type="dxa"/>
            </w:tcMar>
            <w:vAlign w:val="center"/>
            <w:hideMark/>
          </w:tcPr>
          <w:p w:rsidR="007E337C" w:rsidRPr="002E1600" w:rsidRDefault="007E337C" w:rsidP="007E337C">
            <w:pPr>
              <w:pStyle w:val="table2"/>
              <w:spacing w:after="60"/>
              <w:rPr>
                <w:szCs w:val="16"/>
              </w:rPr>
            </w:pPr>
            <w:r>
              <w:rPr>
                <w:iCs/>
                <w:kern w:val="24"/>
                <w:szCs w:val="16"/>
              </w:rPr>
              <w:t xml:space="preserve">Adhere to, regularly review, ERA’s Five-year </w:t>
            </w:r>
            <w:r w:rsidRPr="002E1600">
              <w:rPr>
                <w:iCs/>
                <w:kern w:val="24"/>
                <w:szCs w:val="16"/>
              </w:rPr>
              <w:t xml:space="preserve">weed management </w:t>
            </w:r>
            <w:r>
              <w:rPr>
                <w:iCs/>
                <w:kern w:val="24"/>
                <w:szCs w:val="16"/>
              </w:rPr>
              <w:t xml:space="preserve">plan and </w:t>
            </w:r>
            <w:r w:rsidRPr="002E1600">
              <w:rPr>
                <w:iCs/>
                <w:kern w:val="24"/>
                <w:szCs w:val="16"/>
              </w:rPr>
              <w:t xml:space="preserve">strategy. Essential to develop completion criteria embedding this strategy. Includes management of native, but non-endemic and aggressive, </w:t>
            </w:r>
            <w:r w:rsidRPr="002E1600">
              <w:rPr>
                <w:i/>
                <w:kern w:val="24"/>
                <w:szCs w:val="16"/>
              </w:rPr>
              <w:t>A. holosericea</w:t>
            </w:r>
            <w:r w:rsidRPr="002E1600">
              <w:rPr>
                <w:iCs/>
                <w:kern w:val="24"/>
                <w:szCs w:val="16"/>
              </w:rPr>
              <w:t>, around minesite</w:t>
            </w:r>
            <w:r>
              <w:rPr>
                <w:iCs/>
                <w:kern w:val="24"/>
                <w:szCs w:val="16"/>
              </w:rPr>
              <w:t>. Control of exotics should based on risk, particularly that of fire and competiveness to tubestocks.</w:t>
            </w:r>
          </w:p>
        </w:tc>
      </w:tr>
      <w:tr w:rsidR="007E337C" w:rsidRPr="001C5375" w:rsidTr="003132F8">
        <w:trPr>
          <w:trHeight w:val="680"/>
        </w:trPr>
        <w:tc>
          <w:tcPr>
            <w:tcW w:w="3261" w:type="dxa"/>
            <w:shd w:val="clear" w:color="auto" w:fill="FFFFFF" w:themeFill="background1"/>
            <w:tcMar>
              <w:top w:w="15" w:type="dxa"/>
              <w:left w:w="108" w:type="dxa"/>
              <w:bottom w:w="0" w:type="dxa"/>
              <w:right w:w="108" w:type="dxa"/>
            </w:tcMar>
            <w:vAlign w:val="center"/>
            <w:hideMark/>
          </w:tcPr>
          <w:p w:rsidR="007E337C" w:rsidRPr="001C5375" w:rsidRDefault="007E337C" w:rsidP="007E337C">
            <w:pPr>
              <w:pStyle w:val="table2"/>
            </w:pPr>
            <w:r w:rsidRPr="001C5375">
              <w:rPr>
                <w:lang w:val="en-US"/>
              </w:rPr>
              <w:t xml:space="preserve">13. </w:t>
            </w:r>
            <w:r w:rsidRPr="001C5375">
              <w:t xml:space="preserve">Exclude fire from revegetation areas during the first three </w:t>
            </w:r>
            <w:r w:rsidRPr="0030163C">
              <w:rPr>
                <w:kern w:val="24"/>
                <w:szCs w:val="16"/>
              </w:rPr>
              <w:t>to five</w:t>
            </w:r>
            <w:r w:rsidRPr="00F91A77">
              <w:rPr>
                <w:kern w:val="24"/>
                <w:szCs w:val="16"/>
              </w:rPr>
              <w:t xml:space="preserve"> </w:t>
            </w:r>
            <w:r w:rsidRPr="001C5375">
              <w:t xml:space="preserve">years after establishment </w:t>
            </w:r>
          </w:p>
        </w:tc>
        <w:tc>
          <w:tcPr>
            <w:tcW w:w="6662" w:type="dxa"/>
            <w:shd w:val="clear" w:color="auto" w:fill="FFFFFF" w:themeFill="background1"/>
            <w:tcMar>
              <w:top w:w="15" w:type="dxa"/>
              <w:left w:w="108" w:type="dxa"/>
              <w:bottom w:w="0" w:type="dxa"/>
              <w:right w:w="108" w:type="dxa"/>
            </w:tcMar>
            <w:vAlign w:val="center"/>
            <w:hideMark/>
          </w:tcPr>
          <w:p w:rsidR="007E337C" w:rsidRPr="001C5375" w:rsidRDefault="007E337C" w:rsidP="007E337C">
            <w:pPr>
              <w:pStyle w:val="table2"/>
              <w:spacing w:after="60"/>
            </w:pPr>
            <w:r>
              <w:t>F</w:t>
            </w:r>
            <w:r w:rsidRPr="001C5375">
              <w:t xml:space="preserve">ramework species </w:t>
            </w:r>
            <w:r>
              <w:t xml:space="preserve">must </w:t>
            </w:r>
            <w:r w:rsidRPr="001C5375">
              <w:t>achiev</w:t>
            </w:r>
            <w:r>
              <w:t>e</w:t>
            </w:r>
            <w:r w:rsidRPr="001C5375">
              <w:t xml:space="preserve"> a mi</w:t>
            </w:r>
            <w:r>
              <w:t>nimum</w:t>
            </w:r>
            <w:r w:rsidRPr="001C5375">
              <w:t xml:space="preserve"> </w:t>
            </w:r>
            <w:r>
              <w:t>diameter of 6 cm to withstand fire.</w:t>
            </w:r>
          </w:p>
          <w:p w:rsidR="007E337C" w:rsidRPr="001C5375" w:rsidRDefault="007E337C" w:rsidP="007E337C">
            <w:pPr>
              <w:pStyle w:val="table2"/>
            </w:pPr>
          </w:p>
        </w:tc>
        <w:tc>
          <w:tcPr>
            <w:tcW w:w="6237" w:type="dxa"/>
            <w:shd w:val="clear" w:color="auto" w:fill="FFFFFF" w:themeFill="background1"/>
            <w:tcMar>
              <w:top w:w="15" w:type="dxa"/>
              <w:left w:w="108" w:type="dxa"/>
              <w:bottom w:w="0" w:type="dxa"/>
              <w:right w:w="108" w:type="dxa"/>
            </w:tcMar>
            <w:vAlign w:val="center"/>
            <w:hideMark/>
          </w:tcPr>
          <w:p w:rsidR="007E337C" w:rsidRPr="001C5375" w:rsidRDefault="007E337C" w:rsidP="007E337C">
            <w:pPr>
              <w:pStyle w:val="table2"/>
              <w:spacing w:after="60"/>
            </w:pPr>
            <w:r w:rsidRPr="001C5375">
              <w:t>On the waste rock s</w:t>
            </w:r>
            <w:r>
              <w:t>ubstrates of the trial landform</w:t>
            </w:r>
            <w:r w:rsidRPr="001C5375">
              <w:t xml:space="preserve">, there </w:t>
            </w:r>
            <w:r>
              <w:t>have been</w:t>
            </w:r>
            <w:r w:rsidRPr="001C5375">
              <w:t xml:space="preserve"> </w:t>
            </w:r>
            <w:r>
              <w:t>insufficient</w:t>
            </w:r>
            <w:r w:rsidRPr="001C5375">
              <w:t xml:space="preserve"> grasses to carry a fire in the </w:t>
            </w:r>
            <w:r>
              <w:t>6</w:t>
            </w:r>
            <w:r w:rsidRPr="001C5375">
              <w:t xml:space="preserve"> years</w:t>
            </w:r>
            <w:r>
              <w:t xml:space="preserve"> of its establishment</w:t>
            </w:r>
            <w:r w:rsidRPr="001C5375">
              <w:t xml:space="preserve">. </w:t>
            </w:r>
            <w:r>
              <w:t>Hence risks from fire damage are low</w:t>
            </w:r>
            <w:r w:rsidRPr="001C5375">
              <w:t>.</w:t>
            </w:r>
          </w:p>
        </w:tc>
      </w:tr>
      <w:tr w:rsidR="007E337C" w:rsidRPr="001C5375" w:rsidTr="003132F8">
        <w:trPr>
          <w:trHeight w:val="620"/>
        </w:trPr>
        <w:tc>
          <w:tcPr>
            <w:tcW w:w="3261" w:type="dxa"/>
            <w:shd w:val="clear" w:color="auto" w:fill="FFFFFF" w:themeFill="background1"/>
            <w:tcMar>
              <w:top w:w="15" w:type="dxa"/>
              <w:left w:w="108" w:type="dxa"/>
              <w:bottom w:w="0" w:type="dxa"/>
              <w:right w:w="108" w:type="dxa"/>
            </w:tcMar>
            <w:vAlign w:val="center"/>
            <w:hideMark/>
          </w:tcPr>
          <w:p w:rsidR="007E337C" w:rsidRPr="001C5375" w:rsidRDefault="007E337C" w:rsidP="007E337C">
            <w:pPr>
              <w:pStyle w:val="table2"/>
              <w:spacing w:after="60"/>
            </w:pPr>
            <w:r w:rsidRPr="001C5375">
              <w:rPr>
                <w:lang w:val="en-US"/>
              </w:rPr>
              <w:t xml:space="preserve">14. </w:t>
            </w:r>
            <w:r w:rsidRPr="001C5375">
              <w:t xml:space="preserve">Design and implement a rigorous and scientifically-based monitoring strategy for on-going evaluation of the performance of the revegetation </w:t>
            </w:r>
          </w:p>
        </w:tc>
        <w:tc>
          <w:tcPr>
            <w:tcW w:w="6662" w:type="dxa"/>
            <w:shd w:val="clear" w:color="auto" w:fill="FFFFFF" w:themeFill="background1"/>
            <w:tcMar>
              <w:top w:w="15" w:type="dxa"/>
              <w:left w:w="108" w:type="dxa"/>
              <w:bottom w:w="0" w:type="dxa"/>
              <w:right w:w="108" w:type="dxa"/>
            </w:tcMar>
            <w:vAlign w:val="center"/>
            <w:hideMark/>
          </w:tcPr>
          <w:p w:rsidR="007E337C" w:rsidRPr="001C5375" w:rsidRDefault="007E337C" w:rsidP="007E337C">
            <w:pPr>
              <w:pStyle w:val="table2"/>
            </w:pPr>
            <w:r w:rsidRPr="001C5375">
              <w:rPr>
                <w:lang w:val="en-US"/>
              </w:rPr>
              <w:t>Will be developed by Flora and Fauna subgroup of Ranger Closure Criteria Working Group</w:t>
            </w:r>
            <w:r w:rsidRPr="001C5375">
              <w:t xml:space="preserve"> </w:t>
            </w:r>
          </w:p>
        </w:tc>
        <w:tc>
          <w:tcPr>
            <w:tcW w:w="6237" w:type="dxa"/>
            <w:shd w:val="clear" w:color="auto" w:fill="FFFFFF" w:themeFill="background1"/>
            <w:tcMar>
              <w:top w:w="15" w:type="dxa"/>
              <w:left w:w="108" w:type="dxa"/>
              <w:bottom w:w="0" w:type="dxa"/>
              <w:right w:w="108" w:type="dxa"/>
            </w:tcMar>
            <w:vAlign w:val="center"/>
            <w:hideMark/>
          </w:tcPr>
          <w:p w:rsidR="007E337C" w:rsidRPr="001C5375" w:rsidRDefault="007E337C" w:rsidP="007E337C">
            <w:pPr>
              <w:pStyle w:val="table2"/>
            </w:pPr>
            <w:r>
              <w:rPr>
                <w:rFonts w:cs="Arial"/>
                <w:szCs w:val="16"/>
              </w:rPr>
              <w:t>Further work includes the monitoring of Jabiluka revegetation using an Unmanned Aerial System (UAS). The methodology developed will be applied to subsequent revegetation efforts at Ranger.</w:t>
            </w:r>
          </w:p>
        </w:tc>
      </w:tr>
    </w:tbl>
    <w:p w:rsidR="007E337C" w:rsidRDefault="007E337C" w:rsidP="007E337C"/>
    <w:p w:rsidR="007E337C" w:rsidRDefault="007E337C" w:rsidP="007E337C">
      <w:pPr>
        <w:sectPr w:rsidR="007E337C" w:rsidSect="007E337C">
          <w:pgSz w:w="16838" w:h="11906" w:orient="landscape" w:code="9"/>
          <w:pgMar w:top="720" w:right="720" w:bottom="720" w:left="720" w:header="1080" w:footer="835" w:gutter="0"/>
          <w:cols w:space="360"/>
          <w:noEndnote/>
          <w:docGrid w:linePitch="299"/>
        </w:sectPr>
      </w:pPr>
    </w:p>
    <w:p w:rsidR="007E337C" w:rsidRDefault="007E337C" w:rsidP="00F50F50">
      <w:pPr>
        <w:pStyle w:val="Heading2"/>
        <w:rPr>
          <w:lang w:val="en-US"/>
        </w:rPr>
      </w:pPr>
      <w:r>
        <w:rPr>
          <w:lang w:val="en-US"/>
        </w:rPr>
        <w:t>Conclusions and further work</w:t>
      </w:r>
    </w:p>
    <w:p w:rsidR="007E337C" w:rsidRDefault="007E337C" w:rsidP="007E337C">
      <w:pPr>
        <w:rPr>
          <w:lang w:val="en-US"/>
        </w:rPr>
      </w:pPr>
      <w:r>
        <w:rPr>
          <w:lang w:val="en-US"/>
        </w:rPr>
        <w:t xml:space="preserve">Revegetation knowledge </w:t>
      </w:r>
      <w:r>
        <w:t>to guide planning for rehabilitation of the Ranger minesite</w:t>
      </w:r>
      <w:r>
        <w:rPr>
          <w:lang w:val="en-US"/>
        </w:rPr>
        <w:t xml:space="preserve"> is well advanced. The knowledge and advice, together with development of assessment criteria for monitoring and sign-off, will be taken to the Flora and Fauna Technical Working Group (TWG</w:t>
      </w:r>
      <w:proofErr w:type="gramStart"/>
      <w:r>
        <w:rPr>
          <w:lang w:val="en-US"/>
        </w:rPr>
        <w:t>), that</w:t>
      </w:r>
      <w:proofErr w:type="gramEnd"/>
      <w:r>
        <w:rPr>
          <w:lang w:val="en-US"/>
        </w:rPr>
        <w:t xml:space="preserve"> will report to the Ranger Closure Criteria Working Group.</w:t>
      </w:r>
    </w:p>
    <w:p w:rsidR="007E337C" w:rsidRDefault="007E337C" w:rsidP="007E337C">
      <w:pPr>
        <w:spacing w:after="0"/>
        <w:rPr>
          <w:lang w:val="en-US"/>
        </w:rPr>
      </w:pPr>
      <w:r>
        <w:rPr>
          <w:lang w:val="en-US"/>
        </w:rPr>
        <w:t>Key knowledge acquired to date includes:</w:t>
      </w:r>
    </w:p>
    <w:p w:rsidR="007E337C" w:rsidRDefault="007E337C" w:rsidP="007E337C">
      <w:pPr>
        <w:pStyle w:val="ListParagraph"/>
        <w:numPr>
          <w:ilvl w:val="0"/>
          <w:numId w:val="41"/>
        </w:numPr>
        <w:rPr>
          <w:lang w:val="en-US"/>
        </w:rPr>
      </w:pPr>
      <w:r>
        <w:rPr>
          <w:lang w:val="en-US"/>
        </w:rPr>
        <w:t>Detailed analogue characterisation to inform species composition and abundances (see review in Humphrey et al</w:t>
      </w:r>
      <w:r w:rsidR="00352541">
        <w:rPr>
          <w:lang w:val="en-US"/>
        </w:rPr>
        <w:t>.</w:t>
      </w:r>
      <w:r>
        <w:rPr>
          <w:lang w:val="en-US"/>
        </w:rPr>
        <w:t xml:space="preserve"> (2014))</w:t>
      </w:r>
    </w:p>
    <w:p w:rsidR="007E337C" w:rsidRDefault="007E337C" w:rsidP="007E337C">
      <w:pPr>
        <w:pStyle w:val="ListParagraph"/>
        <w:numPr>
          <w:ilvl w:val="0"/>
          <w:numId w:val="41"/>
        </w:numPr>
        <w:rPr>
          <w:lang w:val="en-US"/>
        </w:rPr>
      </w:pPr>
      <w:r>
        <w:rPr>
          <w:lang w:val="en-US"/>
        </w:rPr>
        <w:t>Nursery requirements for native trees and shrubs,</w:t>
      </w:r>
    </w:p>
    <w:p w:rsidR="007E337C" w:rsidRDefault="007E337C" w:rsidP="007E337C">
      <w:pPr>
        <w:pStyle w:val="ListParagraph"/>
        <w:numPr>
          <w:ilvl w:val="0"/>
          <w:numId w:val="41"/>
        </w:numPr>
        <w:rPr>
          <w:lang w:val="en-US"/>
        </w:rPr>
      </w:pPr>
      <w:r>
        <w:rPr>
          <w:lang w:val="en-US"/>
        </w:rPr>
        <w:t>Practical learning from the Ranger trial landform, and</w:t>
      </w:r>
    </w:p>
    <w:p w:rsidR="007E337C" w:rsidRDefault="007E337C" w:rsidP="007E337C">
      <w:pPr>
        <w:pStyle w:val="ListParagraph"/>
        <w:numPr>
          <w:ilvl w:val="0"/>
          <w:numId w:val="41"/>
        </w:numPr>
        <w:rPr>
          <w:lang w:val="en-US"/>
        </w:rPr>
      </w:pPr>
      <w:r>
        <w:rPr>
          <w:lang w:val="en-US"/>
        </w:rPr>
        <w:t xml:space="preserve">A prescribed revegetation strategy that, if implemented correctly, </w:t>
      </w:r>
      <w:proofErr w:type="gramStart"/>
      <w:r>
        <w:rPr>
          <w:lang w:val="en-US"/>
        </w:rPr>
        <w:t>mitigates</w:t>
      </w:r>
      <w:proofErr w:type="gramEnd"/>
      <w:r>
        <w:rPr>
          <w:lang w:val="en-US"/>
        </w:rPr>
        <w:t xml:space="preserve"> against undesired ecological states.</w:t>
      </w:r>
    </w:p>
    <w:p w:rsidR="007E337C" w:rsidRPr="0061322A" w:rsidRDefault="007E337C" w:rsidP="007E337C">
      <w:r>
        <w:rPr>
          <w:lang w:val="en-US"/>
        </w:rPr>
        <w:t xml:space="preserve">Hereafter, the Flora and Fauna TWG will build on this knowledge and for each of the </w:t>
      </w:r>
      <w:r w:rsidRPr="0061322A">
        <w:t>14 key elements</w:t>
      </w:r>
      <w:r>
        <w:t xml:space="preserve"> of the revegetation strategy, where applicable, will derive the following to </w:t>
      </w:r>
      <w:r>
        <w:rPr>
          <w:lang w:val="en-US"/>
        </w:rPr>
        <w:t>effectively monitor and assess revegetation success</w:t>
      </w:r>
      <w:r>
        <w:t>:</w:t>
      </w:r>
    </w:p>
    <w:p w:rsidR="007E337C" w:rsidRPr="0061322A" w:rsidRDefault="007E337C" w:rsidP="007E337C">
      <w:pPr>
        <w:pStyle w:val="ListParagraph"/>
        <w:numPr>
          <w:ilvl w:val="0"/>
          <w:numId w:val="39"/>
        </w:numPr>
      </w:pPr>
      <w:r>
        <w:t>Quantifiable c</w:t>
      </w:r>
      <w:r w:rsidRPr="0061322A">
        <w:t>losure criteria</w:t>
      </w:r>
    </w:p>
    <w:p w:rsidR="007E337C" w:rsidRPr="0061322A" w:rsidRDefault="007E337C" w:rsidP="007E337C">
      <w:pPr>
        <w:pStyle w:val="ListParagraph"/>
        <w:numPr>
          <w:ilvl w:val="0"/>
          <w:numId w:val="39"/>
        </w:numPr>
      </w:pPr>
      <w:r>
        <w:t>Pragmatic monitoring</w:t>
      </w:r>
      <w:r w:rsidRPr="0061322A">
        <w:t xml:space="preserve"> methodol</w:t>
      </w:r>
      <w:r>
        <w:t xml:space="preserve">ogy, </w:t>
      </w:r>
      <w:r>
        <w:rPr>
          <w:lang w:val="en-US"/>
        </w:rPr>
        <w:t>including UAS technology</w:t>
      </w:r>
    </w:p>
    <w:p w:rsidR="007E337C" w:rsidRPr="0061322A" w:rsidRDefault="007E337C" w:rsidP="007E337C">
      <w:pPr>
        <w:pStyle w:val="ListParagraph"/>
        <w:numPr>
          <w:ilvl w:val="0"/>
          <w:numId w:val="39"/>
        </w:numPr>
      </w:pPr>
      <w:r w:rsidRPr="0061322A">
        <w:t>Performance standards</w:t>
      </w:r>
    </w:p>
    <w:p w:rsidR="007E337C" w:rsidRPr="0061322A" w:rsidRDefault="007E337C" w:rsidP="007E337C">
      <w:pPr>
        <w:pStyle w:val="ListParagraph"/>
        <w:numPr>
          <w:ilvl w:val="0"/>
          <w:numId w:val="39"/>
        </w:numPr>
      </w:pPr>
      <w:r>
        <w:t>G</w:t>
      </w:r>
      <w:r w:rsidRPr="0061322A">
        <w:t>uidelines for acceptance</w:t>
      </w:r>
      <w:r>
        <w:t>, and</w:t>
      </w:r>
    </w:p>
    <w:p w:rsidR="007E337C" w:rsidRPr="0061322A" w:rsidRDefault="007E337C" w:rsidP="007E337C">
      <w:pPr>
        <w:pStyle w:val="ListParagraph"/>
        <w:numPr>
          <w:ilvl w:val="0"/>
          <w:numId w:val="39"/>
        </w:numPr>
      </w:pPr>
      <w:r w:rsidRPr="0061322A">
        <w:t>Corrective actions</w:t>
      </w:r>
      <w:r>
        <w:t>.</w:t>
      </w:r>
    </w:p>
    <w:p w:rsidR="007E337C" w:rsidRPr="00C112EE" w:rsidRDefault="007E337C" w:rsidP="007E337C">
      <w:pPr>
        <w:rPr>
          <w:iCs/>
          <w:kern w:val="24"/>
          <w:szCs w:val="16"/>
        </w:rPr>
      </w:pPr>
      <w:r>
        <w:rPr>
          <w:lang w:val="en-US"/>
        </w:rPr>
        <w:t xml:space="preserve">The most recent revegetation </w:t>
      </w:r>
      <w:r w:rsidR="00E16AC4">
        <w:rPr>
          <w:lang w:val="en-US"/>
        </w:rPr>
        <w:t>programme</w:t>
      </w:r>
      <w:r>
        <w:rPr>
          <w:lang w:val="en-US"/>
        </w:rPr>
        <w:t xml:space="preserve"> by ERA has been directed at Jabiluka, while rehabilitation of Magela and Djalkmara Land Application Areas (LAAs) will progress within several years. Cumulative knowledge and learnings will inform the LAA revegetation </w:t>
      </w:r>
      <w:r w:rsidR="00E16AC4">
        <w:rPr>
          <w:lang w:val="en-US"/>
        </w:rPr>
        <w:t>programme</w:t>
      </w:r>
      <w:r>
        <w:rPr>
          <w:lang w:val="en-US"/>
        </w:rPr>
        <w:t xml:space="preserve"> though the challenges faced for disturbed natural woodlands of the LAA differ from those of the waste-rock-formed final landform. Areas within the LAA have high densities of </w:t>
      </w:r>
      <w:r w:rsidRPr="002E1600">
        <w:rPr>
          <w:iCs/>
          <w:kern w:val="24"/>
          <w:szCs w:val="16"/>
        </w:rPr>
        <w:t xml:space="preserve">native, but </w:t>
      </w:r>
      <w:r>
        <w:rPr>
          <w:iCs/>
          <w:kern w:val="24"/>
          <w:szCs w:val="16"/>
        </w:rPr>
        <w:t>non-local</w:t>
      </w:r>
      <w:r w:rsidRPr="002E1600">
        <w:rPr>
          <w:iCs/>
          <w:kern w:val="24"/>
          <w:szCs w:val="16"/>
        </w:rPr>
        <w:t xml:space="preserve"> and aggressive, </w:t>
      </w:r>
      <w:r w:rsidRPr="002E1600">
        <w:rPr>
          <w:i/>
          <w:kern w:val="24"/>
          <w:szCs w:val="16"/>
        </w:rPr>
        <w:t>A</w:t>
      </w:r>
      <w:r>
        <w:rPr>
          <w:i/>
          <w:kern w:val="24"/>
          <w:szCs w:val="16"/>
        </w:rPr>
        <w:t>cacia</w:t>
      </w:r>
      <w:r w:rsidRPr="002E1600">
        <w:rPr>
          <w:i/>
          <w:kern w:val="24"/>
          <w:szCs w:val="16"/>
        </w:rPr>
        <w:t xml:space="preserve"> holosericea</w:t>
      </w:r>
      <w:r w:rsidRPr="002E1600">
        <w:rPr>
          <w:iCs/>
          <w:kern w:val="24"/>
          <w:szCs w:val="16"/>
        </w:rPr>
        <w:t>,</w:t>
      </w:r>
      <w:r>
        <w:rPr>
          <w:iCs/>
          <w:kern w:val="24"/>
          <w:szCs w:val="16"/>
        </w:rPr>
        <w:t xml:space="preserve"> as well as speargrass,</w:t>
      </w:r>
      <w:r w:rsidRPr="002E1600">
        <w:rPr>
          <w:iCs/>
          <w:kern w:val="24"/>
          <w:szCs w:val="16"/>
        </w:rPr>
        <w:t xml:space="preserve"> </w:t>
      </w:r>
      <w:r>
        <w:rPr>
          <w:iCs/>
          <w:kern w:val="24"/>
          <w:szCs w:val="16"/>
        </w:rPr>
        <w:t xml:space="preserve">that pose a risk to successful revegetation (see strategy elements 8, 9 and 12 from Table 1). It will be important to manage </w:t>
      </w:r>
      <w:r w:rsidRPr="002E1600">
        <w:rPr>
          <w:i/>
          <w:kern w:val="24"/>
          <w:szCs w:val="16"/>
        </w:rPr>
        <w:t>A</w:t>
      </w:r>
      <w:r>
        <w:rPr>
          <w:i/>
          <w:kern w:val="24"/>
          <w:szCs w:val="16"/>
        </w:rPr>
        <w:t>.</w:t>
      </w:r>
      <w:r w:rsidRPr="002E1600">
        <w:rPr>
          <w:i/>
          <w:kern w:val="24"/>
          <w:szCs w:val="16"/>
        </w:rPr>
        <w:t xml:space="preserve"> holosericea</w:t>
      </w:r>
      <w:r>
        <w:rPr>
          <w:kern w:val="24"/>
          <w:szCs w:val="16"/>
        </w:rPr>
        <w:t xml:space="preserve"> and </w:t>
      </w:r>
      <w:proofErr w:type="gramStart"/>
      <w:r>
        <w:rPr>
          <w:kern w:val="24"/>
          <w:szCs w:val="16"/>
        </w:rPr>
        <w:t xml:space="preserve">speargrass </w:t>
      </w:r>
      <w:r>
        <w:rPr>
          <w:iCs/>
          <w:kern w:val="24"/>
          <w:szCs w:val="16"/>
        </w:rPr>
        <w:t xml:space="preserve"> in</w:t>
      </w:r>
      <w:proofErr w:type="gramEnd"/>
      <w:r>
        <w:rPr>
          <w:iCs/>
          <w:kern w:val="24"/>
          <w:szCs w:val="16"/>
        </w:rPr>
        <w:t xml:space="preserve"> these areas as part of site preparation for rehabilitation efforts, </w:t>
      </w:r>
      <w:r>
        <w:rPr>
          <w:kern w:val="24"/>
          <w:szCs w:val="16"/>
        </w:rPr>
        <w:t>to ensure revegetation success.</w:t>
      </w:r>
    </w:p>
    <w:p w:rsidR="007E337C" w:rsidRPr="00A62379" w:rsidRDefault="007E337C" w:rsidP="007E337C">
      <w:r>
        <w:rPr>
          <w:lang w:val="en-US"/>
        </w:rPr>
        <w:t>Finally, for revegeta</w:t>
      </w:r>
      <w:r w:rsidR="00A85FC5">
        <w:rPr>
          <w:lang w:val="en-US"/>
        </w:rPr>
        <w:t>t</w:t>
      </w:r>
      <w:r>
        <w:rPr>
          <w:lang w:val="en-US"/>
        </w:rPr>
        <w:t>ion of the final landform, w</w:t>
      </w:r>
      <w:r w:rsidRPr="00A62379">
        <w:rPr>
          <w:lang w:val="en-US"/>
        </w:rPr>
        <w:t xml:space="preserve">ater balance studies </w:t>
      </w:r>
      <w:r>
        <w:rPr>
          <w:lang w:val="en-US"/>
        </w:rPr>
        <w:t>have indicated potential</w:t>
      </w:r>
      <w:r w:rsidRPr="00A62379">
        <w:rPr>
          <w:lang w:val="en-US"/>
        </w:rPr>
        <w:t xml:space="preserve"> risks to long term sustainability of the vegetation (at maturity) where </w:t>
      </w:r>
      <w:r>
        <w:rPr>
          <w:lang w:val="en-US"/>
        </w:rPr>
        <w:t>thickness</w:t>
      </w:r>
      <w:r w:rsidRPr="00A62379">
        <w:rPr>
          <w:lang w:val="en-US"/>
        </w:rPr>
        <w:t xml:space="preserve"> of waste rock </w:t>
      </w:r>
      <w:r>
        <w:rPr>
          <w:lang w:val="en-US"/>
        </w:rPr>
        <w:t xml:space="preserve">is less (i.e. thinner) than </w:t>
      </w:r>
      <w:r w:rsidRPr="00A62379">
        <w:rPr>
          <w:lang w:val="en-US"/>
        </w:rPr>
        <w:t>a particular – and unknown – threshold</w:t>
      </w:r>
      <w:r>
        <w:rPr>
          <w:lang w:val="en-US"/>
        </w:rPr>
        <w:t xml:space="preserve"> </w:t>
      </w:r>
      <w:r>
        <w:rPr>
          <w:iCs/>
          <w:kern w:val="24"/>
          <w:szCs w:val="16"/>
        </w:rPr>
        <w:t>(see strategy element 1 from Table 1)</w:t>
      </w:r>
      <w:r>
        <w:rPr>
          <w:lang w:val="en-US"/>
        </w:rPr>
        <w:t xml:space="preserve">. </w:t>
      </w:r>
      <w:r w:rsidRPr="00B64261">
        <w:rPr>
          <w:lang w:val="en-US"/>
        </w:rPr>
        <w:t>Water availability may similarly be limited for vegetation establishment</w:t>
      </w:r>
      <w:r w:rsidRPr="00A62379">
        <w:rPr>
          <w:lang w:val="en-US"/>
        </w:rPr>
        <w:t xml:space="preserve"> on steeper slopes.</w:t>
      </w:r>
      <w:r>
        <w:rPr>
          <w:lang w:val="en-US"/>
        </w:rPr>
        <w:t xml:space="preserve"> </w:t>
      </w:r>
      <w:r w:rsidRPr="00B64261">
        <w:rPr>
          <w:iCs/>
          <w:szCs w:val="16"/>
          <w:lang w:val="en-US"/>
        </w:rPr>
        <w:t>Further studies</w:t>
      </w:r>
      <w:r w:rsidRPr="00B64261">
        <w:rPr>
          <w:lang w:val="en-US"/>
        </w:rPr>
        <w:t xml:space="preserve"> are required to assess th</w:t>
      </w:r>
      <w:r>
        <w:rPr>
          <w:lang w:val="en-US"/>
        </w:rPr>
        <w:t>ese</w:t>
      </w:r>
      <w:r w:rsidRPr="00B64261">
        <w:rPr>
          <w:lang w:val="en-US"/>
        </w:rPr>
        <w:t xml:space="preserve"> risk</w:t>
      </w:r>
      <w:r>
        <w:rPr>
          <w:lang w:val="en-US"/>
        </w:rPr>
        <w:t>s</w:t>
      </w:r>
      <w:r w:rsidRPr="00B64261">
        <w:rPr>
          <w:lang w:val="en-US"/>
        </w:rPr>
        <w:t xml:space="preserve">. </w:t>
      </w:r>
      <w:r w:rsidRPr="00A62379">
        <w:rPr>
          <w:iCs/>
          <w:szCs w:val="16"/>
          <w:lang w:val="en-US"/>
        </w:rPr>
        <w:t xml:space="preserve">Pit 1 capping and re-vegetation </w:t>
      </w:r>
      <w:r>
        <w:rPr>
          <w:iCs/>
          <w:szCs w:val="16"/>
          <w:lang w:val="en-US"/>
        </w:rPr>
        <w:t xml:space="preserve">provide the opportunity </w:t>
      </w:r>
      <w:r w:rsidRPr="00A62379">
        <w:rPr>
          <w:iCs/>
          <w:szCs w:val="16"/>
          <w:lang w:val="en-US"/>
        </w:rPr>
        <w:t>to trial performance of vegetation over various waste rock thicknesses</w:t>
      </w:r>
      <w:r>
        <w:rPr>
          <w:iCs/>
          <w:szCs w:val="16"/>
          <w:lang w:val="en-US"/>
        </w:rPr>
        <w:t>,</w:t>
      </w:r>
      <w:r w:rsidRPr="00792CE0">
        <w:rPr>
          <w:iCs/>
          <w:szCs w:val="16"/>
          <w:lang w:val="en-US"/>
        </w:rPr>
        <w:t xml:space="preserve"> </w:t>
      </w:r>
      <w:r w:rsidRPr="00A62379">
        <w:rPr>
          <w:iCs/>
          <w:szCs w:val="16"/>
          <w:lang w:val="en-US"/>
        </w:rPr>
        <w:t>slopes</w:t>
      </w:r>
      <w:r>
        <w:rPr>
          <w:iCs/>
          <w:szCs w:val="16"/>
          <w:lang w:val="en-US"/>
        </w:rPr>
        <w:t xml:space="preserve"> and partially compacted subsurface layers.</w:t>
      </w:r>
    </w:p>
    <w:p w:rsidR="007E337C" w:rsidRDefault="007E337C" w:rsidP="00F50F50">
      <w:pPr>
        <w:pStyle w:val="Heading2"/>
      </w:pPr>
      <w:r w:rsidRPr="00604C93">
        <w:t>References</w:t>
      </w:r>
    </w:p>
    <w:p w:rsidR="007E337C" w:rsidRDefault="007E337C" w:rsidP="007E337C">
      <w:pPr>
        <w:pStyle w:val="referencelist1"/>
        <w:rPr>
          <w:szCs w:val="76"/>
        </w:rPr>
      </w:pPr>
      <w:proofErr w:type="gramStart"/>
      <w:r>
        <w:rPr>
          <w:lang w:eastAsia="en-AU"/>
        </w:rPr>
        <w:t>Bayliss P &amp; Gardener M (eds</w:t>
      </w:r>
      <w:r w:rsidR="00352541">
        <w:rPr>
          <w:lang w:eastAsia="en-AU"/>
        </w:rPr>
        <w:t>.</w:t>
      </w:r>
      <w:r>
        <w:rPr>
          <w:lang w:eastAsia="en-AU"/>
        </w:rPr>
        <w:t>) 2006.</w:t>
      </w:r>
      <w:proofErr w:type="gramEnd"/>
      <w:r>
        <w:rPr>
          <w:lang w:eastAsia="en-AU"/>
        </w:rPr>
        <w:t xml:space="preserve"> Proceedings of the Ecosystem Establishment Workshop for Rehabilitation of the Ranger Minesite (Darwin, 13–14 December 2005). Workshop facilitator: Carl Grant. Internal Report 513, March, Supervising Scientist, Darwin. </w:t>
      </w:r>
      <w:proofErr w:type="gramStart"/>
      <w:r>
        <w:rPr>
          <w:lang w:eastAsia="en-AU"/>
        </w:rPr>
        <w:t>Unpublished paper.</w:t>
      </w:r>
      <w:proofErr w:type="gramEnd"/>
    </w:p>
    <w:p w:rsidR="007E337C" w:rsidRPr="00653ACF" w:rsidRDefault="007E337C" w:rsidP="007E337C">
      <w:pPr>
        <w:pStyle w:val="referencelist1"/>
        <w:rPr>
          <w:lang w:eastAsia="en-AU"/>
        </w:rPr>
      </w:pPr>
      <w:proofErr w:type="gramStart"/>
      <w:r>
        <w:t>ERA 2014.</w:t>
      </w:r>
      <w:proofErr w:type="gramEnd"/>
      <w:r>
        <w:t xml:space="preserve"> Ranger Closure Criteria: Record of development by the closure criteria working group, Draft report </w:t>
      </w:r>
      <w:r w:rsidRPr="0014630E">
        <w:t>version</w:t>
      </w:r>
      <w:r>
        <w:t xml:space="preserve"> E, Energy Resources of Australia, Darwin, July 2014.</w:t>
      </w:r>
    </w:p>
    <w:p w:rsidR="007E337C" w:rsidRPr="00AC198D" w:rsidRDefault="007E337C" w:rsidP="007E337C">
      <w:pPr>
        <w:pStyle w:val="referencelist1"/>
        <w:rPr>
          <w:sz w:val="20"/>
          <w:lang w:eastAsia="en-AU"/>
        </w:rPr>
      </w:pPr>
      <w:proofErr w:type="gramStart"/>
      <w:r w:rsidRPr="00AC198D">
        <w:rPr>
          <w:lang w:eastAsia="en-AU"/>
        </w:rPr>
        <w:t>Gellert C 2012.</w:t>
      </w:r>
      <w:proofErr w:type="gramEnd"/>
      <w:r w:rsidRPr="00AC198D">
        <w:rPr>
          <w:lang w:eastAsia="en-AU"/>
        </w:rPr>
        <w:t xml:space="preserve"> 5 Year Revegetation Management Plan 2012-2016. Energy Resources of Australia Ltd Report, March 2012.</w:t>
      </w:r>
    </w:p>
    <w:p w:rsidR="007E337C" w:rsidRPr="00A66396" w:rsidRDefault="007E337C" w:rsidP="007E337C">
      <w:pPr>
        <w:pStyle w:val="referencelist1"/>
        <w:rPr>
          <w:sz w:val="12"/>
        </w:rPr>
      </w:pPr>
      <w:bookmarkStart w:id="254" w:name="_Toc378169090"/>
      <w:bookmarkStart w:id="255" w:name="_Toc384300424"/>
      <w:proofErr w:type="gramStart"/>
      <w:r w:rsidRPr="00A66396">
        <w:rPr>
          <w:lang w:eastAsia="en-AU"/>
        </w:rPr>
        <w:t>Hobbs</w:t>
      </w:r>
      <w:r>
        <w:rPr>
          <w:lang w:eastAsia="en-AU"/>
        </w:rPr>
        <w:t xml:space="preserve"> RJ &amp;</w:t>
      </w:r>
      <w:r w:rsidRPr="00A66396">
        <w:rPr>
          <w:lang w:eastAsia="en-AU"/>
        </w:rPr>
        <w:t xml:space="preserve"> Suding</w:t>
      </w:r>
      <w:r>
        <w:rPr>
          <w:lang w:eastAsia="en-AU"/>
        </w:rPr>
        <w:t xml:space="preserve"> KN 2009.</w:t>
      </w:r>
      <w:proofErr w:type="gramEnd"/>
      <w:r>
        <w:rPr>
          <w:lang w:eastAsia="en-AU"/>
        </w:rPr>
        <w:t xml:space="preserve"> </w:t>
      </w:r>
      <w:proofErr w:type="gramStart"/>
      <w:r>
        <w:rPr>
          <w:lang w:eastAsia="en-AU"/>
        </w:rPr>
        <w:t>Models of ecosystem dynamics as frameworks for restoration ecology.</w:t>
      </w:r>
      <w:proofErr w:type="gramEnd"/>
      <w:r>
        <w:rPr>
          <w:lang w:eastAsia="en-AU"/>
        </w:rPr>
        <w:t xml:space="preserve"> </w:t>
      </w:r>
      <w:proofErr w:type="gramStart"/>
      <w:r>
        <w:rPr>
          <w:lang w:eastAsia="en-AU"/>
        </w:rPr>
        <w:t xml:space="preserve">In </w:t>
      </w:r>
      <w:r w:rsidRPr="00C27FAA">
        <w:rPr>
          <w:i/>
          <w:color w:val="333333"/>
          <w:szCs w:val="43"/>
        </w:rPr>
        <w:t>New Models for Ecosystem Dynamics and Restoration</w:t>
      </w:r>
      <w:r>
        <w:rPr>
          <w:color w:val="333333"/>
          <w:szCs w:val="43"/>
        </w:rPr>
        <w:t>.</w:t>
      </w:r>
      <w:proofErr w:type="gramEnd"/>
      <w:r w:rsidRPr="00A66396">
        <w:rPr>
          <w:lang w:eastAsia="en-AU"/>
        </w:rPr>
        <w:t xml:space="preserve"> </w:t>
      </w:r>
      <w:proofErr w:type="gramStart"/>
      <w:r>
        <w:rPr>
          <w:lang w:eastAsia="en-AU"/>
        </w:rPr>
        <w:t xml:space="preserve">Eds </w:t>
      </w:r>
      <w:r w:rsidRPr="00A66396">
        <w:rPr>
          <w:lang w:eastAsia="en-AU"/>
        </w:rPr>
        <w:t>Hobbs</w:t>
      </w:r>
      <w:r>
        <w:rPr>
          <w:lang w:eastAsia="en-AU"/>
        </w:rPr>
        <w:t xml:space="preserve"> RJ &amp;</w:t>
      </w:r>
      <w:r w:rsidRPr="00A66396">
        <w:rPr>
          <w:lang w:eastAsia="en-AU"/>
        </w:rPr>
        <w:t xml:space="preserve"> Suding</w:t>
      </w:r>
      <w:r>
        <w:rPr>
          <w:lang w:eastAsia="en-AU"/>
        </w:rPr>
        <w:t xml:space="preserve"> KN. </w:t>
      </w:r>
      <w:r w:rsidRPr="00A66396">
        <w:rPr>
          <w:lang w:eastAsia="en-AU"/>
        </w:rPr>
        <w:t>Society for Ecological Restoration International</w:t>
      </w:r>
      <w:r>
        <w:rPr>
          <w:lang w:eastAsia="en-AU"/>
        </w:rPr>
        <w:t xml:space="preserve">, </w:t>
      </w:r>
      <w:r w:rsidRPr="00A66396">
        <w:rPr>
          <w:lang w:eastAsia="en-AU"/>
        </w:rPr>
        <w:t xml:space="preserve">Island Press, 366 </w:t>
      </w:r>
      <w:r>
        <w:rPr>
          <w:lang w:eastAsia="en-AU"/>
        </w:rPr>
        <w:t>pp.</w:t>
      </w:r>
      <w:proofErr w:type="gramEnd"/>
      <w:r>
        <w:rPr>
          <w:lang w:eastAsia="en-AU"/>
        </w:rPr>
        <w:t xml:space="preserve"> </w:t>
      </w:r>
    </w:p>
    <w:p w:rsidR="007E337C" w:rsidRDefault="007E337C" w:rsidP="007E337C">
      <w:pPr>
        <w:pStyle w:val="referencelist1"/>
        <w:rPr>
          <w:szCs w:val="76"/>
        </w:rPr>
      </w:pPr>
      <w:proofErr w:type="gramStart"/>
      <w:r w:rsidRPr="009144E3">
        <w:rPr>
          <w:szCs w:val="44"/>
        </w:rPr>
        <w:t xml:space="preserve">Humphrey </w:t>
      </w:r>
      <w:r>
        <w:rPr>
          <w:szCs w:val="44"/>
        </w:rPr>
        <w:t>C</w:t>
      </w:r>
      <w:r w:rsidRPr="009144E3">
        <w:rPr>
          <w:szCs w:val="44"/>
        </w:rPr>
        <w:t xml:space="preserve"> &amp; Paulka </w:t>
      </w:r>
      <w:r>
        <w:rPr>
          <w:szCs w:val="44"/>
        </w:rPr>
        <w:t>S</w:t>
      </w:r>
      <w:r w:rsidRPr="009144E3">
        <w:rPr>
          <w:szCs w:val="44"/>
        </w:rPr>
        <w:t xml:space="preserve"> 2013</w:t>
      </w:r>
      <w:r>
        <w:rPr>
          <w:szCs w:val="44"/>
        </w:rPr>
        <w:t>.</w:t>
      </w:r>
      <w:proofErr w:type="gramEnd"/>
      <w:r w:rsidRPr="009144E3">
        <w:rPr>
          <w:szCs w:val="44"/>
        </w:rPr>
        <w:t xml:space="preserve"> </w:t>
      </w:r>
      <w:proofErr w:type="gramStart"/>
      <w:r w:rsidRPr="009144E3">
        <w:rPr>
          <w:szCs w:val="76"/>
        </w:rPr>
        <w:t>Closure criteria development and cross-cutting themes</w:t>
      </w:r>
      <w:r>
        <w:rPr>
          <w:szCs w:val="76"/>
        </w:rPr>
        <w:t>.</w:t>
      </w:r>
      <w:proofErr w:type="gramEnd"/>
      <w:r>
        <w:rPr>
          <w:szCs w:val="76"/>
        </w:rPr>
        <w:t xml:space="preserve"> </w:t>
      </w:r>
      <w:proofErr w:type="gramStart"/>
      <w:r>
        <w:rPr>
          <w:szCs w:val="76"/>
        </w:rPr>
        <w:t xml:space="preserve">Presentation to </w:t>
      </w:r>
      <w:r w:rsidRPr="009144E3">
        <w:rPr>
          <w:szCs w:val="76"/>
        </w:rPr>
        <w:t>ARRTC Nov</w:t>
      </w:r>
      <w:r>
        <w:rPr>
          <w:szCs w:val="76"/>
        </w:rPr>
        <w:t>ember</w:t>
      </w:r>
      <w:r w:rsidRPr="009144E3">
        <w:rPr>
          <w:szCs w:val="76"/>
        </w:rPr>
        <w:t xml:space="preserve"> 2013</w:t>
      </w:r>
      <w:r>
        <w:rPr>
          <w:szCs w:val="76"/>
        </w:rPr>
        <w:t>,</w:t>
      </w:r>
      <w:r w:rsidRPr="009144E3">
        <w:rPr>
          <w:szCs w:val="76"/>
        </w:rPr>
        <w:t xml:space="preserve"> Meeting 31</w:t>
      </w:r>
      <w:r>
        <w:rPr>
          <w:szCs w:val="76"/>
        </w:rPr>
        <w:t>, Darwin.</w:t>
      </w:r>
      <w:proofErr w:type="gramEnd"/>
    </w:p>
    <w:p w:rsidR="007E337C" w:rsidRPr="0000707A" w:rsidRDefault="007E337C" w:rsidP="007E337C">
      <w:pPr>
        <w:pStyle w:val="referencelist1"/>
        <w:rPr>
          <w:lang w:eastAsia="en-AU"/>
        </w:rPr>
      </w:pPr>
      <w:proofErr w:type="gramStart"/>
      <w:r>
        <w:t>Humphrey C, Lu P &amp; Fox</w:t>
      </w:r>
      <w:bookmarkEnd w:id="254"/>
      <w:bookmarkEnd w:id="255"/>
      <w:r>
        <w:t xml:space="preserve"> G </w:t>
      </w:r>
      <w:r w:rsidRPr="0000707A">
        <w:rPr>
          <w:lang w:eastAsia="en-AU"/>
        </w:rPr>
        <w:t>201</w:t>
      </w:r>
      <w:r>
        <w:rPr>
          <w:lang w:eastAsia="en-AU"/>
        </w:rPr>
        <w:t>4</w:t>
      </w:r>
      <w:r w:rsidRPr="0000707A">
        <w:rPr>
          <w:lang w:eastAsia="en-AU"/>
        </w:rPr>
        <w:t>.</w:t>
      </w:r>
      <w:proofErr w:type="gramEnd"/>
      <w:r w:rsidRPr="0000707A">
        <w:rPr>
          <w:lang w:eastAsia="en-AU"/>
        </w:rPr>
        <w:t xml:space="preserve"> </w:t>
      </w:r>
      <w:bookmarkStart w:id="256" w:name="_Toc378169089"/>
      <w:bookmarkStart w:id="257" w:name="_Toc384300423"/>
      <w:proofErr w:type="gramStart"/>
      <w:r>
        <w:t>Use of vegetation analogues to guide planning for rehabilitation of the Ranger mine site</w:t>
      </w:r>
      <w:bookmarkEnd w:id="256"/>
      <w:bookmarkEnd w:id="257"/>
      <w:r w:rsidRPr="0000707A">
        <w:rPr>
          <w:lang w:eastAsia="en-AU"/>
        </w:rPr>
        <w:t>.</w:t>
      </w:r>
      <w:proofErr w:type="gramEnd"/>
      <w:r w:rsidRPr="0000707A">
        <w:rPr>
          <w:lang w:eastAsia="en-AU"/>
        </w:rPr>
        <w:t xml:space="preserve"> </w:t>
      </w:r>
      <w:proofErr w:type="gramStart"/>
      <w:r w:rsidRPr="0000707A">
        <w:rPr>
          <w:lang w:eastAsia="en-AU"/>
        </w:rPr>
        <w:t xml:space="preserve">In </w:t>
      </w:r>
      <w:r w:rsidR="004A3C4C" w:rsidRPr="004A3C4C">
        <w:rPr>
          <w:b/>
          <w:i/>
          <w:sz w:val="26"/>
          <w:lang w:eastAsia="en-AU"/>
        </w:rPr>
        <w:t>eriss</w:t>
      </w:r>
      <w:r w:rsidRPr="005864A4">
        <w:rPr>
          <w:lang w:eastAsia="en-AU"/>
        </w:rPr>
        <w:t xml:space="preserve"> </w:t>
      </w:r>
      <w:r w:rsidRPr="00761FE9">
        <w:rPr>
          <w:i/>
          <w:lang w:eastAsia="en-AU"/>
        </w:rPr>
        <w:t>research summary 2012–2013</w:t>
      </w:r>
      <w:r w:rsidRPr="0000707A">
        <w:rPr>
          <w:lang w:eastAsia="en-AU"/>
        </w:rPr>
        <w:t>.</w:t>
      </w:r>
      <w:proofErr w:type="gramEnd"/>
      <w:r w:rsidRPr="0000707A">
        <w:rPr>
          <w:lang w:eastAsia="en-AU"/>
        </w:rPr>
        <w:t xml:space="preserve"> Supervising Scientist Report 20</w:t>
      </w:r>
      <w:r>
        <w:rPr>
          <w:lang w:eastAsia="en-AU"/>
        </w:rPr>
        <w:t>5</w:t>
      </w:r>
      <w:r w:rsidRPr="0000707A">
        <w:rPr>
          <w:lang w:eastAsia="en-AU"/>
        </w:rPr>
        <w:t xml:space="preserve">, Supervising Scientist, Darwin </w:t>
      </w:r>
      <w:r w:rsidRPr="002D5937">
        <w:rPr>
          <w:lang w:eastAsia="en-AU"/>
        </w:rPr>
        <w:t xml:space="preserve">NT, </w:t>
      </w:r>
      <w:r>
        <w:t>167–170</w:t>
      </w:r>
      <w:r w:rsidRPr="002D5937">
        <w:rPr>
          <w:lang w:eastAsia="en-AU"/>
        </w:rPr>
        <w:t>.</w:t>
      </w:r>
    </w:p>
    <w:p w:rsidR="007E337C" w:rsidRDefault="007E337C" w:rsidP="007E337C">
      <w:pPr>
        <w:pStyle w:val="referencelist1"/>
        <w:rPr>
          <w:szCs w:val="31"/>
          <w:lang w:val="en-US"/>
        </w:rPr>
      </w:pPr>
      <w:proofErr w:type="gramStart"/>
      <w:r w:rsidRPr="00AC198D">
        <w:rPr>
          <w:szCs w:val="22"/>
          <w:lang w:val="en-US"/>
        </w:rPr>
        <w:t>Reddell P &amp; Meek IK 2004.</w:t>
      </w:r>
      <w:proofErr w:type="gramEnd"/>
      <w:r w:rsidRPr="00AC198D">
        <w:rPr>
          <w:szCs w:val="22"/>
          <w:lang w:val="en-US"/>
        </w:rPr>
        <w:t xml:space="preserve"> </w:t>
      </w:r>
      <w:r w:rsidRPr="00AC198D">
        <w:rPr>
          <w:szCs w:val="35"/>
          <w:lang w:val="en-US"/>
        </w:rPr>
        <w:t xml:space="preserve">Revegetation strategy for the final landform at Ranger Mine: approach &amp; current status. </w:t>
      </w:r>
      <w:proofErr w:type="gramStart"/>
      <w:r w:rsidRPr="00AC198D">
        <w:rPr>
          <w:szCs w:val="35"/>
          <w:lang w:val="en-US"/>
        </w:rPr>
        <w:t>Discussion paper p</w:t>
      </w:r>
      <w:r w:rsidRPr="00AC198D">
        <w:rPr>
          <w:lang w:val="en-US"/>
        </w:rPr>
        <w:t xml:space="preserve">repared by EWL for </w:t>
      </w:r>
      <w:r w:rsidRPr="00AC198D">
        <w:rPr>
          <w:szCs w:val="31"/>
          <w:lang w:val="en-US"/>
        </w:rPr>
        <w:t>ARRTC.</w:t>
      </w:r>
      <w:proofErr w:type="gramEnd"/>
    </w:p>
    <w:p w:rsidR="004F60B0" w:rsidRDefault="007E337C" w:rsidP="004F60B0">
      <w:pPr>
        <w:pStyle w:val="referencelist1"/>
        <w:rPr>
          <w:szCs w:val="31"/>
          <w:lang w:val="en-US"/>
        </w:rPr>
        <w:sectPr w:rsidR="004F60B0" w:rsidSect="00224F8A">
          <w:headerReference w:type="default" r:id="rId217"/>
          <w:pgSz w:w="11906" w:h="16838" w:code="9"/>
          <w:pgMar w:top="1440" w:right="1440" w:bottom="1440" w:left="1440" w:header="1080" w:footer="835" w:gutter="0"/>
          <w:cols w:space="360"/>
          <w:noEndnote/>
          <w:docGrid w:linePitch="299"/>
        </w:sectPr>
      </w:pPr>
      <w:proofErr w:type="gramStart"/>
      <w:r w:rsidRPr="00AC198D">
        <w:rPr>
          <w:szCs w:val="22"/>
          <w:lang w:val="en-US"/>
        </w:rPr>
        <w:t>Reddell P &amp; Meek IK 2004.</w:t>
      </w:r>
      <w:proofErr w:type="gramEnd"/>
      <w:r w:rsidRPr="00AC198D">
        <w:rPr>
          <w:szCs w:val="22"/>
          <w:lang w:val="en-US"/>
        </w:rPr>
        <w:t xml:space="preserve"> </w:t>
      </w:r>
      <w:r w:rsidRPr="00AC198D">
        <w:rPr>
          <w:szCs w:val="35"/>
          <w:lang w:val="en-US"/>
        </w:rPr>
        <w:t xml:space="preserve">Revegetation strategy for the final landform at Ranger Mine: approach &amp; current status. </w:t>
      </w:r>
      <w:proofErr w:type="gramStart"/>
      <w:r w:rsidRPr="00AC198D">
        <w:rPr>
          <w:szCs w:val="35"/>
          <w:lang w:val="en-US"/>
        </w:rPr>
        <w:t>Discussion paper p</w:t>
      </w:r>
      <w:r w:rsidRPr="00AC198D">
        <w:rPr>
          <w:lang w:val="en-US"/>
        </w:rPr>
        <w:t xml:space="preserve">repared by EWL for </w:t>
      </w:r>
      <w:r w:rsidRPr="00AC198D">
        <w:rPr>
          <w:szCs w:val="31"/>
          <w:lang w:val="en-US"/>
        </w:rPr>
        <w:t>ARRTC.</w:t>
      </w:r>
      <w:proofErr w:type="gramEnd"/>
    </w:p>
    <w:p w:rsidR="0060270F" w:rsidRDefault="0060270F" w:rsidP="004E06F4">
      <w:pPr>
        <w:pStyle w:val="Heading1"/>
        <w:rPr>
          <w:lang w:val="en-US"/>
        </w:rPr>
      </w:pPr>
      <w:bookmarkStart w:id="258" w:name="_Toc418172723"/>
      <w:r w:rsidRPr="002E5D29">
        <w:rPr>
          <w:lang w:val="en-US"/>
        </w:rPr>
        <w:t>Post-rehabilitation radiation exposure due to Aboriginal bush foods from terrestrial ecosystems</w:t>
      </w:r>
      <w:bookmarkEnd w:id="251"/>
      <w:bookmarkEnd w:id="252"/>
      <w:bookmarkEnd w:id="258"/>
    </w:p>
    <w:p w:rsidR="004E06F4" w:rsidRPr="004E06F4" w:rsidRDefault="005868D2" w:rsidP="005868D2">
      <w:pPr>
        <w:pStyle w:val="Heading3"/>
        <w:spacing w:after="480"/>
        <w:jc w:val="center"/>
        <w:rPr>
          <w:lang w:val="en-US"/>
        </w:rPr>
      </w:pPr>
      <w:r>
        <w:rPr>
          <w:lang w:val="en-US"/>
        </w:rPr>
        <w:t xml:space="preserve">Che Doering &amp; </w:t>
      </w:r>
      <w:r w:rsidRPr="00E15EE8">
        <w:rPr>
          <w:lang w:val="en-US"/>
        </w:rPr>
        <w:t>Andreas Bollhöfer</w:t>
      </w:r>
    </w:p>
    <w:p w:rsidR="0060270F" w:rsidRPr="002E5D29" w:rsidRDefault="0060270F" w:rsidP="00587AA9">
      <w:pPr>
        <w:pStyle w:val="Heading2"/>
        <w:rPr>
          <w:lang w:val="en-US"/>
        </w:rPr>
      </w:pPr>
      <w:r w:rsidRPr="002E5D29">
        <w:rPr>
          <w:lang w:val="en-US"/>
        </w:rPr>
        <w:t>Introduction</w:t>
      </w:r>
    </w:p>
    <w:p w:rsidR="0060270F" w:rsidRPr="002E5D29" w:rsidRDefault="0060270F" w:rsidP="0060270F">
      <w:pPr>
        <w:rPr>
          <w:lang w:val="en-US"/>
        </w:rPr>
      </w:pPr>
      <w:r w:rsidRPr="002E5D29">
        <w:rPr>
          <w:lang w:val="en-US"/>
        </w:rPr>
        <w:t>The current authorisation for the Ranger mine requires that all mining and processing activities must cease by 2021 and that site rehabilitation must be completed by 2026. Rehabilitation of the mine will result in the re-establishment of terrestrial ecosystem and eventual return of the land to traditional owners. Traditional owners using the rehabilitated Ranger mine site and adjacent areas of Kakadu National Park for cultural activities may incur a radiation dose from the site. This dose must not exceed the public dose limit of 1 mSv in a year above the pre-mining background (ARPANSA 2005, Commonwealth of Australia 1999).</w:t>
      </w:r>
    </w:p>
    <w:p w:rsidR="0060270F" w:rsidRPr="002E5D29" w:rsidRDefault="0060270F" w:rsidP="0060270F">
      <w:pPr>
        <w:rPr>
          <w:lang w:val="en-US"/>
        </w:rPr>
      </w:pPr>
      <w:r w:rsidRPr="002E5D29">
        <w:rPr>
          <w:lang w:val="en-US"/>
        </w:rPr>
        <w:t>A radiological dose model is currently being developed to estimate above background doses to Aboriginal people from the rehabilitated Ranger mine site. The ingestion of radionuclides accumulated in bush foods is to be included as an exposure pathway within the dose model to account for traditional living scenarios. A common approach used in dose models to estimate radionuclide accumulation in food items is to use concentration ratios (CRs). These can be expressed as the ratio of the radionuclide activity concentration in the food item (plant or animal tissue) to that in the relevant environmental medium (soil for terrestrial ecosystems) (IAEA 2010, Martin et al</w:t>
      </w:r>
      <w:r w:rsidR="0032638C">
        <w:rPr>
          <w:lang w:val="en-US"/>
        </w:rPr>
        <w:t>.</w:t>
      </w:r>
      <w:r w:rsidRPr="002E5D29">
        <w:rPr>
          <w:lang w:val="en-US"/>
        </w:rPr>
        <w:t xml:space="preserve"> 1998).</w:t>
      </w:r>
    </w:p>
    <w:p w:rsidR="0060270F" w:rsidRPr="002E5D29" w:rsidRDefault="0060270F" w:rsidP="0060270F">
      <w:pPr>
        <w:rPr>
          <w:lang w:val="en-US"/>
        </w:rPr>
      </w:pPr>
      <w:proofErr w:type="gramStart"/>
      <w:r w:rsidRPr="0032638C">
        <w:rPr>
          <w:rFonts w:ascii="Times New Roman" w:hAnsi="Times New Roman"/>
          <w:b/>
          <w:i/>
          <w:sz w:val="26"/>
          <w:lang w:val="en-US"/>
        </w:rPr>
        <w:t>eriss</w:t>
      </w:r>
      <w:proofErr w:type="gramEnd"/>
      <w:r w:rsidRPr="0032638C">
        <w:rPr>
          <w:rFonts w:ascii="Times New Roman" w:hAnsi="Times New Roman"/>
          <w:lang w:val="en-US"/>
        </w:rPr>
        <w:t xml:space="preserve"> </w:t>
      </w:r>
      <w:r w:rsidRPr="002E5D29">
        <w:rPr>
          <w:lang w:val="en-US"/>
        </w:rPr>
        <w:t>has substantial data on radionuclide activity concentrations in terrestrial wild plants and animals and in soils collected from the ARR. This data has amassed from radioactivity measurements of field samples collected over several decades. The data have been collated and CRs calculated for plant- and animal-based bush foods from terrestrial ecosystems. The CRs may be used in combination with other parameters to estimate above background ingestion doses due to the rehabilitated Ranger mine site.</w:t>
      </w:r>
    </w:p>
    <w:p w:rsidR="0060270F" w:rsidRPr="002E5D29" w:rsidRDefault="0060270F" w:rsidP="00587AA9">
      <w:pPr>
        <w:pStyle w:val="Heading2"/>
        <w:rPr>
          <w:lang w:val="en-US"/>
        </w:rPr>
      </w:pPr>
      <w:r w:rsidRPr="002E5D29">
        <w:rPr>
          <w:lang w:val="en-US"/>
        </w:rPr>
        <w:t>Data and analysis</w:t>
      </w:r>
    </w:p>
    <w:p w:rsidR="0060270F" w:rsidRPr="002E5D29" w:rsidRDefault="0060270F" w:rsidP="0060270F">
      <w:pPr>
        <w:rPr>
          <w:lang w:val="en-US"/>
        </w:rPr>
      </w:pPr>
      <w:r w:rsidRPr="002E5D29">
        <w:rPr>
          <w:lang w:val="en-US"/>
        </w:rPr>
        <w:t xml:space="preserve">Radionuclide data were collated from </w:t>
      </w:r>
      <w:r w:rsidR="0032638C" w:rsidRPr="0032638C">
        <w:rPr>
          <w:rFonts w:ascii="Times New Roman" w:hAnsi="Times New Roman"/>
          <w:b/>
          <w:i/>
          <w:sz w:val="26"/>
          <w:lang w:val="en-US"/>
        </w:rPr>
        <w:t>eriss</w:t>
      </w:r>
      <w:r w:rsidR="0032638C" w:rsidRPr="002E5D29">
        <w:rPr>
          <w:lang w:val="en-US"/>
        </w:rPr>
        <w:t xml:space="preserve"> </w:t>
      </w:r>
      <w:r w:rsidRPr="002E5D29">
        <w:rPr>
          <w:lang w:val="en-US"/>
        </w:rPr>
        <w:t>publications (Martin et al</w:t>
      </w:r>
      <w:r w:rsidR="0032638C">
        <w:rPr>
          <w:lang w:val="en-US"/>
        </w:rPr>
        <w:t>.</w:t>
      </w:r>
      <w:r w:rsidRPr="002E5D29">
        <w:rPr>
          <w:lang w:val="en-US"/>
        </w:rPr>
        <w:t xml:space="preserve"> 1995, Medley et al</w:t>
      </w:r>
      <w:r w:rsidR="0032638C">
        <w:rPr>
          <w:lang w:val="en-US"/>
        </w:rPr>
        <w:t>.</w:t>
      </w:r>
      <w:r w:rsidRPr="002E5D29">
        <w:rPr>
          <w:lang w:val="en-US"/>
        </w:rPr>
        <w:t xml:space="preserve"> 2013, Ryan et al</w:t>
      </w:r>
      <w:r w:rsidR="0032638C">
        <w:rPr>
          <w:lang w:val="en-US"/>
        </w:rPr>
        <w:t>.</w:t>
      </w:r>
      <w:r w:rsidR="00146279">
        <w:rPr>
          <w:lang w:val="en-US"/>
        </w:rPr>
        <w:t xml:space="preserve"> 2005, Wasson</w:t>
      </w:r>
      <w:r w:rsidRPr="002E5D29">
        <w:rPr>
          <w:lang w:val="en-US"/>
        </w:rPr>
        <w:t xml:space="preserve"> 1992) and a large set of unpublished analysis results. Data of ERA (RUM 1987) and others (White &amp; Gigliotti 1985, White &amp; McLeod 1985, White et al</w:t>
      </w:r>
      <w:r w:rsidR="0032638C">
        <w:rPr>
          <w:lang w:val="en-US"/>
        </w:rPr>
        <w:t>.</w:t>
      </w:r>
      <w:r w:rsidRPr="002E5D29">
        <w:rPr>
          <w:lang w:val="en-US"/>
        </w:rPr>
        <w:t xml:space="preserve"> 1985) were also included to produce a comprehensive dataset from which CRs could be derived. Data collation </w:t>
      </w:r>
      <w:r w:rsidR="00083B61">
        <w:rPr>
          <w:lang w:val="en-US"/>
        </w:rPr>
        <w:t>focused</w:t>
      </w:r>
      <w:r w:rsidRPr="002E5D29">
        <w:rPr>
          <w:lang w:val="en-US"/>
        </w:rPr>
        <w:t xml:space="preserve"> on retrieval of individual sample results rather than summary statistics. In total, data for 164 terrestrial plant samples, 165 terrestrial animal samples and more than 1500 soil samples were collated. </w:t>
      </w:r>
    </w:p>
    <w:p w:rsidR="0060270F" w:rsidRPr="002E5D29" w:rsidRDefault="0060270F" w:rsidP="0060270F">
      <w:pPr>
        <w:rPr>
          <w:lang w:val="en-US"/>
        </w:rPr>
      </w:pPr>
      <w:r w:rsidRPr="002E5D29">
        <w:rPr>
          <w:lang w:val="en-US"/>
        </w:rPr>
        <w:t>The collated data were organised around a number of biota groups considered representative of common bush food types. These biota groups included bandicoot, buffalo, goanna, pig, wallaby, fruit and yam. The BRUCE tool (Doering 2013) was then used to calculate CRs from the data on a wet mass biota tissue to dry mass soil basis. For a small number of biota-tissue-radionuclide combinations the only tissue activity concentration data available were less than detection limit values. A weighting factor of 0.5 was applied to the tissue activity concentration to calculate CRs for these combinations.</w:t>
      </w:r>
    </w:p>
    <w:p w:rsidR="0060270F" w:rsidRPr="002E5D29" w:rsidRDefault="0060270F" w:rsidP="00587AA9">
      <w:pPr>
        <w:pStyle w:val="Heading2"/>
        <w:spacing w:before="0" w:after="0"/>
        <w:rPr>
          <w:lang w:val="en-US"/>
        </w:rPr>
      </w:pPr>
      <w:r w:rsidRPr="002E5D29">
        <w:rPr>
          <w:lang w:val="en-US"/>
        </w:rPr>
        <w:t>Results and discussion</w:t>
      </w:r>
    </w:p>
    <w:p w:rsidR="0060270F" w:rsidRPr="002E5D29" w:rsidRDefault="0060270F" w:rsidP="00587AA9">
      <w:pPr>
        <w:pStyle w:val="Heading3"/>
        <w:spacing w:before="0" w:after="0"/>
        <w:rPr>
          <w:lang w:val="en-US"/>
        </w:rPr>
      </w:pPr>
      <w:r w:rsidRPr="002E5D29">
        <w:rPr>
          <w:lang w:val="en-US"/>
        </w:rPr>
        <w:t>CR results</w:t>
      </w:r>
    </w:p>
    <w:p w:rsidR="00D66465" w:rsidRPr="002E5D29" w:rsidRDefault="0060270F" w:rsidP="00D66465">
      <w:pPr>
        <w:rPr>
          <w:lang w:val="en-US"/>
        </w:rPr>
      </w:pPr>
      <w:r w:rsidRPr="002E5D29">
        <w:rPr>
          <w:lang w:val="en-US"/>
        </w:rPr>
        <w:t xml:space="preserve">CR results for more than 100 biota-tissue-radionuclide combinations were determined. Figure 1 shows the CR geometric mean and standard deviation for each combination. The sample </w:t>
      </w:r>
      <w:r w:rsidR="00D66465" w:rsidRPr="002E5D29">
        <w:rPr>
          <w:lang w:val="en-US"/>
        </w:rPr>
        <w:t>count was low for most combinations and precluded rigorous statistical treatment of the results. Nevertheless, the following general trends were observed:</w:t>
      </w:r>
    </w:p>
    <w:p w:rsidR="0060270F" w:rsidRPr="002E5D29" w:rsidRDefault="0060270F" w:rsidP="0060270F">
      <w:pPr>
        <w:rPr>
          <w:lang w:val="en-US"/>
        </w:rPr>
      </w:pPr>
    </w:p>
    <w:tbl>
      <w:tblPr>
        <w:tblW w:w="0" w:type="auto"/>
        <w:tblLayout w:type="fixed"/>
        <w:tblCellMar>
          <w:left w:w="0" w:type="dxa"/>
          <w:right w:w="0" w:type="dxa"/>
        </w:tblCellMar>
        <w:tblLook w:val="04A0"/>
      </w:tblPr>
      <w:tblGrid>
        <w:gridCol w:w="2132"/>
        <w:gridCol w:w="992"/>
        <w:gridCol w:w="709"/>
        <w:gridCol w:w="4483"/>
      </w:tblGrid>
      <w:tr w:rsidR="0060270F" w:rsidRPr="002E5D29" w:rsidTr="00224F8A">
        <w:tc>
          <w:tcPr>
            <w:tcW w:w="2132" w:type="dxa"/>
          </w:tcPr>
          <w:p w:rsidR="0060270F" w:rsidRPr="002E5D29" w:rsidRDefault="0060270F" w:rsidP="00224F8A">
            <w:pPr>
              <w:jc w:val="center"/>
              <w:rPr>
                <w:lang w:val="en-US"/>
              </w:rPr>
            </w:pPr>
            <w:r w:rsidRPr="002E5D29">
              <w:rPr>
                <w:noProof/>
                <w:lang w:eastAsia="en-AU"/>
              </w:rPr>
              <w:drawing>
                <wp:inline distT="0" distB="0" distL="0" distR="0">
                  <wp:extent cx="1320658" cy="2094230"/>
                  <wp:effectExtent l="19050" t="0" r="0" b="0"/>
                  <wp:docPr id="9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8" cstate="screen"/>
                          <a:srcRect/>
                          <a:stretch>
                            <a:fillRect/>
                          </a:stretch>
                        </pic:blipFill>
                        <pic:spPr bwMode="auto">
                          <a:xfrm>
                            <a:off x="0" y="0"/>
                            <a:ext cx="1320658" cy="2094230"/>
                          </a:xfrm>
                          <a:prstGeom prst="rect">
                            <a:avLst/>
                          </a:prstGeom>
                          <a:noFill/>
                          <a:ln w="9525">
                            <a:noFill/>
                            <a:miter lim="800000"/>
                            <a:headEnd/>
                            <a:tailEnd/>
                          </a:ln>
                        </pic:spPr>
                      </pic:pic>
                    </a:graphicData>
                  </a:graphic>
                </wp:inline>
              </w:drawing>
            </w:r>
          </w:p>
        </w:tc>
        <w:tc>
          <w:tcPr>
            <w:tcW w:w="6184" w:type="dxa"/>
            <w:gridSpan w:val="3"/>
          </w:tcPr>
          <w:p w:rsidR="0060270F" w:rsidRPr="002E5D29" w:rsidRDefault="0060270F" w:rsidP="00224F8A">
            <w:pPr>
              <w:jc w:val="center"/>
              <w:rPr>
                <w:lang w:val="en-US"/>
              </w:rPr>
            </w:pPr>
            <w:r w:rsidRPr="002E5D29">
              <w:rPr>
                <w:noProof/>
                <w:lang w:eastAsia="en-AU"/>
              </w:rPr>
              <w:drawing>
                <wp:inline distT="0" distB="0" distL="0" distR="0">
                  <wp:extent cx="3841129" cy="2094230"/>
                  <wp:effectExtent l="19050" t="0" r="6971" b="0"/>
                  <wp:docPr id="9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9" cstate="screen"/>
                          <a:srcRect/>
                          <a:stretch>
                            <a:fillRect/>
                          </a:stretch>
                        </pic:blipFill>
                        <pic:spPr bwMode="auto">
                          <a:xfrm>
                            <a:off x="0" y="0"/>
                            <a:ext cx="3841129" cy="2094230"/>
                          </a:xfrm>
                          <a:prstGeom prst="rect">
                            <a:avLst/>
                          </a:prstGeom>
                          <a:noFill/>
                          <a:ln w="9525">
                            <a:noFill/>
                            <a:miter lim="800000"/>
                            <a:headEnd/>
                            <a:tailEnd/>
                          </a:ln>
                        </pic:spPr>
                      </pic:pic>
                    </a:graphicData>
                  </a:graphic>
                </wp:inline>
              </w:drawing>
            </w:r>
          </w:p>
        </w:tc>
      </w:tr>
      <w:tr w:rsidR="0060270F" w:rsidRPr="002E5D29" w:rsidTr="00224F8A">
        <w:tc>
          <w:tcPr>
            <w:tcW w:w="3833" w:type="dxa"/>
            <w:gridSpan w:val="3"/>
          </w:tcPr>
          <w:p w:rsidR="0060270F" w:rsidRPr="002E5D29" w:rsidRDefault="0060270F" w:rsidP="00224F8A">
            <w:pPr>
              <w:jc w:val="center"/>
              <w:rPr>
                <w:lang w:val="en-US"/>
              </w:rPr>
            </w:pPr>
            <w:r w:rsidRPr="002E5D29">
              <w:rPr>
                <w:noProof/>
                <w:lang w:eastAsia="en-AU"/>
              </w:rPr>
              <w:drawing>
                <wp:inline distT="0" distB="0" distL="0" distR="0">
                  <wp:extent cx="2382363" cy="2094230"/>
                  <wp:effectExtent l="19050" t="0" r="0" b="0"/>
                  <wp:docPr id="9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0" cstate="screen"/>
                          <a:srcRect/>
                          <a:stretch>
                            <a:fillRect/>
                          </a:stretch>
                        </pic:blipFill>
                        <pic:spPr bwMode="auto">
                          <a:xfrm>
                            <a:off x="0" y="0"/>
                            <a:ext cx="2382363" cy="2094230"/>
                          </a:xfrm>
                          <a:prstGeom prst="rect">
                            <a:avLst/>
                          </a:prstGeom>
                          <a:noFill/>
                          <a:ln w="9525">
                            <a:noFill/>
                            <a:miter lim="800000"/>
                            <a:headEnd/>
                            <a:tailEnd/>
                          </a:ln>
                        </pic:spPr>
                      </pic:pic>
                    </a:graphicData>
                  </a:graphic>
                </wp:inline>
              </w:drawing>
            </w:r>
          </w:p>
        </w:tc>
        <w:tc>
          <w:tcPr>
            <w:tcW w:w="4483" w:type="dxa"/>
          </w:tcPr>
          <w:p w:rsidR="0060270F" w:rsidRPr="002E5D29" w:rsidRDefault="0060270F" w:rsidP="00224F8A">
            <w:pPr>
              <w:jc w:val="center"/>
              <w:rPr>
                <w:lang w:val="en-US"/>
              </w:rPr>
            </w:pPr>
            <w:r w:rsidRPr="002E5D29">
              <w:rPr>
                <w:noProof/>
                <w:lang w:eastAsia="en-AU"/>
              </w:rPr>
              <w:drawing>
                <wp:inline distT="0" distB="0" distL="0" distR="0">
                  <wp:extent cx="2831214" cy="2094230"/>
                  <wp:effectExtent l="19050" t="0" r="7236" b="0"/>
                  <wp:docPr id="9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1" cstate="screen"/>
                          <a:srcRect/>
                          <a:stretch>
                            <a:fillRect/>
                          </a:stretch>
                        </pic:blipFill>
                        <pic:spPr bwMode="auto">
                          <a:xfrm>
                            <a:off x="0" y="0"/>
                            <a:ext cx="2831214" cy="2094230"/>
                          </a:xfrm>
                          <a:prstGeom prst="rect">
                            <a:avLst/>
                          </a:prstGeom>
                          <a:noFill/>
                          <a:ln w="9525">
                            <a:noFill/>
                            <a:miter lim="800000"/>
                            <a:headEnd/>
                            <a:tailEnd/>
                          </a:ln>
                        </pic:spPr>
                      </pic:pic>
                    </a:graphicData>
                  </a:graphic>
                </wp:inline>
              </w:drawing>
            </w:r>
          </w:p>
        </w:tc>
      </w:tr>
      <w:tr w:rsidR="0060270F" w:rsidRPr="002E5D29" w:rsidTr="00224F8A">
        <w:tc>
          <w:tcPr>
            <w:tcW w:w="3124" w:type="dxa"/>
            <w:gridSpan w:val="2"/>
          </w:tcPr>
          <w:p w:rsidR="0060270F" w:rsidRPr="002E5D29" w:rsidRDefault="0060270F" w:rsidP="00224F8A">
            <w:pPr>
              <w:jc w:val="right"/>
              <w:rPr>
                <w:lang w:val="en-US"/>
              </w:rPr>
            </w:pPr>
            <w:r w:rsidRPr="002E5D29">
              <w:rPr>
                <w:noProof/>
                <w:lang w:eastAsia="en-AU"/>
              </w:rPr>
              <w:drawing>
                <wp:inline distT="0" distB="0" distL="0" distR="0">
                  <wp:extent cx="1549399" cy="2094230"/>
                  <wp:effectExtent l="19050" t="0" r="0" b="0"/>
                  <wp:docPr id="9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2" cstate="screen"/>
                          <a:srcRect/>
                          <a:stretch>
                            <a:fillRect/>
                          </a:stretch>
                        </pic:blipFill>
                        <pic:spPr bwMode="auto">
                          <a:xfrm>
                            <a:off x="0" y="0"/>
                            <a:ext cx="1549399" cy="2094230"/>
                          </a:xfrm>
                          <a:prstGeom prst="rect">
                            <a:avLst/>
                          </a:prstGeom>
                          <a:noFill/>
                          <a:ln w="9525">
                            <a:noFill/>
                            <a:miter lim="800000"/>
                            <a:headEnd/>
                            <a:tailEnd/>
                          </a:ln>
                        </pic:spPr>
                      </pic:pic>
                    </a:graphicData>
                  </a:graphic>
                </wp:inline>
              </w:drawing>
            </w:r>
          </w:p>
        </w:tc>
        <w:tc>
          <w:tcPr>
            <w:tcW w:w="5192" w:type="dxa"/>
            <w:gridSpan w:val="2"/>
          </w:tcPr>
          <w:p w:rsidR="0060270F" w:rsidRPr="002E5D29" w:rsidRDefault="0060270F" w:rsidP="00224F8A">
            <w:pPr>
              <w:rPr>
                <w:lang w:val="en-US"/>
              </w:rPr>
            </w:pPr>
            <w:r w:rsidRPr="002E5D29">
              <w:rPr>
                <w:noProof/>
                <w:lang w:eastAsia="en-AU"/>
              </w:rPr>
              <w:drawing>
                <wp:inline distT="0" distB="0" distL="0" distR="0">
                  <wp:extent cx="2926164" cy="2094230"/>
                  <wp:effectExtent l="19050" t="0" r="7536" b="0"/>
                  <wp:docPr id="28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3" cstate="screen"/>
                          <a:srcRect/>
                          <a:stretch>
                            <a:fillRect/>
                          </a:stretch>
                        </pic:blipFill>
                        <pic:spPr bwMode="auto">
                          <a:xfrm>
                            <a:off x="0" y="0"/>
                            <a:ext cx="2926164" cy="2094230"/>
                          </a:xfrm>
                          <a:prstGeom prst="rect">
                            <a:avLst/>
                          </a:prstGeom>
                          <a:noFill/>
                          <a:ln w="9525">
                            <a:noFill/>
                            <a:miter lim="800000"/>
                            <a:headEnd/>
                            <a:tailEnd/>
                          </a:ln>
                        </pic:spPr>
                      </pic:pic>
                    </a:graphicData>
                  </a:graphic>
                </wp:inline>
              </w:drawing>
            </w:r>
          </w:p>
        </w:tc>
      </w:tr>
    </w:tbl>
    <w:p w:rsidR="00587AA9" w:rsidRDefault="0060270F" w:rsidP="0060270F">
      <w:pPr>
        <w:pStyle w:val="figurecaption"/>
        <w:rPr>
          <w:lang w:val="en-US"/>
        </w:rPr>
        <w:sectPr w:rsidR="00587AA9" w:rsidSect="00224F8A">
          <w:headerReference w:type="default" r:id="rId224"/>
          <w:pgSz w:w="11906" w:h="16838" w:code="9"/>
          <w:pgMar w:top="1440" w:right="1440" w:bottom="1440" w:left="1440" w:header="1080" w:footer="835" w:gutter="0"/>
          <w:cols w:space="360"/>
          <w:noEndnote/>
          <w:docGrid w:linePitch="299"/>
        </w:sectPr>
      </w:pPr>
      <w:r w:rsidRPr="002E5D29">
        <w:rPr>
          <w:b/>
          <w:lang w:val="en-US"/>
        </w:rPr>
        <w:t xml:space="preserve">Figure </w:t>
      </w:r>
      <w:proofErr w:type="gramStart"/>
      <w:r w:rsidRPr="002E5D29">
        <w:rPr>
          <w:b/>
          <w:lang w:val="en-US"/>
        </w:rPr>
        <w:t>1</w:t>
      </w:r>
      <w:r w:rsidRPr="002E5D29">
        <w:rPr>
          <w:lang w:val="en-US"/>
        </w:rPr>
        <w:t xml:space="preserve">  CR</w:t>
      </w:r>
      <w:proofErr w:type="gramEnd"/>
      <w:r w:rsidRPr="002E5D29">
        <w:rPr>
          <w:lang w:val="en-US"/>
        </w:rPr>
        <w:t xml:space="preserve"> geometric means and standard deviations (Bq kg</w:t>
      </w:r>
      <w:r w:rsidRPr="002E5D29">
        <w:rPr>
          <w:snapToGrid w:val="0"/>
          <w:color w:val="000000"/>
          <w:position w:val="4"/>
          <w:sz w:val="12"/>
          <w:szCs w:val="0"/>
          <w:u w:color="000000"/>
          <w:lang w:val="en-US"/>
        </w:rPr>
        <w:t>-1</w:t>
      </w:r>
      <w:r w:rsidRPr="002E5D29">
        <w:rPr>
          <w:lang w:val="en-US"/>
        </w:rPr>
        <w:t xml:space="preserve"> wet mass biota tissue per Bq kg</w:t>
      </w:r>
      <w:r w:rsidRPr="002E5D29">
        <w:rPr>
          <w:snapToGrid w:val="0"/>
          <w:color w:val="000000"/>
          <w:position w:val="4"/>
          <w:sz w:val="12"/>
          <w:szCs w:val="0"/>
          <w:u w:color="000000"/>
          <w:lang w:val="en-US"/>
        </w:rPr>
        <w:t>-1</w:t>
      </w:r>
      <w:r w:rsidRPr="002E5D29">
        <w:rPr>
          <w:lang w:val="en-US"/>
        </w:rPr>
        <w:t xml:space="preserve"> dry mass soil) for (a) fruit and yam; (b) buffalo; (c) bandicoot; (d) wallaby; (e) pig; and (f) goanna. The number above each diamond indicates the number of results on which values are based. Values plotted with an open diamond indicate that a less than weighting factor of 0.5 was applied to the tissue radionuclide activity concentration to calculate the geometric mean.</w:t>
      </w:r>
    </w:p>
    <w:p w:rsidR="0060270F" w:rsidRPr="002E5D29" w:rsidRDefault="0060270F" w:rsidP="0060270F">
      <w:pPr>
        <w:pStyle w:val="figurecaption"/>
        <w:rPr>
          <w:lang w:val="en-US"/>
        </w:rPr>
      </w:pPr>
    </w:p>
    <w:p w:rsidR="0032638C" w:rsidRPr="0032638C" w:rsidRDefault="0032638C" w:rsidP="0032638C">
      <w:pPr>
        <w:pStyle w:val="table2"/>
        <w:numPr>
          <w:ilvl w:val="0"/>
          <w:numId w:val="29"/>
        </w:numPr>
        <w:spacing w:before="0" w:after="120" w:line="280" w:lineRule="atLeast"/>
        <w:ind w:left="357" w:hanging="357"/>
        <w:rPr>
          <w:rFonts w:ascii="Garamond" w:hAnsi="Garamond"/>
          <w:sz w:val="24"/>
          <w:szCs w:val="24"/>
          <w:lang w:val="en-US"/>
        </w:rPr>
      </w:pPr>
      <w:r w:rsidRPr="0032638C">
        <w:rPr>
          <w:rFonts w:ascii="Garamond" w:hAnsi="Garamond"/>
          <w:i/>
          <w:sz w:val="24"/>
          <w:szCs w:val="24"/>
          <w:lang w:val="en-US"/>
        </w:rPr>
        <w:t>CRs for yam higher than fruit.</w:t>
      </w:r>
      <w:r w:rsidRPr="0032638C">
        <w:rPr>
          <w:rFonts w:ascii="Garamond" w:hAnsi="Garamond"/>
          <w:sz w:val="24"/>
          <w:szCs w:val="24"/>
          <w:lang w:val="en-US"/>
        </w:rPr>
        <w:t xml:space="preserve"> Yams are root vegetables and uptake radionuclides directly from the soil. Fruits on the other hand sequester radionuclides translocated from the root of the plant following uptake from the soil. Hence the transfer pathway to fruits is effectively longer than for yams and so there is greater possibility of immobilisation of the radionuclide along this pathway by physical and chemical processes.</w:t>
      </w:r>
    </w:p>
    <w:p w:rsidR="0032638C" w:rsidRPr="002E5D29" w:rsidRDefault="0032638C" w:rsidP="0032638C">
      <w:pPr>
        <w:pStyle w:val="numberlist1"/>
        <w:numPr>
          <w:ilvl w:val="0"/>
          <w:numId w:val="2"/>
        </w:numPr>
        <w:rPr>
          <w:lang w:val="en-US"/>
        </w:rPr>
      </w:pPr>
      <w:r w:rsidRPr="002E5D29">
        <w:rPr>
          <w:i/>
          <w:lang w:val="en-US"/>
        </w:rPr>
        <w:t xml:space="preserve">CRs for </w:t>
      </w:r>
      <w:r w:rsidRPr="002E5D29">
        <w:rPr>
          <w:i/>
          <w:color w:val="000000"/>
          <w:position w:val="5"/>
          <w:sz w:val="15"/>
          <w:szCs w:val="0"/>
          <w:u w:color="000000"/>
          <w:lang w:val="en-US"/>
        </w:rPr>
        <w:t>210</w:t>
      </w:r>
      <w:r w:rsidRPr="002E5D29">
        <w:rPr>
          <w:i/>
          <w:lang w:val="en-US"/>
        </w:rPr>
        <w:t>Po in animal tissue higher, and for U and Th lower, than other radionuclides.</w:t>
      </w:r>
      <w:r w:rsidRPr="002E5D29">
        <w:rPr>
          <w:lang w:val="en-US"/>
        </w:rPr>
        <w:t xml:space="preserve"> The higher CRs for </w:t>
      </w:r>
      <w:r w:rsidRPr="002E5D29">
        <w:rPr>
          <w:color w:val="000000"/>
          <w:position w:val="5"/>
          <w:sz w:val="15"/>
          <w:szCs w:val="0"/>
          <w:u w:color="000000"/>
          <w:lang w:val="en-US"/>
        </w:rPr>
        <w:t>210</w:t>
      </w:r>
      <w:r w:rsidRPr="002E5D29">
        <w:rPr>
          <w:lang w:val="en-US"/>
        </w:rPr>
        <w:t xml:space="preserve">Po may be from elevated </w:t>
      </w:r>
      <w:r w:rsidRPr="002E5D29">
        <w:rPr>
          <w:color w:val="000000"/>
          <w:position w:val="5"/>
          <w:sz w:val="15"/>
          <w:szCs w:val="0"/>
          <w:u w:color="000000"/>
          <w:lang w:val="en-US"/>
        </w:rPr>
        <w:t>210</w:t>
      </w:r>
      <w:r w:rsidRPr="002E5D29">
        <w:rPr>
          <w:lang w:val="en-US"/>
        </w:rPr>
        <w:t xml:space="preserve">Po concentrations in the above-ground parts of plants and grasses consumed by foraging animals due to atmospheric deposition and foliar adsorption of this radionuclide as suggested by Johansen and Twining (2010). </w:t>
      </w:r>
      <w:r w:rsidRPr="002E5D29">
        <w:rPr>
          <w:color w:val="000000"/>
          <w:position w:val="5"/>
          <w:sz w:val="15"/>
          <w:szCs w:val="0"/>
          <w:u w:color="000000"/>
          <w:lang w:val="en-US"/>
        </w:rPr>
        <w:t>210</w:t>
      </w:r>
      <w:r w:rsidRPr="002E5D29">
        <w:rPr>
          <w:lang w:val="en-US"/>
        </w:rPr>
        <w:t xml:space="preserve">Po is present in the atmosphere from the decay of </w:t>
      </w:r>
      <w:r w:rsidRPr="002E5D29">
        <w:rPr>
          <w:color w:val="000000"/>
          <w:position w:val="5"/>
          <w:sz w:val="15"/>
          <w:szCs w:val="0"/>
          <w:u w:color="000000"/>
          <w:lang w:val="en-US"/>
        </w:rPr>
        <w:t>222</w:t>
      </w:r>
      <w:r w:rsidRPr="002E5D29">
        <w:rPr>
          <w:lang w:val="en-US"/>
        </w:rPr>
        <w:t xml:space="preserve">Rn, a natural radioactive gas released to the atmosphere by soils and rocks. The lower CRs for U and Th were potentially due to low gastrointestinal fractional absorption by animals. Gastrointestinal fractional absorption follows the order Th &lt; U &lt; Ra &lt; Pb &lt; Po (IAEA 2010). This may also contribute to the higher CRs for </w:t>
      </w:r>
      <w:r w:rsidRPr="002E5D29">
        <w:rPr>
          <w:color w:val="000000"/>
          <w:position w:val="5"/>
          <w:sz w:val="15"/>
          <w:szCs w:val="0"/>
          <w:u w:color="000000"/>
          <w:lang w:val="en-US"/>
        </w:rPr>
        <w:t>210</w:t>
      </w:r>
      <w:r w:rsidRPr="002E5D29">
        <w:rPr>
          <w:lang w:val="en-US"/>
        </w:rPr>
        <w:t>Po.</w:t>
      </w:r>
    </w:p>
    <w:p w:rsidR="0032638C" w:rsidRPr="002E5D29" w:rsidRDefault="0032638C" w:rsidP="0032638C">
      <w:pPr>
        <w:pStyle w:val="numberlist1"/>
        <w:numPr>
          <w:ilvl w:val="0"/>
          <w:numId w:val="2"/>
        </w:numPr>
        <w:rPr>
          <w:lang w:val="en-US"/>
        </w:rPr>
      </w:pPr>
      <w:r w:rsidRPr="002E5D29">
        <w:rPr>
          <w:i/>
          <w:lang w:val="en-US"/>
        </w:rPr>
        <w:t xml:space="preserve">CRs for </w:t>
      </w:r>
      <w:r w:rsidRPr="002E5D29">
        <w:rPr>
          <w:i/>
          <w:color w:val="000000"/>
          <w:position w:val="5"/>
          <w:sz w:val="15"/>
          <w:szCs w:val="0"/>
          <w:u w:color="000000"/>
          <w:lang w:val="en-US"/>
        </w:rPr>
        <w:t>210</w:t>
      </w:r>
      <w:r w:rsidRPr="002E5D29">
        <w:rPr>
          <w:i/>
          <w:lang w:val="en-US"/>
        </w:rPr>
        <w:t xml:space="preserve">Pb and </w:t>
      </w:r>
      <w:r w:rsidRPr="002E5D29">
        <w:rPr>
          <w:i/>
          <w:color w:val="000000"/>
          <w:position w:val="5"/>
          <w:sz w:val="15"/>
          <w:szCs w:val="0"/>
          <w:u w:color="000000"/>
          <w:lang w:val="en-US"/>
        </w:rPr>
        <w:t>210</w:t>
      </w:r>
      <w:r w:rsidRPr="002E5D29">
        <w:rPr>
          <w:i/>
          <w:lang w:val="en-US"/>
        </w:rPr>
        <w:t>Po in liver and kidney higher than flesh.</w:t>
      </w:r>
      <w:r w:rsidRPr="002E5D29">
        <w:rPr>
          <w:lang w:val="en-US"/>
        </w:rPr>
        <w:t xml:space="preserve"> Comparative results for bandicoot, buffalo, goanna and wallaby showed that CRs for </w:t>
      </w:r>
      <w:r w:rsidRPr="002E5D29">
        <w:rPr>
          <w:color w:val="000000"/>
          <w:position w:val="5"/>
          <w:sz w:val="15"/>
          <w:szCs w:val="0"/>
          <w:u w:color="000000"/>
          <w:lang w:val="en-US"/>
        </w:rPr>
        <w:t>210</w:t>
      </w:r>
      <w:r w:rsidRPr="002E5D29">
        <w:rPr>
          <w:lang w:val="en-US"/>
        </w:rPr>
        <w:t xml:space="preserve">Pb and </w:t>
      </w:r>
      <w:r w:rsidRPr="002E5D29">
        <w:rPr>
          <w:color w:val="000000"/>
          <w:position w:val="5"/>
          <w:sz w:val="15"/>
          <w:szCs w:val="0"/>
          <w:u w:color="000000"/>
          <w:lang w:val="en-US"/>
        </w:rPr>
        <w:t>210</w:t>
      </w:r>
      <w:r w:rsidRPr="002E5D29">
        <w:rPr>
          <w:lang w:val="en-US"/>
        </w:rPr>
        <w:t xml:space="preserve">Po in liver and kidney were higher than flesh by approximately one order of magnitude. The liver and kidneys act as filters for substances passing through the body of an animal and are known to accumulate various metals and pollutants, including radionuclides. Seiler and Wiemels (2012) and references therein noted that </w:t>
      </w:r>
      <w:r w:rsidRPr="002E5D29">
        <w:rPr>
          <w:color w:val="000000"/>
          <w:position w:val="5"/>
          <w:sz w:val="15"/>
          <w:szCs w:val="0"/>
          <w:u w:color="000000"/>
          <w:lang w:val="en-US"/>
        </w:rPr>
        <w:t>210</w:t>
      </w:r>
      <w:r w:rsidRPr="002E5D29">
        <w:rPr>
          <w:lang w:val="en-US"/>
        </w:rPr>
        <w:t>Po activity concentration in kidney and liver of terrestrial mammals is generally one to two orders of magnitude greater than in flesh, and similar findings were reported by Johansen and Twining (2010) for kangaroo and sheep from semi-arid Australian environments.</w:t>
      </w:r>
    </w:p>
    <w:p w:rsidR="0032638C" w:rsidRPr="002E5D29" w:rsidRDefault="0032638C" w:rsidP="0032638C">
      <w:pPr>
        <w:pStyle w:val="numberlist1"/>
        <w:numPr>
          <w:ilvl w:val="0"/>
          <w:numId w:val="2"/>
        </w:numPr>
        <w:rPr>
          <w:lang w:val="en-US"/>
        </w:rPr>
      </w:pPr>
      <w:r w:rsidRPr="002E5D29">
        <w:rPr>
          <w:i/>
          <w:lang w:val="en-US"/>
        </w:rPr>
        <w:t xml:space="preserve">CRs for </w:t>
      </w:r>
      <w:r w:rsidRPr="002E5D29">
        <w:rPr>
          <w:i/>
          <w:color w:val="000000"/>
          <w:position w:val="5"/>
          <w:sz w:val="15"/>
          <w:szCs w:val="0"/>
          <w:u w:color="000000"/>
          <w:lang w:val="en-US"/>
        </w:rPr>
        <w:t>226</w:t>
      </w:r>
      <w:r w:rsidRPr="002E5D29">
        <w:rPr>
          <w:i/>
          <w:lang w:val="en-US"/>
        </w:rPr>
        <w:t>Ra in bone much higher than flesh.</w:t>
      </w:r>
      <w:r w:rsidRPr="002E5D29">
        <w:rPr>
          <w:lang w:val="en-US"/>
        </w:rPr>
        <w:t xml:space="preserve"> The bone </w:t>
      </w:r>
      <w:r w:rsidRPr="002E5D29">
        <w:rPr>
          <w:color w:val="000000"/>
          <w:position w:val="5"/>
          <w:sz w:val="15"/>
          <w:szCs w:val="0"/>
          <w:u w:color="000000"/>
          <w:lang w:val="en-US"/>
        </w:rPr>
        <w:t>226</w:t>
      </w:r>
      <w:r w:rsidRPr="002E5D29">
        <w:rPr>
          <w:lang w:val="en-US"/>
        </w:rPr>
        <w:t xml:space="preserve">Ra CR was greater than the flesh </w:t>
      </w:r>
      <w:r w:rsidRPr="002E5D29">
        <w:rPr>
          <w:color w:val="000000"/>
          <w:position w:val="5"/>
          <w:sz w:val="15"/>
          <w:szCs w:val="0"/>
          <w:u w:color="000000"/>
          <w:lang w:val="en-US"/>
        </w:rPr>
        <w:t>226</w:t>
      </w:r>
      <w:r w:rsidRPr="002E5D29">
        <w:rPr>
          <w:lang w:val="en-US"/>
        </w:rPr>
        <w:t xml:space="preserve">Ra CR in buffalo and pig by two orders of magnitude and in wallaby by four orders of magnitude. A recent review of the environmental behaviour of radium (IAEA 2014) and references therein show that the accumulation of </w:t>
      </w:r>
      <w:r w:rsidRPr="002E5D29">
        <w:rPr>
          <w:color w:val="000000"/>
          <w:position w:val="5"/>
          <w:sz w:val="15"/>
          <w:szCs w:val="0"/>
          <w:u w:color="000000"/>
          <w:lang w:val="en-US"/>
        </w:rPr>
        <w:t>226</w:t>
      </w:r>
      <w:r w:rsidRPr="002E5D29">
        <w:rPr>
          <w:lang w:val="en-US"/>
        </w:rPr>
        <w:t xml:space="preserve">Ra in bone is typically orders of magnitude higher than in soft tissues of terrestrial animals. The similar chemical properties of group 2 elements means that radium essentially follows the same metabolism as calcium, and so is preferentially incorporated in bone and other calcified tissue. This may also explain the higher observed </w:t>
      </w:r>
      <w:r w:rsidRPr="002E5D29">
        <w:rPr>
          <w:color w:val="000000"/>
          <w:position w:val="5"/>
          <w:sz w:val="15"/>
          <w:szCs w:val="0"/>
          <w:u w:color="000000"/>
          <w:lang w:val="en-US"/>
        </w:rPr>
        <w:t>226</w:t>
      </w:r>
      <w:r w:rsidRPr="002E5D29">
        <w:rPr>
          <w:lang w:val="en-US"/>
        </w:rPr>
        <w:t xml:space="preserve">Ra CR for goanna egg, which </w:t>
      </w:r>
      <w:proofErr w:type="gramStart"/>
      <w:r w:rsidRPr="002E5D29">
        <w:rPr>
          <w:lang w:val="en-US"/>
        </w:rPr>
        <w:t>was</w:t>
      </w:r>
      <w:proofErr w:type="gramEnd"/>
      <w:r w:rsidRPr="002E5D29">
        <w:rPr>
          <w:lang w:val="en-US"/>
        </w:rPr>
        <w:t xml:space="preserve"> two orders of magnitude higher than that for goanna flesh.</w:t>
      </w:r>
    </w:p>
    <w:p w:rsidR="0060270F" w:rsidRPr="002E5D29" w:rsidRDefault="0060270F" w:rsidP="00587AA9">
      <w:pPr>
        <w:pStyle w:val="Heading3"/>
        <w:rPr>
          <w:lang w:val="en-US"/>
        </w:rPr>
      </w:pPr>
      <w:r w:rsidRPr="002E5D29">
        <w:rPr>
          <w:lang w:val="en-US"/>
        </w:rPr>
        <w:t xml:space="preserve">Dose </w:t>
      </w:r>
      <w:r w:rsidRPr="0032638C">
        <w:t>assessment</w:t>
      </w:r>
      <w:r w:rsidRPr="002E5D29">
        <w:rPr>
          <w:lang w:val="en-US"/>
        </w:rPr>
        <w:t xml:space="preserve"> context</w:t>
      </w:r>
    </w:p>
    <w:p w:rsidR="00587AA9" w:rsidRDefault="0060270F" w:rsidP="0060270F">
      <w:pPr>
        <w:rPr>
          <w:lang w:val="en-US"/>
        </w:rPr>
        <w:sectPr w:rsidR="00587AA9" w:rsidSect="00224F8A">
          <w:pgSz w:w="11906" w:h="16838" w:code="9"/>
          <w:pgMar w:top="1440" w:right="1440" w:bottom="1440" w:left="1440" w:header="1080" w:footer="835" w:gutter="0"/>
          <w:cols w:space="360"/>
          <w:noEndnote/>
          <w:docGrid w:linePitch="299"/>
        </w:sectPr>
      </w:pPr>
      <w:r w:rsidRPr="002E5D29">
        <w:rPr>
          <w:lang w:val="en-US"/>
        </w:rPr>
        <w:t xml:space="preserve">Terrestrial plants and animals may accumulate radionuclides above background levels if they are exposed to the rehabilitated Ranger mine site. This applies to plants growing on the site and animals having a home range that overlaps in whole or part with the site. Aboriginal people may receive an above background ingestion dose if they consume the tissues of these exposed plants or animals as part of a traditional diet. The goal in calculating CRs is to estimate the annual above background ingestion dose that an Aboriginal person could potentially receive from the accumulation of radionuclides in terrestrial bush foods due to the rehabilitated site. </w:t>
      </w:r>
    </w:p>
    <w:p w:rsidR="00587AA9" w:rsidRDefault="00587AA9" w:rsidP="0060270F">
      <w:pPr>
        <w:rPr>
          <w:lang w:val="en-US"/>
        </w:rPr>
      </w:pPr>
    </w:p>
    <w:p w:rsidR="0060270F" w:rsidRPr="002E5D29" w:rsidRDefault="0060270F" w:rsidP="0060270F">
      <w:pPr>
        <w:rPr>
          <w:lang w:val="en-US"/>
        </w:rPr>
      </w:pPr>
      <w:r w:rsidRPr="002E5D29">
        <w:rPr>
          <w:lang w:val="en-US"/>
        </w:rPr>
        <w:t>This dose can be estimated for each bush food as:</w:t>
      </w:r>
    </w:p>
    <w:p w:rsidR="0060270F" w:rsidRPr="002E5D29" w:rsidRDefault="0060270F" w:rsidP="0060270F">
      <m:oMathPara>
        <m:oMath>
          <m:r>
            <w:rPr>
              <w:rFonts w:ascii="Cambria Math" w:hAnsi="Cambria Math"/>
            </w:rPr>
            <m:t>Dose (mSv)=S×</m:t>
          </m:r>
          <m:nary>
            <m:naryPr>
              <m:chr m:val="∑"/>
              <m:limLoc m:val="undOvr"/>
              <m:subHide m:val="on"/>
              <m:supHide m:val="on"/>
              <m:ctrlPr>
                <w:rPr>
                  <w:rFonts w:ascii="Cambria Math" w:hAnsi="Cambria Math"/>
                  <w:i/>
                </w:rPr>
              </m:ctrlPr>
            </m:naryPr>
            <m:sub/>
            <m:sup/>
            <m:e>
              <m:d>
                <m:dPr>
                  <m:ctrlPr>
                    <w:rPr>
                      <w:rFonts w:ascii="Cambria Math" w:hAnsi="Cambria Math"/>
                      <w:i/>
                    </w:rPr>
                  </m:ctrlPr>
                </m:dPr>
                <m:e>
                  <m:r>
                    <w:rPr>
                      <w:rFonts w:ascii="Cambria Math" w:hAnsi="Cambria Math"/>
                    </w:rPr>
                    <m:t>CR×DC</m:t>
                  </m:r>
                </m:e>
              </m:d>
            </m:e>
          </m:nary>
          <m:r>
            <w:rPr>
              <w:rFonts w:ascii="Cambria Math" w:hAnsi="Cambria Math"/>
            </w:rPr>
            <m:t>×M×</m:t>
          </m:r>
          <m:sSub>
            <m:sSubPr>
              <m:ctrlPr>
                <w:rPr>
                  <w:rFonts w:ascii="Cambria Math" w:hAnsi="Cambria Math"/>
                  <w:i/>
                </w:rPr>
              </m:ctrlPr>
            </m:sSubPr>
            <m:e>
              <m:r>
                <w:rPr>
                  <w:rFonts w:ascii="Cambria Math" w:hAnsi="Cambria Math"/>
                </w:rPr>
                <m:t>F</m:t>
              </m:r>
            </m:e>
            <m:sub>
              <m:r>
                <w:rPr>
                  <w:rFonts w:ascii="Cambria Math" w:hAnsi="Cambria Math"/>
                </w:rPr>
                <m:t>E</m:t>
              </m:r>
            </m:sub>
          </m:sSub>
          <m:r>
            <w:rPr>
              <w:rFonts w:ascii="Cambria Math" w:hAnsi="Cambria Math"/>
            </w:rPr>
            <m:t>×</m:t>
          </m:r>
          <m:sSub>
            <m:sSubPr>
              <m:ctrlPr>
                <w:rPr>
                  <w:rFonts w:ascii="Cambria Math" w:hAnsi="Cambria Math"/>
                  <w:i/>
                </w:rPr>
              </m:ctrlPr>
            </m:sSubPr>
            <m:e>
              <m:r>
                <w:rPr>
                  <w:rFonts w:ascii="Cambria Math" w:hAnsi="Cambria Math"/>
                </w:rPr>
                <m:t>F</m:t>
              </m:r>
            </m:e>
            <m:sub>
              <m:r>
                <w:rPr>
                  <w:rFonts w:ascii="Cambria Math" w:hAnsi="Cambria Math"/>
                </w:rPr>
                <m:t>H</m:t>
              </m:r>
            </m:sub>
          </m:sSub>
        </m:oMath>
      </m:oMathPara>
    </w:p>
    <w:p w:rsidR="0060270F" w:rsidRPr="002E5D29" w:rsidRDefault="0060270F" w:rsidP="0060270F">
      <w:pPr>
        <w:rPr>
          <w:lang w:val="en-US"/>
        </w:rPr>
      </w:pPr>
      <w:proofErr w:type="gramStart"/>
      <w:r w:rsidRPr="002E5D29">
        <w:rPr>
          <w:lang w:val="en-US"/>
        </w:rPr>
        <w:t>where</w:t>
      </w:r>
      <w:proofErr w:type="gramEnd"/>
      <w:r w:rsidRPr="002E5D29">
        <w:rPr>
          <w:lang w:val="en-US"/>
        </w:rPr>
        <w:t>:</w:t>
      </w:r>
    </w:p>
    <w:p w:rsidR="00F526A8" w:rsidRPr="002E5D29" w:rsidRDefault="00F526A8" w:rsidP="00F526A8">
      <w:pPr>
        <w:pStyle w:val="bulletlist1"/>
        <w:numPr>
          <w:ilvl w:val="0"/>
          <w:numId w:val="1"/>
        </w:numPr>
        <w:tabs>
          <w:tab w:val="clear" w:pos="720"/>
        </w:tabs>
        <w:ind w:left="357" w:hanging="357"/>
      </w:pPr>
      <w:r w:rsidRPr="002E5D29">
        <w:rPr>
          <w:rFonts w:ascii="Cambria Math" w:hAnsi="Cambria Math"/>
          <w:i/>
        </w:rPr>
        <w:t>S</w:t>
      </w:r>
      <w:r w:rsidRPr="002E5D29">
        <w:t xml:space="preserve"> is the above background soil activity concentration (Bq kg</w:t>
      </w:r>
      <w:r w:rsidRPr="002E5D29">
        <w:rPr>
          <w:snapToGrid w:val="0"/>
          <w:color w:val="000000"/>
          <w:position w:val="5"/>
          <w:sz w:val="15"/>
          <w:szCs w:val="0"/>
          <w:u w:color="000000"/>
        </w:rPr>
        <w:t>-1</w:t>
      </w:r>
      <w:r w:rsidRPr="002E5D29">
        <w:t xml:space="preserve">) of </w:t>
      </w:r>
      <w:r w:rsidRPr="002E5D29">
        <w:rPr>
          <w:snapToGrid w:val="0"/>
          <w:color w:val="000000"/>
          <w:position w:val="5"/>
          <w:sz w:val="15"/>
          <w:szCs w:val="0"/>
          <w:u w:color="000000"/>
        </w:rPr>
        <w:t>238</w:t>
      </w:r>
      <w:r w:rsidRPr="002E5D29">
        <w:t>U in secular equilibrium with its progeny on the surface of the rehabilitated Ranger mine site;</w:t>
      </w:r>
    </w:p>
    <w:p w:rsidR="00F526A8" w:rsidRPr="002E5D29" w:rsidRDefault="00F526A8" w:rsidP="00F526A8">
      <w:pPr>
        <w:pStyle w:val="bulletlist1"/>
        <w:numPr>
          <w:ilvl w:val="0"/>
          <w:numId w:val="1"/>
        </w:numPr>
        <w:tabs>
          <w:tab w:val="clear" w:pos="720"/>
        </w:tabs>
        <w:ind w:left="357" w:hanging="357"/>
      </w:pPr>
      <w:r w:rsidRPr="002E5D29">
        <w:rPr>
          <w:rFonts w:ascii="Cambria Math" w:hAnsi="Cambria Math"/>
          <w:i/>
        </w:rPr>
        <w:t>Σ(CR×DC)</w:t>
      </w:r>
      <w:r w:rsidRPr="002E5D29">
        <w:t xml:space="preserve"> is the sum of the products of the CR and the corresponding radionuclide ingestion dose coefficient (DC, mSv Bq</w:t>
      </w:r>
      <w:r w:rsidRPr="002E5D29">
        <w:rPr>
          <w:snapToGrid w:val="0"/>
          <w:color w:val="000000"/>
          <w:position w:val="5"/>
          <w:sz w:val="15"/>
          <w:szCs w:val="0"/>
          <w:u w:color="000000"/>
        </w:rPr>
        <w:t>-1</w:t>
      </w:r>
      <w:r w:rsidRPr="002E5D29">
        <w:t xml:space="preserve">) for </w:t>
      </w:r>
      <w:r w:rsidRPr="002E5D29">
        <w:rPr>
          <w:snapToGrid w:val="0"/>
          <w:color w:val="000000"/>
          <w:position w:val="5"/>
          <w:sz w:val="15"/>
          <w:szCs w:val="0"/>
          <w:u w:color="000000"/>
        </w:rPr>
        <w:t>238</w:t>
      </w:r>
      <w:r w:rsidRPr="002E5D29">
        <w:t xml:space="preserve">U, </w:t>
      </w:r>
      <w:r w:rsidRPr="002E5D29">
        <w:rPr>
          <w:snapToGrid w:val="0"/>
          <w:color w:val="000000"/>
          <w:position w:val="5"/>
          <w:sz w:val="15"/>
          <w:szCs w:val="0"/>
          <w:u w:color="000000"/>
        </w:rPr>
        <w:t>234</w:t>
      </w:r>
      <w:r w:rsidRPr="002E5D29">
        <w:t xml:space="preserve">U, </w:t>
      </w:r>
      <w:r w:rsidRPr="002E5D29">
        <w:rPr>
          <w:snapToGrid w:val="0"/>
          <w:color w:val="000000"/>
          <w:position w:val="5"/>
          <w:sz w:val="15"/>
          <w:szCs w:val="0"/>
          <w:u w:color="000000"/>
        </w:rPr>
        <w:t>230</w:t>
      </w:r>
      <w:r w:rsidRPr="002E5D29">
        <w:t xml:space="preserve">Th, </w:t>
      </w:r>
      <w:r w:rsidRPr="002E5D29">
        <w:rPr>
          <w:snapToGrid w:val="0"/>
          <w:color w:val="000000"/>
          <w:position w:val="5"/>
          <w:sz w:val="15"/>
          <w:szCs w:val="0"/>
          <w:u w:color="000000"/>
        </w:rPr>
        <w:t>226</w:t>
      </w:r>
      <w:r w:rsidRPr="002E5D29">
        <w:t xml:space="preserve">Ra, </w:t>
      </w:r>
      <w:r w:rsidRPr="002E5D29">
        <w:rPr>
          <w:snapToGrid w:val="0"/>
          <w:color w:val="000000"/>
          <w:position w:val="5"/>
          <w:sz w:val="15"/>
          <w:szCs w:val="0"/>
          <w:u w:color="000000"/>
        </w:rPr>
        <w:t>210</w:t>
      </w:r>
      <w:r w:rsidRPr="002E5D29">
        <w:t xml:space="preserve">Pb and </w:t>
      </w:r>
      <w:r w:rsidRPr="002E5D29">
        <w:rPr>
          <w:snapToGrid w:val="0"/>
          <w:color w:val="000000"/>
          <w:position w:val="5"/>
          <w:sz w:val="15"/>
          <w:szCs w:val="0"/>
          <w:u w:color="000000"/>
        </w:rPr>
        <w:t>210</w:t>
      </w:r>
      <w:r w:rsidRPr="002E5D29">
        <w:t>Po;</w:t>
      </w:r>
    </w:p>
    <w:p w:rsidR="00F526A8" w:rsidRPr="002E5D29" w:rsidRDefault="00F526A8" w:rsidP="00F526A8">
      <w:pPr>
        <w:pStyle w:val="bulletlist1"/>
        <w:numPr>
          <w:ilvl w:val="0"/>
          <w:numId w:val="1"/>
        </w:numPr>
        <w:tabs>
          <w:tab w:val="clear" w:pos="720"/>
        </w:tabs>
        <w:ind w:left="357" w:hanging="357"/>
      </w:pPr>
      <w:r w:rsidRPr="002E5D29">
        <w:rPr>
          <w:rFonts w:ascii="Cambria Math" w:hAnsi="Cambria Math"/>
          <w:i/>
        </w:rPr>
        <w:t>M</w:t>
      </w:r>
      <w:r w:rsidRPr="002E5D29">
        <w:t xml:space="preserve"> is the wet mass (kg) of the bush food consumed in a year;</w:t>
      </w:r>
    </w:p>
    <w:p w:rsidR="00F526A8" w:rsidRPr="002E5D29" w:rsidRDefault="00F526A8" w:rsidP="00F526A8">
      <w:pPr>
        <w:pStyle w:val="bulletlist1"/>
        <w:numPr>
          <w:ilvl w:val="0"/>
          <w:numId w:val="1"/>
        </w:numPr>
        <w:tabs>
          <w:tab w:val="clear" w:pos="720"/>
        </w:tabs>
        <w:ind w:left="357" w:hanging="357"/>
      </w:pPr>
      <w:r w:rsidRPr="002E5D29">
        <w:rPr>
          <w:rFonts w:ascii="Cambria Math" w:hAnsi="Cambria Math"/>
          <w:i/>
        </w:rPr>
        <w:t>F</w:t>
      </w:r>
      <w:r w:rsidRPr="002E5D29">
        <w:rPr>
          <w:rFonts w:ascii="Cambria Math" w:hAnsi="Cambria Math"/>
          <w:i/>
          <w:snapToGrid w:val="0"/>
          <w:color w:val="000000"/>
          <w:position w:val="-5"/>
          <w:sz w:val="15"/>
          <w:szCs w:val="0"/>
          <w:u w:color="000000"/>
        </w:rPr>
        <w:t>E</w:t>
      </w:r>
      <w:r w:rsidRPr="002E5D29">
        <w:t xml:space="preserve"> is the average fraction that an animal is exposed to the rehabilitated site; and</w:t>
      </w:r>
    </w:p>
    <w:p w:rsidR="00F526A8" w:rsidRPr="002E5D29" w:rsidRDefault="00F526A8" w:rsidP="00F526A8">
      <w:pPr>
        <w:pStyle w:val="bulletlist1"/>
        <w:numPr>
          <w:ilvl w:val="0"/>
          <w:numId w:val="1"/>
        </w:numPr>
        <w:tabs>
          <w:tab w:val="clear" w:pos="720"/>
        </w:tabs>
        <w:ind w:left="357" w:hanging="357"/>
      </w:pPr>
      <w:r w:rsidRPr="002E5D29">
        <w:rPr>
          <w:rFonts w:ascii="Cambria Math" w:hAnsi="Cambria Math"/>
          <w:i/>
        </w:rPr>
        <w:t>F</w:t>
      </w:r>
      <w:r w:rsidRPr="002E5D29">
        <w:rPr>
          <w:rFonts w:ascii="Cambria Math" w:hAnsi="Cambria Math"/>
          <w:i/>
          <w:snapToGrid w:val="0"/>
          <w:color w:val="000000"/>
          <w:position w:val="-5"/>
          <w:sz w:val="15"/>
          <w:szCs w:val="0"/>
          <w:u w:color="000000"/>
        </w:rPr>
        <w:t>H</w:t>
      </w:r>
      <w:r w:rsidRPr="002E5D29">
        <w:t xml:space="preserve"> is the average fraction spent hunting in the zone from within which animals may be exposed to the rehabilitated site.</w:t>
      </w:r>
    </w:p>
    <w:p w:rsidR="0060270F" w:rsidRPr="002E5D29" w:rsidRDefault="0060270F" w:rsidP="0060270F">
      <w:pPr>
        <w:rPr>
          <w:lang w:val="en-US"/>
        </w:rPr>
      </w:pPr>
      <w:r w:rsidRPr="002E5D29">
        <w:rPr>
          <w:lang w:val="en-US"/>
        </w:rPr>
        <w:t xml:space="preserve">The parameters </w:t>
      </w:r>
      <w:r w:rsidRPr="002E5D29">
        <w:rPr>
          <w:rFonts w:ascii="Cambria Math" w:hAnsi="Cambria Math"/>
          <w:i/>
          <w:lang w:val="en-US"/>
        </w:rPr>
        <w:t>S</w:t>
      </w:r>
      <w:r w:rsidRPr="002E5D29">
        <w:rPr>
          <w:lang w:val="en-US"/>
        </w:rPr>
        <w:t xml:space="preserve">, </w:t>
      </w:r>
      <w:proofErr w:type="gramStart"/>
      <w:r w:rsidRPr="002E5D29">
        <w:rPr>
          <w:rFonts w:ascii="Cambria Math" w:hAnsi="Cambria Math"/>
          <w:i/>
          <w:lang w:val="en-US"/>
        </w:rPr>
        <w:t>Σ(</w:t>
      </w:r>
      <w:proofErr w:type="gramEnd"/>
      <w:r w:rsidRPr="002E5D29">
        <w:rPr>
          <w:rFonts w:ascii="Cambria Math" w:hAnsi="Cambria Math"/>
          <w:i/>
          <w:lang w:val="en-US"/>
        </w:rPr>
        <w:t>CR×DC)</w:t>
      </w:r>
      <w:r w:rsidRPr="002E5D29">
        <w:rPr>
          <w:lang w:val="en-US"/>
        </w:rPr>
        <w:t xml:space="preserve"> and </w:t>
      </w:r>
      <w:r w:rsidRPr="002E5D29">
        <w:rPr>
          <w:rFonts w:ascii="Cambria Math" w:hAnsi="Cambria Math"/>
          <w:i/>
          <w:lang w:val="en-US"/>
        </w:rPr>
        <w:t>F</w:t>
      </w:r>
      <w:r w:rsidRPr="002E5D29">
        <w:rPr>
          <w:rFonts w:ascii="Cambria Math" w:hAnsi="Cambria Math"/>
          <w:i/>
          <w:snapToGrid w:val="0"/>
          <w:color w:val="000000"/>
          <w:position w:val="-5"/>
          <w:sz w:val="15"/>
          <w:szCs w:val="0"/>
          <w:u w:color="000000"/>
          <w:lang w:val="en-US"/>
        </w:rPr>
        <w:t>E</w:t>
      </w:r>
      <w:r w:rsidRPr="002E5D29">
        <w:rPr>
          <w:lang w:val="en-US"/>
        </w:rPr>
        <w:t xml:space="preserve"> determine the above background radionuclide activity concentrations in plants and animals exposed to the rehabilitated Ranger mine site. Values for these parameters are now relatively well known – above background soil activity concentrations of </w:t>
      </w:r>
      <w:r w:rsidRPr="002E5D29">
        <w:rPr>
          <w:snapToGrid w:val="0"/>
          <w:color w:val="000000"/>
          <w:position w:val="5"/>
          <w:sz w:val="15"/>
          <w:szCs w:val="0"/>
          <w:u w:color="000000"/>
          <w:lang w:val="en-US"/>
        </w:rPr>
        <w:t>238</w:t>
      </w:r>
      <w:r w:rsidRPr="002E5D29">
        <w:rPr>
          <w:lang w:val="en-US"/>
        </w:rPr>
        <w:t>U series radionuclides on the surface of the rehabilitated site can be reasonably estimated from the preferred rehabilitation strategy and work done by Bollhöfer et al</w:t>
      </w:r>
      <w:r w:rsidR="00F526A8">
        <w:rPr>
          <w:lang w:val="en-US"/>
        </w:rPr>
        <w:t>.</w:t>
      </w:r>
      <w:r w:rsidRPr="002E5D29">
        <w:rPr>
          <w:lang w:val="en-US"/>
        </w:rPr>
        <w:t xml:space="preserve"> (2014), CRs for terrestrial bush foods have been calculated (Figure 1), ingestion dose coefficients have been determined by the International Commission on Radiological Protection (ICRP 1996), the average fraction that an animal is exposed to the rehabilitated site can be estimated from the size (radius) of the site and animal home ranges. The parameters </w:t>
      </w:r>
      <w:r w:rsidRPr="002E5D29">
        <w:rPr>
          <w:rFonts w:ascii="Cambria Math" w:hAnsi="Cambria Math"/>
          <w:i/>
          <w:lang w:val="en-US"/>
        </w:rPr>
        <w:t>M</w:t>
      </w:r>
      <w:r w:rsidRPr="002E5D29">
        <w:rPr>
          <w:lang w:val="en-US"/>
        </w:rPr>
        <w:t xml:space="preserve"> and </w:t>
      </w:r>
      <w:r w:rsidRPr="002E5D29">
        <w:rPr>
          <w:rFonts w:ascii="Cambria Math" w:hAnsi="Cambria Math"/>
          <w:i/>
          <w:lang w:val="en-US"/>
        </w:rPr>
        <w:t>F</w:t>
      </w:r>
      <w:r w:rsidRPr="002E5D29">
        <w:rPr>
          <w:rFonts w:ascii="Cambria Math" w:hAnsi="Cambria Math"/>
          <w:i/>
          <w:snapToGrid w:val="0"/>
          <w:color w:val="000000"/>
          <w:position w:val="-5"/>
          <w:sz w:val="15"/>
          <w:szCs w:val="0"/>
          <w:u w:color="000000"/>
          <w:lang w:val="en-US"/>
        </w:rPr>
        <w:t>H</w:t>
      </w:r>
      <w:r w:rsidRPr="002E5D29">
        <w:rPr>
          <w:lang w:val="en-US"/>
        </w:rPr>
        <w:t xml:space="preserve"> determine the fraction of contaminated diet. Their values are less well known because they depend on post-rehabilitation land use for hunting and gathering and future dietary habits. Agreed land use scenarios and reference diet for rehabilitation planning of the Ranger mine do not yet exist but are being developed through a cultural closure criteria working group that consults with Aboriginal advocacy groups on cultural issues important to rehabilitation.</w:t>
      </w:r>
    </w:p>
    <w:p w:rsidR="0060270F" w:rsidRPr="002E5D29" w:rsidRDefault="0060270F" w:rsidP="0060270F">
      <w:pPr>
        <w:rPr>
          <w:lang w:val="en-US"/>
        </w:rPr>
      </w:pPr>
      <w:r w:rsidRPr="002E5D29">
        <w:rPr>
          <w:lang w:val="en-US"/>
        </w:rPr>
        <w:t>Table 1 gives an example ingestion dose calculation for the consumption of selected bush foods by an Aboriginal adult for an assumed traditional living scenario and set of circumstances for the rehabilitated Ranger mine site. This example calculation has been provided to illustrate the logistics and mechanics of estimating the above background dose from terrestrial bush foods; parameter values and results shown in Table 1 are indicative only and do not necessarily represent final dose estimates. The assumptions made in the example calculation were:</w:t>
      </w:r>
    </w:p>
    <w:p w:rsidR="0060270F" w:rsidRPr="002E5D29" w:rsidRDefault="0060270F" w:rsidP="00932A96">
      <w:pPr>
        <w:pStyle w:val="numberlist1"/>
        <w:numPr>
          <w:ilvl w:val="0"/>
          <w:numId w:val="16"/>
        </w:numPr>
        <w:rPr>
          <w:lang w:val="en-US"/>
        </w:rPr>
      </w:pPr>
      <w:r w:rsidRPr="002E5D29">
        <w:rPr>
          <w:i/>
          <w:lang w:val="en-US"/>
        </w:rPr>
        <w:t>Rehabilitated site general characteristics.</w:t>
      </w:r>
      <w:r w:rsidRPr="002E5D29">
        <w:rPr>
          <w:lang w:val="en-US"/>
        </w:rPr>
        <w:t xml:space="preserve"> The area of the rehabilitated Ranger mine site was assumed to be 8 km</w:t>
      </w:r>
      <w:r w:rsidRPr="002E5D29">
        <w:rPr>
          <w:color w:val="000000"/>
          <w:position w:val="5"/>
          <w:sz w:val="15"/>
          <w:szCs w:val="0"/>
          <w:u w:color="000000"/>
          <w:lang w:val="en-US"/>
        </w:rPr>
        <w:t>2</w:t>
      </w:r>
      <w:r w:rsidRPr="002E5D29">
        <w:rPr>
          <w:lang w:val="en-US"/>
        </w:rPr>
        <w:t>. This is the approximate size of the mine disturbed area requiring rehabilitation. The surface of the rehabilitated site was assumed to be covered with mine waste rock and shaped as near as practicable to resemble the pre-mining landscape. This is currently the preferred rehabilitation strategy for mine disturbed areas (ERA 2013). The rehabilitated site was assumed to be revegetated using local native plant species to broadly match adjacent areas of Kakadu National Park as required by the Environmental Requirements for the Ranger mine (Commonwealth of Australia 1999). The site was assumed to be used as habitat by terrestrial animals similar to other parts of Kakadu National Park and to equally support the growth of plant species included in traditional diet.</w:t>
      </w:r>
    </w:p>
    <w:p w:rsidR="0060270F" w:rsidRPr="002E5D29" w:rsidRDefault="0060270F" w:rsidP="00932A96">
      <w:pPr>
        <w:pStyle w:val="numberlist1"/>
        <w:numPr>
          <w:ilvl w:val="0"/>
          <w:numId w:val="2"/>
        </w:numPr>
        <w:rPr>
          <w:lang w:val="en-US"/>
        </w:rPr>
      </w:pPr>
      <w:r w:rsidRPr="002E5D29">
        <w:rPr>
          <w:i/>
          <w:lang w:val="en-US"/>
        </w:rPr>
        <w:t>Rehabilitated site soil radionuclide activity concentrations.</w:t>
      </w:r>
      <w:r w:rsidRPr="002E5D29">
        <w:rPr>
          <w:lang w:val="en-US"/>
        </w:rPr>
        <w:t xml:space="preserve"> Ranger waste rock has a maximum ore grade equivalent to approximately 2100 Bq kg</w:t>
      </w:r>
      <w:r w:rsidRPr="002E5D29">
        <w:rPr>
          <w:color w:val="000000"/>
          <w:position w:val="5"/>
          <w:sz w:val="15"/>
          <w:szCs w:val="0"/>
          <w:u w:color="000000"/>
          <w:lang w:val="en-US"/>
        </w:rPr>
        <w:t>-1</w:t>
      </w:r>
      <w:r w:rsidRPr="002E5D29">
        <w:rPr>
          <w:lang w:val="en-US"/>
        </w:rPr>
        <w:t xml:space="preserve"> </w:t>
      </w:r>
      <w:r w:rsidRPr="002E5D29">
        <w:rPr>
          <w:color w:val="000000"/>
          <w:position w:val="5"/>
          <w:sz w:val="15"/>
          <w:szCs w:val="0"/>
          <w:u w:color="000000"/>
          <w:lang w:val="en-US"/>
        </w:rPr>
        <w:t>238</w:t>
      </w:r>
      <w:r w:rsidRPr="002E5D29">
        <w:rPr>
          <w:lang w:val="en-US"/>
        </w:rPr>
        <w:t>U (Lawrence et al</w:t>
      </w:r>
      <w:r w:rsidR="00F526A8">
        <w:rPr>
          <w:lang w:val="en-US"/>
        </w:rPr>
        <w:t>.</w:t>
      </w:r>
      <w:r w:rsidRPr="002E5D29">
        <w:rPr>
          <w:lang w:val="en-US"/>
        </w:rPr>
        <w:t xml:space="preserve"> 2009)</w:t>
      </w:r>
      <w:r w:rsidR="005868D2">
        <w:rPr>
          <w:lang w:val="en-US"/>
        </w:rPr>
        <w:t xml:space="preserve"> and lower average ore grade</w:t>
      </w:r>
      <w:r w:rsidRPr="002E5D29">
        <w:rPr>
          <w:lang w:val="en-US"/>
        </w:rPr>
        <w:t xml:space="preserve">. Average </w:t>
      </w:r>
      <w:r w:rsidRPr="002E5D29">
        <w:rPr>
          <w:color w:val="000000"/>
          <w:position w:val="5"/>
          <w:sz w:val="15"/>
          <w:szCs w:val="0"/>
          <w:u w:color="000000"/>
          <w:lang w:val="en-US"/>
        </w:rPr>
        <w:t>238</w:t>
      </w:r>
      <w:r w:rsidRPr="002E5D29">
        <w:rPr>
          <w:lang w:val="en-US"/>
        </w:rPr>
        <w:t xml:space="preserve">U activity concentration in waste rock used to cover the rehabilitated site was assumed to be half this maximum ore grade and </w:t>
      </w:r>
      <w:r w:rsidRPr="002E5D29">
        <w:rPr>
          <w:color w:val="000000"/>
          <w:position w:val="5"/>
          <w:sz w:val="15"/>
          <w:szCs w:val="0"/>
          <w:u w:color="000000"/>
          <w:lang w:val="en-US"/>
        </w:rPr>
        <w:t>238</w:t>
      </w:r>
      <w:r w:rsidRPr="002E5D29">
        <w:rPr>
          <w:lang w:val="en-US"/>
        </w:rPr>
        <w:t xml:space="preserve">U series radionuclides in the waste rock cover were assumed to be in secular equilibrium. The average pre-mining soil </w:t>
      </w:r>
      <w:r w:rsidRPr="002E5D29">
        <w:rPr>
          <w:color w:val="000000"/>
          <w:position w:val="5"/>
          <w:sz w:val="15"/>
          <w:szCs w:val="0"/>
          <w:u w:color="000000"/>
          <w:lang w:val="en-US"/>
        </w:rPr>
        <w:t>238</w:t>
      </w:r>
      <w:r w:rsidRPr="002E5D29">
        <w:rPr>
          <w:lang w:val="en-US"/>
        </w:rPr>
        <w:t>U activity concentration of the site has been determined from Bollhöfer et al</w:t>
      </w:r>
      <w:r w:rsidR="00F526A8">
        <w:rPr>
          <w:lang w:val="en-US"/>
        </w:rPr>
        <w:t>.</w:t>
      </w:r>
      <w:r w:rsidRPr="002E5D29">
        <w:rPr>
          <w:lang w:val="en-US"/>
        </w:rPr>
        <w:t xml:space="preserve"> (2014) to be </w:t>
      </w:r>
      <w:proofErr w:type="gramStart"/>
      <w:r w:rsidRPr="002E5D29">
        <w:rPr>
          <w:lang w:val="en-US"/>
        </w:rPr>
        <w:t>approximately 360 Bq kg</w:t>
      </w:r>
      <w:r w:rsidRPr="002E5D29">
        <w:rPr>
          <w:color w:val="000000"/>
          <w:position w:val="5"/>
          <w:sz w:val="15"/>
          <w:szCs w:val="0"/>
          <w:u w:color="000000"/>
          <w:lang w:val="en-US"/>
        </w:rPr>
        <w:t>-1</w:t>
      </w:r>
      <w:proofErr w:type="gramEnd"/>
      <w:r w:rsidRPr="002E5D29">
        <w:rPr>
          <w:lang w:val="en-US"/>
        </w:rPr>
        <w:t xml:space="preserve">. This implies an average above background activity concentration of </w:t>
      </w:r>
      <w:r w:rsidRPr="002E5D29">
        <w:rPr>
          <w:color w:val="000000"/>
          <w:position w:val="5"/>
          <w:sz w:val="15"/>
          <w:szCs w:val="0"/>
          <w:u w:color="000000"/>
          <w:lang w:val="en-US"/>
        </w:rPr>
        <w:t>238</w:t>
      </w:r>
      <w:r w:rsidRPr="002E5D29">
        <w:rPr>
          <w:lang w:val="en-US"/>
        </w:rPr>
        <w:t xml:space="preserve">U in secular equilibrium with its progeny </w:t>
      </w:r>
      <w:proofErr w:type="gramStart"/>
      <w:r w:rsidRPr="002E5D29">
        <w:rPr>
          <w:lang w:val="en-US"/>
        </w:rPr>
        <w:t>of 690 Bq kg</w:t>
      </w:r>
      <w:r w:rsidRPr="002E5D29">
        <w:rPr>
          <w:color w:val="000000"/>
          <w:position w:val="5"/>
          <w:sz w:val="15"/>
          <w:szCs w:val="0"/>
          <w:u w:color="000000"/>
          <w:lang w:val="en-US"/>
        </w:rPr>
        <w:t>-1</w:t>
      </w:r>
      <w:proofErr w:type="gramEnd"/>
      <w:r w:rsidRPr="002E5D29">
        <w:rPr>
          <w:lang w:val="en-US"/>
        </w:rPr>
        <w:t xml:space="preserve"> on the surface of the rehabilitated site.</w:t>
      </w:r>
    </w:p>
    <w:p w:rsidR="0060270F" w:rsidRPr="002E5D29" w:rsidRDefault="0060270F" w:rsidP="00932A96">
      <w:pPr>
        <w:pStyle w:val="numberlist1"/>
        <w:numPr>
          <w:ilvl w:val="0"/>
          <w:numId w:val="2"/>
        </w:numPr>
        <w:rPr>
          <w:lang w:val="en-US"/>
        </w:rPr>
      </w:pPr>
      <w:r w:rsidRPr="002E5D29">
        <w:rPr>
          <w:i/>
          <w:lang w:val="en-US"/>
        </w:rPr>
        <w:t>Diet.</w:t>
      </w:r>
      <w:r w:rsidRPr="002E5D29">
        <w:rPr>
          <w:lang w:val="en-US"/>
        </w:rPr>
        <w:t xml:space="preserve"> In lieu of an agreed reference diet for rehabilitation of the Ranger mine site, a diet previously developed by </w:t>
      </w:r>
      <w:r w:rsidRPr="00F526A8">
        <w:rPr>
          <w:rFonts w:ascii="Times New Roman" w:hAnsi="Times New Roman"/>
          <w:b/>
          <w:i/>
          <w:sz w:val="26"/>
          <w:lang w:val="en-US"/>
        </w:rPr>
        <w:t>eriss</w:t>
      </w:r>
      <w:r w:rsidRPr="00F526A8">
        <w:rPr>
          <w:rFonts w:ascii="Times New Roman" w:hAnsi="Times New Roman"/>
          <w:lang w:val="en-US"/>
        </w:rPr>
        <w:t xml:space="preserve"> </w:t>
      </w:r>
      <w:r w:rsidRPr="002E5D29">
        <w:rPr>
          <w:lang w:val="en-US"/>
        </w:rPr>
        <w:t>from consultation with Aboriginal people and general observations of traditional dietary habits was used (Ryan et al</w:t>
      </w:r>
      <w:r w:rsidR="00F526A8">
        <w:rPr>
          <w:lang w:val="en-US"/>
        </w:rPr>
        <w:t>.</w:t>
      </w:r>
      <w:r w:rsidRPr="002E5D29">
        <w:rPr>
          <w:lang w:val="en-US"/>
        </w:rPr>
        <w:t xml:space="preserve"> 2008). Bandicoot was not included in the </w:t>
      </w:r>
      <w:r w:rsidR="00F526A8" w:rsidRPr="00F526A8">
        <w:rPr>
          <w:rFonts w:ascii="Times New Roman" w:hAnsi="Times New Roman"/>
          <w:b/>
          <w:i/>
          <w:sz w:val="26"/>
          <w:lang w:val="en-US"/>
        </w:rPr>
        <w:t>eriss</w:t>
      </w:r>
      <w:r w:rsidR="00F526A8" w:rsidRPr="00F526A8">
        <w:rPr>
          <w:rFonts w:ascii="Times New Roman" w:hAnsi="Times New Roman"/>
          <w:lang w:val="en-US"/>
        </w:rPr>
        <w:t xml:space="preserve"> </w:t>
      </w:r>
      <w:r w:rsidRPr="002E5D29">
        <w:rPr>
          <w:lang w:val="en-US"/>
        </w:rPr>
        <w:t xml:space="preserve">diet, and so it was assumed that the annual consumption of bandicoot flesh was one quarter that of wallaby </w:t>
      </w:r>
      <w:proofErr w:type="gramStart"/>
      <w:r w:rsidRPr="002E5D29">
        <w:rPr>
          <w:lang w:val="en-US"/>
        </w:rPr>
        <w:t>flesh</w:t>
      </w:r>
      <w:proofErr w:type="gramEnd"/>
      <w:r w:rsidRPr="002E5D29">
        <w:rPr>
          <w:lang w:val="en-US"/>
        </w:rPr>
        <w:t>.</w:t>
      </w:r>
    </w:p>
    <w:p w:rsidR="0060270F" w:rsidRPr="002E5D29" w:rsidRDefault="0060270F" w:rsidP="00932A96">
      <w:pPr>
        <w:pStyle w:val="numberlist1"/>
        <w:numPr>
          <w:ilvl w:val="0"/>
          <w:numId w:val="2"/>
        </w:numPr>
        <w:rPr>
          <w:lang w:val="en-US"/>
        </w:rPr>
      </w:pPr>
      <w:r w:rsidRPr="002E5D29">
        <w:rPr>
          <w:i/>
          <w:lang w:val="en-US"/>
        </w:rPr>
        <w:t>Post-rehabilitation land use for hunting and gathering.</w:t>
      </w:r>
      <w:r w:rsidRPr="002E5D29">
        <w:rPr>
          <w:lang w:val="en-US"/>
        </w:rPr>
        <w:t xml:space="preserve"> Aboriginal people leading a traditional lifestyle in the vicinity of the rehabilitated Ranger mine site were assumed to hunt over an area of approximately 300 km</w:t>
      </w:r>
      <w:r w:rsidRPr="002E5D29">
        <w:rPr>
          <w:color w:val="000000"/>
          <w:position w:val="5"/>
          <w:sz w:val="15"/>
          <w:szCs w:val="0"/>
          <w:u w:color="000000"/>
          <w:lang w:val="en-US"/>
        </w:rPr>
        <w:t>2</w:t>
      </w:r>
      <w:r w:rsidRPr="002E5D29">
        <w:rPr>
          <w:lang w:val="en-US"/>
        </w:rPr>
        <w:t>. This is half the nomadic range observed by Altman (1984) for a group of Aboriginal people leading a traditional lifestyle near Momega outstation, approximately 85 km east of the Ranger mine. Anecdotal evidence suggests the nomadic range in the vicinity of the rehabilitated Ranger mine site will probably be less than for the area around Momega outstation due to greater abundance of bush food resources in the Magela Creek corridor.</w:t>
      </w:r>
    </w:p>
    <w:p w:rsidR="0060270F" w:rsidRPr="002E5D29" w:rsidRDefault="0060270F" w:rsidP="00932A96">
      <w:pPr>
        <w:pStyle w:val="numberlist1"/>
        <w:numPr>
          <w:ilvl w:val="0"/>
          <w:numId w:val="2"/>
        </w:numPr>
        <w:rPr>
          <w:lang w:val="en-US"/>
        </w:rPr>
      </w:pPr>
      <w:r w:rsidRPr="002E5D29">
        <w:rPr>
          <w:i/>
          <w:lang w:val="en-US"/>
        </w:rPr>
        <w:t>Animal exposed and hunting fractions.</w:t>
      </w:r>
      <w:r w:rsidRPr="002E5D29">
        <w:rPr>
          <w:lang w:val="en-US"/>
        </w:rPr>
        <w:t xml:space="preserve"> The animal exposed and hunting fractions were calculated by assuming the rehabilitated site is a circle of radius 1.6 km, the home range of an animal is a circle of radius typical of the particular species and the hunting range is a circle of radius 10 km. The animal exposed fraction represents the portion of the animal home range overlapping with the rehabilitated site and the hunting fraction represents the portion of the hunting range overlapping with the zone from within which an animal may be exposed to the rehabilitated site.</w:t>
      </w:r>
    </w:p>
    <w:p w:rsidR="00587AA9" w:rsidRDefault="0060270F" w:rsidP="0060270F">
      <w:pPr>
        <w:rPr>
          <w:lang w:val="en-US"/>
        </w:rPr>
        <w:sectPr w:rsidR="00587AA9" w:rsidSect="00224F8A">
          <w:pgSz w:w="11906" w:h="16838" w:code="9"/>
          <w:pgMar w:top="1440" w:right="1440" w:bottom="1440" w:left="1440" w:header="1080" w:footer="835" w:gutter="0"/>
          <w:cols w:space="360"/>
          <w:noEndnote/>
          <w:docGrid w:linePitch="299"/>
        </w:sectPr>
      </w:pPr>
      <w:r w:rsidRPr="002E5D29">
        <w:rPr>
          <w:lang w:val="en-US"/>
        </w:rPr>
        <w:t>From these assumptions, the annual above background dose from animal-based terrestrial bush foods would be of the order of 0.1 mSv and come largely from buffalo flesh and organs. The annual above background dose from plant-based terrestrial bush foods would be of the order of 0.01 mSv and come almost exclusively from yams. However, buffalo have been significantly eradicated from Kakadu National Park in recent decades, making them potentially less available as a bush food resource in the Magela Creek corridor. The implication is that the dietary intake of wild buffalo sourced from around the rehabilitated Ranger mine site may be less than assumed, and so the dose from buffalo may be lower than estimated. Similar consideration of the ‘real-world’ availability of other terrestrial bush foods in the Magela Creek corridor should be applied when interpreting assessment results in the context of dose limits.</w:t>
      </w:r>
      <w:r w:rsidR="00352541">
        <w:rPr>
          <w:lang w:val="en-US"/>
        </w:rPr>
        <w:br/>
      </w:r>
    </w:p>
    <w:p w:rsidR="0060270F" w:rsidRPr="002E5D29" w:rsidRDefault="0060270F" w:rsidP="0060270F">
      <w:pPr>
        <w:rPr>
          <w:lang w:val="en-US"/>
        </w:rPr>
      </w:pPr>
    </w:p>
    <w:p w:rsidR="005868D2" w:rsidRPr="002E5D29" w:rsidRDefault="0060270F" w:rsidP="005868D2">
      <w:pPr>
        <w:pStyle w:val="tablecaption"/>
        <w:rPr>
          <w:lang w:val="en-US"/>
        </w:rPr>
      </w:pPr>
      <w:r w:rsidRPr="002E5D29">
        <w:rPr>
          <w:b/>
          <w:lang w:val="en-US"/>
        </w:rPr>
        <w:t xml:space="preserve">Table </w:t>
      </w:r>
      <w:proofErr w:type="gramStart"/>
      <w:r w:rsidRPr="002E5D29">
        <w:rPr>
          <w:b/>
          <w:lang w:val="en-US"/>
        </w:rPr>
        <w:t>1</w:t>
      </w:r>
      <w:r w:rsidRPr="002E5D29">
        <w:rPr>
          <w:lang w:val="en-US"/>
        </w:rPr>
        <w:t xml:space="preserve">  </w:t>
      </w:r>
      <w:r>
        <w:rPr>
          <w:lang w:val="en-US"/>
        </w:rPr>
        <w:t>E</w:t>
      </w:r>
      <w:r w:rsidRPr="002E5D29">
        <w:rPr>
          <w:lang w:val="en-US"/>
        </w:rPr>
        <w:t>xample</w:t>
      </w:r>
      <w:proofErr w:type="gramEnd"/>
      <w:r w:rsidRPr="002E5D29">
        <w:rPr>
          <w:lang w:val="en-US"/>
        </w:rPr>
        <w:t xml:space="preserve"> ingestion dose calculation: estimated annual average above background dose to an aboriginal adult</w:t>
      </w:r>
      <w:r w:rsidR="00F526A8">
        <w:rPr>
          <w:lang w:val="en-US"/>
        </w:rPr>
        <w:t>.</w:t>
      </w:r>
      <w:r w:rsidR="005868D2" w:rsidRPr="005868D2">
        <w:rPr>
          <w:lang w:val="en-US"/>
        </w:rPr>
        <w:t xml:space="preserve"> </w:t>
      </w:r>
    </w:p>
    <w:tbl>
      <w:tblPr>
        <w:tblW w:w="0" w:type="auto"/>
        <w:tblBorders>
          <w:top w:val="single" w:sz="4" w:space="0" w:color="auto"/>
          <w:bottom w:val="single" w:sz="4" w:space="0" w:color="auto"/>
        </w:tblBorders>
        <w:tblLook w:val="04A0"/>
      </w:tblPr>
      <w:tblGrid>
        <w:gridCol w:w="1065"/>
        <w:gridCol w:w="1065"/>
        <w:gridCol w:w="1065"/>
        <w:gridCol w:w="1308"/>
        <w:gridCol w:w="822"/>
        <w:gridCol w:w="1162"/>
        <w:gridCol w:w="1134"/>
        <w:gridCol w:w="901"/>
      </w:tblGrid>
      <w:tr w:rsidR="005868D2" w:rsidRPr="00F526A8" w:rsidTr="005868D2">
        <w:tc>
          <w:tcPr>
            <w:tcW w:w="1065" w:type="dxa"/>
            <w:tcBorders>
              <w:top w:val="single" w:sz="4" w:space="0" w:color="auto"/>
              <w:bottom w:val="single" w:sz="4" w:space="0" w:color="auto"/>
            </w:tcBorders>
          </w:tcPr>
          <w:p w:rsidR="005868D2" w:rsidRPr="00F526A8" w:rsidRDefault="005868D2" w:rsidP="005868D2">
            <w:pPr>
              <w:pStyle w:val="table1"/>
              <w:rPr>
                <w:b/>
                <w:color w:val="000000"/>
                <w:u w:color="000000"/>
              </w:rPr>
            </w:pPr>
            <w:r w:rsidRPr="00F526A8">
              <w:rPr>
                <w:b/>
                <w:color w:val="000000"/>
                <w:u w:color="000000"/>
              </w:rPr>
              <w:t>Biota</w:t>
            </w:r>
          </w:p>
        </w:tc>
        <w:tc>
          <w:tcPr>
            <w:tcW w:w="1065" w:type="dxa"/>
            <w:tcBorders>
              <w:top w:val="single" w:sz="4" w:space="0" w:color="auto"/>
              <w:bottom w:val="single" w:sz="4" w:space="0" w:color="auto"/>
            </w:tcBorders>
          </w:tcPr>
          <w:p w:rsidR="005868D2" w:rsidRPr="00F526A8" w:rsidRDefault="005868D2" w:rsidP="005868D2">
            <w:pPr>
              <w:pStyle w:val="table1"/>
              <w:rPr>
                <w:b/>
                <w:color w:val="000000"/>
                <w:u w:color="000000"/>
              </w:rPr>
            </w:pPr>
            <w:r w:rsidRPr="00F526A8">
              <w:rPr>
                <w:b/>
                <w:color w:val="000000"/>
                <w:u w:color="000000"/>
              </w:rPr>
              <w:t>Tissue</w:t>
            </w:r>
          </w:p>
        </w:tc>
        <w:tc>
          <w:tcPr>
            <w:tcW w:w="1065" w:type="dxa"/>
            <w:tcBorders>
              <w:top w:val="single" w:sz="4" w:space="0" w:color="auto"/>
              <w:bottom w:val="single" w:sz="4" w:space="0" w:color="auto"/>
            </w:tcBorders>
          </w:tcPr>
          <w:p w:rsidR="005868D2" w:rsidRPr="00F526A8" w:rsidRDefault="005868D2" w:rsidP="005868D2">
            <w:pPr>
              <w:pStyle w:val="table1"/>
              <w:rPr>
                <w:b/>
                <w:color w:val="000000"/>
                <w:u w:color="000000"/>
              </w:rPr>
            </w:pPr>
            <w:r w:rsidRPr="00F526A8">
              <w:rPr>
                <w:b/>
                <w:color w:val="000000"/>
                <w:u w:color="000000"/>
              </w:rPr>
              <w:t>S</w:t>
            </w:r>
          </w:p>
          <w:p w:rsidR="005868D2" w:rsidRPr="00F526A8" w:rsidRDefault="005868D2" w:rsidP="005868D2">
            <w:pPr>
              <w:pStyle w:val="table1"/>
              <w:rPr>
                <w:b/>
                <w:color w:val="000000"/>
                <w:u w:color="000000"/>
              </w:rPr>
            </w:pPr>
            <w:r w:rsidRPr="00F526A8">
              <w:rPr>
                <w:b/>
                <w:color w:val="000000"/>
                <w:u w:color="000000"/>
              </w:rPr>
              <w:t>(Bq kg</w:t>
            </w:r>
            <w:r w:rsidRPr="00AA3E24">
              <w:rPr>
                <w:b/>
                <w:snapToGrid w:val="0"/>
                <w:color w:val="000000"/>
                <w:position w:val="4"/>
                <w:sz w:val="11"/>
                <w:szCs w:val="0"/>
                <w:u w:color="000000"/>
              </w:rPr>
              <w:t>-1</w:t>
            </w:r>
            <w:r w:rsidRPr="00F526A8">
              <w:rPr>
                <w:b/>
                <w:color w:val="000000"/>
                <w:u w:color="000000"/>
              </w:rPr>
              <w:t>)</w:t>
            </w:r>
          </w:p>
        </w:tc>
        <w:tc>
          <w:tcPr>
            <w:tcW w:w="1308" w:type="dxa"/>
            <w:tcBorders>
              <w:top w:val="single" w:sz="4" w:space="0" w:color="auto"/>
              <w:bottom w:val="single" w:sz="4" w:space="0" w:color="auto"/>
            </w:tcBorders>
          </w:tcPr>
          <w:p w:rsidR="005868D2" w:rsidRPr="00F526A8" w:rsidRDefault="005868D2" w:rsidP="005868D2">
            <w:pPr>
              <w:pStyle w:val="table1"/>
              <w:rPr>
                <w:b/>
                <w:color w:val="000000"/>
                <w:u w:color="000000"/>
              </w:rPr>
            </w:pPr>
            <w:r w:rsidRPr="00F526A8">
              <w:rPr>
                <w:b/>
                <w:color w:val="000000"/>
                <w:u w:color="000000"/>
              </w:rPr>
              <w:t>Σ(CR×DC)</w:t>
            </w:r>
          </w:p>
          <w:p w:rsidR="005868D2" w:rsidRPr="00F526A8" w:rsidRDefault="005868D2" w:rsidP="005868D2">
            <w:pPr>
              <w:pStyle w:val="table1"/>
              <w:rPr>
                <w:b/>
                <w:color w:val="000000"/>
                <w:u w:color="000000"/>
              </w:rPr>
            </w:pPr>
            <w:r w:rsidRPr="00F526A8">
              <w:rPr>
                <w:b/>
                <w:color w:val="000000"/>
                <w:u w:color="000000"/>
              </w:rPr>
              <w:t>(mSv Bq</w:t>
            </w:r>
            <w:r w:rsidRPr="00F526A8">
              <w:rPr>
                <w:b/>
                <w:snapToGrid w:val="0"/>
                <w:color w:val="000000"/>
                <w:szCs w:val="0"/>
                <w:u w:color="000000"/>
              </w:rPr>
              <w:t>-1</w:t>
            </w:r>
            <w:r w:rsidRPr="00F526A8">
              <w:rPr>
                <w:b/>
                <w:color w:val="000000"/>
                <w:u w:color="000000"/>
              </w:rPr>
              <w:t>)</w:t>
            </w:r>
          </w:p>
        </w:tc>
        <w:tc>
          <w:tcPr>
            <w:tcW w:w="822" w:type="dxa"/>
            <w:tcBorders>
              <w:top w:val="single" w:sz="4" w:space="0" w:color="auto"/>
              <w:bottom w:val="single" w:sz="4" w:space="0" w:color="auto"/>
            </w:tcBorders>
          </w:tcPr>
          <w:p w:rsidR="005868D2" w:rsidRPr="00F526A8" w:rsidRDefault="005868D2" w:rsidP="005868D2">
            <w:pPr>
              <w:pStyle w:val="table1"/>
              <w:rPr>
                <w:b/>
                <w:color w:val="000000"/>
                <w:u w:color="000000"/>
              </w:rPr>
            </w:pPr>
            <w:r w:rsidRPr="00F526A8">
              <w:rPr>
                <w:b/>
                <w:color w:val="000000"/>
                <w:u w:color="000000"/>
              </w:rPr>
              <w:t>M</w:t>
            </w:r>
          </w:p>
          <w:p w:rsidR="005868D2" w:rsidRPr="00F526A8" w:rsidRDefault="005868D2" w:rsidP="005868D2">
            <w:pPr>
              <w:pStyle w:val="table1"/>
              <w:rPr>
                <w:b/>
                <w:color w:val="000000"/>
                <w:u w:color="000000"/>
              </w:rPr>
            </w:pPr>
            <w:r w:rsidRPr="00F526A8">
              <w:rPr>
                <w:b/>
                <w:color w:val="000000"/>
                <w:u w:color="000000"/>
              </w:rPr>
              <w:t>(kg)</w:t>
            </w:r>
          </w:p>
        </w:tc>
        <w:tc>
          <w:tcPr>
            <w:tcW w:w="1162" w:type="dxa"/>
            <w:tcBorders>
              <w:top w:val="single" w:sz="4" w:space="0" w:color="auto"/>
              <w:bottom w:val="single" w:sz="4" w:space="0" w:color="auto"/>
            </w:tcBorders>
          </w:tcPr>
          <w:p w:rsidR="005868D2" w:rsidRPr="00F526A8" w:rsidRDefault="005868D2" w:rsidP="005868D2">
            <w:pPr>
              <w:pStyle w:val="table1"/>
              <w:rPr>
                <w:b/>
                <w:color w:val="000000"/>
                <w:u w:color="000000"/>
              </w:rPr>
            </w:pPr>
            <w:r w:rsidRPr="00F526A8">
              <w:rPr>
                <w:b/>
                <w:color w:val="000000"/>
                <w:u w:color="000000"/>
              </w:rPr>
              <w:t>F</w:t>
            </w:r>
            <w:r w:rsidRPr="00AA3E24">
              <w:rPr>
                <w:b/>
                <w:snapToGrid w:val="0"/>
                <w:color w:val="000000"/>
                <w:position w:val="-4"/>
                <w:sz w:val="11"/>
                <w:szCs w:val="0"/>
                <w:u w:color="000000"/>
              </w:rPr>
              <w:t>E</w:t>
            </w:r>
          </w:p>
        </w:tc>
        <w:tc>
          <w:tcPr>
            <w:tcW w:w="1134" w:type="dxa"/>
            <w:tcBorders>
              <w:top w:val="single" w:sz="4" w:space="0" w:color="auto"/>
              <w:bottom w:val="single" w:sz="4" w:space="0" w:color="auto"/>
            </w:tcBorders>
          </w:tcPr>
          <w:p w:rsidR="005868D2" w:rsidRPr="00F526A8" w:rsidRDefault="005868D2" w:rsidP="005868D2">
            <w:pPr>
              <w:pStyle w:val="table1"/>
              <w:rPr>
                <w:b/>
                <w:color w:val="000000"/>
                <w:u w:color="000000"/>
              </w:rPr>
            </w:pPr>
            <w:r w:rsidRPr="00F526A8">
              <w:rPr>
                <w:b/>
                <w:color w:val="000000"/>
                <w:u w:color="000000"/>
              </w:rPr>
              <w:t>F</w:t>
            </w:r>
            <w:r w:rsidRPr="00AA3E24">
              <w:rPr>
                <w:b/>
                <w:snapToGrid w:val="0"/>
                <w:color w:val="000000"/>
                <w:position w:val="-4"/>
                <w:sz w:val="11"/>
                <w:szCs w:val="0"/>
                <w:u w:color="000000"/>
              </w:rPr>
              <w:t>H</w:t>
            </w:r>
          </w:p>
        </w:tc>
        <w:tc>
          <w:tcPr>
            <w:tcW w:w="901" w:type="dxa"/>
            <w:tcBorders>
              <w:top w:val="single" w:sz="4" w:space="0" w:color="auto"/>
              <w:bottom w:val="single" w:sz="4" w:space="0" w:color="auto"/>
            </w:tcBorders>
          </w:tcPr>
          <w:p w:rsidR="005868D2" w:rsidRPr="00F526A8" w:rsidRDefault="005868D2" w:rsidP="005868D2">
            <w:pPr>
              <w:pStyle w:val="table1"/>
              <w:rPr>
                <w:b/>
                <w:color w:val="000000"/>
                <w:u w:color="000000"/>
              </w:rPr>
            </w:pPr>
            <w:r w:rsidRPr="00F526A8">
              <w:rPr>
                <w:b/>
                <w:color w:val="000000"/>
                <w:u w:color="000000"/>
              </w:rPr>
              <w:t>Dose</w:t>
            </w:r>
          </w:p>
          <w:p w:rsidR="005868D2" w:rsidRPr="00F526A8" w:rsidRDefault="005868D2" w:rsidP="005868D2">
            <w:pPr>
              <w:pStyle w:val="table1"/>
              <w:rPr>
                <w:b/>
                <w:color w:val="000000"/>
                <w:u w:color="000000"/>
              </w:rPr>
            </w:pPr>
            <w:r w:rsidRPr="00F526A8">
              <w:rPr>
                <w:b/>
                <w:color w:val="000000"/>
                <w:u w:color="000000"/>
              </w:rPr>
              <w:t>(mSv)</w:t>
            </w:r>
          </w:p>
        </w:tc>
      </w:tr>
      <w:tr w:rsidR="005868D2" w:rsidRPr="00F526A8" w:rsidTr="005868D2">
        <w:tc>
          <w:tcPr>
            <w:tcW w:w="1065" w:type="dxa"/>
            <w:tcBorders>
              <w:top w:val="single" w:sz="4" w:space="0" w:color="auto"/>
            </w:tcBorders>
          </w:tcPr>
          <w:p w:rsidR="005868D2" w:rsidRPr="00F526A8" w:rsidRDefault="005868D2" w:rsidP="005868D2">
            <w:pPr>
              <w:pStyle w:val="table1"/>
              <w:rPr>
                <w:color w:val="000000"/>
                <w:u w:color="000000"/>
              </w:rPr>
            </w:pPr>
            <w:r w:rsidRPr="00F526A8">
              <w:rPr>
                <w:color w:val="000000"/>
                <w:u w:color="000000"/>
              </w:rPr>
              <w:t>Bandicoot</w:t>
            </w:r>
          </w:p>
        </w:tc>
        <w:tc>
          <w:tcPr>
            <w:tcW w:w="1065" w:type="dxa"/>
            <w:tcBorders>
              <w:top w:val="single" w:sz="4" w:space="0" w:color="auto"/>
            </w:tcBorders>
          </w:tcPr>
          <w:p w:rsidR="005868D2" w:rsidRPr="00F526A8" w:rsidRDefault="005868D2" w:rsidP="005868D2">
            <w:pPr>
              <w:pStyle w:val="table1"/>
              <w:rPr>
                <w:color w:val="000000"/>
                <w:u w:color="000000"/>
              </w:rPr>
            </w:pPr>
            <w:r w:rsidRPr="00F526A8">
              <w:rPr>
                <w:color w:val="000000"/>
                <w:u w:color="000000"/>
              </w:rPr>
              <w:t>Flesh</w:t>
            </w:r>
          </w:p>
        </w:tc>
        <w:tc>
          <w:tcPr>
            <w:tcW w:w="1065" w:type="dxa"/>
            <w:tcBorders>
              <w:top w:val="single" w:sz="4" w:space="0" w:color="auto"/>
            </w:tcBorders>
          </w:tcPr>
          <w:p w:rsidR="005868D2" w:rsidRPr="00F526A8" w:rsidRDefault="005868D2" w:rsidP="005868D2">
            <w:pPr>
              <w:pStyle w:val="table1"/>
              <w:rPr>
                <w:color w:val="000000"/>
                <w:u w:color="000000"/>
              </w:rPr>
            </w:pPr>
            <w:r w:rsidRPr="00F526A8">
              <w:rPr>
                <w:color w:val="000000"/>
                <w:u w:color="000000"/>
              </w:rPr>
              <w:t>690</w:t>
            </w:r>
          </w:p>
        </w:tc>
        <w:tc>
          <w:tcPr>
            <w:tcW w:w="1308" w:type="dxa"/>
            <w:tcBorders>
              <w:top w:val="single" w:sz="4" w:space="0" w:color="auto"/>
            </w:tcBorders>
          </w:tcPr>
          <w:p w:rsidR="005868D2" w:rsidRPr="00F526A8" w:rsidRDefault="005868D2" w:rsidP="005868D2">
            <w:pPr>
              <w:pStyle w:val="table1"/>
              <w:rPr>
                <w:color w:val="000000"/>
                <w:u w:color="000000"/>
              </w:rPr>
            </w:pPr>
            <w:r w:rsidRPr="00F526A8">
              <w:rPr>
                <w:color w:val="000000"/>
                <w:u w:color="000000"/>
              </w:rPr>
              <w:t>1.2×10</w:t>
            </w:r>
            <w:r w:rsidRPr="00AA3E24">
              <w:rPr>
                <w:snapToGrid w:val="0"/>
                <w:color w:val="000000"/>
                <w:position w:val="4"/>
                <w:sz w:val="11"/>
                <w:szCs w:val="0"/>
                <w:u w:color="000000"/>
              </w:rPr>
              <w:t>-4</w:t>
            </w:r>
          </w:p>
        </w:tc>
        <w:tc>
          <w:tcPr>
            <w:tcW w:w="822" w:type="dxa"/>
            <w:tcBorders>
              <w:top w:val="single" w:sz="4" w:space="0" w:color="auto"/>
            </w:tcBorders>
          </w:tcPr>
          <w:p w:rsidR="005868D2" w:rsidRPr="00F526A8" w:rsidRDefault="005868D2" w:rsidP="005868D2">
            <w:pPr>
              <w:pStyle w:val="table1"/>
              <w:rPr>
                <w:color w:val="000000"/>
                <w:u w:color="000000"/>
              </w:rPr>
            </w:pPr>
            <w:r w:rsidRPr="00F526A8">
              <w:rPr>
                <w:color w:val="000000"/>
                <w:u w:color="000000"/>
              </w:rPr>
              <w:t>5</w:t>
            </w:r>
          </w:p>
        </w:tc>
        <w:tc>
          <w:tcPr>
            <w:tcW w:w="1162" w:type="dxa"/>
            <w:tcBorders>
              <w:top w:val="single" w:sz="4" w:space="0" w:color="auto"/>
            </w:tcBorders>
          </w:tcPr>
          <w:p w:rsidR="005868D2" w:rsidRPr="00F526A8" w:rsidRDefault="005868D2" w:rsidP="005868D2">
            <w:pPr>
              <w:pStyle w:val="table1"/>
              <w:rPr>
                <w:color w:val="000000"/>
                <w:u w:color="000000"/>
              </w:rPr>
            </w:pPr>
            <w:r w:rsidRPr="00F526A8">
              <w:rPr>
                <w:color w:val="000000"/>
                <w:u w:color="000000"/>
              </w:rPr>
              <w:t>6.9×10</w:t>
            </w:r>
            <w:r w:rsidRPr="00AA3E24">
              <w:rPr>
                <w:snapToGrid w:val="0"/>
                <w:color w:val="000000"/>
                <w:position w:val="4"/>
                <w:sz w:val="11"/>
                <w:szCs w:val="0"/>
                <w:u w:color="000000"/>
              </w:rPr>
              <w:t>-1</w:t>
            </w:r>
          </w:p>
        </w:tc>
        <w:tc>
          <w:tcPr>
            <w:tcW w:w="1134" w:type="dxa"/>
            <w:tcBorders>
              <w:top w:val="single" w:sz="4" w:space="0" w:color="auto"/>
            </w:tcBorders>
          </w:tcPr>
          <w:p w:rsidR="005868D2" w:rsidRPr="00F526A8" w:rsidRDefault="005868D2" w:rsidP="005868D2">
            <w:pPr>
              <w:pStyle w:val="table1"/>
              <w:rPr>
                <w:color w:val="000000"/>
                <w:u w:color="000000"/>
              </w:rPr>
            </w:pPr>
            <w:r w:rsidRPr="00F526A8">
              <w:rPr>
                <w:color w:val="000000"/>
                <w:u w:color="000000"/>
              </w:rPr>
              <w:t>2.5×10</w:t>
            </w:r>
            <w:r w:rsidRPr="00AA3E24">
              <w:rPr>
                <w:snapToGrid w:val="0"/>
                <w:color w:val="000000"/>
                <w:position w:val="4"/>
                <w:sz w:val="11"/>
                <w:szCs w:val="0"/>
                <w:u w:color="000000"/>
              </w:rPr>
              <w:t>-2</w:t>
            </w:r>
          </w:p>
        </w:tc>
        <w:tc>
          <w:tcPr>
            <w:tcW w:w="901" w:type="dxa"/>
            <w:tcBorders>
              <w:top w:val="single" w:sz="4" w:space="0" w:color="auto"/>
            </w:tcBorders>
          </w:tcPr>
          <w:p w:rsidR="005868D2" w:rsidRPr="00F526A8" w:rsidRDefault="005868D2" w:rsidP="005868D2">
            <w:pPr>
              <w:pStyle w:val="table1"/>
              <w:rPr>
                <w:color w:val="000000"/>
                <w:u w:color="000000"/>
              </w:rPr>
            </w:pPr>
            <w:r w:rsidRPr="00F526A8">
              <w:rPr>
                <w:color w:val="000000"/>
                <w:u w:color="000000"/>
              </w:rPr>
              <w:t>6.9×10</w:t>
            </w:r>
            <w:r w:rsidRPr="00AA3E24">
              <w:rPr>
                <w:snapToGrid w:val="0"/>
                <w:color w:val="000000"/>
                <w:position w:val="4"/>
                <w:sz w:val="11"/>
                <w:szCs w:val="0"/>
                <w:u w:color="000000"/>
              </w:rPr>
              <w:t>-3</w:t>
            </w:r>
          </w:p>
        </w:tc>
      </w:tr>
      <w:tr w:rsidR="005868D2" w:rsidRPr="00F526A8" w:rsidTr="005868D2">
        <w:tc>
          <w:tcPr>
            <w:tcW w:w="1065" w:type="dxa"/>
          </w:tcPr>
          <w:p w:rsidR="005868D2" w:rsidRPr="00F526A8" w:rsidRDefault="005868D2" w:rsidP="005868D2">
            <w:pPr>
              <w:pStyle w:val="table1"/>
              <w:rPr>
                <w:color w:val="000000"/>
                <w:u w:color="000000"/>
              </w:rPr>
            </w:pPr>
            <w:r w:rsidRPr="00F526A8">
              <w:rPr>
                <w:color w:val="000000"/>
                <w:u w:color="000000"/>
              </w:rPr>
              <w:t>Buffalo</w:t>
            </w:r>
          </w:p>
        </w:tc>
        <w:tc>
          <w:tcPr>
            <w:tcW w:w="1065" w:type="dxa"/>
          </w:tcPr>
          <w:p w:rsidR="005868D2" w:rsidRPr="00F526A8" w:rsidRDefault="005868D2" w:rsidP="005868D2">
            <w:pPr>
              <w:pStyle w:val="table1"/>
              <w:rPr>
                <w:color w:val="000000"/>
                <w:u w:color="000000"/>
              </w:rPr>
            </w:pPr>
            <w:r w:rsidRPr="00F526A8">
              <w:rPr>
                <w:color w:val="000000"/>
                <w:u w:color="000000"/>
              </w:rPr>
              <w:t>Flesh</w:t>
            </w:r>
          </w:p>
        </w:tc>
        <w:tc>
          <w:tcPr>
            <w:tcW w:w="1065" w:type="dxa"/>
          </w:tcPr>
          <w:p w:rsidR="005868D2" w:rsidRPr="00F526A8" w:rsidRDefault="005868D2" w:rsidP="005868D2">
            <w:pPr>
              <w:pStyle w:val="table1"/>
              <w:rPr>
                <w:color w:val="000000"/>
                <w:u w:color="000000"/>
              </w:rPr>
            </w:pPr>
            <w:r w:rsidRPr="00F526A8">
              <w:rPr>
                <w:color w:val="000000"/>
                <w:u w:color="000000"/>
              </w:rPr>
              <w:t>690</w:t>
            </w:r>
          </w:p>
        </w:tc>
        <w:tc>
          <w:tcPr>
            <w:tcW w:w="1308" w:type="dxa"/>
          </w:tcPr>
          <w:p w:rsidR="005868D2" w:rsidRPr="00F526A8" w:rsidRDefault="005868D2" w:rsidP="005868D2">
            <w:pPr>
              <w:pStyle w:val="table1"/>
              <w:rPr>
                <w:color w:val="000000"/>
                <w:u w:color="000000"/>
              </w:rPr>
            </w:pPr>
            <w:r w:rsidRPr="00F526A8">
              <w:rPr>
                <w:color w:val="000000"/>
                <w:u w:color="000000"/>
              </w:rPr>
              <w:t>2.2×10</w:t>
            </w:r>
            <w:r w:rsidRPr="00AA3E24">
              <w:rPr>
                <w:snapToGrid w:val="0"/>
                <w:color w:val="000000"/>
                <w:position w:val="4"/>
                <w:sz w:val="11"/>
                <w:szCs w:val="0"/>
                <w:u w:color="000000"/>
              </w:rPr>
              <w:t>-5</w:t>
            </w:r>
          </w:p>
        </w:tc>
        <w:tc>
          <w:tcPr>
            <w:tcW w:w="822" w:type="dxa"/>
          </w:tcPr>
          <w:p w:rsidR="005868D2" w:rsidRPr="00F526A8" w:rsidRDefault="005868D2" w:rsidP="005868D2">
            <w:pPr>
              <w:pStyle w:val="table1"/>
              <w:rPr>
                <w:color w:val="000000"/>
                <w:u w:color="000000"/>
              </w:rPr>
            </w:pPr>
            <w:r w:rsidRPr="00F526A8">
              <w:rPr>
                <w:color w:val="000000"/>
                <w:u w:color="000000"/>
              </w:rPr>
              <w:t>146</w:t>
            </w:r>
          </w:p>
        </w:tc>
        <w:tc>
          <w:tcPr>
            <w:tcW w:w="1162" w:type="dxa"/>
          </w:tcPr>
          <w:p w:rsidR="005868D2" w:rsidRPr="00F526A8" w:rsidRDefault="005868D2" w:rsidP="005868D2">
            <w:pPr>
              <w:pStyle w:val="table1"/>
              <w:rPr>
                <w:color w:val="000000"/>
                <w:u w:color="000000"/>
              </w:rPr>
            </w:pPr>
            <w:r w:rsidRPr="00F526A8">
              <w:rPr>
                <w:color w:val="000000"/>
                <w:u w:color="000000"/>
              </w:rPr>
              <w:t>7.4×10</w:t>
            </w:r>
            <w:r w:rsidRPr="00AA3E24">
              <w:rPr>
                <w:snapToGrid w:val="0"/>
                <w:color w:val="000000"/>
                <w:position w:val="4"/>
                <w:sz w:val="11"/>
                <w:szCs w:val="0"/>
                <w:u w:color="000000"/>
              </w:rPr>
              <w:t>-2</w:t>
            </w:r>
          </w:p>
        </w:tc>
        <w:tc>
          <w:tcPr>
            <w:tcW w:w="1134" w:type="dxa"/>
          </w:tcPr>
          <w:p w:rsidR="005868D2" w:rsidRPr="00F526A8" w:rsidRDefault="005868D2" w:rsidP="005868D2">
            <w:pPr>
              <w:pStyle w:val="table1"/>
              <w:rPr>
                <w:color w:val="000000"/>
                <w:u w:color="000000"/>
              </w:rPr>
            </w:pPr>
            <w:r w:rsidRPr="00F526A8">
              <w:rPr>
                <w:color w:val="000000"/>
                <w:u w:color="000000"/>
              </w:rPr>
              <w:t>1.1×10</w:t>
            </w:r>
            <w:r w:rsidRPr="00AA3E24">
              <w:rPr>
                <w:snapToGrid w:val="0"/>
                <w:color w:val="000000"/>
                <w:position w:val="4"/>
                <w:sz w:val="11"/>
                <w:szCs w:val="0"/>
                <w:u w:color="000000"/>
              </w:rPr>
              <w:t>-1</w:t>
            </w:r>
          </w:p>
        </w:tc>
        <w:tc>
          <w:tcPr>
            <w:tcW w:w="901" w:type="dxa"/>
          </w:tcPr>
          <w:p w:rsidR="005868D2" w:rsidRPr="00F526A8" w:rsidRDefault="005868D2" w:rsidP="005868D2">
            <w:pPr>
              <w:pStyle w:val="table1"/>
              <w:rPr>
                <w:color w:val="000000"/>
                <w:u w:color="000000"/>
              </w:rPr>
            </w:pPr>
            <w:r w:rsidRPr="00F526A8">
              <w:rPr>
                <w:color w:val="000000"/>
                <w:u w:color="000000"/>
              </w:rPr>
              <w:t>1.8×10</w:t>
            </w:r>
            <w:r w:rsidRPr="00AA3E24">
              <w:rPr>
                <w:snapToGrid w:val="0"/>
                <w:color w:val="000000"/>
                <w:position w:val="4"/>
                <w:sz w:val="11"/>
                <w:szCs w:val="0"/>
                <w:u w:color="000000"/>
              </w:rPr>
              <w:t>-2</w:t>
            </w:r>
          </w:p>
        </w:tc>
      </w:tr>
      <w:tr w:rsidR="005868D2" w:rsidRPr="00F526A8" w:rsidTr="005868D2">
        <w:tc>
          <w:tcPr>
            <w:tcW w:w="1065" w:type="dxa"/>
          </w:tcPr>
          <w:p w:rsidR="005868D2" w:rsidRPr="00F526A8" w:rsidRDefault="005868D2" w:rsidP="005868D2">
            <w:pPr>
              <w:pStyle w:val="table1"/>
              <w:rPr>
                <w:color w:val="000000"/>
                <w:u w:color="000000"/>
              </w:rPr>
            </w:pPr>
            <w:r w:rsidRPr="00F526A8">
              <w:rPr>
                <w:color w:val="000000"/>
                <w:u w:color="000000"/>
              </w:rPr>
              <w:t>Buffalo</w:t>
            </w:r>
          </w:p>
        </w:tc>
        <w:tc>
          <w:tcPr>
            <w:tcW w:w="1065" w:type="dxa"/>
          </w:tcPr>
          <w:p w:rsidR="005868D2" w:rsidRPr="00F526A8" w:rsidRDefault="005868D2" w:rsidP="005868D2">
            <w:pPr>
              <w:pStyle w:val="table1"/>
              <w:rPr>
                <w:color w:val="000000"/>
                <w:u w:color="000000"/>
              </w:rPr>
            </w:pPr>
            <w:r w:rsidRPr="00F526A8">
              <w:rPr>
                <w:color w:val="000000"/>
                <w:u w:color="000000"/>
              </w:rPr>
              <w:t>Kidney</w:t>
            </w:r>
          </w:p>
        </w:tc>
        <w:tc>
          <w:tcPr>
            <w:tcW w:w="1065" w:type="dxa"/>
          </w:tcPr>
          <w:p w:rsidR="005868D2" w:rsidRPr="00F526A8" w:rsidRDefault="005868D2" w:rsidP="005868D2">
            <w:pPr>
              <w:pStyle w:val="table1"/>
              <w:rPr>
                <w:color w:val="000000"/>
                <w:u w:color="000000"/>
              </w:rPr>
            </w:pPr>
            <w:r w:rsidRPr="00F526A8">
              <w:rPr>
                <w:color w:val="000000"/>
                <w:u w:color="000000"/>
              </w:rPr>
              <w:t>690</w:t>
            </w:r>
          </w:p>
        </w:tc>
        <w:tc>
          <w:tcPr>
            <w:tcW w:w="1308" w:type="dxa"/>
          </w:tcPr>
          <w:p w:rsidR="005868D2" w:rsidRPr="00F526A8" w:rsidRDefault="005868D2" w:rsidP="005868D2">
            <w:pPr>
              <w:pStyle w:val="table1"/>
              <w:rPr>
                <w:color w:val="000000"/>
                <w:u w:color="000000"/>
              </w:rPr>
            </w:pPr>
            <w:r w:rsidRPr="00F526A8">
              <w:rPr>
                <w:color w:val="000000"/>
                <w:u w:color="000000"/>
              </w:rPr>
              <w:t>2.6×10</w:t>
            </w:r>
            <w:r w:rsidRPr="00AA3E24">
              <w:rPr>
                <w:snapToGrid w:val="0"/>
                <w:color w:val="000000"/>
                <w:position w:val="4"/>
                <w:sz w:val="11"/>
                <w:szCs w:val="0"/>
                <w:u w:color="000000"/>
              </w:rPr>
              <w:t>-4</w:t>
            </w:r>
          </w:p>
        </w:tc>
        <w:tc>
          <w:tcPr>
            <w:tcW w:w="822" w:type="dxa"/>
          </w:tcPr>
          <w:p w:rsidR="005868D2" w:rsidRPr="00F526A8" w:rsidRDefault="005868D2" w:rsidP="005868D2">
            <w:pPr>
              <w:pStyle w:val="table1"/>
              <w:rPr>
                <w:color w:val="000000"/>
                <w:u w:color="000000"/>
              </w:rPr>
            </w:pPr>
            <w:r w:rsidRPr="00F526A8">
              <w:rPr>
                <w:color w:val="000000"/>
                <w:u w:color="000000"/>
              </w:rPr>
              <w:t>18</w:t>
            </w:r>
          </w:p>
        </w:tc>
        <w:tc>
          <w:tcPr>
            <w:tcW w:w="1162" w:type="dxa"/>
          </w:tcPr>
          <w:p w:rsidR="005868D2" w:rsidRPr="00F526A8" w:rsidRDefault="005868D2" w:rsidP="005868D2">
            <w:pPr>
              <w:pStyle w:val="table1"/>
              <w:rPr>
                <w:color w:val="000000"/>
                <w:u w:color="000000"/>
              </w:rPr>
            </w:pPr>
            <w:r w:rsidRPr="00F526A8">
              <w:rPr>
                <w:color w:val="000000"/>
                <w:u w:color="000000"/>
              </w:rPr>
              <w:t>7.4×10</w:t>
            </w:r>
            <w:r w:rsidRPr="00AA3E24">
              <w:rPr>
                <w:snapToGrid w:val="0"/>
                <w:color w:val="000000"/>
                <w:position w:val="4"/>
                <w:sz w:val="11"/>
                <w:szCs w:val="0"/>
                <w:u w:color="000000"/>
              </w:rPr>
              <w:t>-2</w:t>
            </w:r>
          </w:p>
        </w:tc>
        <w:tc>
          <w:tcPr>
            <w:tcW w:w="1134" w:type="dxa"/>
          </w:tcPr>
          <w:p w:rsidR="005868D2" w:rsidRPr="00F526A8" w:rsidRDefault="005868D2" w:rsidP="005868D2">
            <w:pPr>
              <w:pStyle w:val="table1"/>
              <w:rPr>
                <w:color w:val="000000"/>
                <w:u w:color="000000"/>
              </w:rPr>
            </w:pPr>
            <w:r w:rsidRPr="00F526A8">
              <w:rPr>
                <w:color w:val="000000"/>
                <w:u w:color="000000"/>
              </w:rPr>
              <w:t>1.1×10</w:t>
            </w:r>
            <w:r w:rsidRPr="00AA3E24">
              <w:rPr>
                <w:snapToGrid w:val="0"/>
                <w:color w:val="000000"/>
                <w:position w:val="4"/>
                <w:sz w:val="11"/>
                <w:szCs w:val="0"/>
                <w:u w:color="000000"/>
              </w:rPr>
              <w:t>-1</w:t>
            </w:r>
          </w:p>
        </w:tc>
        <w:tc>
          <w:tcPr>
            <w:tcW w:w="901" w:type="dxa"/>
          </w:tcPr>
          <w:p w:rsidR="005868D2" w:rsidRPr="00F526A8" w:rsidRDefault="005868D2" w:rsidP="005868D2">
            <w:pPr>
              <w:pStyle w:val="table1"/>
              <w:rPr>
                <w:color w:val="000000"/>
                <w:u w:color="000000"/>
              </w:rPr>
            </w:pPr>
            <w:r w:rsidRPr="00F526A8">
              <w:rPr>
                <w:color w:val="000000"/>
                <w:u w:color="000000"/>
              </w:rPr>
              <w:t>2.6×10</w:t>
            </w:r>
            <w:r w:rsidRPr="00AA3E24">
              <w:rPr>
                <w:snapToGrid w:val="0"/>
                <w:color w:val="000000"/>
                <w:position w:val="4"/>
                <w:sz w:val="11"/>
                <w:szCs w:val="0"/>
                <w:u w:color="000000"/>
              </w:rPr>
              <w:t>-2</w:t>
            </w:r>
          </w:p>
        </w:tc>
      </w:tr>
      <w:tr w:rsidR="005868D2" w:rsidRPr="00F526A8" w:rsidTr="005868D2">
        <w:tc>
          <w:tcPr>
            <w:tcW w:w="1065" w:type="dxa"/>
          </w:tcPr>
          <w:p w:rsidR="005868D2" w:rsidRPr="00F526A8" w:rsidRDefault="005868D2" w:rsidP="005868D2">
            <w:pPr>
              <w:pStyle w:val="table1"/>
              <w:rPr>
                <w:color w:val="000000"/>
                <w:u w:color="000000"/>
              </w:rPr>
            </w:pPr>
            <w:r w:rsidRPr="00F526A8">
              <w:rPr>
                <w:color w:val="000000"/>
                <w:u w:color="000000"/>
              </w:rPr>
              <w:t>Buffalo</w:t>
            </w:r>
          </w:p>
        </w:tc>
        <w:tc>
          <w:tcPr>
            <w:tcW w:w="1065" w:type="dxa"/>
          </w:tcPr>
          <w:p w:rsidR="005868D2" w:rsidRPr="00F526A8" w:rsidRDefault="005868D2" w:rsidP="005868D2">
            <w:pPr>
              <w:pStyle w:val="table1"/>
              <w:rPr>
                <w:color w:val="000000"/>
                <w:u w:color="000000"/>
              </w:rPr>
            </w:pPr>
            <w:r w:rsidRPr="00F526A8">
              <w:rPr>
                <w:color w:val="000000"/>
                <w:u w:color="000000"/>
              </w:rPr>
              <w:t>Liver</w:t>
            </w:r>
          </w:p>
        </w:tc>
        <w:tc>
          <w:tcPr>
            <w:tcW w:w="1065" w:type="dxa"/>
          </w:tcPr>
          <w:p w:rsidR="005868D2" w:rsidRPr="00F526A8" w:rsidRDefault="005868D2" w:rsidP="005868D2">
            <w:pPr>
              <w:pStyle w:val="table1"/>
              <w:rPr>
                <w:color w:val="000000"/>
                <w:u w:color="000000"/>
              </w:rPr>
            </w:pPr>
            <w:r w:rsidRPr="00F526A8">
              <w:rPr>
                <w:color w:val="000000"/>
                <w:u w:color="000000"/>
              </w:rPr>
              <w:t>690</w:t>
            </w:r>
          </w:p>
        </w:tc>
        <w:tc>
          <w:tcPr>
            <w:tcW w:w="1308" w:type="dxa"/>
          </w:tcPr>
          <w:p w:rsidR="005868D2" w:rsidRPr="00F526A8" w:rsidRDefault="005868D2" w:rsidP="005868D2">
            <w:pPr>
              <w:pStyle w:val="table1"/>
              <w:rPr>
                <w:color w:val="000000"/>
                <w:u w:color="000000"/>
              </w:rPr>
            </w:pPr>
            <w:r w:rsidRPr="00F526A8">
              <w:rPr>
                <w:color w:val="000000"/>
                <w:u w:color="000000"/>
              </w:rPr>
              <w:t>2.5×10</w:t>
            </w:r>
            <w:r w:rsidRPr="00AA3E24">
              <w:rPr>
                <w:snapToGrid w:val="0"/>
                <w:color w:val="000000"/>
                <w:position w:val="4"/>
                <w:sz w:val="11"/>
                <w:szCs w:val="0"/>
                <w:u w:color="000000"/>
              </w:rPr>
              <w:t>-4</w:t>
            </w:r>
          </w:p>
        </w:tc>
        <w:tc>
          <w:tcPr>
            <w:tcW w:w="822" w:type="dxa"/>
          </w:tcPr>
          <w:p w:rsidR="005868D2" w:rsidRPr="00F526A8" w:rsidRDefault="005868D2" w:rsidP="005868D2">
            <w:pPr>
              <w:pStyle w:val="table1"/>
              <w:rPr>
                <w:color w:val="000000"/>
                <w:u w:color="000000"/>
              </w:rPr>
            </w:pPr>
            <w:r w:rsidRPr="00F526A8">
              <w:rPr>
                <w:color w:val="000000"/>
                <w:u w:color="000000"/>
              </w:rPr>
              <w:t>18</w:t>
            </w:r>
          </w:p>
        </w:tc>
        <w:tc>
          <w:tcPr>
            <w:tcW w:w="1162" w:type="dxa"/>
          </w:tcPr>
          <w:p w:rsidR="005868D2" w:rsidRPr="00F526A8" w:rsidRDefault="005868D2" w:rsidP="005868D2">
            <w:pPr>
              <w:pStyle w:val="table1"/>
              <w:rPr>
                <w:color w:val="000000"/>
                <w:u w:color="000000"/>
              </w:rPr>
            </w:pPr>
            <w:r w:rsidRPr="00F526A8">
              <w:rPr>
                <w:color w:val="000000"/>
                <w:u w:color="000000"/>
              </w:rPr>
              <w:t>7.4×10</w:t>
            </w:r>
            <w:r w:rsidRPr="00AA3E24">
              <w:rPr>
                <w:snapToGrid w:val="0"/>
                <w:color w:val="000000"/>
                <w:position w:val="4"/>
                <w:sz w:val="11"/>
                <w:szCs w:val="0"/>
                <w:u w:color="000000"/>
              </w:rPr>
              <w:t>-2</w:t>
            </w:r>
          </w:p>
        </w:tc>
        <w:tc>
          <w:tcPr>
            <w:tcW w:w="1134" w:type="dxa"/>
          </w:tcPr>
          <w:p w:rsidR="005868D2" w:rsidRPr="00F526A8" w:rsidRDefault="005868D2" w:rsidP="005868D2">
            <w:pPr>
              <w:pStyle w:val="table1"/>
              <w:rPr>
                <w:color w:val="000000"/>
                <w:u w:color="000000"/>
              </w:rPr>
            </w:pPr>
            <w:r w:rsidRPr="00F526A8">
              <w:rPr>
                <w:color w:val="000000"/>
                <w:u w:color="000000"/>
              </w:rPr>
              <w:t>1.1×10</w:t>
            </w:r>
            <w:r w:rsidRPr="00AA3E24">
              <w:rPr>
                <w:snapToGrid w:val="0"/>
                <w:color w:val="000000"/>
                <w:position w:val="4"/>
                <w:sz w:val="11"/>
                <w:szCs w:val="0"/>
                <w:u w:color="000000"/>
              </w:rPr>
              <w:t>-1</w:t>
            </w:r>
          </w:p>
        </w:tc>
        <w:tc>
          <w:tcPr>
            <w:tcW w:w="901" w:type="dxa"/>
          </w:tcPr>
          <w:p w:rsidR="005868D2" w:rsidRPr="00F526A8" w:rsidRDefault="005868D2" w:rsidP="005868D2">
            <w:pPr>
              <w:pStyle w:val="table1"/>
              <w:rPr>
                <w:color w:val="000000"/>
                <w:u w:color="000000"/>
              </w:rPr>
            </w:pPr>
            <w:r w:rsidRPr="00F526A8">
              <w:rPr>
                <w:color w:val="000000"/>
                <w:u w:color="000000"/>
              </w:rPr>
              <w:t>2.5×10</w:t>
            </w:r>
            <w:r w:rsidRPr="00AA3E24">
              <w:rPr>
                <w:snapToGrid w:val="0"/>
                <w:color w:val="000000"/>
                <w:position w:val="4"/>
                <w:sz w:val="11"/>
                <w:szCs w:val="0"/>
                <w:u w:color="000000"/>
              </w:rPr>
              <w:t>-2</w:t>
            </w:r>
          </w:p>
        </w:tc>
      </w:tr>
      <w:tr w:rsidR="005868D2" w:rsidRPr="00F526A8" w:rsidTr="005868D2">
        <w:tc>
          <w:tcPr>
            <w:tcW w:w="1065" w:type="dxa"/>
          </w:tcPr>
          <w:p w:rsidR="005868D2" w:rsidRPr="00F526A8" w:rsidRDefault="005868D2" w:rsidP="005868D2">
            <w:pPr>
              <w:pStyle w:val="table1"/>
              <w:rPr>
                <w:color w:val="000000"/>
                <w:u w:color="000000"/>
              </w:rPr>
            </w:pPr>
            <w:r w:rsidRPr="00F526A8">
              <w:rPr>
                <w:color w:val="000000"/>
                <w:u w:color="000000"/>
              </w:rPr>
              <w:t>Goanna</w:t>
            </w:r>
          </w:p>
        </w:tc>
        <w:tc>
          <w:tcPr>
            <w:tcW w:w="1065" w:type="dxa"/>
          </w:tcPr>
          <w:p w:rsidR="005868D2" w:rsidRPr="00F526A8" w:rsidRDefault="005868D2" w:rsidP="005868D2">
            <w:pPr>
              <w:pStyle w:val="table1"/>
              <w:rPr>
                <w:color w:val="000000"/>
                <w:u w:color="000000"/>
              </w:rPr>
            </w:pPr>
            <w:r w:rsidRPr="00F526A8">
              <w:rPr>
                <w:color w:val="000000"/>
                <w:u w:color="000000"/>
              </w:rPr>
              <w:t>Flesh</w:t>
            </w:r>
          </w:p>
        </w:tc>
        <w:tc>
          <w:tcPr>
            <w:tcW w:w="1065" w:type="dxa"/>
          </w:tcPr>
          <w:p w:rsidR="005868D2" w:rsidRPr="00F526A8" w:rsidRDefault="005868D2" w:rsidP="005868D2">
            <w:pPr>
              <w:pStyle w:val="table1"/>
              <w:rPr>
                <w:color w:val="000000"/>
                <w:u w:color="000000"/>
              </w:rPr>
            </w:pPr>
            <w:r w:rsidRPr="00F526A8">
              <w:rPr>
                <w:color w:val="000000"/>
                <w:u w:color="000000"/>
              </w:rPr>
              <w:t>690</w:t>
            </w:r>
          </w:p>
        </w:tc>
        <w:tc>
          <w:tcPr>
            <w:tcW w:w="1308" w:type="dxa"/>
          </w:tcPr>
          <w:p w:rsidR="005868D2" w:rsidRPr="00F526A8" w:rsidRDefault="005868D2" w:rsidP="005868D2">
            <w:pPr>
              <w:pStyle w:val="table1"/>
              <w:rPr>
                <w:color w:val="000000"/>
                <w:u w:color="000000"/>
              </w:rPr>
            </w:pPr>
            <w:r w:rsidRPr="00F526A8">
              <w:rPr>
                <w:color w:val="000000"/>
                <w:u w:color="000000"/>
              </w:rPr>
              <w:t>1.3×10</w:t>
            </w:r>
            <w:r w:rsidRPr="00AA3E24">
              <w:rPr>
                <w:snapToGrid w:val="0"/>
                <w:color w:val="000000"/>
                <w:position w:val="4"/>
                <w:sz w:val="11"/>
                <w:szCs w:val="0"/>
                <w:u w:color="000000"/>
              </w:rPr>
              <w:t>-4</w:t>
            </w:r>
          </w:p>
        </w:tc>
        <w:tc>
          <w:tcPr>
            <w:tcW w:w="822" w:type="dxa"/>
          </w:tcPr>
          <w:p w:rsidR="005868D2" w:rsidRPr="00F526A8" w:rsidRDefault="005868D2" w:rsidP="005868D2">
            <w:pPr>
              <w:pStyle w:val="table1"/>
              <w:rPr>
                <w:color w:val="000000"/>
                <w:u w:color="000000"/>
              </w:rPr>
            </w:pPr>
            <w:r w:rsidRPr="00F526A8">
              <w:rPr>
                <w:color w:val="000000"/>
                <w:u w:color="000000"/>
              </w:rPr>
              <w:t>2</w:t>
            </w:r>
          </w:p>
        </w:tc>
        <w:tc>
          <w:tcPr>
            <w:tcW w:w="1162" w:type="dxa"/>
          </w:tcPr>
          <w:p w:rsidR="005868D2" w:rsidRPr="00F526A8" w:rsidRDefault="005868D2" w:rsidP="005868D2">
            <w:pPr>
              <w:pStyle w:val="table1"/>
              <w:rPr>
                <w:color w:val="000000"/>
                <w:u w:color="000000"/>
              </w:rPr>
            </w:pPr>
            <w:r w:rsidRPr="00F526A8">
              <w:rPr>
                <w:color w:val="000000"/>
                <w:u w:color="000000"/>
              </w:rPr>
              <w:t>6.9×10</w:t>
            </w:r>
            <w:r w:rsidRPr="00AA3E24">
              <w:rPr>
                <w:snapToGrid w:val="0"/>
                <w:color w:val="000000"/>
                <w:position w:val="4"/>
                <w:sz w:val="11"/>
                <w:szCs w:val="0"/>
                <w:u w:color="000000"/>
              </w:rPr>
              <w:t>-1</w:t>
            </w:r>
          </w:p>
        </w:tc>
        <w:tc>
          <w:tcPr>
            <w:tcW w:w="1134" w:type="dxa"/>
          </w:tcPr>
          <w:p w:rsidR="005868D2" w:rsidRPr="00F526A8" w:rsidRDefault="005868D2" w:rsidP="005868D2">
            <w:pPr>
              <w:pStyle w:val="table1"/>
              <w:rPr>
                <w:color w:val="000000"/>
                <w:u w:color="000000"/>
              </w:rPr>
            </w:pPr>
            <w:r w:rsidRPr="00F526A8">
              <w:rPr>
                <w:color w:val="000000"/>
                <w:u w:color="000000"/>
              </w:rPr>
              <w:t>2.5×10</w:t>
            </w:r>
            <w:r w:rsidRPr="00AA3E24">
              <w:rPr>
                <w:snapToGrid w:val="0"/>
                <w:color w:val="000000"/>
                <w:position w:val="4"/>
                <w:sz w:val="11"/>
                <w:szCs w:val="0"/>
                <w:u w:color="000000"/>
              </w:rPr>
              <w:t>-2</w:t>
            </w:r>
          </w:p>
        </w:tc>
        <w:tc>
          <w:tcPr>
            <w:tcW w:w="901" w:type="dxa"/>
          </w:tcPr>
          <w:p w:rsidR="005868D2" w:rsidRPr="00F526A8" w:rsidRDefault="005868D2" w:rsidP="005868D2">
            <w:pPr>
              <w:pStyle w:val="table1"/>
              <w:rPr>
                <w:color w:val="000000"/>
                <w:u w:color="000000"/>
              </w:rPr>
            </w:pPr>
            <w:r w:rsidRPr="00F526A8">
              <w:rPr>
                <w:color w:val="000000"/>
                <w:u w:color="000000"/>
              </w:rPr>
              <w:t>3.1×10</w:t>
            </w:r>
            <w:r w:rsidRPr="00AA3E24">
              <w:rPr>
                <w:snapToGrid w:val="0"/>
                <w:color w:val="000000"/>
                <w:position w:val="4"/>
                <w:sz w:val="11"/>
                <w:szCs w:val="0"/>
                <w:u w:color="000000"/>
              </w:rPr>
              <w:t>-3</w:t>
            </w:r>
          </w:p>
        </w:tc>
      </w:tr>
      <w:tr w:rsidR="005868D2" w:rsidRPr="00F526A8" w:rsidTr="005868D2">
        <w:tc>
          <w:tcPr>
            <w:tcW w:w="1065" w:type="dxa"/>
          </w:tcPr>
          <w:p w:rsidR="005868D2" w:rsidRPr="00F526A8" w:rsidRDefault="005868D2" w:rsidP="005868D2">
            <w:pPr>
              <w:pStyle w:val="table1"/>
              <w:rPr>
                <w:color w:val="000000"/>
                <w:u w:color="000000"/>
              </w:rPr>
            </w:pPr>
            <w:r w:rsidRPr="00F526A8">
              <w:rPr>
                <w:color w:val="000000"/>
                <w:u w:color="000000"/>
              </w:rPr>
              <w:t>Pig</w:t>
            </w:r>
          </w:p>
        </w:tc>
        <w:tc>
          <w:tcPr>
            <w:tcW w:w="1065" w:type="dxa"/>
          </w:tcPr>
          <w:p w:rsidR="005868D2" w:rsidRPr="00F526A8" w:rsidRDefault="005868D2" w:rsidP="005868D2">
            <w:pPr>
              <w:pStyle w:val="table1"/>
              <w:rPr>
                <w:color w:val="000000"/>
                <w:u w:color="000000"/>
              </w:rPr>
            </w:pPr>
            <w:r w:rsidRPr="00F526A8">
              <w:rPr>
                <w:color w:val="000000"/>
                <w:u w:color="000000"/>
              </w:rPr>
              <w:t>Flesh</w:t>
            </w:r>
          </w:p>
        </w:tc>
        <w:tc>
          <w:tcPr>
            <w:tcW w:w="1065" w:type="dxa"/>
          </w:tcPr>
          <w:p w:rsidR="005868D2" w:rsidRPr="00F526A8" w:rsidRDefault="005868D2" w:rsidP="005868D2">
            <w:pPr>
              <w:pStyle w:val="table1"/>
              <w:rPr>
                <w:color w:val="000000"/>
                <w:u w:color="000000"/>
              </w:rPr>
            </w:pPr>
            <w:r w:rsidRPr="00F526A8">
              <w:rPr>
                <w:color w:val="000000"/>
                <w:u w:color="000000"/>
              </w:rPr>
              <w:t>690</w:t>
            </w:r>
          </w:p>
        </w:tc>
        <w:tc>
          <w:tcPr>
            <w:tcW w:w="1308" w:type="dxa"/>
          </w:tcPr>
          <w:p w:rsidR="005868D2" w:rsidRPr="00F526A8" w:rsidRDefault="005868D2" w:rsidP="005868D2">
            <w:pPr>
              <w:pStyle w:val="table1"/>
              <w:rPr>
                <w:color w:val="000000"/>
                <w:u w:color="000000"/>
              </w:rPr>
            </w:pPr>
            <w:r w:rsidRPr="00F526A8">
              <w:rPr>
                <w:color w:val="000000"/>
                <w:u w:color="000000"/>
              </w:rPr>
              <w:t>9.8×10</w:t>
            </w:r>
            <w:r w:rsidRPr="00AA3E24">
              <w:rPr>
                <w:snapToGrid w:val="0"/>
                <w:color w:val="000000"/>
                <w:position w:val="4"/>
                <w:sz w:val="11"/>
                <w:szCs w:val="0"/>
                <w:u w:color="000000"/>
              </w:rPr>
              <w:t>-5</w:t>
            </w:r>
          </w:p>
        </w:tc>
        <w:tc>
          <w:tcPr>
            <w:tcW w:w="822" w:type="dxa"/>
          </w:tcPr>
          <w:p w:rsidR="005868D2" w:rsidRPr="00F526A8" w:rsidRDefault="005868D2" w:rsidP="005868D2">
            <w:pPr>
              <w:pStyle w:val="table1"/>
              <w:rPr>
                <w:color w:val="000000"/>
                <w:u w:color="000000"/>
              </w:rPr>
            </w:pPr>
            <w:r w:rsidRPr="00F526A8">
              <w:rPr>
                <w:color w:val="000000"/>
                <w:u w:color="000000"/>
              </w:rPr>
              <w:t>25</w:t>
            </w:r>
          </w:p>
        </w:tc>
        <w:tc>
          <w:tcPr>
            <w:tcW w:w="1162" w:type="dxa"/>
          </w:tcPr>
          <w:p w:rsidR="005868D2" w:rsidRPr="00F526A8" w:rsidRDefault="005868D2" w:rsidP="005868D2">
            <w:pPr>
              <w:pStyle w:val="table1"/>
              <w:rPr>
                <w:color w:val="000000"/>
                <w:u w:color="000000"/>
              </w:rPr>
            </w:pPr>
            <w:r w:rsidRPr="00F526A8">
              <w:rPr>
                <w:color w:val="000000"/>
                <w:u w:color="000000"/>
              </w:rPr>
              <w:t>1.0×10</w:t>
            </w:r>
            <w:r w:rsidRPr="00AA3E24">
              <w:rPr>
                <w:snapToGrid w:val="0"/>
                <w:color w:val="000000"/>
                <w:position w:val="4"/>
                <w:sz w:val="11"/>
                <w:szCs w:val="0"/>
                <w:u w:color="000000"/>
              </w:rPr>
              <w:t>-1</w:t>
            </w:r>
          </w:p>
        </w:tc>
        <w:tc>
          <w:tcPr>
            <w:tcW w:w="1134" w:type="dxa"/>
          </w:tcPr>
          <w:p w:rsidR="005868D2" w:rsidRPr="00F526A8" w:rsidRDefault="005868D2" w:rsidP="005868D2">
            <w:pPr>
              <w:pStyle w:val="table1"/>
              <w:rPr>
                <w:color w:val="000000"/>
                <w:u w:color="000000"/>
              </w:rPr>
            </w:pPr>
            <w:r w:rsidRPr="00F526A8">
              <w:rPr>
                <w:color w:val="000000"/>
                <w:u w:color="000000"/>
              </w:rPr>
              <w:t>8.7×10</w:t>
            </w:r>
            <w:r w:rsidRPr="00AA3E24">
              <w:rPr>
                <w:snapToGrid w:val="0"/>
                <w:color w:val="000000"/>
                <w:position w:val="4"/>
                <w:sz w:val="11"/>
                <w:szCs w:val="0"/>
                <w:u w:color="000000"/>
              </w:rPr>
              <w:t>-2</w:t>
            </w:r>
          </w:p>
        </w:tc>
        <w:tc>
          <w:tcPr>
            <w:tcW w:w="901" w:type="dxa"/>
          </w:tcPr>
          <w:p w:rsidR="005868D2" w:rsidRPr="00F526A8" w:rsidRDefault="005868D2" w:rsidP="005868D2">
            <w:pPr>
              <w:pStyle w:val="table1"/>
              <w:rPr>
                <w:color w:val="000000"/>
                <w:u w:color="000000"/>
              </w:rPr>
            </w:pPr>
            <w:r w:rsidRPr="00F526A8">
              <w:rPr>
                <w:color w:val="000000"/>
                <w:u w:color="000000"/>
              </w:rPr>
              <w:t>1.5×10</w:t>
            </w:r>
            <w:r w:rsidRPr="00AA3E24">
              <w:rPr>
                <w:snapToGrid w:val="0"/>
                <w:color w:val="000000"/>
                <w:position w:val="4"/>
                <w:sz w:val="11"/>
                <w:szCs w:val="0"/>
                <w:u w:color="000000"/>
              </w:rPr>
              <w:t>-2</w:t>
            </w:r>
          </w:p>
        </w:tc>
      </w:tr>
      <w:tr w:rsidR="005868D2" w:rsidRPr="00F526A8" w:rsidTr="005868D2">
        <w:tc>
          <w:tcPr>
            <w:tcW w:w="1065" w:type="dxa"/>
          </w:tcPr>
          <w:p w:rsidR="005868D2" w:rsidRPr="00F526A8" w:rsidRDefault="005868D2" w:rsidP="005868D2">
            <w:pPr>
              <w:pStyle w:val="table1"/>
              <w:rPr>
                <w:color w:val="000000"/>
                <w:u w:color="000000"/>
              </w:rPr>
            </w:pPr>
            <w:r w:rsidRPr="00F526A8">
              <w:rPr>
                <w:color w:val="000000"/>
                <w:u w:color="000000"/>
              </w:rPr>
              <w:t>Wallaby</w:t>
            </w:r>
          </w:p>
        </w:tc>
        <w:tc>
          <w:tcPr>
            <w:tcW w:w="1065" w:type="dxa"/>
          </w:tcPr>
          <w:p w:rsidR="005868D2" w:rsidRPr="00F526A8" w:rsidRDefault="005868D2" w:rsidP="005868D2">
            <w:pPr>
              <w:pStyle w:val="table1"/>
              <w:rPr>
                <w:color w:val="000000"/>
                <w:u w:color="000000"/>
              </w:rPr>
            </w:pPr>
            <w:r w:rsidRPr="00F526A8">
              <w:rPr>
                <w:color w:val="000000"/>
                <w:u w:color="000000"/>
              </w:rPr>
              <w:t>Flesh</w:t>
            </w:r>
          </w:p>
        </w:tc>
        <w:tc>
          <w:tcPr>
            <w:tcW w:w="1065" w:type="dxa"/>
          </w:tcPr>
          <w:p w:rsidR="005868D2" w:rsidRPr="00F526A8" w:rsidRDefault="005868D2" w:rsidP="005868D2">
            <w:pPr>
              <w:pStyle w:val="table1"/>
              <w:rPr>
                <w:color w:val="000000"/>
                <w:u w:color="000000"/>
              </w:rPr>
            </w:pPr>
            <w:r w:rsidRPr="00F526A8">
              <w:rPr>
                <w:color w:val="000000"/>
                <w:u w:color="000000"/>
              </w:rPr>
              <w:t>690</w:t>
            </w:r>
          </w:p>
        </w:tc>
        <w:tc>
          <w:tcPr>
            <w:tcW w:w="1308" w:type="dxa"/>
          </w:tcPr>
          <w:p w:rsidR="005868D2" w:rsidRPr="00F526A8" w:rsidRDefault="005868D2" w:rsidP="005868D2">
            <w:pPr>
              <w:pStyle w:val="table1"/>
              <w:rPr>
                <w:color w:val="000000"/>
                <w:u w:color="000000"/>
              </w:rPr>
            </w:pPr>
            <w:r w:rsidRPr="00F526A8">
              <w:rPr>
                <w:color w:val="000000"/>
                <w:u w:color="000000"/>
              </w:rPr>
              <w:t>1.5×10</w:t>
            </w:r>
            <w:r w:rsidRPr="00AA3E24">
              <w:rPr>
                <w:snapToGrid w:val="0"/>
                <w:color w:val="000000"/>
                <w:position w:val="4"/>
                <w:sz w:val="11"/>
                <w:szCs w:val="0"/>
                <w:u w:color="000000"/>
              </w:rPr>
              <w:t>-5</w:t>
            </w:r>
          </w:p>
        </w:tc>
        <w:tc>
          <w:tcPr>
            <w:tcW w:w="822" w:type="dxa"/>
          </w:tcPr>
          <w:p w:rsidR="005868D2" w:rsidRPr="00F526A8" w:rsidRDefault="005868D2" w:rsidP="005868D2">
            <w:pPr>
              <w:pStyle w:val="table1"/>
              <w:rPr>
                <w:color w:val="000000"/>
                <w:u w:color="000000"/>
              </w:rPr>
            </w:pPr>
            <w:r w:rsidRPr="00F526A8">
              <w:rPr>
                <w:color w:val="000000"/>
                <w:u w:color="000000"/>
              </w:rPr>
              <w:t>20</w:t>
            </w:r>
          </w:p>
        </w:tc>
        <w:tc>
          <w:tcPr>
            <w:tcW w:w="1162" w:type="dxa"/>
          </w:tcPr>
          <w:p w:rsidR="005868D2" w:rsidRPr="00F526A8" w:rsidRDefault="005868D2" w:rsidP="005868D2">
            <w:pPr>
              <w:pStyle w:val="table1"/>
              <w:rPr>
                <w:color w:val="000000"/>
                <w:u w:color="000000"/>
              </w:rPr>
            </w:pPr>
            <w:r w:rsidRPr="00F526A8">
              <w:rPr>
                <w:color w:val="000000"/>
                <w:u w:color="000000"/>
              </w:rPr>
              <w:t>6.9×10</w:t>
            </w:r>
            <w:r w:rsidRPr="00AA3E24">
              <w:rPr>
                <w:snapToGrid w:val="0"/>
                <w:color w:val="000000"/>
                <w:position w:val="4"/>
                <w:sz w:val="11"/>
                <w:szCs w:val="0"/>
                <w:u w:color="000000"/>
              </w:rPr>
              <w:t>-1</w:t>
            </w:r>
          </w:p>
        </w:tc>
        <w:tc>
          <w:tcPr>
            <w:tcW w:w="1134" w:type="dxa"/>
          </w:tcPr>
          <w:p w:rsidR="005868D2" w:rsidRPr="00F526A8" w:rsidRDefault="005868D2" w:rsidP="005868D2">
            <w:pPr>
              <w:pStyle w:val="table1"/>
              <w:rPr>
                <w:color w:val="000000"/>
                <w:u w:color="000000"/>
              </w:rPr>
            </w:pPr>
            <w:r w:rsidRPr="00F526A8">
              <w:rPr>
                <w:color w:val="000000"/>
                <w:u w:color="000000"/>
              </w:rPr>
              <w:t>2.5×10</w:t>
            </w:r>
            <w:r w:rsidRPr="00AA3E24">
              <w:rPr>
                <w:snapToGrid w:val="0"/>
                <w:color w:val="000000"/>
                <w:position w:val="4"/>
                <w:sz w:val="11"/>
                <w:szCs w:val="0"/>
                <w:u w:color="000000"/>
              </w:rPr>
              <w:t>-2</w:t>
            </w:r>
          </w:p>
        </w:tc>
        <w:tc>
          <w:tcPr>
            <w:tcW w:w="901" w:type="dxa"/>
          </w:tcPr>
          <w:p w:rsidR="005868D2" w:rsidRPr="00F526A8" w:rsidRDefault="005868D2" w:rsidP="005868D2">
            <w:pPr>
              <w:pStyle w:val="table1"/>
              <w:rPr>
                <w:color w:val="000000"/>
                <w:u w:color="000000"/>
              </w:rPr>
            </w:pPr>
            <w:r w:rsidRPr="00F526A8">
              <w:rPr>
                <w:color w:val="000000"/>
                <w:u w:color="000000"/>
              </w:rPr>
              <w:t>3.6×10</w:t>
            </w:r>
            <w:r w:rsidRPr="00AA3E24">
              <w:rPr>
                <w:snapToGrid w:val="0"/>
                <w:color w:val="000000"/>
                <w:position w:val="4"/>
                <w:sz w:val="11"/>
                <w:szCs w:val="0"/>
                <w:u w:color="000000"/>
              </w:rPr>
              <w:t>-3</w:t>
            </w:r>
          </w:p>
        </w:tc>
      </w:tr>
      <w:tr w:rsidR="005868D2" w:rsidRPr="00F526A8" w:rsidTr="005868D2">
        <w:tc>
          <w:tcPr>
            <w:tcW w:w="1065" w:type="dxa"/>
          </w:tcPr>
          <w:p w:rsidR="005868D2" w:rsidRPr="00F526A8" w:rsidRDefault="005868D2" w:rsidP="005868D2">
            <w:pPr>
              <w:pStyle w:val="table1"/>
              <w:rPr>
                <w:color w:val="000000"/>
                <w:u w:color="000000"/>
              </w:rPr>
            </w:pPr>
            <w:r w:rsidRPr="00F526A8">
              <w:rPr>
                <w:color w:val="000000"/>
                <w:u w:color="000000"/>
              </w:rPr>
              <w:t>Fruit</w:t>
            </w:r>
          </w:p>
        </w:tc>
        <w:tc>
          <w:tcPr>
            <w:tcW w:w="1065" w:type="dxa"/>
          </w:tcPr>
          <w:p w:rsidR="005868D2" w:rsidRPr="00F526A8" w:rsidRDefault="005868D2" w:rsidP="005868D2">
            <w:pPr>
              <w:pStyle w:val="table1"/>
              <w:rPr>
                <w:color w:val="000000"/>
                <w:u w:color="000000"/>
              </w:rPr>
            </w:pPr>
            <w:r w:rsidRPr="00F526A8">
              <w:rPr>
                <w:color w:val="000000"/>
                <w:u w:color="000000"/>
              </w:rPr>
              <w:t>Flesh</w:t>
            </w:r>
          </w:p>
        </w:tc>
        <w:tc>
          <w:tcPr>
            <w:tcW w:w="1065" w:type="dxa"/>
          </w:tcPr>
          <w:p w:rsidR="005868D2" w:rsidRPr="00F526A8" w:rsidRDefault="005868D2" w:rsidP="005868D2">
            <w:pPr>
              <w:pStyle w:val="table1"/>
              <w:rPr>
                <w:color w:val="000000"/>
                <w:u w:color="000000"/>
              </w:rPr>
            </w:pPr>
            <w:r w:rsidRPr="00F526A8">
              <w:rPr>
                <w:color w:val="000000"/>
                <w:u w:color="000000"/>
              </w:rPr>
              <w:t>690</w:t>
            </w:r>
          </w:p>
        </w:tc>
        <w:tc>
          <w:tcPr>
            <w:tcW w:w="1308" w:type="dxa"/>
          </w:tcPr>
          <w:p w:rsidR="005868D2" w:rsidRPr="00F526A8" w:rsidRDefault="005868D2" w:rsidP="005868D2">
            <w:pPr>
              <w:pStyle w:val="table1"/>
              <w:rPr>
                <w:color w:val="000000"/>
                <w:u w:color="000000"/>
              </w:rPr>
            </w:pPr>
            <w:r w:rsidRPr="00F526A8">
              <w:rPr>
                <w:color w:val="000000"/>
                <w:u w:color="000000"/>
              </w:rPr>
              <w:t>2.4×10</w:t>
            </w:r>
            <w:r w:rsidRPr="00AA3E24">
              <w:rPr>
                <w:snapToGrid w:val="0"/>
                <w:color w:val="000000"/>
                <w:position w:val="4"/>
                <w:sz w:val="11"/>
                <w:szCs w:val="0"/>
                <w:u w:color="000000"/>
              </w:rPr>
              <w:t>-5</w:t>
            </w:r>
          </w:p>
        </w:tc>
        <w:tc>
          <w:tcPr>
            <w:tcW w:w="822" w:type="dxa"/>
          </w:tcPr>
          <w:p w:rsidR="005868D2" w:rsidRPr="00F526A8" w:rsidRDefault="005868D2" w:rsidP="005868D2">
            <w:pPr>
              <w:pStyle w:val="table1"/>
              <w:rPr>
                <w:color w:val="000000"/>
                <w:u w:color="000000"/>
              </w:rPr>
            </w:pPr>
            <w:r w:rsidRPr="00F526A8">
              <w:rPr>
                <w:color w:val="000000"/>
                <w:u w:color="000000"/>
              </w:rPr>
              <w:t>3</w:t>
            </w:r>
          </w:p>
        </w:tc>
        <w:tc>
          <w:tcPr>
            <w:tcW w:w="1162" w:type="dxa"/>
          </w:tcPr>
          <w:p w:rsidR="005868D2" w:rsidRPr="00F526A8" w:rsidRDefault="005868D2" w:rsidP="005868D2">
            <w:pPr>
              <w:pStyle w:val="table1"/>
              <w:rPr>
                <w:color w:val="000000"/>
                <w:u w:color="000000"/>
              </w:rPr>
            </w:pPr>
            <w:r w:rsidRPr="00F526A8">
              <w:rPr>
                <w:color w:val="000000"/>
                <w:u w:color="000000"/>
              </w:rPr>
              <w:t>1.0×10</w:t>
            </w:r>
            <w:r w:rsidRPr="00AA3E24">
              <w:rPr>
                <w:snapToGrid w:val="0"/>
                <w:color w:val="000000"/>
                <w:position w:val="4"/>
                <w:sz w:val="11"/>
                <w:szCs w:val="0"/>
                <w:u w:color="000000"/>
              </w:rPr>
              <w:t>0</w:t>
            </w:r>
          </w:p>
        </w:tc>
        <w:tc>
          <w:tcPr>
            <w:tcW w:w="1134" w:type="dxa"/>
          </w:tcPr>
          <w:p w:rsidR="005868D2" w:rsidRPr="00F526A8" w:rsidRDefault="005868D2" w:rsidP="005868D2">
            <w:pPr>
              <w:pStyle w:val="table1"/>
              <w:rPr>
                <w:color w:val="000000"/>
                <w:u w:color="000000"/>
              </w:rPr>
            </w:pPr>
            <w:r w:rsidRPr="00F526A8">
              <w:rPr>
                <w:color w:val="000000"/>
                <w:u w:color="000000"/>
              </w:rPr>
              <w:t>1.9×10</w:t>
            </w:r>
            <w:r w:rsidRPr="00AA3E24">
              <w:rPr>
                <w:snapToGrid w:val="0"/>
                <w:color w:val="000000"/>
                <w:position w:val="4"/>
                <w:sz w:val="11"/>
                <w:szCs w:val="0"/>
                <w:u w:color="000000"/>
              </w:rPr>
              <w:t>-2</w:t>
            </w:r>
          </w:p>
        </w:tc>
        <w:tc>
          <w:tcPr>
            <w:tcW w:w="901" w:type="dxa"/>
          </w:tcPr>
          <w:p w:rsidR="005868D2" w:rsidRPr="00F526A8" w:rsidRDefault="005868D2" w:rsidP="005868D2">
            <w:pPr>
              <w:pStyle w:val="table1"/>
              <w:rPr>
                <w:color w:val="000000"/>
                <w:u w:color="000000"/>
              </w:rPr>
            </w:pPr>
            <w:r w:rsidRPr="00F526A8">
              <w:rPr>
                <w:color w:val="000000"/>
                <w:u w:color="000000"/>
              </w:rPr>
              <w:t>9.3×10</w:t>
            </w:r>
            <w:r w:rsidRPr="00AA3E24">
              <w:rPr>
                <w:snapToGrid w:val="0"/>
                <w:color w:val="000000"/>
                <w:position w:val="4"/>
                <w:sz w:val="11"/>
                <w:szCs w:val="0"/>
                <w:u w:color="000000"/>
              </w:rPr>
              <w:t>-4</w:t>
            </w:r>
          </w:p>
        </w:tc>
      </w:tr>
      <w:tr w:rsidR="005868D2" w:rsidRPr="00F526A8" w:rsidTr="005868D2">
        <w:tc>
          <w:tcPr>
            <w:tcW w:w="1065" w:type="dxa"/>
          </w:tcPr>
          <w:p w:rsidR="005868D2" w:rsidRPr="00F526A8" w:rsidRDefault="005868D2" w:rsidP="005868D2">
            <w:pPr>
              <w:pStyle w:val="table1"/>
              <w:rPr>
                <w:color w:val="000000"/>
                <w:u w:color="000000"/>
              </w:rPr>
            </w:pPr>
            <w:r w:rsidRPr="00F526A8">
              <w:rPr>
                <w:color w:val="000000"/>
                <w:u w:color="000000"/>
              </w:rPr>
              <w:t>Yam</w:t>
            </w:r>
          </w:p>
        </w:tc>
        <w:tc>
          <w:tcPr>
            <w:tcW w:w="1065" w:type="dxa"/>
          </w:tcPr>
          <w:p w:rsidR="005868D2" w:rsidRPr="00F526A8" w:rsidRDefault="005868D2" w:rsidP="005868D2">
            <w:pPr>
              <w:pStyle w:val="table1"/>
              <w:rPr>
                <w:color w:val="000000"/>
                <w:u w:color="000000"/>
              </w:rPr>
            </w:pPr>
            <w:r w:rsidRPr="00F526A8">
              <w:rPr>
                <w:color w:val="000000"/>
                <w:u w:color="000000"/>
              </w:rPr>
              <w:t>Tuber</w:t>
            </w:r>
          </w:p>
        </w:tc>
        <w:tc>
          <w:tcPr>
            <w:tcW w:w="1065" w:type="dxa"/>
          </w:tcPr>
          <w:p w:rsidR="005868D2" w:rsidRPr="00F526A8" w:rsidRDefault="005868D2" w:rsidP="005868D2">
            <w:pPr>
              <w:pStyle w:val="table1"/>
              <w:rPr>
                <w:color w:val="000000"/>
                <w:u w:color="000000"/>
              </w:rPr>
            </w:pPr>
            <w:r w:rsidRPr="00F526A8">
              <w:rPr>
                <w:color w:val="000000"/>
                <w:u w:color="000000"/>
              </w:rPr>
              <w:t>690</w:t>
            </w:r>
          </w:p>
        </w:tc>
        <w:tc>
          <w:tcPr>
            <w:tcW w:w="1308" w:type="dxa"/>
          </w:tcPr>
          <w:p w:rsidR="005868D2" w:rsidRPr="00F526A8" w:rsidRDefault="005868D2" w:rsidP="005868D2">
            <w:pPr>
              <w:pStyle w:val="table1"/>
              <w:rPr>
                <w:color w:val="000000"/>
                <w:u w:color="000000"/>
              </w:rPr>
            </w:pPr>
            <w:r w:rsidRPr="00F526A8">
              <w:rPr>
                <w:color w:val="000000"/>
                <w:u w:color="000000"/>
              </w:rPr>
              <w:t>5.3×10</w:t>
            </w:r>
            <w:r w:rsidRPr="00AA3E24">
              <w:rPr>
                <w:snapToGrid w:val="0"/>
                <w:color w:val="000000"/>
                <w:position w:val="4"/>
                <w:sz w:val="11"/>
                <w:szCs w:val="0"/>
                <w:u w:color="000000"/>
              </w:rPr>
              <w:t>-5</w:t>
            </w:r>
          </w:p>
        </w:tc>
        <w:tc>
          <w:tcPr>
            <w:tcW w:w="822" w:type="dxa"/>
          </w:tcPr>
          <w:p w:rsidR="005868D2" w:rsidRPr="00F526A8" w:rsidRDefault="005868D2" w:rsidP="005868D2">
            <w:pPr>
              <w:pStyle w:val="table1"/>
              <w:rPr>
                <w:color w:val="000000"/>
                <w:u w:color="000000"/>
              </w:rPr>
            </w:pPr>
            <w:r w:rsidRPr="00F526A8">
              <w:rPr>
                <w:color w:val="000000"/>
                <w:u w:color="000000"/>
              </w:rPr>
              <w:t>20</w:t>
            </w:r>
          </w:p>
        </w:tc>
        <w:tc>
          <w:tcPr>
            <w:tcW w:w="1162" w:type="dxa"/>
          </w:tcPr>
          <w:p w:rsidR="005868D2" w:rsidRPr="00F526A8" w:rsidRDefault="005868D2" w:rsidP="005868D2">
            <w:pPr>
              <w:pStyle w:val="table1"/>
              <w:rPr>
                <w:color w:val="000000"/>
                <w:u w:color="000000"/>
              </w:rPr>
            </w:pPr>
            <w:r w:rsidRPr="00F526A8">
              <w:rPr>
                <w:color w:val="000000"/>
                <w:u w:color="000000"/>
              </w:rPr>
              <w:t>1.0×10</w:t>
            </w:r>
            <w:r w:rsidRPr="00AA3E24">
              <w:rPr>
                <w:snapToGrid w:val="0"/>
                <w:color w:val="000000"/>
                <w:position w:val="4"/>
                <w:sz w:val="11"/>
                <w:szCs w:val="0"/>
                <w:u w:color="000000"/>
              </w:rPr>
              <w:t>0</w:t>
            </w:r>
          </w:p>
        </w:tc>
        <w:tc>
          <w:tcPr>
            <w:tcW w:w="1134" w:type="dxa"/>
          </w:tcPr>
          <w:p w:rsidR="005868D2" w:rsidRPr="00F526A8" w:rsidRDefault="005868D2" w:rsidP="005868D2">
            <w:pPr>
              <w:pStyle w:val="table1"/>
              <w:rPr>
                <w:color w:val="000000"/>
                <w:u w:color="000000"/>
              </w:rPr>
            </w:pPr>
            <w:r w:rsidRPr="00F526A8">
              <w:rPr>
                <w:color w:val="000000"/>
                <w:u w:color="000000"/>
              </w:rPr>
              <w:t>1.9×10</w:t>
            </w:r>
            <w:r w:rsidRPr="00AA3E24">
              <w:rPr>
                <w:snapToGrid w:val="0"/>
                <w:color w:val="000000"/>
                <w:position w:val="4"/>
                <w:sz w:val="11"/>
                <w:szCs w:val="0"/>
                <w:u w:color="000000"/>
              </w:rPr>
              <w:t>-2</w:t>
            </w:r>
          </w:p>
        </w:tc>
        <w:tc>
          <w:tcPr>
            <w:tcW w:w="901" w:type="dxa"/>
          </w:tcPr>
          <w:p w:rsidR="005868D2" w:rsidRPr="00F526A8" w:rsidRDefault="005868D2" w:rsidP="005868D2">
            <w:pPr>
              <w:pStyle w:val="table1"/>
              <w:rPr>
                <w:color w:val="000000"/>
                <w:u w:color="000000"/>
              </w:rPr>
            </w:pPr>
            <w:r w:rsidRPr="00F526A8">
              <w:rPr>
                <w:color w:val="000000"/>
                <w:u w:color="000000"/>
              </w:rPr>
              <w:t>1.4×10</w:t>
            </w:r>
            <w:r w:rsidRPr="00AA3E24">
              <w:rPr>
                <w:snapToGrid w:val="0"/>
                <w:color w:val="000000"/>
                <w:position w:val="4"/>
                <w:sz w:val="11"/>
                <w:szCs w:val="0"/>
                <w:u w:color="000000"/>
              </w:rPr>
              <w:t>-2</w:t>
            </w:r>
          </w:p>
        </w:tc>
      </w:tr>
    </w:tbl>
    <w:p w:rsidR="005868D2" w:rsidRPr="002E5D29" w:rsidRDefault="005868D2" w:rsidP="00587AA9">
      <w:pPr>
        <w:pStyle w:val="Heading2"/>
        <w:rPr>
          <w:lang w:val="en-US"/>
        </w:rPr>
      </w:pPr>
      <w:r w:rsidRPr="002E5D29">
        <w:rPr>
          <w:lang w:val="en-US"/>
        </w:rPr>
        <w:t>Conclusions</w:t>
      </w:r>
    </w:p>
    <w:p w:rsidR="0060270F" w:rsidRPr="002E5D29" w:rsidRDefault="0060270F" w:rsidP="005868D2">
      <w:pPr>
        <w:rPr>
          <w:lang w:val="en-US"/>
        </w:rPr>
      </w:pPr>
      <w:r w:rsidRPr="002E5D29">
        <w:rPr>
          <w:lang w:val="en-US"/>
        </w:rPr>
        <w:t>Terrestrial wild plants and animals are an important part of traditional Aboriginal diet in the ARR. They are also a potential vector for above background public radiation exposure following rehabilitation of the Ranger mine. CRs have been determined for radionuclides significant to uranium mining for terrestrial wild plants and animals important to traditional Aboriginal diet of the ARR. These CRs have been used in combination with other parameters in an example ingestion dose calculation to illustrate the dose assessment process for the terrestrial bush food exposure pathway. Lack of agreed land use scenarios and reference diet currently impedes the final estimation of above background dose due to bush foods sourced from terrestrial ecosystems.</w:t>
      </w:r>
    </w:p>
    <w:p w:rsidR="0060270F" w:rsidRPr="002E5D29" w:rsidRDefault="0060270F" w:rsidP="00587AA9">
      <w:pPr>
        <w:pStyle w:val="Heading2"/>
      </w:pPr>
      <w:r w:rsidRPr="002E5D29">
        <w:t>References</w:t>
      </w:r>
    </w:p>
    <w:p w:rsidR="0060270F" w:rsidRPr="009A0A84" w:rsidRDefault="0060270F" w:rsidP="009A0A84">
      <w:pPr>
        <w:pStyle w:val="referencelist1"/>
      </w:pPr>
      <w:r w:rsidRPr="009A0A84">
        <w:t xml:space="preserve">Altman JC 1984. </w:t>
      </w:r>
      <w:proofErr w:type="gramStart"/>
      <w:r w:rsidRPr="009A0A84">
        <w:t>The dietary utilisation of flora and fauna by contemporary hunter-gatherers at Momega outstation, north-central Arnhem Land.</w:t>
      </w:r>
      <w:proofErr w:type="gramEnd"/>
      <w:r w:rsidRPr="009A0A84">
        <w:t xml:space="preserve"> Australian Aboriginal Studies 1, 35–46.</w:t>
      </w:r>
    </w:p>
    <w:p w:rsidR="0060270F" w:rsidRPr="009A0A84" w:rsidRDefault="0060270F" w:rsidP="009A0A84">
      <w:pPr>
        <w:pStyle w:val="referencelist1"/>
      </w:pPr>
      <w:proofErr w:type="gramStart"/>
      <w:r w:rsidRPr="009A0A84">
        <w:t>Australian Radiation Protection and Nuclear Safety Agency (ARPANSA) 2005.</w:t>
      </w:r>
      <w:proofErr w:type="gramEnd"/>
      <w:r w:rsidRPr="009A0A84">
        <w:t xml:space="preserve"> </w:t>
      </w:r>
      <w:proofErr w:type="gramStart"/>
      <w:r w:rsidRPr="009A0A84">
        <w:t>Code of Practice for Radiation Protection and Radioactive Waste Management in Mining and Mineral Processing.</w:t>
      </w:r>
      <w:proofErr w:type="gramEnd"/>
      <w:r w:rsidRPr="009A0A84">
        <w:t xml:space="preserve"> Radiation Protection Series No. 9, ARPANSA, Yallambie.</w:t>
      </w:r>
    </w:p>
    <w:p w:rsidR="0060270F" w:rsidRPr="009A0A84" w:rsidRDefault="0060270F" w:rsidP="009A0A84">
      <w:pPr>
        <w:pStyle w:val="referencelist1"/>
      </w:pPr>
      <w:r w:rsidRPr="009A0A84">
        <w:t xml:space="preserve">Bollhöfer A, Beraldo A, Pfitzner K, Esparon A &amp; Doering C 2014. </w:t>
      </w:r>
      <w:proofErr w:type="gramStart"/>
      <w:r w:rsidRPr="009A0A84">
        <w:t>Determining a pre-mining radiological baseline from historic airborne gamma surveys: A case study.</w:t>
      </w:r>
      <w:proofErr w:type="gramEnd"/>
      <w:r w:rsidRPr="009A0A84">
        <w:t xml:space="preserve"> Science of the Total Environment 468–469, 764–773.</w:t>
      </w:r>
    </w:p>
    <w:p w:rsidR="0060270F" w:rsidRPr="009A0A84" w:rsidRDefault="0060270F" w:rsidP="009A0A84">
      <w:pPr>
        <w:pStyle w:val="referencelist1"/>
      </w:pPr>
      <w:proofErr w:type="gramStart"/>
      <w:r w:rsidRPr="009A0A84">
        <w:t>Commonwealth of Australia 1999.</w:t>
      </w:r>
      <w:proofErr w:type="gramEnd"/>
      <w:r w:rsidRPr="009A0A84">
        <w:t xml:space="preserve"> Environmental requirements of the Commonwealth of Australia for the operation of Ranger uranium mine. Available from: http://www.environment.gov.au/system/files/resources/9cc1f5c4-18ad-4604-93bf-e9efd8390ee0/files/ranger-ers.pdf</w:t>
      </w:r>
    </w:p>
    <w:p w:rsidR="0060270F" w:rsidRPr="009A0A84" w:rsidRDefault="0060270F" w:rsidP="009A0A84">
      <w:pPr>
        <w:pStyle w:val="referencelist1"/>
      </w:pPr>
      <w:proofErr w:type="gramStart"/>
      <w:r w:rsidRPr="009A0A84">
        <w:t>Doering C 2013.</w:t>
      </w:r>
      <w:proofErr w:type="gramEnd"/>
      <w:r w:rsidRPr="009A0A84">
        <w:t xml:space="preserve"> </w:t>
      </w:r>
      <w:proofErr w:type="gramStart"/>
      <w:r w:rsidRPr="009A0A84">
        <w:t>The BRUCE tool.</w:t>
      </w:r>
      <w:proofErr w:type="gramEnd"/>
      <w:r w:rsidRPr="009A0A84">
        <w:t xml:space="preserve"> </w:t>
      </w:r>
      <w:proofErr w:type="gramStart"/>
      <w:r w:rsidRPr="009A0A84">
        <w:t>Internal report 619, Supervising Scientist Division, Canberra.</w:t>
      </w:r>
      <w:proofErr w:type="gramEnd"/>
      <w:r w:rsidRPr="009A0A84">
        <w:t xml:space="preserve"> </w:t>
      </w:r>
      <w:proofErr w:type="gramStart"/>
      <w:r w:rsidRPr="009A0A84">
        <w:t>Unpublished paper.</w:t>
      </w:r>
      <w:proofErr w:type="gramEnd"/>
    </w:p>
    <w:p w:rsidR="0060270F" w:rsidRPr="002E5D29" w:rsidRDefault="0060270F" w:rsidP="0060270F">
      <w:pPr>
        <w:pStyle w:val="referencelist1"/>
      </w:pPr>
      <w:proofErr w:type="gramStart"/>
      <w:r w:rsidRPr="002E5D29">
        <w:t>Energy Resources of Australia (ERA) Ltd 2013.</w:t>
      </w:r>
      <w:proofErr w:type="gramEnd"/>
      <w:r w:rsidRPr="002E5D29">
        <w:t xml:space="preserve"> </w:t>
      </w:r>
      <w:proofErr w:type="gramStart"/>
      <w:r w:rsidRPr="002E5D29">
        <w:rPr>
          <w:i/>
        </w:rPr>
        <w:t>Annual report 2013</w:t>
      </w:r>
      <w:r w:rsidRPr="002E5D29">
        <w:t>.</w:t>
      </w:r>
      <w:proofErr w:type="gramEnd"/>
      <w:r w:rsidRPr="002E5D29">
        <w:t xml:space="preserve"> Available from: http://www.energyres.com.au/documents/Annual_Report_2013.pdf</w:t>
      </w:r>
    </w:p>
    <w:p w:rsidR="0060270F" w:rsidRPr="002E5D29" w:rsidRDefault="0060270F" w:rsidP="0060270F">
      <w:pPr>
        <w:pStyle w:val="referencelist1"/>
      </w:pPr>
      <w:proofErr w:type="gramStart"/>
      <w:r w:rsidRPr="002E5D29">
        <w:t>International Atomic Energy Agency (IAEA) 2010.</w:t>
      </w:r>
      <w:proofErr w:type="gramEnd"/>
      <w:r w:rsidRPr="002E5D29">
        <w:t xml:space="preserve"> </w:t>
      </w:r>
      <w:r w:rsidRPr="002E5D29">
        <w:rPr>
          <w:i/>
        </w:rPr>
        <w:t>Handbook of parameter values for the prediction of radionuclide transfer in terrestrial and freshwater environments.</w:t>
      </w:r>
      <w:r w:rsidRPr="002E5D29">
        <w:t xml:space="preserve"> Technical Report Series No. 472, IAEA, Vienna.</w:t>
      </w:r>
    </w:p>
    <w:p w:rsidR="0060270F" w:rsidRPr="002E5D29" w:rsidRDefault="0060270F" w:rsidP="0060270F">
      <w:pPr>
        <w:pStyle w:val="referencelist1"/>
      </w:pPr>
      <w:proofErr w:type="gramStart"/>
      <w:r w:rsidRPr="002E5D29">
        <w:t>International Atomic Energy Agency (IAEA) 2014.</w:t>
      </w:r>
      <w:proofErr w:type="gramEnd"/>
      <w:r w:rsidRPr="002E5D29">
        <w:t xml:space="preserve"> </w:t>
      </w:r>
      <w:r w:rsidRPr="002E5D29">
        <w:rPr>
          <w:i/>
        </w:rPr>
        <w:t>The environmental behaviour of radium: revised edition.</w:t>
      </w:r>
      <w:r w:rsidRPr="002E5D29">
        <w:t xml:space="preserve"> Technical Report Series No. 476, IAEA, Vienna.</w:t>
      </w:r>
    </w:p>
    <w:p w:rsidR="0060270F" w:rsidRPr="002E5D29" w:rsidRDefault="0060270F" w:rsidP="0060270F">
      <w:pPr>
        <w:pStyle w:val="referencelist1"/>
      </w:pPr>
      <w:proofErr w:type="gramStart"/>
      <w:r w:rsidRPr="002E5D29">
        <w:t>International Commission on Radiological Protection (ICRP) 1996.</w:t>
      </w:r>
      <w:proofErr w:type="gramEnd"/>
      <w:r w:rsidRPr="002E5D29">
        <w:t xml:space="preserve"> </w:t>
      </w:r>
      <w:r w:rsidRPr="002E5D29">
        <w:rPr>
          <w:i/>
        </w:rPr>
        <w:t>Age-dependent doses to members of the public from intake of radionuclides: Part 5 compilation of ingestion and inhalation dose coefficients.</w:t>
      </w:r>
      <w:r w:rsidRPr="002E5D29">
        <w:t xml:space="preserve"> </w:t>
      </w:r>
      <w:proofErr w:type="gramStart"/>
      <w:r w:rsidRPr="002E5D29">
        <w:t xml:space="preserve">ICRP Publication 72, </w:t>
      </w:r>
      <w:r w:rsidRPr="00F93BDC">
        <w:rPr>
          <w:i/>
        </w:rPr>
        <w:t>Annals of the ICRP</w:t>
      </w:r>
      <w:r w:rsidRPr="002E5D29">
        <w:t xml:space="preserve"> 26(1).</w:t>
      </w:r>
      <w:proofErr w:type="gramEnd"/>
    </w:p>
    <w:p w:rsidR="0060270F" w:rsidRPr="002E5D29" w:rsidRDefault="0060270F" w:rsidP="0060270F">
      <w:pPr>
        <w:pStyle w:val="referencelist1"/>
      </w:pPr>
      <w:proofErr w:type="gramStart"/>
      <w:r w:rsidRPr="002E5D29">
        <w:t>Johansen MP &amp; Twining JR 2010.</w:t>
      </w:r>
      <w:proofErr w:type="gramEnd"/>
      <w:r w:rsidRPr="002E5D29">
        <w:t xml:space="preserve"> Radionuclide concentration ratios in Australian terrestrial wildlife and livestock: data compilation and analysis. </w:t>
      </w:r>
      <w:r w:rsidRPr="002E5D29">
        <w:rPr>
          <w:i/>
        </w:rPr>
        <w:t>Radiation and Environmental Biophysics</w:t>
      </w:r>
      <w:r w:rsidRPr="002E5D29">
        <w:t xml:space="preserve"> 49, 603–611.</w:t>
      </w:r>
    </w:p>
    <w:p w:rsidR="0060270F" w:rsidRPr="002E5D29" w:rsidRDefault="0060270F" w:rsidP="0060270F">
      <w:pPr>
        <w:pStyle w:val="referencelist1"/>
      </w:pPr>
      <w:proofErr w:type="gramStart"/>
      <w:r w:rsidRPr="002E5D29">
        <w:t>Lawrence CE, Akber RA, Bollhöfer A &amp; Martin P 2009.</w:t>
      </w:r>
      <w:proofErr w:type="gramEnd"/>
      <w:r w:rsidRPr="002E5D29">
        <w:t xml:space="preserve"> </w:t>
      </w:r>
      <w:proofErr w:type="gramStart"/>
      <w:r w:rsidRPr="002E5D29">
        <w:t>Radon-222 exhalation from open ground on and around a uranium mine in the wet-dry tropics.</w:t>
      </w:r>
      <w:proofErr w:type="gramEnd"/>
      <w:r w:rsidRPr="002E5D29">
        <w:t xml:space="preserve"> </w:t>
      </w:r>
      <w:r w:rsidRPr="002E5D29">
        <w:rPr>
          <w:i/>
        </w:rPr>
        <w:t>Journal of Environmental Radioactivity</w:t>
      </w:r>
      <w:r w:rsidRPr="002E5D29">
        <w:t xml:space="preserve"> 100, 1–8.</w:t>
      </w:r>
    </w:p>
    <w:p w:rsidR="0060270F" w:rsidRPr="002E5D29" w:rsidRDefault="0060270F" w:rsidP="0060270F">
      <w:pPr>
        <w:pStyle w:val="referencelist1"/>
      </w:pPr>
      <w:proofErr w:type="gramStart"/>
      <w:r w:rsidRPr="002E5D29">
        <w:t>Martin P, Hancock GJ, Johnston A &amp; Murray AS 1995.</w:t>
      </w:r>
      <w:proofErr w:type="gramEnd"/>
      <w:r w:rsidRPr="002E5D29">
        <w:t xml:space="preserve"> </w:t>
      </w:r>
      <w:proofErr w:type="gramStart"/>
      <w:r w:rsidRPr="002E5D29">
        <w:rPr>
          <w:i/>
        </w:rPr>
        <w:t>Bioaccumulation of radionuclides in traditional Aboriginal foods from the Magela and Cooper Creek systems.</w:t>
      </w:r>
      <w:proofErr w:type="gramEnd"/>
      <w:r w:rsidRPr="002E5D29">
        <w:rPr>
          <w:i/>
        </w:rPr>
        <w:t xml:space="preserve"> </w:t>
      </w:r>
      <w:proofErr w:type="gramStart"/>
      <w:r w:rsidRPr="002E5D29">
        <w:t>Research report 11, Supervising Scientist for the Alligator Rivers Region, AGPS, Canberra.</w:t>
      </w:r>
      <w:proofErr w:type="gramEnd"/>
    </w:p>
    <w:p w:rsidR="0060270F" w:rsidRPr="002E5D29" w:rsidRDefault="0060270F" w:rsidP="0060270F">
      <w:pPr>
        <w:pStyle w:val="referencelist1"/>
      </w:pPr>
      <w:proofErr w:type="gramStart"/>
      <w:r w:rsidRPr="002E5D29">
        <w:t>Martin P, Hancock GJ, Johnston A &amp; Murray AS 1998.</w:t>
      </w:r>
      <w:proofErr w:type="gramEnd"/>
      <w:r w:rsidRPr="002E5D29">
        <w:t xml:space="preserve"> </w:t>
      </w:r>
      <w:proofErr w:type="gramStart"/>
      <w:r w:rsidRPr="002E5D29">
        <w:t>Natural-series radionuclides in traditional north Australian Aboriginal foods.</w:t>
      </w:r>
      <w:proofErr w:type="gramEnd"/>
      <w:r w:rsidRPr="002E5D29">
        <w:t xml:space="preserve"> </w:t>
      </w:r>
      <w:r w:rsidRPr="002E5D29">
        <w:rPr>
          <w:i/>
        </w:rPr>
        <w:t>Journal of Environmental Radioactivity</w:t>
      </w:r>
      <w:r w:rsidRPr="002E5D29">
        <w:t xml:space="preserve"> 40, 37–58.</w:t>
      </w:r>
    </w:p>
    <w:p w:rsidR="0060270F" w:rsidRPr="002E5D29" w:rsidRDefault="0060270F" w:rsidP="0060270F">
      <w:pPr>
        <w:pStyle w:val="referencelist1"/>
      </w:pPr>
      <w:proofErr w:type="gramStart"/>
      <w:r w:rsidRPr="002E5D29">
        <w:t>Medley P, Bollhöfer A, Parry D &amp; Martin P 2013.</w:t>
      </w:r>
      <w:proofErr w:type="gramEnd"/>
      <w:r w:rsidRPr="002E5D29">
        <w:t xml:space="preserve"> Radium concentration factors in passionfruit (</w:t>
      </w:r>
      <w:r w:rsidRPr="002E5D29">
        <w:rPr>
          <w:i/>
        </w:rPr>
        <w:t>Passiflora foetida</w:t>
      </w:r>
      <w:r w:rsidRPr="002E5D29">
        <w:t xml:space="preserve">) from the Alligator Rivers Region, Northern Territory, </w:t>
      </w:r>
      <w:proofErr w:type="gramStart"/>
      <w:r w:rsidRPr="002E5D29">
        <w:t>Australia</w:t>
      </w:r>
      <w:proofErr w:type="gramEnd"/>
      <w:r w:rsidRPr="002E5D29">
        <w:t xml:space="preserve">. </w:t>
      </w:r>
      <w:r w:rsidRPr="002E5D29">
        <w:rPr>
          <w:i/>
        </w:rPr>
        <w:t>Journal of Environmental Radioactivity</w:t>
      </w:r>
      <w:r w:rsidRPr="002E5D29">
        <w:t xml:space="preserve"> 126, 137–146.</w:t>
      </w:r>
    </w:p>
    <w:p w:rsidR="0060270F" w:rsidRPr="002E5D29" w:rsidRDefault="0060270F" w:rsidP="0060270F">
      <w:pPr>
        <w:pStyle w:val="referencelist1"/>
      </w:pPr>
      <w:proofErr w:type="gramStart"/>
      <w:r w:rsidRPr="002E5D29">
        <w:t>Ranger Uranium Mines (RUM) Pty Ltd 1987.</w:t>
      </w:r>
      <w:proofErr w:type="gramEnd"/>
      <w:r w:rsidRPr="002E5D29">
        <w:t xml:space="preserve"> </w:t>
      </w:r>
      <w:proofErr w:type="gramStart"/>
      <w:r w:rsidRPr="002E5D29">
        <w:rPr>
          <w:i/>
        </w:rPr>
        <w:t>Environmental monitoring report for the twelve month period 1 April 1986 to 31 March 1987.</w:t>
      </w:r>
      <w:proofErr w:type="gramEnd"/>
    </w:p>
    <w:p w:rsidR="0060270F" w:rsidRPr="002E5D29" w:rsidRDefault="0060270F" w:rsidP="0060270F">
      <w:pPr>
        <w:pStyle w:val="referencelist1"/>
      </w:pPr>
      <w:r w:rsidRPr="002E5D29">
        <w:t xml:space="preserve">Ryan B, Martin P &amp; Iles M 2005. </w:t>
      </w:r>
      <w:proofErr w:type="gramStart"/>
      <w:r w:rsidRPr="002E5D29">
        <w:t>Uranium-series radionuclides in native fruits and vegetables of northern Australia.</w:t>
      </w:r>
      <w:proofErr w:type="gramEnd"/>
      <w:r w:rsidRPr="002E5D29">
        <w:t xml:space="preserve"> </w:t>
      </w:r>
      <w:r w:rsidRPr="002E5D29">
        <w:rPr>
          <w:i/>
        </w:rPr>
        <w:t>Journal of Radioanalytical and Nuclear Chemistry</w:t>
      </w:r>
      <w:r w:rsidRPr="002E5D29">
        <w:t xml:space="preserve"> 264(2), 407–412.</w:t>
      </w:r>
    </w:p>
    <w:p w:rsidR="0060270F" w:rsidRPr="002E5D29" w:rsidRDefault="0060270F" w:rsidP="0060270F">
      <w:pPr>
        <w:pStyle w:val="referencelist1"/>
      </w:pPr>
      <w:r w:rsidRPr="002E5D29">
        <w:t xml:space="preserve">Ryan B, Medley P &amp; Bollhöfer A 2008. </w:t>
      </w:r>
      <w:proofErr w:type="gramStart"/>
      <w:r w:rsidRPr="002E5D29">
        <w:t>Bioaccumulation of radionuclides in terrestrial plants on rehabilitated landforms.</w:t>
      </w:r>
      <w:proofErr w:type="gramEnd"/>
      <w:r w:rsidRPr="002E5D29">
        <w:t xml:space="preserve"> In </w:t>
      </w:r>
      <w:r w:rsidRPr="004E6332">
        <w:rPr>
          <w:rFonts w:ascii="Times New Roman" w:hAnsi="Times New Roman"/>
          <w:b/>
          <w:i/>
          <w:sz w:val="26"/>
          <w:szCs w:val="26"/>
        </w:rPr>
        <w:t xml:space="preserve">eriss </w:t>
      </w:r>
      <w:r w:rsidRPr="002E5D29">
        <w:rPr>
          <w:i/>
        </w:rPr>
        <w:t>research summary 2006–2007</w:t>
      </w:r>
      <w:r w:rsidRPr="002E5D29">
        <w:t>, eds Jones DR, Humphrey C, van Dam R &amp; Webb A, Supervising Scientist Report 196, Supervising Scientist, Darwin NT, 99–103.</w:t>
      </w:r>
    </w:p>
    <w:p w:rsidR="0060270F" w:rsidRPr="002E5D29" w:rsidRDefault="0060270F" w:rsidP="0060270F">
      <w:pPr>
        <w:pStyle w:val="referencelist1"/>
      </w:pPr>
      <w:proofErr w:type="gramStart"/>
      <w:r w:rsidRPr="002E5D29">
        <w:t>Seiler RL &amp; Wiemels JL 2012.</w:t>
      </w:r>
      <w:proofErr w:type="gramEnd"/>
      <w:r w:rsidRPr="002E5D29">
        <w:t xml:space="preserve"> Occurrence of </w:t>
      </w:r>
      <w:r w:rsidRPr="002E5D29">
        <w:rPr>
          <w:snapToGrid w:val="0"/>
          <w:color w:val="000000"/>
          <w:position w:val="5"/>
          <w:sz w:val="15"/>
          <w:szCs w:val="0"/>
          <w:u w:color="000000"/>
        </w:rPr>
        <w:t>210</w:t>
      </w:r>
      <w:r w:rsidRPr="002E5D29">
        <w:t xml:space="preserve">Po and biological effects of low-level exposure: the need for research. </w:t>
      </w:r>
      <w:r w:rsidRPr="002E5D29">
        <w:rPr>
          <w:i/>
        </w:rPr>
        <w:t>Environmental Health Perspectives</w:t>
      </w:r>
      <w:r w:rsidRPr="002E5D29">
        <w:t xml:space="preserve"> 120(9), 1230–1237.</w:t>
      </w:r>
    </w:p>
    <w:p w:rsidR="0060270F" w:rsidRPr="002E5D29" w:rsidRDefault="0060270F" w:rsidP="0060270F">
      <w:pPr>
        <w:pStyle w:val="referencelist1"/>
      </w:pPr>
      <w:r w:rsidRPr="002E5D29">
        <w:t>Wasson RJ (</w:t>
      </w:r>
      <w:proofErr w:type="gramStart"/>
      <w:r w:rsidRPr="002E5D29">
        <w:t>ed</w:t>
      </w:r>
      <w:proofErr w:type="gramEnd"/>
      <w:r w:rsidRPr="002E5D29">
        <w:t xml:space="preserve">) 1992. </w:t>
      </w:r>
      <w:proofErr w:type="gramStart"/>
      <w:r w:rsidRPr="002E5D29">
        <w:rPr>
          <w:i/>
        </w:rPr>
        <w:t>Modern sedimentation and late Quaternary evolution of the Magela Creek plain</w:t>
      </w:r>
      <w:r w:rsidRPr="002E5D29">
        <w:t>.</w:t>
      </w:r>
      <w:proofErr w:type="gramEnd"/>
      <w:r w:rsidRPr="002E5D29">
        <w:t xml:space="preserve"> </w:t>
      </w:r>
      <w:proofErr w:type="gramStart"/>
      <w:r w:rsidRPr="002E5D29">
        <w:t>Research report 6, Supervising Scientist for the Alligator Rivers Region, AGPS, Canberra.</w:t>
      </w:r>
      <w:proofErr w:type="gramEnd"/>
    </w:p>
    <w:p w:rsidR="0060270F" w:rsidRPr="002E5D29" w:rsidRDefault="0060270F" w:rsidP="0060270F">
      <w:pPr>
        <w:pStyle w:val="referencelist1"/>
      </w:pPr>
      <w:proofErr w:type="gramStart"/>
      <w:r w:rsidRPr="002E5D29">
        <w:t>White L &amp; Gigliotti F 1985.</w:t>
      </w:r>
      <w:proofErr w:type="gramEnd"/>
      <w:r w:rsidRPr="002E5D29">
        <w:t xml:space="preserve"> </w:t>
      </w:r>
      <w:proofErr w:type="gramStart"/>
      <w:r w:rsidRPr="002E5D29">
        <w:rPr>
          <w:i/>
        </w:rPr>
        <w:t>Heavy metal monitoring Alligator River Region uranium province – A compendium of results 1979.</w:t>
      </w:r>
      <w:proofErr w:type="gramEnd"/>
      <w:r w:rsidRPr="002E5D29">
        <w:t xml:space="preserve"> Technical Report 14, Conservation Commission of the Northern Territory, Northern Territory Government, Darwin.</w:t>
      </w:r>
    </w:p>
    <w:p w:rsidR="0060270F" w:rsidRPr="002E5D29" w:rsidRDefault="0060270F" w:rsidP="0060270F">
      <w:pPr>
        <w:pStyle w:val="referencelist1"/>
      </w:pPr>
      <w:proofErr w:type="gramStart"/>
      <w:r w:rsidRPr="002E5D29">
        <w:t>White LA, McLeod PJ &amp; Gigliotti F 1985.</w:t>
      </w:r>
      <w:proofErr w:type="gramEnd"/>
      <w:r w:rsidRPr="002E5D29">
        <w:t xml:space="preserve"> </w:t>
      </w:r>
      <w:proofErr w:type="gramStart"/>
      <w:r w:rsidRPr="002E5D29">
        <w:rPr>
          <w:i/>
        </w:rPr>
        <w:t>Heavy metal monitoring Alligator River Region uranium province – A compendium of results 1980.</w:t>
      </w:r>
      <w:proofErr w:type="gramEnd"/>
      <w:r w:rsidRPr="002E5D29">
        <w:t xml:space="preserve"> Technical Report 16, Conservation Commission of the Northern Territory, Northern Territory Government, Darwin.</w:t>
      </w:r>
    </w:p>
    <w:p w:rsidR="00587AA9" w:rsidRDefault="0060270F" w:rsidP="0060270F">
      <w:pPr>
        <w:pStyle w:val="referencelist1"/>
        <w:sectPr w:rsidR="00587AA9" w:rsidSect="00224F8A">
          <w:pgSz w:w="11906" w:h="16838" w:code="9"/>
          <w:pgMar w:top="1440" w:right="1440" w:bottom="1440" w:left="1440" w:header="1080" w:footer="835" w:gutter="0"/>
          <w:cols w:space="360"/>
          <w:noEndnote/>
          <w:docGrid w:linePitch="299"/>
        </w:sectPr>
      </w:pPr>
      <w:proofErr w:type="gramStart"/>
      <w:r w:rsidRPr="002E5D29">
        <w:t>White LA &amp; McLeod PJ 1985.</w:t>
      </w:r>
      <w:proofErr w:type="gramEnd"/>
      <w:r w:rsidRPr="002E5D29">
        <w:t xml:space="preserve"> </w:t>
      </w:r>
      <w:proofErr w:type="gramStart"/>
      <w:r w:rsidRPr="002E5D29">
        <w:rPr>
          <w:i/>
        </w:rPr>
        <w:t>Heavy metal monitoring Alligator River Region uranium province – A compendium of results 1981.</w:t>
      </w:r>
      <w:proofErr w:type="gramEnd"/>
      <w:r w:rsidRPr="002E5D29">
        <w:t xml:space="preserve"> Technical Report 17, Conservation Commission of the Northern Territory, Northern Territory Government, Darwin.</w:t>
      </w:r>
    </w:p>
    <w:p w:rsidR="009531F8" w:rsidRPr="00DB6C8A" w:rsidRDefault="006B5A61" w:rsidP="009531F8">
      <w:fldSimple w:instr=" ADDIN EN.REFLIST "/>
    </w:p>
    <w:p w:rsidR="006957E7" w:rsidRDefault="006957E7" w:rsidP="004E06F4">
      <w:pPr>
        <w:pStyle w:val="Heading1"/>
      </w:pPr>
      <w:bookmarkStart w:id="259" w:name="_Toc401910201"/>
      <w:bookmarkStart w:id="260" w:name="_Toc409772826"/>
      <w:bookmarkStart w:id="261" w:name="_Toc418172724"/>
      <w:r>
        <w:t xml:space="preserve">A catalogue of traditional plant </w:t>
      </w:r>
      <w:r w:rsidRPr="0061671E">
        <w:t>foods</w:t>
      </w:r>
      <w:r>
        <w:t xml:space="preserve"> in Kakadu National Park</w:t>
      </w:r>
      <w:bookmarkEnd w:id="259"/>
      <w:bookmarkEnd w:id="260"/>
      <w:bookmarkEnd w:id="261"/>
    </w:p>
    <w:p w:rsidR="004E06F4" w:rsidRPr="004E06F4" w:rsidRDefault="00553C3C" w:rsidP="004E06F4">
      <w:pPr>
        <w:pStyle w:val="Heading3"/>
        <w:spacing w:after="480"/>
        <w:jc w:val="center"/>
      </w:pPr>
      <w:r>
        <w:t>G Fox</w:t>
      </w:r>
    </w:p>
    <w:p w:rsidR="006957E7" w:rsidRDefault="006957E7" w:rsidP="00587AA9">
      <w:pPr>
        <w:pStyle w:val="Heading2"/>
      </w:pPr>
      <w:r w:rsidRPr="0061671E">
        <w:t>Introduction</w:t>
      </w:r>
    </w:p>
    <w:p w:rsidR="006957E7" w:rsidRPr="00755814" w:rsidRDefault="006957E7" w:rsidP="006957E7">
      <w:r>
        <w:t>Early studies on bush food types, their culinary preparation and consumption by Aboriginal people were undertaken in Arnhem Land, and include information gathered during an American-Australian Scientific Expedition in 1948 (</w:t>
      </w:r>
      <w:r w:rsidR="007B612B">
        <w:t>Specht 1958, McArthur 1960</w:t>
      </w:r>
      <w:r>
        <w:t>), a study of the use of plants by Aboriginal people in the Oenpelli region (Smyth &amp; von Sturmer 1981) and a b</w:t>
      </w:r>
      <w:r w:rsidRPr="007A3DD8">
        <w:t>ush food study conducted over 12</w:t>
      </w:r>
      <w:r>
        <w:t xml:space="preserve"> </w:t>
      </w:r>
      <w:r w:rsidRPr="007A3DD8">
        <w:t>months at Momega outstation in the Maningrida area</w:t>
      </w:r>
      <w:r>
        <w:t xml:space="preserve"> (Altman 1984). Some information relevant to the bush foods of the local </w:t>
      </w:r>
      <w:r>
        <w:rPr>
          <w:lang w:eastAsia="en-AU"/>
        </w:rPr>
        <w:t>A</w:t>
      </w:r>
      <w:r w:rsidRPr="00E03D69">
        <w:rPr>
          <w:lang w:eastAsia="en-AU"/>
        </w:rPr>
        <w:t xml:space="preserve">boriginal </w:t>
      </w:r>
      <w:r>
        <w:t xml:space="preserve">people of </w:t>
      </w:r>
      <w:r>
        <w:rPr>
          <w:lang w:val="en-US"/>
        </w:rPr>
        <w:t>Kakadu National Park</w:t>
      </w:r>
      <w:r w:rsidR="007B612B">
        <w:rPr>
          <w:lang w:val="en-US"/>
        </w:rPr>
        <w:t xml:space="preserve"> (KNP)</w:t>
      </w:r>
      <w:r>
        <w:t xml:space="preserve"> is also available</w:t>
      </w:r>
      <w:r w:rsidRPr="000622A0">
        <w:t xml:space="preserve"> </w:t>
      </w:r>
      <w:r>
        <w:t xml:space="preserve">in two unpublished </w:t>
      </w:r>
      <w:proofErr w:type="gramStart"/>
      <w:r>
        <w:t>reports .</w:t>
      </w:r>
      <w:proofErr w:type="gramEnd"/>
      <w:r>
        <w:t xml:space="preserve"> </w:t>
      </w:r>
      <w:r>
        <w:rPr>
          <w:lang w:eastAsia="en-AU"/>
        </w:rPr>
        <w:t xml:space="preserve">These reports </w:t>
      </w:r>
      <w:r w:rsidRPr="00C1289A">
        <w:rPr>
          <w:lang w:eastAsia="en-AU"/>
        </w:rPr>
        <w:t xml:space="preserve">include descriptions of </w:t>
      </w:r>
      <w:r>
        <w:rPr>
          <w:lang w:eastAsia="en-AU"/>
        </w:rPr>
        <w:t xml:space="preserve">a broad range of plants and their different uses by the Gundjeihmi people, including food, medicine, tools and implements, and cultural and spiritual purposes. Thus, </w:t>
      </w:r>
      <w:r w:rsidRPr="004715C8">
        <w:t xml:space="preserve">Chaloupka </w:t>
      </w:r>
      <w:r>
        <w:t>&amp;</w:t>
      </w:r>
      <w:r w:rsidRPr="004715C8">
        <w:t xml:space="preserve"> Giuliani </w:t>
      </w:r>
      <w:r>
        <w:t>(</w:t>
      </w:r>
      <w:r w:rsidRPr="004715C8">
        <w:t>1984</w:t>
      </w:r>
      <w:r>
        <w:t xml:space="preserve">) identified 111 </w:t>
      </w:r>
      <w:r>
        <w:rPr>
          <w:lang w:eastAsia="en-AU"/>
        </w:rPr>
        <w:t xml:space="preserve">species of </w:t>
      </w:r>
      <w:r>
        <w:t xml:space="preserve">plants as food resources for the local Aboriginal community, while </w:t>
      </w:r>
      <w:r w:rsidRPr="00FC4614">
        <w:rPr>
          <w:lang w:eastAsia="en-AU"/>
        </w:rPr>
        <w:t xml:space="preserve">Lucas </w:t>
      </w:r>
      <w:r>
        <w:rPr>
          <w:lang w:eastAsia="en-AU"/>
        </w:rPr>
        <w:t>&amp;</w:t>
      </w:r>
      <w:r w:rsidRPr="00FC4614">
        <w:rPr>
          <w:lang w:eastAsia="en-AU"/>
        </w:rPr>
        <w:t xml:space="preserve"> Russell-Smith </w:t>
      </w:r>
      <w:r>
        <w:rPr>
          <w:lang w:eastAsia="en-AU"/>
        </w:rPr>
        <w:t>(</w:t>
      </w:r>
      <w:r w:rsidRPr="00FC4614">
        <w:rPr>
          <w:lang w:eastAsia="en-AU"/>
        </w:rPr>
        <w:t>1993</w:t>
      </w:r>
      <w:r>
        <w:rPr>
          <w:lang w:eastAsia="en-AU"/>
        </w:rPr>
        <w:t>) identified 127 species.</w:t>
      </w:r>
      <w:r w:rsidRPr="002D2D55">
        <w:t xml:space="preserve"> </w:t>
      </w:r>
      <w:r w:rsidRPr="00755814">
        <w:t>A combined total 147 edible plant species were identified from both reports</w:t>
      </w:r>
      <w:r>
        <w:t>, together with other valuable information about usage, collection and preparation</w:t>
      </w:r>
      <w:r w:rsidRPr="00755814">
        <w:t>.</w:t>
      </w:r>
    </w:p>
    <w:p w:rsidR="006957E7" w:rsidRDefault="006957E7" w:rsidP="006957E7">
      <w:pPr>
        <w:rPr>
          <w:lang w:eastAsia="en-AU"/>
        </w:rPr>
      </w:pPr>
      <w:r w:rsidRPr="00E03D69">
        <w:rPr>
          <w:lang w:eastAsia="en-AU"/>
        </w:rPr>
        <w:t xml:space="preserve">In order to capture all current knowledge pertaining to the traditional plant food usage of the local </w:t>
      </w:r>
      <w:r>
        <w:rPr>
          <w:lang w:eastAsia="en-AU"/>
        </w:rPr>
        <w:t>A</w:t>
      </w:r>
      <w:r w:rsidRPr="00E03D69">
        <w:rPr>
          <w:lang w:eastAsia="en-AU"/>
        </w:rPr>
        <w:t>boriginal people of Kakadu National Park</w:t>
      </w:r>
      <w:r>
        <w:rPr>
          <w:lang w:eastAsia="en-AU"/>
        </w:rPr>
        <w:t>,</w:t>
      </w:r>
      <w:r w:rsidRPr="00E03D69">
        <w:rPr>
          <w:lang w:eastAsia="en-AU"/>
        </w:rPr>
        <w:t xml:space="preserve"> and to collate this knowledge in a single report</w:t>
      </w:r>
      <w:r>
        <w:rPr>
          <w:lang w:eastAsia="en-AU"/>
        </w:rPr>
        <w:t>,</w:t>
      </w:r>
      <w:r w:rsidRPr="00E03D69">
        <w:rPr>
          <w:lang w:eastAsia="en-AU"/>
        </w:rPr>
        <w:t xml:space="preserve"> </w:t>
      </w:r>
      <w:r>
        <w:rPr>
          <w:lang w:eastAsia="en-AU"/>
        </w:rPr>
        <w:t xml:space="preserve">a project to catalogue the 147 identified plant foods was </w:t>
      </w:r>
      <w:r w:rsidR="009C102F">
        <w:rPr>
          <w:lang w:eastAsia="en-AU"/>
        </w:rPr>
        <w:t>initiated</w:t>
      </w:r>
      <w:r>
        <w:rPr>
          <w:lang w:eastAsia="en-AU"/>
        </w:rPr>
        <w:t>. The gathered information has been used for selection of representative organisms required for a radiation dose assessment of</w:t>
      </w:r>
      <w:r w:rsidR="00146279">
        <w:rPr>
          <w:lang w:eastAsia="en-AU"/>
        </w:rPr>
        <w:t xml:space="preserve"> the environment (Doering et al.</w:t>
      </w:r>
      <w:r>
        <w:rPr>
          <w:lang w:eastAsia="en-AU"/>
        </w:rPr>
        <w:t xml:space="preserve"> this report) and will be included as metadata in the BRUCE tool, through links to the description sheets for individual plant species.</w:t>
      </w:r>
    </w:p>
    <w:p w:rsidR="006957E7" w:rsidRDefault="006957E7" w:rsidP="006957E7">
      <w:r>
        <w:rPr>
          <w:lang w:eastAsia="en-AU"/>
        </w:rPr>
        <w:t>The catalogue will be an e</w:t>
      </w:r>
      <w:r>
        <w:t xml:space="preserve">asy-to-use resource for field </w:t>
      </w:r>
      <w:proofErr w:type="gramStart"/>
      <w:r>
        <w:t>identification  of</w:t>
      </w:r>
      <w:proofErr w:type="gramEnd"/>
      <w:r>
        <w:t xml:space="preserve"> specimens required for analysis and, as a further aid, a photo database will also be created of the complete 147 identified plant foods. The </w:t>
      </w:r>
      <w:r>
        <w:rPr>
          <w:lang w:eastAsia="en-AU"/>
        </w:rPr>
        <w:t xml:space="preserve">catalogue </w:t>
      </w:r>
      <w:r>
        <w:t xml:space="preserve">will be used as a tool to effectively communicate with local aboriginal people about those foods which have been collected and analysed, and those </w:t>
      </w:r>
      <w:r w:rsidRPr="00DE7241">
        <w:t>viewed by Aboriginal people</w:t>
      </w:r>
      <w:r w:rsidRPr="00DE7241" w:rsidDel="00DE7241">
        <w:t xml:space="preserve"> </w:t>
      </w:r>
      <w:r>
        <w:t>still needed for analysis.</w:t>
      </w:r>
    </w:p>
    <w:p w:rsidR="006957E7" w:rsidRDefault="006957E7" w:rsidP="00587AA9">
      <w:pPr>
        <w:pStyle w:val="Heading2"/>
      </w:pPr>
      <w:r>
        <w:t>Methodology</w:t>
      </w:r>
    </w:p>
    <w:p w:rsidR="006957E7" w:rsidRDefault="006957E7" w:rsidP="006957E7">
      <w:r>
        <w:t>The descriptions of each plant species are treated in two parts:</w:t>
      </w:r>
    </w:p>
    <w:p w:rsidR="006957E7" w:rsidRDefault="006957E7" w:rsidP="006957E7">
      <w:r w:rsidRPr="00C94E41">
        <w:rPr>
          <w:b/>
        </w:rPr>
        <w:t>Aboriginal knowledge:</w:t>
      </w:r>
      <w:r>
        <w:t xml:space="preserve"> Information was mostly taken from </w:t>
      </w:r>
      <w:r w:rsidRPr="004715C8">
        <w:t xml:space="preserve">Chaloupka </w:t>
      </w:r>
      <w:r>
        <w:t>&amp;</w:t>
      </w:r>
      <w:r w:rsidRPr="004715C8">
        <w:t xml:space="preserve"> Giuliani </w:t>
      </w:r>
      <w:r>
        <w:t>(</w:t>
      </w:r>
      <w:r w:rsidRPr="004715C8">
        <w:t>1984</w:t>
      </w:r>
      <w:r>
        <w:t xml:space="preserve">) and </w:t>
      </w:r>
      <w:r w:rsidRPr="00FC4614">
        <w:rPr>
          <w:lang w:eastAsia="en-AU"/>
        </w:rPr>
        <w:t xml:space="preserve">Lucas </w:t>
      </w:r>
      <w:r>
        <w:rPr>
          <w:lang w:eastAsia="en-AU"/>
        </w:rPr>
        <w:t>&amp;</w:t>
      </w:r>
      <w:r w:rsidRPr="00FC4614">
        <w:rPr>
          <w:lang w:eastAsia="en-AU"/>
        </w:rPr>
        <w:t xml:space="preserve"> Russell-Smith </w:t>
      </w:r>
      <w:r>
        <w:rPr>
          <w:lang w:eastAsia="en-AU"/>
        </w:rPr>
        <w:t>(</w:t>
      </w:r>
      <w:r w:rsidRPr="00FC4614">
        <w:rPr>
          <w:lang w:eastAsia="en-AU"/>
        </w:rPr>
        <w:t>1993</w:t>
      </w:r>
      <w:r>
        <w:rPr>
          <w:lang w:eastAsia="en-AU"/>
        </w:rPr>
        <w:t>). W</w:t>
      </w:r>
      <w:r>
        <w:t>here information was lacking or scarce, additional information was obtained from other reports (</w:t>
      </w:r>
      <w:r w:rsidR="007B612B">
        <w:t>Blake et al. 1998</w:t>
      </w:r>
      <w:r w:rsidR="007B612B" w:rsidRPr="007B612B">
        <w:rPr>
          <w:color w:val="000000" w:themeColor="text1"/>
        </w:rPr>
        <w:t xml:space="preserve"> </w:t>
      </w:r>
      <w:r w:rsidR="007B612B">
        <w:rPr>
          <w:color w:val="000000" w:themeColor="text1"/>
        </w:rPr>
        <w:t>McArthur</w:t>
      </w:r>
      <w:r w:rsidR="007B612B" w:rsidRPr="000B284B">
        <w:rPr>
          <w:color w:val="000000" w:themeColor="text1"/>
        </w:rPr>
        <w:t xml:space="preserve"> 1960</w:t>
      </w:r>
      <w:r w:rsidR="007B612B">
        <w:rPr>
          <w:color w:val="000000" w:themeColor="text1"/>
        </w:rPr>
        <w:t xml:space="preserve">, </w:t>
      </w:r>
      <w:r>
        <w:rPr>
          <w:lang w:eastAsia="en-AU"/>
        </w:rPr>
        <w:t>Specht</w:t>
      </w:r>
      <w:r w:rsidRPr="00FC4614">
        <w:rPr>
          <w:lang w:eastAsia="en-AU"/>
        </w:rPr>
        <w:t xml:space="preserve"> 195</w:t>
      </w:r>
      <w:r w:rsidR="007B612B">
        <w:rPr>
          <w:lang w:eastAsia="en-AU"/>
        </w:rPr>
        <w:t xml:space="preserve">8, </w:t>
      </w:r>
      <w:r w:rsidRPr="00FC4614">
        <w:rPr>
          <w:lang w:eastAsia="en-AU"/>
        </w:rPr>
        <w:t>Wiynjorrotj</w:t>
      </w:r>
      <w:r>
        <w:rPr>
          <w:lang w:eastAsia="en-AU"/>
        </w:rPr>
        <w:t xml:space="preserve"> et.al</w:t>
      </w:r>
      <w:r w:rsidR="00F93BDC">
        <w:rPr>
          <w:lang w:eastAsia="en-AU"/>
        </w:rPr>
        <w:t>.</w:t>
      </w:r>
      <w:r>
        <w:rPr>
          <w:lang w:eastAsia="en-AU"/>
        </w:rPr>
        <w:t xml:space="preserve"> 2005)</w:t>
      </w:r>
      <w:r>
        <w:t xml:space="preserve">. It should be noted that knowledge may vary slightly between different Aboriginal groups, so information was restricted to just those Aboriginal groups adjacent to KNP, i.e. Iwaidja from Cobourg Peninsula, </w:t>
      </w:r>
      <w:r w:rsidR="00672FCB" w:rsidRPr="00672FCB">
        <w:t>Kunwinjku</w:t>
      </w:r>
      <w:r>
        <w:t xml:space="preserve"> from Arnhem Land and Jawoyn from southern areas of KNP and Katherine. Aboriginal names are in </w:t>
      </w:r>
      <w:r w:rsidR="007B612B">
        <w:t xml:space="preserve">the </w:t>
      </w:r>
      <w:r>
        <w:t>Gundjeihmi language, the most commonly-used language in the KNP area. Photos of the plant parts eaten, food importance, food preparation, season that the plant is eaten, together with any pertinent information about collection of the plants, are catalogued.</w:t>
      </w:r>
    </w:p>
    <w:p w:rsidR="006957E7" w:rsidRDefault="006957E7" w:rsidP="006957E7">
      <w:r w:rsidRPr="00C94E41">
        <w:rPr>
          <w:b/>
        </w:rPr>
        <w:t>Botanical knowledge:</w:t>
      </w:r>
      <w:r>
        <w:t xml:space="preserve"> Information was taken from a variety of (referenced) sources and is presented in plain language to enable the non-botanist to identify each plant species with reasonable accuracy</w:t>
      </w:r>
      <w:r w:rsidR="007B612B">
        <w:t>.</w:t>
      </w:r>
      <w:r>
        <w:t xml:space="preserve"> Information presented inclu</w:t>
      </w:r>
      <w:r w:rsidR="007B612B">
        <w:t>des; h</w:t>
      </w:r>
      <w:r>
        <w:t>abit, bark, leaves, flowers, fruit, flowering and fruiting phenology and habitat.</w:t>
      </w:r>
    </w:p>
    <w:p w:rsidR="006957E7" w:rsidRDefault="006957E7" w:rsidP="007A03F3">
      <w:pPr>
        <w:pStyle w:val="Heading2"/>
        <w:spacing w:before="120" w:after="0"/>
      </w:pPr>
      <w:r>
        <w:t>Results</w:t>
      </w:r>
    </w:p>
    <w:p w:rsidR="006957E7" w:rsidRDefault="006957E7" w:rsidP="007A03F3">
      <w:pPr>
        <w:spacing w:after="0"/>
      </w:pPr>
      <w:r>
        <w:t xml:space="preserve">At this stage, 127 of the 147 </w:t>
      </w:r>
      <w:r w:rsidRPr="00755814">
        <w:t xml:space="preserve">edible plant species </w:t>
      </w:r>
      <w:r>
        <w:t>have been photographed and catalogued, with preliminary descript</w:t>
      </w:r>
      <w:r w:rsidR="009A1867">
        <w:t xml:space="preserve">ion sheets </w:t>
      </w:r>
      <w:r>
        <w:t>for most of these species prepared. It is planned to continue the photography and description of the remaining species in the coming months; most of these species typically produce edible fruits or vegetative parts late into the ‘build up’ and wet season. Examples of how the information may ultimately be presented are provided in the following pages.</w:t>
      </w:r>
    </w:p>
    <w:p w:rsidR="009A1867" w:rsidRPr="00682391" w:rsidRDefault="009A1867" w:rsidP="009A1867">
      <w:pPr>
        <w:spacing w:after="0" w:line="240" w:lineRule="auto"/>
        <w:jc w:val="center"/>
        <w:rPr>
          <w:rFonts w:eastAsiaTheme="minorHAnsi"/>
          <w:b/>
          <w:i/>
          <w:sz w:val="36"/>
          <w:szCs w:val="36"/>
        </w:rPr>
      </w:pPr>
      <w:r w:rsidRPr="00682391">
        <w:rPr>
          <w:rFonts w:eastAsiaTheme="minorHAnsi"/>
          <w:b/>
          <w:i/>
          <w:sz w:val="36"/>
          <w:szCs w:val="36"/>
        </w:rPr>
        <w:t>Cartonema parviflorum</w:t>
      </w:r>
    </w:p>
    <w:p w:rsidR="009A1867" w:rsidRPr="007A03F3" w:rsidRDefault="009A1867" w:rsidP="009A1867">
      <w:pPr>
        <w:spacing w:after="0" w:line="240" w:lineRule="auto"/>
        <w:jc w:val="center"/>
        <w:rPr>
          <w:rFonts w:eastAsiaTheme="minorHAnsi"/>
          <w:b/>
          <w:i/>
          <w:sz w:val="28"/>
          <w:szCs w:val="28"/>
        </w:rPr>
      </w:pPr>
      <w:proofErr w:type="gramStart"/>
      <w:r w:rsidRPr="007A03F3">
        <w:rPr>
          <w:rFonts w:ascii="Arial" w:eastAsiaTheme="minorHAnsi" w:hAnsi="Arial" w:cs="Arial"/>
          <w:b/>
          <w:sz w:val="28"/>
          <w:szCs w:val="28"/>
        </w:rPr>
        <w:t>anmarridjak</w:t>
      </w:r>
      <w:proofErr w:type="gramEnd"/>
    </w:p>
    <w:p w:rsidR="006957E7" w:rsidRPr="00682391" w:rsidRDefault="006957E7" w:rsidP="007B612B">
      <w:pPr>
        <w:spacing w:after="0" w:line="240" w:lineRule="auto"/>
        <w:jc w:val="left"/>
        <w:rPr>
          <w:rFonts w:ascii="Arial" w:eastAsiaTheme="minorHAnsi" w:hAnsi="Arial" w:cs="Arial"/>
          <w:b/>
          <w:bCs/>
          <w:iCs/>
          <w:kern w:val="36"/>
          <w:szCs w:val="24"/>
          <w:lang w:eastAsia="en-AU"/>
        </w:rPr>
      </w:pPr>
      <w:r w:rsidRPr="00682391">
        <w:rPr>
          <w:rFonts w:ascii="Arial" w:eastAsiaTheme="minorHAnsi" w:hAnsi="Arial" w:cs="Arial"/>
          <w:b/>
          <w:bCs/>
          <w:iCs/>
          <w:kern w:val="36"/>
          <w:szCs w:val="24"/>
          <w:lang w:eastAsia="en-AU"/>
        </w:rPr>
        <w:t>HERB</w:t>
      </w:r>
    </w:p>
    <w:tbl>
      <w:tblPr>
        <w:tblW w:w="0" w:type="auto"/>
        <w:jc w:val="center"/>
        <w:tblLook w:val="04A0"/>
      </w:tblPr>
      <w:tblGrid>
        <w:gridCol w:w="4490"/>
        <w:gridCol w:w="4417"/>
      </w:tblGrid>
      <w:tr w:rsidR="006957E7" w:rsidRPr="00682391" w:rsidTr="00224F8A">
        <w:trPr>
          <w:jc w:val="center"/>
        </w:trPr>
        <w:tc>
          <w:tcPr>
            <w:tcW w:w="4490" w:type="dxa"/>
          </w:tcPr>
          <w:p w:rsidR="006957E7" w:rsidRPr="00F93BDC" w:rsidRDefault="006957E7" w:rsidP="00224F8A">
            <w:pPr>
              <w:spacing w:after="0" w:line="240" w:lineRule="auto"/>
              <w:jc w:val="center"/>
              <w:rPr>
                <w:rFonts w:asciiTheme="minorHAnsi" w:hAnsiTheme="minorHAnsi"/>
                <w:b/>
              </w:rPr>
            </w:pPr>
            <w:r w:rsidRPr="00F93BDC">
              <w:rPr>
                <w:rFonts w:asciiTheme="minorHAnsi" w:hAnsiTheme="minorHAnsi"/>
                <w:b/>
                <w:noProof/>
                <w:lang w:eastAsia="en-AU"/>
              </w:rPr>
              <w:drawing>
                <wp:inline distT="0" distB="0" distL="0" distR="0">
                  <wp:extent cx="2413387" cy="2047875"/>
                  <wp:effectExtent l="19050" t="0" r="5963" b="0"/>
                  <wp:docPr id="2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rtonema parvifolium yam 6.jpg"/>
                          <pic:cNvPicPr/>
                        </pic:nvPicPr>
                        <pic:blipFill>
                          <a:blip r:embed="rId225" cstate="screen">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417179" cy="2051093"/>
                          </a:xfrm>
                          <a:prstGeom prst="rect">
                            <a:avLst/>
                          </a:prstGeom>
                        </pic:spPr>
                      </pic:pic>
                    </a:graphicData>
                  </a:graphic>
                </wp:inline>
              </w:drawing>
            </w:r>
          </w:p>
          <w:p w:rsidR="006957E7" w:rsidRPr="00F93BDC" w:rsidRDefault="006957E7" w:rsidP="00224F8A">
            <w:pPr>
              <w:spacing w:after="0" w:line="240" w:lineRule="auto"/>
              <w:jc w:val="center"/>
              <w:rPr>
                <w:rFonts w:ascii="Arial" w:hAnsi="Arial" w:cs="Arial"/>
                <w:b/>
                <w:sz w:val="18"/>
                <w:szCs w:val="18"/>
              </w:rPr>
            </w:pPr>
            <w:r w:rsidRPr="00F93BDC">
              <w:rPr>
                <w:rFonts w:ascii="Arial" w:hAnsi="Arial" w:cs="Arial"/>
                <w:b/>
                <w:sz w:val="18"/>
                <w:szCs w:val="18"/>
              </w:rPr>
              <w:t>Tubers form at base of stem</w:t>
            </w:r>
          </w:p>
        </w:tc>
        <w:tc>
          <w:tcPr>
            <w:tcW w:w="4417" w:type="dxa"/>
          </w:tcPr>
          <w:p w:rsidR="006957E7" w:rsidRPr="00F93BDC" w:rsidRDefault="006957E7" w:rsidP="00224F8A">
            <w:pPr>
              <w:spacing w:after="0" w:line="240" w:lineRule="auto"/>
              <w:jc w:val="center"/>
              <w:rPr>
                <w:rFonts w:asciiTheme="minorHAnsi" w:hAnsiTheme="minorHAnsi"/>
                <w:b/>
              </w:rPr>
            </w:pPr>
            <w:r w:rsidRPr="00F93BDC">
              <w:rPr>
                <w:rFonts w:asciiTheme="minorHAnsi" w:hAnsiTheme="minorHAnsi"/>
                <w:b/>
                <w:noProof/>
                <w:lang w:eastAsia="en-AU"/>
              </w:rPr>
              <w:drawing>
                <wp:inline distT="0" distB="0" distL="0" distR="0">
                  <wp:extent cx="2381250" cy="2062820"/>
                  <wp:effectExtent l="19050" t="0" r="0" b="0"/>
                  <wp:docPr id="29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rtonema parvifolium yam 1.jpg"/>
                          <pic:cNvPicPr/>
                        </pic:nvPicPr>
                        <pic:blipFill>
                          <a:blip r:embed="rId226" cstate="screen">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392098" cy="2072218"/>
                          </a:xfrm>
                          <a:prstGeom prst="rect">
                            <a:avLst/>
                          </a:prstGeom>
                        </pic:spPr>
                      </pic:pic>
                    </a:graphicData>
                  </a:graphic>
                </wp:inline>
              </w:drawing>
            </w:r>
          </w:p>
          <w:p w:rsidR="006957E7" w:rsidRPr="00F93BDC" w:rsidRDefault="006957E7" w:rsidP="00224F8A">
            <w:pPr>
              <w:spacing w:after="0" w:line="240" w:lineRule="auto"/>
              <w:jc w:val="center"/>
              <w:rPr>
                <w:rFonts w:ascii="Arial" w:hAnsi="Arial" w:cs="Arial"/>
                <w:b/>
                <w:sz w:val="18"/>
                <w:szCs w:val="18"/>
              </w:rPr>
            </w:pPr>
            <w:r w:rsidRPr="00F93BDC">
              <w:rPr>
                <w:rFonts w:ascii="Arial" w:hAnsi="Arial" w:cs="Arial"/>
                <w:b/>
                <w:sz w:val="18"/>
                <w:szCs w:val="18"/>
              </w:rPr>
              <w:t>Small tubers to 1.2 cm diameter</w:t>
            </w:r>
          </w:p>
        </w:tc>
      </w:tr>
    </w:tbl>
    <w:p w:rsidR="006957E7" w:rsidRPr="00D7716A" w:rsidRDefault="006957E7" w:rsidP="007A03F3">
      <w:pPr>
        <w:spacing w:before="120" w:after="0" w:line="240" w:lineRule="auto"/>
        <w:rPr>
          <w:rFonts w:ascii="Arial" w:eastAsiaTheme="minorHAnsi" w:hAnsi="Arial" w:cs="Arial"/>
          <w:b/>
          <w:bCs/>
          <w:iCs/>
          <w:color w:val="000000" w:themeColor="text1"/>
          <w:kern w:val="36"/>
          <w:sz w:val="20"/>
        </w:rPr>
      </w:pPr>
      <w:r w:rsidRPr="00D7716A">
        <w:rPr>
          <w:rFonts w:ascii="Arial" w:eastAsiaTheme="minorHAnsi" w:hAnsi="Arial" w:cs="Arial"/>
          <w:b/>
          <w:bCs/>
          <w:iCs/>
          <w:color w:val="000000" w:themeColor="text1"/>
          <w:kern w:val="36"/>
          <w:sz w:val="20"/>
        </w:rPr>
        <w:t>YAM:</w:t>
      </w:r>
      <w:r w:rsidRPr="00D7716A">
        <w:rPr>
          <w:rFonts w:ascii="Arial" w:eastAsiaTheme="minorHAnsi" w:hAnsi="Arial" w:cs="Arial"/>
          <w:b/>
          <w:sz w:val="20"/>
        </w:rPr>
        <w:t xml:space="preserve"> </w:t>
      </w:r>
      <w:r w:rsidRPr="00D7716A">
        <w:rPr>
          <w:rFonts w:ascii="Arial" w:eastAsiaTheme="minorHAnsi" w:hAnsi="Arial" w:cs="Arial"/>
          <w:b/>
          <w:color w:val="0070C0"/>
          <w:sz w:val="20"/>
        </w:rPr>
        <w:t>Important Food.</w:t>
      </w:r>
      <w:r w:rsidRPr="00D7716A">
        <w:rPr>
          <w:rFonts w:ascii="Arial" w:eastAsiaTheme="minorHAnsi" w:hAnsi="Arial" w:cs="Arial"/>
          <w:sz w:val="20"/>
        </w:rPr>
        <w:t xml:space="preserve"> </w:t>
      </w:r>
      <w:proofErr w:type="gramStart"/>
      <w:r w:rsidR="007B612B">
        <w:rPr>
          <w:rFonts w:ascii="Arial" w:eastAsiaTheme="minorHAnsi" w:hAnsi="Arial" w:cs="Arial"/>
          <w:bCs/>
          <w:iCs/>
          <w:color w:val="000000" w:themeColor="text1"/>
          <w:kern w:val="36"/>
          <w:sz w:val="20"/>
        </w:rPr>
        <w:t>Gudjeuk - Banggerreng</w:t>
      </w:r>
      <w:r w:rsidRPr="00D7716A">
        <w:rPr>
          <w:rFonts w:ascii="Arial" w:eastAsiaTheme="minorHAnsi" w:hAnsi="Arial" w:cs="Arial"/>
          <w:bCs/>
          <w:iCs/>
          <w:color w:val="000000" w:themeColor="text1"/>
          <w:kern w:val="36"/>
          <w:sz w:val="20"/>
        </w:rPr>
        <w:t xml:space="preserve"> (Jan</w:t>
      </w:r>
      <w:r w:rsidR="007B612B">
        <w:rPr>
          <w:rFonts w:ascii="Arial" w:eastAsiaTheme="minorHAnsi" w:hAnsi="Arial" w:cs="Arial"/>
          <w:bCs/>
          <w:iCs/>
          <w:color w:val="000000" w:themeColor="text1"/>
          <w:kern w:val="36"/>
          <w:sz w:val="20"/>
        </w:rPr>
        <w:t>uary</w:t>
      </w:r>
      <w:r w:rsidRPr="00D7716A">
        <w:rPr>
          <w:rFonts w:ascii="Arial" w:eastAsiaTheme="minorHAnsi" w:hAnsi="Arial" w:cs="Arial"/>
          <w:bCs/>
          <w:iCs/>
          <w:color w:val="000000" w:themeColor="text1"/>
          <w:kern w:val="36"/>
          <w:sz w:val="20"/>
        </w:rPr>
        <w:t xml:space="preserve"> – Apr</w:t>
      </w:r>
      <w:r w:rsidR="007B612B">
        <w:rPr>
          <w:rFonts w:ascii="Arial" w:eastAsiaTheme="minorHAnsi" w:hAnsi="Arial" w:cs="Arial"/>
          <w:bCs/>
          <w:iCs/>
          <w:color w:val="000000" w:themeColor="text1"/>
          <w:kern w:val="36"/>
          <w:sz w:val="20"/>
        </w:rPr>
        <w:t>il</w:t>
      </w:r>
      <w:r w:rsidRPr="00D7716A">
        <w:rPr>
          <w:rFonts w:ascii="Arial" w:eastAsiaTheme="minorHAnsi" w:hAnsi="Arial" w:cs="Arial"/>
          <w:bCs/>
          <w:iCs/>
          <w:color w:val="000000" w:themeColor="text1"/>
          <w:kern w:val="36"/>
          <w:sz w:val="20"/>
        </w:rPr>
        <w:t>)</w:t>
      </w:r>
      <w:r w:rsidR="007B612B">
        <w:rPr>
          <w:rFonts w:ascii="Arial" w:eastAsiaTheme="minorHAnsi" w:hAnsi="Arial" w:cs="Arial"/>
          <w:bCs/>
          <w:iCs/>
          <w:color w:val="000000" w:themeColor="text1"/>
          <w:kern w:val="36"/>
          <w:sz w:val="20"/>
        </w:rPr>
        <w:t>.</w:t>
      </w:r>
      <w:proofErr w:type="gramEnd"/>
    </w:p>
    <w:p w:rsidR="006957E7" w:rsidRPr="0025324E" w:rsidRDefault="006957E7" w:rsidP="007A03F3">
      <w:pPr>
        <w:spacing w:after="0"/>
        <w:rPr>
          <w:rFonts w:ascii="Arial" w:eastAsiaTheme="minorHAnsi" w:hAnsi="Arial"/>
          <w:sz w:val="20"/>
        </w:rPr>
      </w:pPr>
      <w:r w:rsidRPr="0025324E">
        <w:rPr>
          <w:rFonts w:ascii="Arial" w:eastAsiaTheme="minorHAnsi" w:hAnsi="Arial" w:cs="Arial"/>
          <w:sz w:val="20"/>
        </w:rPr>
        <w:t>Small underground corms are roasted briefly on hot coals. F</w:t>
      </w:r>
      <w:r w:rsidRPr="0025324E">
        <w:rPr>
          <w:rFonts w:ascii="Arial" w:eastAsiaTheme="minorHAnsi" w:hAnsi="Arial"/>
          <w:sz w:val="20"/>
        </w:rPr>
        <w:t>resh corms have a strong spicy smell and many are necessary to provide a good meal. Bags of them are collected to be consumed during ceremonies.</w:t>
      </w:r>
    </w:p>
    <w:p w:rsidR="006957E7" w:rsidRPr="00724C5A" w:rsidRDefault="006957E7" w:rsidP="004E06F4">
      <w:pPr>
        <w:spacing w:after="0"/>
        <w:rPr>
          <w:rFonts w:ascii="Arial" w:eastAsiaTheme="minorHAnsi" w:hAnsi="Arial" w:cs="Arial"/>
          <w:sz w:val="20"/>
        </w:rPr>
      </w:pPr>
      <w:r w:rsidRPr="00724C5A">
        <w:rPr>
          <w:rFonts w:ascii="Arial" w:eastAsiaTheme="minorHAnsi" w:hAnsi="Arial" w:cs="Arial"/>
          <w:b/>
          <w:sz w:val="20"/>
        </w:rPr>
        <w:t>Habitat:</w:t>
      </w:r>
      <w:r w:rsidRPr="00724C5A">
        <w:rPr>
          <w:rFonts w:ascii="Arial" w:eastAsiaTheme="minorHAnsi" w:hAnsi="Arial" w:cs="Arial"/>
          <w:sz w:val="20"/>
        </w:rPr>
        <w:t xml:space="preserve"> Lowland Woodland, Sandstone Woodland.</w:t>
      </w:r>
    </w:p>
    <w:p w:rsidR="006957E7" w:rsidRPr="00D7716A" w:rsidRDefault="006957E7" w:rsidP="004E06F4">
      <w:pPr>
        <w:spacing w:after="0" w:line="240" w:lineRule="auto"/>
        <w:rPr>
          <w:rFonts w:ascii="Arial" w:eastAsiaTheme="minorHAnsi" w:hAnsi="Arial" w:cs="Arial"/>
          <w:sz w:val="16"/>
          <w:szCs w:val="16"/>
        </w:rPr>
      </w:pPr>
      <w:proofErr w:type="gramStart"/>
      <w:r w:rsidRPr="00D7716A">
        <w:rPr>
          <w:rFonts w:ascii="Arial" w:hAnsi="Arial" w:cs="Arial"/>
          <w:b/>
          <w:color w:val="000000" w:themeColor="text1"/>
          <w:sz w:val="16"/>
          <w:szCs w:val="16"/>
          <w:lang w:eastAsia="en-AU"/>
        </w:rPr>
        <w:t>Sources of Information</w:t>
      </w:r>
      <w:r w:rsidRPr="00D7716A">
        <w:rPr>
          <w:rFonts w:ascii="Arial" w:hAnsi="Arial" w:cs="Arial"/>
          <w:sz w:val="16"/>
          <w:szCs w:val="16"/>
          <w:lang w:eastAsia="en-AU"/>
        </w:rPr>
        <w:t>.</w:t>
      </w:r>
      <w:proofErr w:type="gramEnd"/>
      <w:r w:rsidRPr="00D7716A">
        <w:rPr>
          <w:rFonts w:ascii="Arial" w:hAnsi="Arial" w:cs="Arial"/>
          <w:sz w:val="16"/>
          <w:szCs w:val="16"/>
          <w:lang w:eastAsia="en-AU"/>
        </w:rPr>
        <w:t xml:space="preserve"> </w:t>
      </w:r>
      <w:proofErr w:type="gramStart"/>
      <w:r w:rsidRPr="00D7716A">
        <w:rPr>
          <w:rFonts w:ascii="Arial" w:eastAsiaTheme="minorHAnsi" w:hAnsi="Arial" w:cs="Arial"/>
          <w:sz w:val="16"/>
          <w:szCs w:val="16"/>
        </w:rPr>
        <w:t>Chaloupka &amp; Giuliani 1984, Lucas &amp; Russell-Smith 1993.</w:t>
      </w:r>
      <w:proofErr w:type="gramEnd"/>
    </w:p>
    <w:p w:rsidR="006957E7" w:rsidRPr="00E70BC9" w:rsidRDefault="006957E7" w:rsidP="007A03F3">
      <w:pPr>
        <w:spacing w:after="0" w:line="240" w:lineRule="auto"/>
        <w:rPr>
          <w:rFonts w:ascii="Arial" w:eastAsiaTheme="minorHAnsi" w:hAnsi="Arial" w:cs="Arial"/>
          <w:b/>
          <w:i/>
          <w:szCs w:val="24"/>
        </w:rPr>
      </w:pPr>
      <w:r w:rsidRPr="00E70BC9">
        <w:rPr>
          <w:rFonts w:ascii="Arial" w:hAnsi="Arial" w:cs="Arial"/>
          <w:b/>
          <w:i/>
          <w:szCs w:val="24"/>
          <w:lang w:eastAsia="en-AU"/>
        </w:rPr>
        <w:t xml:space="preserve">Cartonema </w:t>
      </w:r>
      <w:r w:rsidRPr="00E70BC9">
        <w:rPr>
          <w:rFonts w:ascii="Arial" w:eastAsiaTheme="minorHAnsi" w:hAnsi="Arial" w:cs="Arial"/>
          <w:b/>
          <w:i/>
          <w:szCs w:val="24"/>
        </w:rPr>
        <w:t>parviflorum</w:t>
      </w:r>
    </w:p>
    <w:tbl>
      <w:tblPr>
        <w:tblpPr w:leftFromText="180" w:rightFromText="180" w:vertAnchor="text" w:tblpXSpec="right" w:tblpY="1"/>
        <w:tblOverlap w:val="never"/>
        <w:tblW w:w="0" w:type="auto"/>
        <w:tblLook w:val="04A0"/>
      </w:tblPr>
      <w:tblGrid>
        <w:gridCol w:w="2266"/>
        <w:gridCol w:w="2266"/>
      </w:tblGrid>
      <w:tr w:rsidR="006957E7" w:rsidRPr="00682391" w:rsidTr="00224F8A">
        <w:trPr>
          <w:trHeight w:val="3583"/>
        </w:trPr>
        <w:tc>
          <w:tcPr>
            <w:tcW w:w="2106" w:type="dxa"/>
          </w:tcPr>
          <w:p w:rsidR="006957E7" w:rsidRPr="00F93BDC" w:rsidRDefault="006957E7" w:rsidP="00224F8A">
            <w:pPr>
              <w:spacing w:after="0" w:line="240" w:lineRule="auto"/>
              <w:jc w:val="center"/>
              <w:rPr>
                <w:rFonts w:ascii="Arial" w:hAnsi="Arial" w:cs="Arial"/>
                <w:sz w:val="16"/>
                <w:szCs w:val="16"/>
              </w:rPr>
            </w:pPr>
            <w:r w:rsidRPr="00F93BDC">
              <w:rPr>
                <w:rFonts w:ascii="Arial" w:hAnsi="Arial" w:cs="Arial"/>
                <w:noProof/>
                <w:sz w:val="16"/>
                <w:szCs w:val="16"/>
                <w:lang w:eastAsia="en-AU"/>
              </w:rPr>
              <w:drawing>
                <wp:inline distT="0" distB="0" distL="0" distR="0">
                  <wp:extent cx="1282701" cy="1924050"/>
                  <wp:effectExtent l="19050" t="0" r="0" b="0"/>
                  <wp:docPr id="291" name="Picture 244" descr="Cartonema parvifolium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rtonema parvifolium 1.jpg"/>
                          <pic:cNvPicPr/>
                        </pic:nvPicPr>
                        <pic:blipFill>
                          <a:blip r:embed="rId227" cstate="screen"/>
                          <a:stretch>
                            <a:fillRect/>
                          </a:stretch>
                        </pic:blipFill>
                        <pic:spPr>
                          <a:xfrm>
                            <a:off x="0" y="0"/>
                            <a:ext cx="1290991" cy="1936485"/>
                          </a:xfrm>
                          <a:prstGeom prst="rect">
                            <a:avLst/>
                          </a:prstGeom>
                        </pic:spPr>
                      </pic:pic>
                    </a:graphicData>
                  </a:graphic>
                </wp:inline>
              </w:drawing>
            </w:r>
          </w:p>
          <w:p w:rsidR="006957E7" w:rsidRPr="00F93BDC" w:rsidRDefault="006957E7" w:rsidP="00224F8A">
            <w:pPr>
              <w:spacing w:after="0" w:line="240" w:lineRule="auto"/>
              <w:jc w:val="center"/>
              <w:rPr>
                <w:rFonts w:ascii="Arial" w:hAnsi="Arial" w:cs="Arial"/>
                <w:b/>
                <w:sz w:val="18"/>
                <w:szCs w:val="18"/>
              </w:rPr>
            </w:pPr>
          </w:p>
          <w:p w:rsidR="006957E7" w:rsidRPr="00F93BDC" w:rsidRDefault="006957E7" w:rsidP="00224F8A">
            <w:pPr>
              <w:spacing w:after="0" w:line="240" w:lineRule="auto"/>
              <w:jc w:val="center"/>
              <w:rPr>
                <w:rFonts w:ascii="Arial" w:hAnsi="Arial" w:cs="Arial"/>
                <w:b/>
                <w:sz w:val="18"/>
                <w:szCs w:val="18"/>
              </w:rPr>
            </w:pPr>
            <w:r w:rsidRPr="00F93BDC">
              <w:rPr>
                <w:rFonts w:ascii="Arial" w:hAnsi="Arial" w:cs="Arial"/>
                <w:b/>
                <w:sz w:val="18"/>
                <w:szCs w:val="18"/>
              </w:rPr>
              <w:t>Multiple stemmed herb to 25 cm high</w:t>
            </w:r>
          </w:p>
        </w:tc>
        <w:tc>
          <w:tcPr>
            <w:tcW w:w="2005" w:type="dxa"/>
          </w:tcPr>
          <w:p w:rsidR="006957E7" w:rsidRPr="00F93BDC" w:rsidRDefault="006957E7" w:rsidP="00224F8A">
            <w:pPr>
              <w:spacing w:after="0" w:line="240" w:lineRule="auto"/>
              <w:jc w:val="center"/>
              <w:rPr>
                <w:rFonts w:ascii="Arial" w:hAnsi="Arial" w:cs="Arial"/>
                <w:sz w:val="16"/>
                <w:szCs w:val="16"/>
              </w:rPr>
            </w:pPr>
            <w:r w:rsidRPr="00F93BDC">
              <w:rPr>
                <w:rFonts w:ascii="Arial" w:hAnsi="Arial" w:cs="Arial"/>
                <w:noProof/>
                <w:sz w:val="16"/>
                <w:szCs w:val="16"/>
                <w:lang w:eastAsia="en-AU"/>
              </w:rPr>
              <w:drawing>
                <wp:inline distT="0" distB="0" distL="0" distR="0">
                  <wp:extent cx="1282699" cy="1924050"/>
                  <wp:effectExtent l="19050" t="0" r="0" b="0"/>
                  <wp:docPr id="293" name="Picture 245" descr="Cartonema parviflorum flower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rtonema parviflorum flower 1.jpg"/>
                          <pic:cNvPicPr/>
                        </pic:nvPicPr>
                        <pic:blipFill>
                          <a:blip r:embed="rId228" cstate="screen"/>
                          <a:stretch>
                            <a:fillRect/>
                          </a:stretch>
                        </pic:blipFill>
                        <pic:spPr>
                          <a:xfrm>
                            <a:off x="0" y="0"/>
                            <a:ext cx="1289510" cy="1934266"/>
                          </a:xfrm>
                          <a:prstGeom prst="rect">
                            <a:avLst/>
                          </a:prstGeom>
                        </pic:spPr>
                      </pic:pic>
                    </a:graphicData>
                  </a:graphic>
                </wp:inline>
              </w:drawing>
            </w:r>
          </w:p>
          <w:p w:rsidR="006957E7" w:rsidRPr="00F93BDC" w:rsidRDefault="006957E7" w:rsidP="00224F8A">
            <w:pPr>
              <w:spacing w:after="0" w:line="240" w:lineRule="auto"/>
              <w:jc w:val="center"/>
              <w:rPr>
                <w:rFonts w:ascii="Arial" w:hAnsi="Arial" w:cs="Arial"/>
                <w:b/>
                <w:sz w:val="18"/>
                <w:szCs w:val="18"/>
              </w:rPr>
            </w:pPr>
          </w:p>
          <w:p w:rsidR="006957E7" w:rsidRPr="00F93BDC" w:rsidRDefault="006957E7" w:rsidP="00224F8A">
            <w:pPr>
              <w:spacing w:after="0" w:line="240" w:lineRule="auto"/>
              <w:jc w:val="center"/>
              <w:rPr>
                <w:rFonts w:ascii="Arial" w:hAnsi="Arial" w:cs="Arial"/>
                <w:b/>
                <w:sz w:val="18"/>
                <w:szCs w:val="18"/>
              </w:rPr>
            </w:pPr>
            <w:r w:rsidRPr="00F93BDC">
              <w:rPr>
                <w:rFonts w:ascii="Arial" w:hAnsi="Arial" w:cs="Arial"/>
                <w:b/>
                <w:sz w:val="18"/>
                <w:szCs w:val="18"/>
              </w:rPr>
              <w:t>Three petal</w:t>
            </w:r>
            <w:r w:rsidR="00672FCB">
              <w:rPr>
                <w:rFonts w:ascii="Arial" w:hAnsi="Arial" w:cs="Arial"/>
                <w:b/>
                <w:sz w:val="18"/>
                <w:szCs w:val="18"/>
              </w:rPr>
              <w:t>l</w:t>
            </w:r>
            <w:r w:rsidRPr="00F93BDC">
              <w:rPr>
                <w:rFonts w:ascii="Arial" w:hAnsi="Arial" w:cs="Arial"/>
                <w:b/>
                <w:sz w:val="18"/>
                <w:szCs w:val="18"/>
              </w:rPr>
              <w:t>ed cream colo</w:t>
            </w:r>
            <w:r w:rsidR="00672FCB">
              <w:rPr>
                <w:rFonts w:ascii="Arial" w:hAnsi="Arial" w:cs="Arial"/>
                <w:b/>
                <w:sz w:val="18"/>
                <w:szCs w:val="18"/>
              </w:rPr>
              <w:t>u</w:t>
            </w:r>
            <w:r w:rsidRPr="00F93BDC">
              <w:rPr>
                <w:rFonts w:ascii="Arial" w:hAnsi="Arial" w:cs="Arial"/>
                <w:b/>
                <w:sz w:val="18"/>
                <w:szCs w:val="18"/>
              </w:rPr>
              <w:t>red flowers</w:t>
            </w:r>
          </w:p>
        </w:tc>
      </w:tr>
    </w:tbl>
    <w:p w:rsidR="006957E7" w:rsidRPr="00D7716A" w:rsidRDefault="006957E7" w:rsidP="009A1867">
      <w:pPr>
        <w:spacing w:after="0" w:line="240" w:lineRule="auto"/>
        <w:jc w:val="left"/>
        <w:rPr>
          <w:rFonts w:ascii="Arial" w:hAnsi="Arial" w:cs="Arial"/>
          <w:sz w:val="20"/>
          <w:lang w:eastAsia="en-AU"/>
        </w:rPr>
      </w:pPr>
      <w:r w:rsidRPr="00D7716A">
        <w:rPr>
          <w:rFonts w:ascii="Arial" w:hAnsi="Arial" w:cs="Arial"/>
          <w:b/>
          <w:sz w:val="20"/>
          <w:lang w:eastAsia="en-AU"/>
        </w:rPr>
        <w:t>Family:</w:t>
      </w:r>
      <w:r w:rsidR="007B612B">
        <w:rPr>
          <w:rFonts w:ascii="Arial" w:hAnsi="Arial" w:cs="Arial"/>
          <w:sz w:val="20"/>
          <w:lang w:eastAsia="en-AU"/>
        </w:rPr>
        <w:t xml:space="preserve"> Commelinaceae</w:t>
      </w:r>
    </w:p>
    <w:p w:rsidR="006957E7" w:rsidRPr="00D7716A" w:rsidRDefault="006957E7" w:rsidP="009A1867">
      <w:pPr>
        <w:spacing w:after="0" w:line="240" w:lineRule="auto"/>
        <w:jc w:val="left"/>
        <w:rPr>
          <w:rFonts w:ascii="Arial" w:hAnsi="Arial" w:cs="Arial"/>
          <w:sz w:val="20"/>
          <w:lang w:eastAsia="en-AU"/>
        </w:rPr>
      </w:pPr>
      <w:r w:rsidRPr="00D7716A">
        <w:rPr>
          <w:rFonts w:ascii="Arial" w:hAnsi="Arial" w:cs="Arial"/>
          <w:b/>
          <w:sz w:val="20"/>
          <w:lang w:eastAsia="en-AU"/>
        </w:rPr>
        <w:t>Habit:</w:t>
      </w:r>
      <w:r w:rsidR="007B612B">
        <w:rPr>
          <w:rFonts w:ascii="Arial" w:hAnsi="Arial" w:cs="Arial"/>
          <w:sz w:val="20"/>
          <w:lang w:eastAsia="en-AU"/>
        </w:rPr>
        <w:t xml:space="preserve"> s</w:t>
      </w:r>
      <w:r w:rsidRPr="00D7716A">
        <w:rPr>
          <w:rFonts w:ascii="Arial" w:hAnsi="Arial" w:cs="Arial"/>
          <w:sz w:val="20"/>
          <w:lang w:eastAsia="en-AU"/>
        </w:rPr>
        <w:t>lender herbaceous perennial to 25 cm tall.</w:t>
      </w:r>
    </w:p>
    <w:p w:rsidR="006957E7" w:rsidRPr="00D7716A" w:rsidRDefault="006957E7" w:rsidP="009A1867">
      <w:pPr>
        <w:spacing w:after="0" w:line="240" w:lineRule="auto"/>
        <w:jc w:val="left"/>
        <w:rPr>
          <w:rFonts w:ascii="Arial" w:hAnsi="Arial" w:cs="Arial"/>
          <w:b/>
          <w:sz w:val="20"/>
          <w:lang w:eastAsia="en-AU"/>
        </w:rPr>
      </w:pPr>
      <w:r w:rsidRPr="00D7716A">
        <w:rPr>
          <w:rFonts w:ascii="Arial" w:hAnsi="Arial" w:cs="Arial"/>
          <w:b/>
          <w:sz w:val="20"/>
          <w:lang w:eastAsia="en-AU"/>
        </w:rPr>
        <w:t>Tuber:</w:t>
      </w:r>
      <w:r w:rsidR="007B612B">
        <w:rPr>
          <w:rFonts w:ascii="Arial" w:hAnsi="Arial" w:cs="Arial"/>
          <w:sz w:val="20"/>
          <w:lang w:eastAsia="en-AU"/>
        </w:rPr>
        <w:t xml:space="preserve"> r</w:t>
      </w:r>
      <w:r w:rsidRPr="00D7716A">
        <w:rPr>
          <w:rFonts w:ascii="Arial" w:hAnsi="Arial" w:cs="Arial"/>
          <w:sz w:val="20"/>
          <w:lang w:eastAsia="en-AU"/>
        </w:rPr>
        <w:t>oot tuber obovate to globoid 1-1.2 cm diameter, buried 3-5 cm; glabrous, surrounded by several loose, brown, papery sheaths. Tubers replaced annually.</w:t>
      </w:r>
    </w:p>
    <w:p w:rsidR="006957E7" w:rsidRPr="00D7716A" w:rsidRDefault="006957E7" w:rsidP="009A1867">
      <w:pPr>
        <w:spacing w:after="0" w:line="240" w:lineRule="auto"/>
        <w:jc w:val="left"/>
        <w:rPr>
          <w:rFonts w:ascii="Arial" w:hAnsi="Arial" w:cs="Arial"/>
          <w:sz w:val="20"/>
          <w:lang w:eastAsia="en-AU"/>
        </w:rPr>
      </w:pPr>
      <w:r w:rsidRPr="00D7716A">
        <w:rPr>
          <w:rFonts w:ascii="Arial" w:hAnsi="Arial" w:cs="Arial"/>
          <w:b/>
          <w:sz w:val="20"/>
          <w:lang w:eastAsia="en-AU"/>
        </w:rPr>
        <w:t>Leaves:</w:t>
      </w:r>
      <w:r w:rsidR="007B612B">
        <w:rPr>
          <w:rFonts w:ascii="Arial" w:hAnsi="Arial" w:cs="Arial"/>
          <w:sz w:val="20"/>
          <w:lang w:eastAsia="en-AU"/>
        </w:rPr>
        <w:t xml:space="preserve"> g</w:t>
      </w:r>
      <w:r w:rsidRPr="00D7716A">
        <w:rPr>
          <w:rFonts w:ascii="Arial" w:hAnsi="Arial" w:cs="Arial"/>
          <w:sz w:val="20"/>
          <w:lang w:eastAsia="en-AU"/>
        </w:rPr>
        <w:t>rass-li</w:t>
      </w:r>
      <w:r w:rsidR="007B612B">
        <w:rPr>
          <w:rFonts w:ascii="Arial" w:hAnsi="Arial" w:cs="Arial"/>
          <w:sz w:val="20"/>
          <w:lang w:eastAsia="en-AU"/>
        </w:rPr>
        <w:t>ke, linear, 8-15 cm long, hairy;</w:t>
      </w:r>
      <w:r w:rsidRPr="00D7716A">
        <w:rPr>
          <w:rFonts w:ascii="Arial" w:hAnsi="Arial" w:cs="Arial"/>
          <w:sz w:val="20"/>
          <w:lang w:eastAsia="en-AU"/>
        </w:rPr>
        <w:t xml:space="preserve"> each tapering to a fine point.</w:t>
      </w:r>
    </w:p>
    <w:p w:rsidR="006957E7" w:rsidRPr="00D7716A" w:rsidRDefault="006957E7" w:rsidP="00F172F2">
      <w:pPr>
        <w:spacing w:after="0" w:line="240" w:lineRule="auto"/>
        <w:jc w:val="left"/>
        <w:rPr>
          <w:rFonts w:ascii="Arial" w:hAnsi="Arial" w:cs="Arial"/>
          <w:sz w:val="20"/>
          <w:lang w:eastAsia="en-AU"/>
        </w:rPr>
      </w:pPr>
      <w:r w:rsidRPr="00D7716A">
        <w:rPr>
          <w:rFonts w:ascii="Arial" w:hAnsi="Arial" w:cs="Arial"/>
          <w:b/>
          <w:sz w:val="20"/>
          <w:lang w:eastAsia="en-AU"/>
        </w:rPr>
        <w:t>Flowers:</w:t>
      </w:r>
      <w:r w:rsidR="007B612B">
        <w:rPr>
          <w:rFonts w:ascii="Arial" w:hAnsi="Arial" w:cs="Arial"/>
          <w:sz w:val="20"/>
          <w:lang w:eastAsia="en-AU"/>
        </w:rPr>
        <w:t xml:space="preserve"> white to cream with three</w:t>
      </w:r>
      <w:r w:rsidRPr="00D7716A">
        <w:rPr>
          <w:rFonts w:ascii="Arial" w:hAnsi="Arial" w:cs="Arial"/>
          <w:sz w:val="20"/>
          <w:lang w:eastAsia="en-AU"/>
        </w:rPr>
        <w:t xml:space="preserve"> </w:t>
      </w:r>
      <w:r w:rsidR="00672FCB" w:rsidRPr="00D7716A">
        <w:rPr>
          <w:rFonts w:ascii="Arial" w:hAnsi="Arial" w:cs="Arial"/>
          <w:sz w:val="20"/>
          <w:lang w:eastAsia="en-AU"/>
        </w:rPr>
        <w:t>petal</w:t>
      </w:r>
      <w:r w:rsidR="00672FCB">
        <w:rPr>
          <w:rFonts w:ascii="Arial" w:hAnsi="Arial" w:cs="Arial"/>
          <w:sz w:val="20"/>
          <w:lang w:eastAsia="en-AU"/>
        </w:rPr>
        <w:t>l</w:t>
      </w:r>
      <w:r w:rsidR="00672FCB" w:rsidRPr="00D7716A">
        <w:rPr>
          <w:rFonts w:ascii="Arial" w:hAnsi="Arial" w:cs="Arial"/>
          <w:sz w:val="20"/>
          <w:lang w:eastAsia="en-AU"/>
        </w:rPr>
        <w:t>ed</w:t>
      </w:r>
      <w:r w:rsidRPr="00D7716A">
        <w:rPr>
          <w:rFonts w:ascii="Arial" w:hAnsi="Arial" w:cs="Arial"/>
          <w:sz w:val="20"/>
          <w:lang w:eastAsia="en-AU"/>
        </w:rPr>
        <w:t>, loosely placed along stem. Sepals persist after the petals fall, giving the plant a spiky appearance.</w:t>
      </w:r>
    </w:p>
    <w:p w:rsidR="006957E7" w:rsidRPr="00D7716A" w:rsidRDefault="006957E7" w:rsidP="006957E7">
      <w:pPr>
        <w:spacing w:after="0" w:line="240" w:lineRule="auto"/>
        <w:rPr>
          <w:rFonts w:ascii="Arial" w:hAnsi="Arial" w:cs="Arial"/>
          <w:b/>
          <w:sz w:val="20"/>
          <w:lang w:eastAsia="en-AU"/>
        </w:rPr>
      </w:pPr>
      <w:r w:rsidRPr="00D7716A">
        <w:rPr>
          <w:rFonts w:ascii="Arial" w:hAnsi="Arial" w:cs="Arial"/>
          <w:b/>
          <w:sz w:val="20"/>
          <w:lang w:eastAsia="en-AU"/>
        </w:rPr>
        <w:t>Habitat:</w:t>
      </w:r>
      <w:r w:rsidRPr="00724C5A">
        <w:rPr>
          <w:rFonts w:ascii="Arial" w:hAnsi="Arial" w:cs="Arial"/>
          <w:b/>
          <w:sz w:val="20"/>
          <w:lang w:eastAsia="en-AU"/>
        </w:rPr>
        <w:t xml:space="preserve"> </w:t>
      </w:r>
      <w:r w:rsidR="00F172F2">
        <w:rPr>
          <w:rFonts w:ascii="Arial" w:hAnsi="Arial" w:cs="Arial"/>
          <w:sz w:val="20"/>
          <w:lang w:eastAsia="en-AU"/>
        </w:rPr>
        <w:t>o</w:t>
      </w:r>
      <w:r w:rsidRPr="00F172F2">
        <w:rPr>
          <w:rFonts w:ascii="Arial" w:hAnsi="Arial" w:cs="Arial"/>
          <w:sz w:val="20"/>
          <w:lang w:eastAsia="en-AU"/>
        </w:rPr>
        <w:t>pen woodland in damper areas.</w:t>
      </w:r>
    </w:p>
    <w:p w:rsidR="006957E7" w:rsidRPr="00D7716A" w:rsidRDefault="006957E7" w:rsidP="006957E7">
      <w:pPr>
        <w:spacing w:after="0" w:line="240" w:lineRule="auto"/>
        <w:rPr>
          <w:rFonts w:ascii="Arial" w:hAnsi="Arial" w:cs="Arial"/>
          <w:b/>
          <w:sz w:val="20"/>
          <w:lang w:eastAsia="en-AU"/>
        </w:rPr>
      </w:pPr>
      <w:proofErr w:type="gramStart"/>
      <w:r w:rsidRPr="00D7716A">
        <w:rPr>
          <w:rFonts w:ascii="Arial" w:hAnsi="Arial" w:cs="Arial"/>
          <w:b/>
          <w:sz w:val="20"/>
          <w:lang w:eastAsia="en-AU"/>
        </w:rPr>
        <w:t>Flowering:</w:t>
      </w:r>
      <w:r w:rsidRPr="00D7716A">
        <w:rPr>
          <w:rFonts w:ascii="Arial" w:hAnsi="Arial" w:cs="Arial"/>
          <w:sz w:val="20"/>
          <w:lang w:eastAsia="en-AU"/>
        </w:rPr>
        <w:t xml:space="preserve"> December – August.</w:t>
      </w:r>
      <w:proofErr w:type="gramEnd"/>
    </w:p>
    <w:p w:rsidR="006957E7" w:rsidRPr="00D7716A" w:rsidRDefault="006957E7" w:rsidP="006957E7">
      <w:pPr>
        <w:spacing w:after="240" w:line="240" w:lineRule="auto"/>
        <w:rPr>
          <w:rFonts w:ascii="Arial" w:eastAsiaTheme="minorHAnsi" w:hAnsi="Arial" w:cs="Arial"/>
          <w:sz w:val="16"/>
          <w:szCs w:val="16"/>
        </w:rPr>
      </w:pPr>
      <w:proofErr w:type="gramStart"/>
      <w:r w:rsidRPr="00D7716A">
        <w:rPr>
          <w:rFonts w:ascii="Arial" w:hAnsi="Arial" w:cs="Arial"/>
          <w:b/>
          <w:color w:val="000000" w:themeColor="text1"/>
          <w:sz w:val="16"/>
          <w:szCs w:val="16"/>
          <w:lang w:eastAsia="en-AU"/>
        </w:rPr>
        <w:t>Sources of Information</w:t>
      </w:r>
      <w:r w:rsidRPr="00D7716A">
        <w:rPr>
          <w:rFonts w:ascii="Arial" w:hAnsi="Arial" w:cs="Arial"/>
          <w:sz w:val="16"/>
          <w:szCs w:val="16"/>
          <w:lang w:eastAsia="en-AU"/>
        </w:rPr>
        <w:t>.</w:t>
      </w:r>
      <w:proofErr w:type="gramEnd"/>
      <w:r w:rsidRPr="00D7716A">
        <w:rPr>
          <w:rFonts w:ascii="Arial" w:hAnsi="Arial" w:cs="Arial"/>
          <w:color w:val="000000" w:themeColor="text1"/>
          <w:sz w:val="16"/>
          <w:szCs w:val="16"/>
          <w:lang w:eastAsia="en-AU"/>
        </w:rPr>
        <w:t xml:space="preserve"> Levitt 1981, </w:t>
      </w:r>
      <w:r w:rsidRPr="00D7716A">
        <w:rPr>
          <w:rFonts w:ascii="Arial" w:eastAsiaTheme="minorHAnsi" w:hAnsi="Arial" w:cs="Arial"/>
          <w:sz w:val="16"/>
          <w:szCs w:val="16"/>
          <w:lang w:eastAsia="en-AU"/>
        </w:rPr>
        <w:t>Pate and Dixon 1982, Specht 1958</w:t>
      </w:r>
      <w:r w:rsidRPr="00D7716A">
        <w:rPr>
          <w:rFonts w:ascii="Arial" w:eastAsiaTheme="minorHAnsi" w:hAnsi="Arial" w:cs="Arial"/>
          <w:sz w:val="16"/>
          <w:szCs w:val="16"/>
        </w:rPr>
        <w:t>.</w:t>
      </w:r>
    </w:p>
    <w:p w:rsidR="006957E7" w:rsidRPr="008C4BB7" w:rsidRDefault="009A1867" w:rsidP="00F172F2">
      <w:pPr>
        <w:spacing w:after="0" w:line="240" w:lineRule="auto"/>
        <w:jc w:val="center"/>
        <w:rPr>
          <w:rFonts w:eastAsiaTheme="minorHAnsi"/>
          <w:b/>
          <w:i/>
          <w:color w:val="000000" w:themeColor="text1"/>
          <w:sz w:val="36"/>
          <w:szCs w:val="36"/>
        </w:rPr>
      </w:pPr>
      <w:r>
        <w:rPr>
          <w:rFonts w:eastAsiaTheme="minorHAnsi"/>
          <w:b/>
          <w:i/>
          <w:color w:val="000000" w:themeColor="text1"/>
          <w:sz w:val="36"/>
          <w:szCs w:val="36"/>
        </w:rPr>
        <w:br w:type="page"/>
      </w:r>
      <w:r w:rsidR="006957E7" w:rsidRPr="008C4BB7">
        <w:rPr>
          <w:rFonts w:eastAsiaTheme="minorHAnsi"/>
          <w:b/>
          <w:i/>
          <w:color w:val="000000" w:themeColor="text1"/>
          <w:sz w:val="36"/>
          <w:szCs w:val="36"/>
        </w:rPr>
        <w:t>Nymphaea macrosperma</w:t>
      </w:r>
    </w:p>
    <w:p w:rsidR="006957E7" w:rsidRPr="008C4BB7" w:rsidRDefault="006957E7" w:rsidP="006957E7">
      <w:pPr>
        <w:spacing w:after="0" w:line="240" w:lineRule="auto"/>
        <w:jc w:val="center"/>
        <w:rPr>
          <w:rFonts w:eastAsiaTheme="minorHAnsi"/>
          <w:b/>
          <w:i/>
          <w:color w:val="000000" w:themeColor="text1"/>
          <w:sz w:val="32"/>
          <w:szCs w:val="32"/>
        </w:rPr>
      </w:pPr>
      <w:proofErr w:type="gramStart"/>
      <w:r>
        <w:rPr>
          <w:rFonts w:ascii="Arial" w:eastAsiaTheme="minorHAnsi" w:hAnsi="Arial" w:cs="Arial"/>
          <w:b/>
          <w:color w:val="000000" w:themeColor="text1"/>
          <w:sz w:val="32"/>
          <w:szCs w:val="32"/>
        </w:rPr>
        <w:t>m</w:t>
      </w:r>
      <w:r w:rsidRPr="008C4BB7">
        <w:rPr>
          <w:rFonts w:ascii="Arial" w:eastAsiaTheme="minorHAnsi" w:hAnsi="Arial" w:cs="Arial"/>
          <w:b/>
          <w:color w:val="000000" w:themeColor="text1"/>
          <w:sz w:val="32"/>
          <w:szCs w:val="32"/>
        </w:rPr>
        <w:t>aardjakalang</w:t>
      </w:r>
      <w:proofErr w:type="gramEnd"/>
    </w:p>
    <w:p w:rsidR="006957E7" w:rsidRPr="008C4BB7" w:rsidRDefault="006957E7" w:rsidP="00F172F2">
      <w:pPr>
        <w:spacing w:after="0" w:line="240" w:lineRule="auto"/>
        <w:jc w:val="left"/>
        <w:rPr>
          <w:rFonts w:ascii="Arial" w:eastAsiaTheme="minorHAnsi" w:hAnsi="Arial" w:cs="Arial"/>
          <w:b/>
          <w:bCs/>
          <w:iCs/>
          <w:color w:val="000000" w:themeColor="text1"/>
          <w:kern w:val="36"/>
          <w:szCs w:val="24"/>
          <w:lang w:eastAsia="en-AU"/>
        </w:rPr>
      </w:pPr>
      <w:r w:rsidRPr="008C4BB7">
        <w:rPr>
          <w:rFonts w:ascii="Arial" w:eastAsiaTheme="minorHAnsi" w:hAnsi="Arial" w:cs="Arial"/>
          <w:b/>
          <w:bCs/>
          <w:iCs/>
          <w:color w:val="000000" w:themeColor="text1"/>
          <w:kern w:val="36"/>
          <w:szCs w:val="24"/>
          <w:lang w:eastAsia="en-AU"/>
        </w:rPr>
        <w:t>AQUATIC HERB</w:t>
      </w:r>
    </w:p>
    <w:tbl>
      <w:tblPr>
        <w:tblW w:w="0" w:type="auto"/>
        <w:tblInd w:w="108" w:type="dxa"/>
        <w:tblLook w:val="04A0"/>
      </w:tblPr>
      <w:tblGrid>
        <w:gridCol w:w="3136"/>
        <w:gridCol w:w="4325"/>
        <w:gridCol w:w="1673"/>
      </w:tblGrid>
      <w:tr w:rsidR="006957E7" w:rsidRPr="008C4BB7" w:rsidTr="00224F8A">
        <w:tc>
          <w:tcPr>
            <w:tcW w:w="3347" w:type="dxa"/>
          </w:tcPr>
          <w:p w:rsidR="006957E7" w:rsidRPr="008C4BB7" w:rsidRDefault="006957E7" w:rsidP="00224F8A">
            <w:pPr>
              <w:spacing w:after="0" w:line="240" w:lineRule="auto"/>
              <w:jc w:val="center"/>
              <w:rPr>
                <w:rFonts w:ascii="Arial" w:hAnsi="Arial" w:cs="Arial"/>
                <w:b/>
                <w:bCs/>
                <w:color w:val="000000" w:themeColor="text1"/>
                <w:kern w:val="36"/>
              </w:rPr>
            </w:pPr>
            <w:r w:rsidRPr="008C4BB7">
              <w:rPr>
                <w:rFonts w:ascii="Arial" w:hAnsi="Arial" w:cs="Arial"/>
                <w:b/>
                <w:bCs/>
                <w:noProof/>
                <w:color w:val="000000" w:themeColor="text1"/>
                <w:kern w:val="36"/>
                <w:lang w:eastAsia="en-AU"/>
              </w:rPr>
              <w:drawing>
                <wp:inline distT="0" distB="0" distL="0" distR="0">
                  <wp:extent cx="2042583" cy="2233552"/>
                  <wp:effectExtent l="19050" t="0" r="0" b="0"/>
                  <wp:docPr id="294" name="Picture 0" descr="Nymphaea macrosperma yam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ymphaea macrosperma yam 6.jpg"/>
                          <pic:cNvPicPr/>
                        </pic:nvPicPr>
                        <pic:blipFill>
                          <a:blip r:embed="rId229" cstate="screen"/>
                          <a:stretch>
                            <a:fillRect/>
                          </a:stretch>
                        </pic:blipFill>
                        <pic:spPr>
                          <a:xfrm>
                            <a:off x="0" y="0"/>
                            <a:ext cx="2045632" cy="2236886"/>
                          </a:xfrm>
                          <a:prstGeom prst="rect">
                            <a:avLst/>
                          </a:prstGeom>
                        </pic:spPr>
                      </pic:pic>
                    </a:graphicData>
                  </a:graphic>
                </wp:inline>
              </w:drawing>
            </w:r>
          </w:p>
          <w:p w:rsidR="006957E7" w:rsidRPr="008C4BB7" w:rsidRDefault="006957E7" w:rsidP="00224F8A">
            <w:pPr>
              <w:spacing w:after="0" w:line="240" w:lineRule="auto"/>
              <w:jc w:val="center"/>
              <w:rPr>
                <w:rFonts w:ascii="Arial" w:hAnsi="Arial" w:cs="Arial"/>
                <w:b/>
                <w:bCs/>
                <w:color w:val="000000" w:themeColor="text1"/>
                <w:kern w:val="36"/>
                <w:sz w:val="18"/>
                <w:szCs w:val="18"/>
              </w:rPr>
            </w:pPr>
            <w:r>
              <w:rPr>
                <w:rFonts w:ascii="Arial" w:hAnsi="Arial" w:cs="Arial"/>
                <w:b/>
                <w:bCs/>
                <w:color w:val="000000" w:themeColor="text1"/>
                <w:kern w:val="36"/>
                <w:sz w:val="18"/>
                <w:szCs w:val="18"/>
              </w:rPr>
              <w:t>Yams ready for cooking</w:t>
            </w:r>
          </w:p>
        </w:tc>
        <w:tc>
          <w:tcPr>
            <w:tcW w:w="4620" w:type="dxa"/>
          </w:tcPr>
          <w:p w:rsidR="006957E7" w:rsidRPr="008C4BB7" w:rsidRDefault="006957E7" w:rsidP="00224F8A">
            <w:pPr>
              <w:spacing w:after="0" w:line="240" w:lineRule="auto"/>
              <w:jc w:val="center"/>
              <w:rPr>
                <w:rFonts w:ascii="Arial" w:hAnsi="Arial" w:cs="Arial"/>
                <w:b/>
                <w:bCs/>
                <w:color w:val="000000" w:themeColor="text1"/>
                <w:kern w:val="36"/>
              </w:rPr>
            </w:pPr>
            <w:r w:rsidRPr="008C4BB7">
              <w:rPr>
                <w:rFonts w:ascii="Arial" w:hAnsi="Arial" w:cs="Arial"/>
                <w:b/>
                <w:bCs/>
                <w:noProof/>
                <w:color w:val="000000" w:themeColor="text1"/>
                <w:kern w:val="36"/>
                <w:lang w:eastAsia="en-AU"/>
              </w:rPr>
              <w:drawing>
                <wp:inline distT="0" distB="0" distL="0" distR="0">
                  <wp:extent cx="2881329" cy="2221470"/>
                  <wp:effectExtent l="19050" t="0" r="0" b="0"/>
                  <wp:docPr id="295" name="Picture 11" descr="Nymphaea macrpsperma seeds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ymphaea macrpsperma seeds 1.jpg"/>
                          <pic:cNvPicPr/>
                        </pic:nvPicPr>
                        <pic:blipFill>
                          <a:blip r:embed="rId230" cstate="screen"/>
                          <a:stretch>
                            <a:fillRect/>
                          </a:stretch>
                        </pic:blipFill>
                        <pic:spPr>
                          <a:xfrm>
                            <a:off x="0" y="0"/>
                            <a:ext cx="2881329" cy="2221470"/>
                          </a:xfrm>
                          <a:prstGeom prst="rect">
                            <a:avLst/>
                          </a:prstGeom>
                        </pic:spPr>
                      </pic:pic>
                    </a:graphicData>
                  </a:graphic>
                </wp:inline>
              </w:drawing>
            </w:r>
          </w:p>
          <w:p w:rsidR="006957E7" w:rsidRPr="008C4BB7" w:rsidRDefault="006957E7" w:rsidP="00224F8A">
            <w:pPr>
              <w:spacing w:after="0" w:line="240" w:lineRule="auto"/>
              <w:jc w:val="center"/>
              <w:rPr>
                <w:rFonts w:ascii="Arial" w:hAnsi="Arial" w:cs="Arial"/>
                <w:b/>
                <w:bCs/>
                <w:color w:val="000000" w:themeColor="text1"/>
                <w:kern w:val="36"/>
                <w:sz w:val="18"/>
                <w:szCs w:val="18"/>
              </w:rPr>
            </w:pPr>
            <w:r w:rsidRPr="008C4BB7">
              <w:rPr>
                <w:rFonts w:ascii="Arial" w:hAnsi="Arial" w:cs="Arial"/>
                <w:b/>
                <w:bCs/>
                <w:color w:val="000000" w:themeColor="text1"/>
                <w:kern w:val="36"/>
                <w:sz w:val="18"/>
                <w:szCs w:val="18"/>
              </w:rPr>
              <w:t xml:space="preserve">Seeds are larger than the two other species of </w:t>
            </w:r>
            <w:r w:rsidRPr="00F172F2">
              <w:rPr>
                <w:rFonts w:ascii="Arial" w:hAnsi="Arial" w:cs="Arial"/>
                <w:b/>
                <w:bCs/>
                <w:i/>
                <w:color w:val="000000" w:themeColor="text1"/>
                <w:kern w:val="36"/>
                <w:sz w:val="18"/>
                <w:szCs w:val="18"/>
              </w:rPr>
              <w:t>Nymphaea</w:t>
            </w:r>
            <w:r>
              <w:rPr>
                <w:rFonts w:ascii="Arial" w:hAnsi="Arial" w:cs="Arial"/>
                <w:b/>
                <w:bCs/>
                <w:color w:val="000000" w:themeColor="text1"/>
                <w:kern w:val="36"/>
                <w:sz w:val="18"/>
                <w:szCs w:val="18"/>
              </w:rPr>
              <w:t xml:space="preserve"> eaten</w:t>
            </w:r>
          </w:p>
        </w:tc>
        <w:tc>
          <w:tcPr>
            <w:tcW w:w="1778" w:type="dxa"/>
          </w:tcPr>
          <w:p w:rsidR="006957E7" w:rsidRPr="008C4BB7" w:rsidRDefault="006957E7" w:rsidP="00224F8A">
            <w:pPr>
              <w:spacing w:after="0" w:line="240" w:lineRule="auto"/>
              <w:jc w:val="center"/>
              <w:rPr>
                <w:rFonts w:ascii="Arial" w:hAnsi="Arial" w:cs="Arial"/>
                <w:b/>
                <w:bCs/>
                <w:color w:val="000000" w:themeColor="text1"/>
                <w:kern w:val="36"/>
              </w:rPr>
            </w:pPr>
            <w:r w:rsidRPr="008C4BB7">
              <w:rPr>
                <w:rFonts w:ascii="Arial" w:hAnsi="Arial" w:cs="Arial"/>
                <w:b/>
                <w:bCs/>
                <w:noProof/>
                <w:color w:val="000000" w:themeColor="text1"/>
                <w:kern w:val="36"/>
                <w:lang w:eastAsia="en-AU"/>
              </w:rPr>
              <w:drawing>
                <wp:inline distT="0" distB="0" distL="0" distR="0">
                  <wp:extent cx="1005111" cy="2222500"/>
                  <wp:effectExtent l="19050" t="0" r="4539" b="0"/>
                  <wp:docPr id="296" name="Picture 1" descr="Nymphaea macrosperma stem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ymphaea macrosperma stem 2.jpg"/>
                          <pic:cNvPicPr/>
                        </pic:nvPicPr>
                        <pic:blipFill>
                          <a:blip r:embed="rId231" cstate="screen"/>
                          <a:stretch>
                            <a:fillRect/>
                          </a:stretch>
                        </pic:blipFill>
                        <pic:spPr>
                          <a:xfrm>
                            <a:off x="0" y="0"/>
                            <a:ext cx="1008068" cy="2229039"/>
                          </a:xfrm>
                          <a:prstGeom prst="rect">
                            <a:avLst/>
                          </a:prstGeom>
                        </pic:spPr>
                      </pic:pic>
                    </a:graphicData>
                  </a:graphic>
                </wp:inline>
              </w:drawing>
            </w:r>
          </w:p>
          <w:p w:rsidR="006957E7" w:rsidRPr="008C4BB7" w:rsidRDefault="006957E7" w:rsidP="00224F8A">
            <w:pPr>
              <w:spacing w:after="0" w:line="240" w:lineRule="auto"/>
              <w:jc w:val="center"/>
              <w:rPr>
                <w:rFonts w:ascii="Arial" w:hAnsi="Arial" w:cs="Arial"/>
                <w:b/>
                <w:bCs/>
                <w:color w:val="000000" w:themeColor="text1"/>
                <w:kern w:val="36"/>
                <w:sz w:val="18"/>
                <w:szCs w:val="18"/>
              </w:rPr>
            </w:pPr>
            <w:r w:rsidRPr="008C4BB7">
              <w:rPr>
                <w:rFonts w:ascii="Arial" w:hAnsi="Arial" w:cs="Arial"/>
                <w:b/>
                <w:bCs/>
                <w:color w:val="000000" w:themeColor="text1"/>
                <w:kern w:val="36"/>
                <w:sz w:val="18"/>
                <w:szCs w:val="18"/>
              </w:rPr>
              <w:t>Ste</w:t>
            </w:r>
            <w:r w:rsidR="00F172F2">
              <w:rPr>
                <w:rFonts w:ascii="Arial" w:hAnsi="Arial" w:cs="Arial"/>
                <w:b/>
                <w:bCs/>
                <w:color w:val="000000" w:themeColor="text1"/>
                <w:kern w:val="36"/>
                <w:sz w:val="18"/>
                <w:szCs w:val="18"/>
              </w:rPr>
              <w:t>ms peeled and eaten like celery</w:t>
            </w:r>
          </w:p>
        </w:tc>
      </w:tr>
    </w:tbl>
    <w:p w:rsidR="006957E7" w:rsidRPr="00E17A81" w:rsidRDefault="006957E7" w:rsidP="00F172F2">
      <w:pPr>
        <w:spacing w:before="240" w:after="0" w:line="240" w:lineRule="auto"/>
        <w:rPr>
          <w:rFonts w:ascii="Arial" w:eastAsiaTheme="minorHAnsi" w:hAnsi="Arial" w:cs="Arial"/>
          <w:bCs/>
          <w:iCs/>
          <w:color w:val="000000" w:themeColor="text1"/>
          <w:kern w:val="36"/>
          <w:sz w:val="20"/>
        </w:rPr>
      </w:pPr>
      <w:r w:rsidRPr="00E17A81">
        <w:rPr>
          <w:rFonts w:ascii="Arial" w:eastAsiaTheme="minorHAnsi" w:hAnsi="Arial" w:cs="Arial"/>
          <w:b/>
          <w:bCs/>
          <w:iCs/>
          <w:color w:val="000000" w:themeColor="text1"/>
          <w:kern w:val="36"/>
          <w:sz w:val="20"/>
        </w:rPr>
        <w:t>YAM:</w:t>
      </w:r>
      <w:r w:rsidRPr="00E17A81">
        <w:rPr>
          <w:rFonts w:ascii="Arial" w:eastAsiaTheme="minorHAnsi" w:hAnsi="Arial" w:cs="Arial"/>
          <w:b/>
          <w:sz w:val="20"/>
        </w:rPr>
        <w:t xml:space="preserve"> </w:t>
      </w:r>
      <w:r w:rsidRPr="00E17A81">
        <w:rPr>
          <w:rFonts w:ascii="Arial" w:eastAsiaTheme="minorHAnsi" w:hAnsi="Arial" w:cs="Arial"/>
          <w:b/>
          <w:color w:val="FF0000"/>
          <w:sz w:val="20"/>
        </w:rPr>
        <w:t>Staple Food.</w:t>
      </w:r>
      <w:r w:rsidR="00F172F2">
        <w:rPr>
          <w:rFonts w:ascii="Arial" w:eastAsiaTheme="minorHAnsi" w:hAnsi="Arial" w:cs="Arial"/>
          <w:sz w:val="20"/>
        </w:rPr>
        <w:t xml:space="preserve"> </w:t>
      </w:r>
      <w:proofErr w:type="gramStart"/>
      <w:r w:rsidR="00F172F2">
        <w:rPr>
          <w:rFonts w:ascii="Arial" w:eastAsiaTheme="minorHAnsi" w:hAnsi="Arial" w:cs="Arial"/>
          <w:sz w:val="20"/>
        </w:rPr>
        <w:t>Banggereng – Gunumeleng</w:t>
      </w:r>
      <w:r w:rsidRPr="00E17A81">
        <w:rPr>
          <w:rFonts w:ascii="Arial" w:eastAsiaTheme="minorHAnsi" w:hAnsi="Arial" w:cs="Arial"/>
          <w:sz w:val="20"/>
        </w:rPr>
        <w:t xml:space="preserve"> </w:t>
      </w:r>
      <w:r w:rsidRPr="00E17A81">
        <w:rPr>
          <w:rFonts w:ascii="Arial" w:eastAsiaTheme="minorHAnsi" w:hAnsi="Arial" w:cs="Arial"/>
          <w:bCs/>
          <w:iCs/>
          <w:color w:val="000000" w:themeColor="text1"/>
          <w:kern w:val="36"/>
          <w:sz w:val="20"/>
        </w:rPr>
        <w:t>(Apr</w:t>
      </w:r>
      <w:r w:rsidR="00F172F2">
        <w:rPr>
          <w:rFonts w:ascii="Arial" w:eastAsiaTheme="minorHAnsi" w:hAnsi="Arial" w:cs="Arial"/>
          <w:bCs/>
          <w:iCs/>
          <w:color w:val="000000" w:themeColor="text1"/>
          <w:kern w:val="36"/>
          <w:sz w:val="20"/>
        </w:rPr>
        <w:t>il</w:t>
      </w:r>
      <w:r w:rsidRPr="00E17A81">
        <w:rPr>
          <w:rFonts w:ascii="Arial" w:eastAsiaTheme="minorHAnsi" w:hAnsi="Arial" w:cs="Arial"/>
          <w:bCs/>
          <w:iCs/>
          <w:color w:val="000000" w:themeColor="text1"/>
          <w:kern w:val="36"/>
          <w:sz w:val="20"/>
        </w:rPr>
        <w:t xml:space="preserve"> – Dec</w:t>
      </w:r>
      <w:r w:rsidR="00F172F2">
        <w:rPr>
          <w:rFonts w:ascii="Arial" w:eastAsiaTheme="minorHAnsi" w:hAnsi="Arial" w:cs="Arial"/>
          <w:bCs/>
          <w:iCs/>
          <w:color w:val="000000" w:themeColor="text1"/>
          <w:kern w:val="36"/>
          <w:sz w:val="20"/>
        </w:rPr>
        <w:t>ember</w:t>
      </w:r>
      <w:r w:rsidRPr="00E17A81">
        <w:rPr>
          <w:rFonts w:ascii="Arial" w:eastAsiaTheme="minorHAnsi" w:hAnsi="Arial" w:cs="Arial"/>
          <w:bCs/>
          <w:iCs/>
          <w:color w:val="000000" w:themeColor="text1"/>
          <w:kern w:val="36"/>
          <w:sz w:val="20"/>
        </w:rPr>
        <w:t>)</w:t>
      </w:r>
      <w:r w:rsidR="00F172F2">
        <w:rPr>
          <w:rFonts w:ascii="Arial" w:eastAsiaTheme="minorHAnsi" w:hAnsi="Arial" w:cs="Arial"/>
          <w:bCs/>
          <w:iCs/>
          <w:color w:val="000000" w:themeColor="text1"/>
          <w:kern w:val="36"/>
          <w:sz w:val="20"/>
        </w:rPr>
        <w:t>.</w:t>
      </w:r>
      <w:proofErr w:type="gramEnd"/>
    </w:p>
    <w:p w:rsidR="006957E7" w:rsidRPr="00E17A81" w:rsidRDefault="006957E7" w:rsidP="00F172F2">
      <w:pPr>
        <w:spacing w:after="0" w:line="240" w:lineRule="auto"/>
        <w:rPr>
          <w:rFonts w:ascii="Arial" w:eastAsiaTheme="minorHAnsi" w:hAnsi="Arial" w:cs="Arial"/>
          <w:bCs/>
          <w:iCs/>
          <w:color w:val="000000" w:themeColor="text1"/>
          <w:kern w:val="36"/>
          <w:sz w:val="20"/>
        </w:rPr>
      </w:pPr>
      <w:r w:rsidRPr="00E17A81">
        <w:rPr>
          <w:rFonts w:ascii="Arial" w:eastAsiaTheme="minorHAnsi" w:hAnsi="Arial" w:cs="Arial"/>
          <w:sz w:val="20"/>
        </w:rPr>
        <w:t>Yams are dug out of the mud, peeled, then cooked gently on hot coals for 10-15 minutes and eaten.</w:t>
      </w:r>
    </w:p>
    <w:p w:rsidR="006957E7" w:rsidRPr="00E17A81" w:rsidRDefault="006957E7" w:rsidP="00F172F2">
      <w:pPr>
        <w:spacing w:after="0" w:line="240" w:lineRule="auto"/>
        <w:rPr>
          <w:rFonts w:ascii="Arial" w:eastAsiaTheme="minorHAnsi" w:hAnsi="Arial" w:cs="Arial"/>
          <w:bCs/>
          <w:iCs/>
          <w:color w:val="000000" w:themeColor="text1"/>
          <w:kern w:val="36"/>
          <w:sz w:val="20"/>
        </w:rPr>
      </w:pPr>
      <w:r w:rsidRPr="00E17A81">
        <w:rPr>
          <w:rFonts w:ascii="Arial" w:eastAsiaTheme="minorHAnsi" w:hAnsi="Arial" w:cs="Arial"/>
          <w:b/>
          <w:bCs/>
          <w:iCs/>
          <w:color w:val="000000" w:themeColor="text1"/>
          <w:kern w:val="36"/>
          <w:sz w:val="20"/>
        </w:rPr>
        <w:t>SEEDS &amp; SEED HEADS:</w:t>
      </w:r>
      <w:r w:rsidRPr="00E17A81">
        <w:rPr>
          <w:rFonts w:ascii="Arial" w:eastAsiaTheme="minorHAnsi" w:hAnsi="Arial" w:cs="Arial"/>
          <w:b/>
          <w:sz w:val="20"/>
        </w:rPr>
        <w:t xml:space="preserve"> </w:t>
      </w:r>
      <w:r w:rsidRPr="00E17A81">
        <w:rPr>
          <w:rFonts w:ascii="Arial" w:eastAsiaTheme="minorHAnsi" w:hAnsi="Arial" w:cs="Arial"/>
          <w:b/>
          <w:color w:val="FF0000"/>
          <w:sz w:val="20"/>
        </w:rPr>
        <w:t>Staple Food.</w:t>
      </w:r>
      <w:r w:rsidRPr="00E17A81">
        <w:rPr>
          <w:rFonts w:ascii="Arial" w:eastAsiaTheme="minorHAnsi" w:hAnsi="Arial" w:cs="Arial"/>
          <w:sz w:val="20"/>
        </w:rPr>
        <w:t xml:space="preserve"> </w:t>
      </w:r>
      <w:proofErr w:type="gramStart"/>
      <w:r w:rsidRPr="00E17A81">
        <w:rPr>
          <w:rFonts w:ascii="Arial" w:eastAsiaTheme="minorHAnsi" w:hAnsi="Arial" w:cs="Arial"/>
          <w:sz w:val="20"/>
        </w:rPr>
        <w:t>Banggereng – Gurrung</w:t>
      </w:r>
      <w:r w:rsidRPr="00E17A81">
        <w:rPr>
          <w:rFonts w:ascii="Arial" w:eastAsiaTheme="minorHAnsi" w:hAnsi="Arial" w:cs="Arial"/>
          <w:color w:val="000000" w:themeColor="text1"/>
          <w:sz w:val="20"/>
        </w:rPr>
        <w:t xml:space="preserve"> </w:t>
      </w:r>
      <w:r w:rsidRPr="00E17A81">
        <w:rPr>
          <w:rFonts w:ascii="Arial" w:eastAsiaTheme="minorHAnsi" w:hAnsi="Arial" w:cs="Arial"/>
          <w:bCs/>
          <w:iCs/>
          <w:color w:val="000000" w:themeColor="text1"/>
          <w:kern w:val="36"/>
          <w:sz w:val="20"/>
        </w:rPr>
        <w:t>(Apr</w:t>
      </w:r>
      <w:r w:rsidR="00F172F2">
        <w:rPr>
          <w:rFonts w:ascii="Arial" w:eastAsiaTheme="minorHAnsi" w:hAnsi="Arial" w:cs="Arial"/>
          <w:bCs/>
          <w:iCs/>
          <w:color w:val="000000" w:themeColor="text1"/>
          <w:kern w:val="36"/>
          <w:sz w:val="20"/>
        </w:rPr>
        <w:t>il</w:t>
      </w:r>
      <w:r w:rsidRPr="00E17A81">
        <w:rPr>
          <w:rFonts w:ascii="Arial" w:eastAsiaTheme="minorHAnsi" w:hAnsi="Arial" w:cs="Arial"/>
          <w:bCs/>
          <w:iCs/>
          <w:color w:val="000000" w:themeColor="text1"/>
          <w:kern w:val="36"/>
          <w:sz w:val="20"/>
        </w:rPr>
        <w:t xml:space="preserve"> – Sep</w:t>
      </w:r>
      <w:r w:rsidR="00F172F2">
        <w:rPr>
          <w:rFonts w:ascii="Arial" w:eastAsiaTheme="minorHAnsi" w:hAnsi="Arial" w:cs="Arial"/>
          <w:bCs/>
          <w:iCs/>
          <w:color w:val="000000" w:themeColor="text1"/>
          <w:kern w:val="36"/>
          <w:sz w:val="20"/>
        </w:rPr>
        <w:t>tember</w:t>
      </w:r>
      <w:r w:rsidRPr="00E17A81">
        <w:rPr>
          <w:rFonts w:ascii="Arial" w:eastAsiaTheme="minorHAnsi" w:hAnsi="Arial" w:cs="Arial"/>
          <w:bCs/>
          <w:iCs/>
          <w:color w:val="000000" w:themeColor="text1"/>
          <w:kern w:val="36"/>
          <w:sz w:val="20"/>
        </w:rPr>
        <w:t>)</w:t>
      </w:r>
      <w:r w:rsidR="00F172F2">
        <w:rPr>
          <w:rFonts w:ascii="Arial" w:eastAsiaTheme="minorHAnsi" w:hAnsi="Arial" w:cs="Arial"/>
          <w:bCs/>
          <w:iCs/>
          <w:color w:val="000000" w:themeColor="text1"/>
          <w:kern w:val="36"/>
          <w:sz w:val="20"/>
        </w:rPr>
        <w:t>.</w:t>
      </w:r>
      <w:proofErr w:type="gramEnd"/>
    </w:p>
    <w:p w:rsidR="006957E7" w:rsidRPr="00E17A81" w:rsidRDefault="006957E7" w:rsidP="00F172F2">
      <w:pPr>
        <w:spacing w:after="0" w:line="240" w:lineRule="auto"/>
        <w:rPr>
          <w:rFonts w:ascii="Arial" w:eastAsiaTheme="minorHAnsi" w:hAnsi="Arial" w:cs="Arial"/>
          <w:bCs/>
          <w:iCs/>
          <w:color w:val="000000" w:themeColor="text1"/>
          <w:kern w:val="36"/>
          <w:sz w:val="20"/>
        </w:rPr>
      </w:pPr>
      <w:r w:rsidRPr="00E17A81">
        <w:rPr>
          <w:rFonts w:ascii="Arial" w:eastAsiaTheme="minorHAnsi" w:hAnsi="Arial" w:cs="Arial"/>
          <w:sz w:val="20"/>
        </w:rPr>
        <w:t>Seed head can be eaten raw, lightly roasted on the coals or ground and prepared into a very nutritious damper which is wrapped in waterlily leaves then in paperbark and cooked on the coals.</w:t>
      </w:r>
    </w:p>
    <w:p w:rsidR="006957E7" w:rsidRPr="00E17A81" w:rsidRDefault="006957E7" w:rsidP="00F172F2">
      <w:pPr>
        <w:spacing w:after="0" w:line="240" w:lineRule="auto"/>
        <w:rPr>
          <w:rFonts w:ascii="Arial" w:hAnsi="Arial" w:cs="Arial"/>
          <w:bCs/>
          <w:iCs/>
          <w:color w:val="000000" w:themeColor="text1"/>
          <w:kern w:val="36"/>
          <w:sz w:val="20"/>
          <w:lang w:eastAsia="en-AU"/>
        </w:rPr>
      </w:pPr>
      <w:r w:rsidRPr="00E17A81">
        <w:rPr>
          <w:rFonts w:ascii="Arial" w:hAnsi="Arial" w:cs="Arial"/>
          <w:b/>
          <w:bCs/>
          <w:iCs/>
          <w:color w:val="000000" w:themeColor="text1"/>
          <w:kern w:val="36"/>
          <w:sz w:val="20"/>
          <w:lang w:eastAsia="en-AU"/>
        </w:rPr>
        <w:t>STEMS:</w:t>
      </w:r>
      <w:r w:rsidRPr="00E17A81">
        <w:rPr>
          <w:rFonts w:ascii="Arial" w:eastAsiaTheme="minorHAnsi" w:hAnsi="Arial" w:cs="Arial"/>
          <w:b/>
          <w:sz w:val="20"/>
        </w:rPr>
        <w:t xml:space="preserve"> </w:t>
      </w:r>
      <w:r w:rsidRPr="00E17A81">
        <w:rPr>
          <w:rFonts w:ascii="Arial" w:eastAsiaTheme="minorHAnsi" w:hAnsi="Arial" w:cs="Arial"/>
          <w:b/>
          <w:color w:val="00B050"/>
          <w:sz w:val="20"/>
        </w:rPr>
        <w:t>Eaten Food</w:t>
      </w:r>
      <w:r w:rsidRPr="00E17A81">
        <w:rPr>
          <w:rFonts w:ascii="Arial" w:eastAsiaTheme="minorHAnsi" w:hAnsi="Arial" w:cs="Arial"/>
          <w:b/>
          <w:color w:val="0070C0"/>
          <w:sz w:val="20"/>
        </w:rPr>
        <w:t>.</w:t>
      </w:r>
      <w:r w:rsidR="00F172F2">
        <w:rPr>
          <w:rFonts w:ascii="Arial" w:eastAsiaTheme="minorHAnsi" w:hAnsi="Arial" w:cs="Arial"/>
          <w:sz w:val="20"/>
        </w:rPr>
        <w:t xml:space="preserve"> </w:t>
      </w:r>
      <w:proofErr w:type="gramStart"/>
      <w:r w:rsidR="00F172F2">
        <w:rPr>
          <w:rFonts w:ascii="Arial" w:eastAsiaTheme="minorHAnsi" w:hAnsi="Arial" w:cs="Arial"/>
          <w:sz w:val="20"/>
        </w:rPr>
        <w:t>Banggereng – Gurrung</w:t>
      </w:r>
      <w:r w:rsidRPr="00E17A81">
        <w:rPr>
          <w:rFonts w:ascii="Arial" w:eastAsiaTheme="minorHAnsi" w:hAnsi="Arial" w:cs="Arial"/>
          <w:sz w:val="20"/>
        </w:rPr>
        <w:t xml:space="preserve"> </w:t>
      </w:r>
      <w:r w:rsidRPr="00E17A81">
        <w:rPr>
          <w:rFonts w:ascii="Arial" w:hAnsi="Arial" w:cs="Arial"/>
          <w:bCs/>
          <w:iCs/>
          <w:color w:val="000000" w:themeColor="text1"/>
          <w:kern w:val="36"/>
          <w:sz w:val="20"/>
          <w:lang w:eastAsia="en-AU"/>
        </w:rPr>
        <w:t>(Apr</w:t>
      </w:r>
      <w:r w:rsidR="00F172F2">
        <w:rPr>
          <w:rFonts w:ascii="Arial" w:hAnsi="Arial" w:cs="Arial"/>
          <w:bCs/>
          <w:iCs/>
          <w:color w:val="000000" w:themeColor="text1"/>
          <w:kern w:val="36"/>
          <w:sz w:val="20"/>
          <w:lang w:eastAsia="en-AU"/>
        </w:rPr>
        <w:t>il</w:t>
      </w:r>
      <w:r w:rsidRPr="00E17A81">
        <w:rPr>
          <w:rFonts w:ascii="Arial" w:hAnsi="Arial" w:cs="Arial"/>
          <w:bCs/>
          <w:iCs/>
          <w:color w:val="000000" w:themeColor="text1"/>
          <w:kern w:val="36"/>
          <w:sz w:val="20"/>
          <w:lang w:eastAsia="en-AU"/>
        </w:rPr>
        <w:t xml:space="preserve"> – Sep</w:t>
      </w:r>
      <w:r w:rsidR="00F172F2">
        <w:rPr>
          <w:rFonts w:ascii="Arial" w:hAnsi="Arial" w:cs="Arial"/>
          <w:bCs/>
          <w:iCs/>
          <w:color w:val="000000" w:themeColor="text1"/>
          <w:kern w:val="36"/>
          <w:sz w:val="20"/>
          <w:lang w:eastAsia="en-AU"/>
        </w:rPr>
        <w:t>tember</w:t>
      </w:r>
      <w:r w:rsidRPr="00E17A81">
        <w:rPr>
          <w:rFonts w:ascii="Arial" w:hAnsi="Arial" w:cs="Arial"/>
          <w:bCs/>
          <w:iCs/>
          <w:color w:val="000000" w:themeColor="text1"/>
          <w:kern w:val="36"/>
          <w:sz w:val="20"/>
          <w:lang w:eastAsia="en-AU"/>
        </w:rPr>
        <w:t>)</w:t>
      </w:r>
      <w:r w:rsidR="00F172F2">
        <w:rPr>
          <w:rFonts w:ascii="Arial" w:hAnsi="Arial" w:cs="Arial"/>
          <w:bCs/>
          <w:iCs/>
          <w:color w:val="000000" w:themeColor="text1"/>
          <w:kern w:val="36"/>
          <w:sz w:val="20"/>
          <w:lang w:eastAsia="en-AU"/>
        </w:rPr>
        <w:t>.</w:t>
      </w:r>
      <w:proofErr w:type="gramEnd"/>
    </w:p>
    <w:p w:rsidR="006957E7" w:rsidRPr="00157EE8" w:rsidRDefault="006957E7" w:rsidP="00F172F2">
      <w:pPr>
        <w:spacing w:line="240" w:lineRule="auto"/>
        <w:rPr>
          <w:rFonts w:ascii="Arial" w:eastAsiaTheme="minorHAnsi" w:hAnsi="Arial"/>
          <w:sz w:val="20"/>
        </w:rPr>
      </w:pPr>
      <w:r w:rsidRPr="00157EE8">
        <w:rPr>
          <w:rFonts w:ascii="Arial" w:eastAsiaTheme="minorHAnsi" w:hAnsi="Arial"/>
          <w:sz w:val="20"/>
        </w:rPr>
        <w:t>Flower/fruit stems eaten raw or lightly cooked on coals after peeling.</w:t>
      </w:r>
    </w:p>
    <w:p w:rsidR="006957E7" w:rsidRPr="00E17A81" w:rsidRDefault="006957E7" w:rsidP="00F172F2">
      <w:pPr>
        <w:spacing w:after="0" w:line="240" w:lineRule="auto"/>
        <w:rPr>
          <w:rFonts w:ascii="Arial" w:eastAsiaTheme="minorHAnsi" w:hAnsi="Arial" w:cs="Arial"/>
          <w:b/>
          <w:sz w:val="20"/>
        </w:rPr>
      </w:pPr>
      <w:r w:rsidRPr="00E17A81">
        <w:rPr>
          <w:rFonts w:ascii="Arial" w:eastAsiaTheme="minorHAnsi" w:hAnsi="Arial" w:cs="Arial"/>
          <w:b/>
          <w:bCs/>
          <w:iCs/>
          <w:color w:val="000000" w:themeColor="text1"/>
          <w:kern w:val="36"/>
          <w:sz w:val="20"/>
        </w:rPr>
        <w:t xml:space="preserve">Habitat: </w:t>
      </w:r>
      <w:r w:rsidRPr="00E17A81">
        <w:rPr>
          <w:rFonts w:ascii="Arial" w:eastAsiaTheme="minorHAnsi" w:hAnsi="Arial" w:cs="Arial"/>
          <w:b/>
          <w:sz w:val="20"/>
        </w:rPr>
        <w:t>Floodplain.</w:t>
      </w:r>
    </w:p>
    <w:tbl>
      <w:tblPr>
        <w:tblpPr w:leftFromText="180" w:rightFromText="180" w:vertAnchor="text" w:horzAnchor="page" w:tblpX="7873" w:tblpY="25"/>
        <w:tblOverlap w:val="never"/>
        <w:tblW w:w="3557" w:type="dxa"/>
        <w:tblLook w:val="04A0"/>
      </w:tblPr>
      <w:tblGrid>
        <w:gridCol w:w="3557"/>
      </w:tblGrid>
      <w:tr w:rsidR="006957E7" w:rsidRPr="00E17A81" w:rsidTr="00224F8A">
        <w:tc>
          <w:tcPr>
            <w:tcW w:w="3557" w:type="dxa"/>
          </w:tcPr>
          <w:p w:rsidR="006957E7" w:rsidRPr="00E17A81" w:rsidRDefault="006957E7" w:rsidP="00F172F2">
            <w:pPr>
              <w:spacing w:after="0" w:line="240" w:lineRule="auto"/>
              <w:jc w:val="center"/>
              <w:rPr>
                <w:rFonts w:ascii="Arial" w:hAnsi="Arial" w:cs="Arial"/>
                <w:lang w:eastAsia="en-AU"/>
              </w:rPr>
            </w:pPr>
            <w:r w:rsidRPr="00E17A81">
              <w:rPr>
                <w:rFonts w:ascii="Arial" w:hAnsi="Arial" w:cs="Arial"/>
                <w:noProof/>
                <w:lang w:eastAsia="en-AU"/>
              </w:rPr>
              <w:drawing>
                <wp:inline distT="0" distB="0" distL="0" distR="0">
                  <wp:extent cx="2004386" cy="1627094"/>
                  <wp:effectExtent l="19050" t="0" r="0" b="0"/>
                  <wp:docPr id="301" name="Picture 24" descr="Nymphaea macrosperma leaf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ymphaea macrosperma leaf 3.jpg"/>
                          <pic:cNvPicPr/>
                        </pic:nvPicPr>
                        <pic:blipFill>
                          <a:blip r:embed="rId232" cstate="screen"/>
                          <a:stretch>
                            <a:fillRect/>
                          </a:stretch>
                        </pic:blipFill>
                        <pic:spPr>
                          <a:xfrm>
                            <a:off x="0" y="0"/>
                            <a:ext cx="2004386" cy="1627094"/>
                          </a:xfrm>
                          <a:prstGeom prst="rect">
                            <a:avLst/>
                          </a:prstGeom>
                        </pic:spPr>
                      </pic:pic>
                    </a:graphicData>
                  </a:graphic>
                </wp:inline>
              </w:drawing>
            </w:r>
          </w:p>
          <w:p w:rsidR="006957E7" w:rsidRPr="00E17A81" w:rsidRDefault="006957E7" w:rsidP="00F172F2">
            <w:pPr>
              <w:spacing w:after="0" w:line="240" w:lineRule="auto"/>
              <w:jc w:val="center"/>
              <w:rPr>
                <w:rFonts w:ascii="Arial" w:hAnsi="Arial" w:cs="Arial"/>
                <w:lang w:eastAsia="en-AU"/>
              </w:rPr>
            </w:pPr>
            <w:r w:rsidRPr="00E17A81">
              <w:rPr>
                <w:rFonts w:ascii="Arial" w:hAnsi="Arial" w:cs="Arial"/>
                <w:b/>
                <w:sz w:val="18"/>
                <w:szCs w:val="18"/>
              </w:rPr>
              <w:t>Underside of leaf. Distinctly toothed leaf margins with spine like projections</w:t>
            </w:r>
          </w:p>
        </w:tc>
      </w:tr>
      <w:tr w:rsidR="006957E7" w:rsidRPr="00E17A81" w:rsidTr="00224F8A">
        <w:trPr>
          <w:trHeight w:val="2811"/>
        </w:trPr>
        <w:tc>
          <w:tcPr>
            <w:tcW w:w="3557" w:type="dxa"/>
          </w:tcPr>
          <w:p w:rsidR="006957E7" w:rsidRPr="00E17A81" w:rsidRDefault="006957E7" w:rsidP="00F172F2">
            <w:pPr>
              <w:spacing w:after="0" w:line="240" w:lineRule="auto"/>
              <w:jc w:val="center"/>
              <w:rPr>
                <w:rFonts w:ascii="Arial" w:hAnsi="Arial" w:cs="Arial"/>
                <w:lang w:eastAsia="en-AU"/>
              </w:rPr>
            </w:pPr>
            <w:r w:rsidRPr="00E17A81">
              <w:rPr>
                <w:rFonts w:ascii="Arial" w:hAnsi="Arial" w:cs="Arial"/>
                <w:noProof/>
                <w:lang w:eastAsia="en-AU"/>
              </w:rPr>
              <w:drawing>
                <wp:inline distT="0" distB="0" distL="0" distR="0">
                  <wp:extent cx="2021416" cy="1498915"/>
                  <wp:effectExtent l="19050" t="0" r="0" b="0"/>
                  <wp:docPr id="302" name="Picture 25" descr="Nymphaea macrosperma flower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ymphaea macrosperma flower 4.jpg"/>
                          <pic:cNvPicPr/>
                        </pic:nvPicPr>
                        <pic:blipFill>
                          <a:blip r:embed="rId233" cstate="screen"/>
                          <a:stretch>
                            <a:fillRect/>
                          </a:stretch>
                        </pic:blipFill>
                        <pic:spPr>
                          <a:xfrm>
                            <a:off x="0" y="0"/>
                            <a:ext cx="2043633" cy="1515390"/>
                          </a:xfrm>
                          <a:prstGeom prst="rect">
                            <a:avLst/>
                          </a:prstGeom>
                        </pic:spPr>
                      </pic:pic>
                    </a:graphicData>
                  </a:graphic>
                </wp:inline>
              </w:drawing>
            </w:r>
          </w:p>
          <w:p w:rsidR="006957E7" w:rsidRPr="00E17A81" w:rsidRDefault="006957E7" w:rsidP="00F172F2">
            <w:pPr>
              <w:spacing w:after="0" w:line="240" w:lineRule="auto"/>
              <w:jc w:val="center"/>
              <w:rPr>
                <w:rFonts w:ascii="Arial" w:hAnsi="Arial" w:cs="Arial"/>
                <w:lang w:eastAsia="en-AU"/>
              </w:rPr>
            </w:pPr>
            <w:r w:rsidRPr="00E17A81">
              <w:rPr>
                <w:rFonts w:ascii="Arial" w:hAnsi="Arial" w:cs="Arial"/>
                <w:b/>
                <w:sz w:val="18"/>
                <w:szCs w:val="18"/>
              </w:rPr>
              <w:t>Petals white, tinged pale purple or pale blue to dark purple</w:t>
            </w:r>
          </w:p>
        </w:tc>
      </w:tr>
    </w:tbl>
    <w:p w:rsidR="006957E7" w:rsidRPr="00E17A81" w:rsidRDefault="006957E7" w:rsidP="00F172F2">
      <w:pPr>
        <w:spacing w:after="0" w:line="240" w:lineRule="auto"/>
        <w:rPr>
          <w:rFonts w:ascii="Arial" w:eastAsiaTheme="minorHAnsi" w:hAnsi="Arial" w:cs="Arial"/>
          <w:sz w:val="16"/>
          <w:szCs w:val="16"/>
        </w:rPr>
      </w:pPr>
      <w:r w:rsidRPr="00E17A81">
        <w:rPr>
          <w:rFonts w:ascii="Arial" w:hAnsi="Arial" w:cs="Arial"/>
          <w:b/>
          <w:color w:val="000000" w:themeColor="text1"/>
          <w:sz w:val="16"/>
          <w:szCs w:val="16"/>
          <w:lang w:eastAsia="en-AU"/>
        </w:rPr>
        <w:t xml:space="preserve"> </w:t>
      </w:r>
      <w:proofErr w:type="gramStart"/>
      <w:r w:rsidRPr="00E17A81">
        <w:rPr>
          <w:rFonts w:ascii="Arial" w:hAnsi="Arial" w:cs="Arial"/>
          <w:b/>
          <w:color w:val="000000" w:themeColor="text1"/>
          <w:sz w:val="16"/>
          <w:szCs w:val="16"/>
          <w:lang w:eastAsia="en-AU"/>
        </w:rPr>
        <w:t>Sources of Information</w:t>
      </w:r>
      <w:r w:rsidRPr="00E17A81">
        <w:rPr>
          <w:rFonts w:ascii="Arial" w:hAnsi="Arial" w:cs="Arial"/>
          <w:sz w:val="16"/>
          <w:szCs w:val="16"/>
          <w:lang w:eastAsia="en-AU"/>
        </w:rPr>
        <w:t>.</w:t>
      </w:r>
      <w:proofErr w:type="gramEnd"/>
      <w:r w:rsidRPr="00E17A81">
        <w:rPr>
          <w:rFonts w:ascii="Arial" w:hAnsi="Arial" w:cs="Arial"/>
          <w:sz w:val="16"/>
          <w:szCs w:val="16"/>
          <w:lang w:eastAsia="en-AU"/>
        </w:rPr>
        <w:t xml:space="preserve"> </w:t>
      </w:r>
      <w:proofErr w:type="gramStart"/>
      <w:r w:rsidRPr="00E17A81">
        <w:rPr>
          <w:rFonts w:ascii="Arial" w:eastAsiaTheme="minorHAnsi" w:hAnsi="Arial" w:cs="Arial"/>
          <w:sz w:val="16"/>
          <w:szCs w:val="16"/>
        </w:rPr>
        <w:t>Chaloupka &amp; Giuliani 1984, Lucas &amp; Russell-Smith 1993.</w:t>
      </w:r>
      <w:proofErr w:type="gramEnd"/>
    </w:p>
    <w:p w:rsidR="006957E7" w:rsidRPr="00E17A81" w:rsidRDefault="006957E7" w:rsidP="006957E7">
      <w:pPr>
        <w:spacing w:before="240" w:after="0" w:line="240" w:lineRule="auto"/>
        <w:rPr>
          <w:rFonts w:ascii="Arial" w:hAnsi="Arial" w:cs="Arial"/>
          <w:b/>
          <w:i/>
          <w:color w:val="000000" w:themeColor="text1"/>
          <w:szCs w:val="24"/>
          <w:lang w:eastAsia="en-AU"/>
        </w:rPr>
      </w:pPr>
      <w:r w:rsidRPr="00E17A81">
        <w:rPr>
          <w:rFonts w:ascii="Arial" w:hAnsi="Arial" w:cs="Arial"/>
          <w:b/>
          <w:i/>
          <w:color w:val="000000" w:themeColor="text1"/>
          <w:szCs w:val="24"/>
          <w:lang w:eastAsia="en-AU"/>
        </w:rPr>
        <w:t>Nymphaea macrosperma</w:t>
      </w:r>
    </w:p>
    <w:p w:rsidR="006957E7" w:rsidRPr="00E17A81" w:rsidRDefault="006957E7" w:rsidP="006957E7">
      <w:pPr>
        <w:spacing w:after="0" w:line="240" w:lineRule="auto"/>
        <w:rPr>
          <w:rFonts w:ascii="Arial" w:hAnsi="Arial" w:cs="Arial"/>
          <w:i/>
          <w:color w:val="000000" w:themeColor="text1"/>
          <w:sz w:val="20"/>
          <w:lang w:eastAsia="en-AU"/>
        </w:rPr>
      </w:pPr>
      <w:r w:rsidRPr="00E17A81">
        <w:rPr>
          <w:rFonts w:ascii="Arial" w:hAnsi="Arial" w:cs="Arial"/>
          <w:color w:val="000000" w:themeColor="text1"/>
          <w:sz w:val="20"/>
          <w:lang w:eastAsia="en-AU"/>
        </w:rPr>
        <w:t>Can be identified from the two other lily species by the margins of the leaves mostly being toothed or serrated and having spine like projections on the tip of the teeth (see photo).</w:t>
      </w:r>
    </w:p>
    <w:p w:rsidR="006957E7" w:rsidRPr="00E17A81" w:rsidRDefault="006957E7" w:rsidP="006957E7">
      <w:pPr>
        <w:spacing w:after="0" w:line="240" w:lineRule="auto"/>
        <w:rPr>
          <w:rFonts w:ascii="Arial" w:hAnsi="Arial" w:cs="Arial"/>
          <w:sz w:val="20"/>
          <w:lang w:eastAsia="en-AU"/>
        </w:rPr>
      </w:pPr>
      <w:r w:rsidRPr="00E17A81">
        <w:rPr>
          <w:rFonts w:ascii="Arial" w:hAnsi="Arial" w:cs="Arial"/>
          <w:b/>
          <w:sz w:val="20"/>
          <w:lang w:eastAsia="en-AU"/>
        </w:rPr>
        <w:t>Family:</w:t>
      </w:r>
      <w:r w:rsidR="00F172F2">
        <w:rPr>
          <w:rFonts w:ascii="Arial" w:hAnsi="Arial" w:cs="Arial"/>
          <w:sz w:val="20"/>
          <w:lang w:eastAsia="en-AU"/>
        </w:rPr>
        <w:t xml:space="preserve"> Nymphaeaceae</w:t>
      </w:r>
    </w:p>
    <w:p w:rsidR="006957E7" w:rsidRPr="00E17A81" w:rsidRDefault="006957E7" w:rsidP="006957E7">
      <w:pPr>
        <w:spacing w:after="0" w:line="240" w:lineRule="auto"/>
        <w:rPr>
          <w:rFonts w:ascii="Arial" w:hAnsi="Arial" w:cs="Arial"/>
          <w:sz w:val="20"/>
          <w:lang w:eastAsia="en-AU"/>
        </w:rPr>
      </w:pPr>
      <w:r w:rsidRPr="00E17A81">
        <w:rPr>
          <w:rFonts w:ascii="Arial" w:hAnsi="Arial" w:cs="Arial"/>
          <w:b/>
          <w:sz w:val="20"/>
          <w:lang w:eastAsia="en-AU"/>
        </w:rPr>
        <w:t>Habit:</w:t>
      </w:r>
      <w:r w:rsidR="00F172F2">
        <w:rPr>
          <w:rFonts w:ascii="Arial" w:hAnsi="Arial" w:cs="Arial"/>
          <w:sz w:val="20"/>
          <w:lang w:eastAsia="en-AU"/>
        </w:rPr>
        <w:t xml:space="preserve"> p</w:t>
      </w:r>
      <w:r w:rsidRPr="00E17A81">
        <w:rPr>
          <w:rFonts w:ascii="Arial" w:hAnsi="Arial" w:cs="Arial"/>
          <w:sz w:val="20"/>
          <w:lang w:eastAsia="en-AU"/>
        </w:rPr>
        <w:t>erennial floating aquatic herb.</w:t>
      </w:r>
    </w:p>
    <w:p w:rsidR="006957E7" w:rsidRPr="00E17A81" w:rsidRDefault="006957E7" w:rsidP="006957E7">
      <w:pPr>
        <w:spacing w:after="0" w:line="240" w:lineRule="auto"/>
        <w:rPr>
          <w:rFonts w:ascii="Arial" w:hAnsi="Arial" w:cs="Arial"/>
          <w:b/>
          <w:sz w:val="20"/>
          <w:lang w:eastAsia="en-AU"/>
        </w:rPr>
      </w:pPr>
      <w:r w:rsidRPr="00E17A81">
        <w:rPr>
          <w:rFonts w:ascii="Arial" w:hAnsi="Arial" w:cs="Arial"/>
          <w:b/>
          <w:sz w:val="20"/>
          <w:lang w:eastAsia="en-AU"/>
        </w:rPr>
        <w:t>Leaves:</w:t>
      </w:r>
      <w:r w:rsidR="00F172F2">
        <w:rPr>
          <w:rFonts w:ascii="Arial" w:hAnsi="Arial" w:cs="Arial"/>
          <w:sz w:val="20"/>
          <w:lang w:eastAsia="en-AU"/>
        </w:rPr>
        <w:t xml:space="preserve"> s</w:t>
      </w:r>
      <w:r w:rsidRPr="00E17A81">
        <w:rPr>
          <w:rFonts w:ascii="Arial" w:hAnsi="Arial" w:cs="Arial"/>
          <w:sz w:val="20"/>
          <w:lang w:eastAsia="en-AU"/>
        </w:rPr>
        <w:t>mooth, glossy green above, ovate-elliptic to orbicular, 17-38 cm long x 15-31 cm wide, distinctly toothed on leaf margins to 3 mm long, with spine like projections, floating on water surface.</w:t>
      </w:r>
    </w:p>
    <w:p w:rsidR="006957E7" w:rsidRPr="00E17A81" w:rsidRDefault="006957E7" w:rsidP="006957E7">
      <w:pPr>
        <w:spacing w:after="0" w:line="240" w:lineRule="auto"/>
        <w:rPr>
          <w:rFonts w:ascii="Arial" w:hAnsi="Arial" w:cs="Arial"/>
          <w:sz w:val="20"/>
          <w:lang w:eastAsia="en-AU"/>
        </w:rPr>
      </w:pPr>
      <w:r w:rsidRPr="00E17A81">
        <w:rPr>
          <w:rFonts w:ascii="Arial" w:hAnsi="Arial" w:cs="Arial"/>
          <w:b/>
          <w:sz w:val="20"/>
          <w:lang w:eastAsia="en-AU"/>
        </w:rPr>
        <w:t>Flowers:</w:t>
      </w:r>
      <w:r w:rsidRPr="00E17A81">
        <w:rPr>
          <w:rFonts w:ascii="Arial" w:hAnsi="Arial" w:cs="Arial"/>
          <w:color w:val="000000" w:themeColor="text1"/>
          <w:sz w:val="20"/>
          <w:lang w:eastAsia="en-AU"/>
        </w:rPr>
        <w:t xml:space="preserve"> </w:t>
      </w:r>
      <w:r w:rsidR="00F172F2">
        <w:rPr>
          <w:rFonts w:ascii="Arial" w:hAnsi="Arial" w:cs="Arial"/>
          <w:sz w:val="20"/>
          <w:lang w:eastAsia="en-AU"/>
        </w:rPr>
        <w:t>l</w:t>
      </w:r>
      <w:r w:rsidRPr="00E17A81">
        <w:rPr>
          <w:rFonts w:ascii="Arial" w:hAnsi="Arial" w:cs="Arial"/>
          <w:sz w:val="20"/>
          <w:lang w:eastAsia="en-AU"/>
        </w:rPr>
        <w:t>arge, petals 10-18, white, tinged pale purple or pale blue to dark purple, numerous yellow stamens.</w:t>
      </w:r>
    </w:p>
    <w:p w:rsidR="006957E7" w:rsidRPr="00E17A81" w:rsidRDefault="006957E7" w:rsidP="006957E7">
      <w:pPr>
        <w:spacing w:after="0" w:line="240" w:lineRule="auto"/>
        <w:rPr>
          <w:rFonts w:ascii="Arial" w:hAnsi="Arial" w:cs="Arial"/>
          <w:sz w:val="20"/>
          <w:lang w:eastAsia="en-AU"/>
        </w:rPr>
      </w:pPr>
      <w:r w:rsidRPr="00E17A81">
        <w:rPr>
          <w:rFonts w:ascii="Arial" w:hAnsi="Arial" w:cs="Arial"/>
          <w:b/>
          <w:sz w:val="20"/>
          <w:lang w:eastAsia="en-AU"/>
        </w:rPr>
        <w:t>Fruit:</w:t>
      </w:r>
      <w:r w:rsidRPr="00E17A81">
        <w:rPr>
          <w:rFonts w:ascii="Arial" w:hAnsi="Arial" w:cs="Arial"/>
          <w:sz w:val="20"/>
          <w:lang w:eastAsia="en-AU"/>
        </w:rPr>
        <w:t xml:space="preserve"> </w:t>
      </w:r>
      <w:r w:rsidR="00F172F2">
        <w:rPr>
          <w:rFonts w:ascii="Arial" w:hAnsi="Arial" w:cs="Arial"/>
          <w:sz w:val="20"/>
          <w:lang w:eastAsia="en-AU"/>
        </w:rPr>
        <w:t>s</w:t>
      </w:r>
      <w:r w:rsidRPr="00157EE8">
        <w:rPr>
          <w:rFonts w:ascii="Arial" w:hAnsi="Arial" w:cs="Arial"/>
          <w:sz w:val="20"/>
          <w:lang w:eastAsia="en-AU"/>
        </w:rPr>
        <w:t>pongy, roundish, capsule about 25-35 mm across, maturing underwater, breaking up irregularly when ripe, containing many green, ellipsoidal seeds to 3.5 mm long with numerous longitudinal rows of short hairs.</w:t>
      </w:r>
    </w:p>
    <w:p w:rsidR="006957E7" w:rsidRPr="00E17A81" w:rsidRDefault="006957E7" w:rsidP="006957E7">
      <w:pPr>
        <w:spacing w:after="0" w:line="240" w:lineRule="auto"/>
        <w:rPr>
          <w:rFonts w:ascii="Arial" w:hAnsi="Arial" w:cs="Arial"/>
          <w:sz w:val="20"/>
          <w:lang w:eastAsia="en-AU"/>
        </w:rPr>
      </w:pPr>
      <w:r w:rsidRPr="00E17A81">
        <w:rPr>
          <w:rFonts w:ascii="Arial" w:hAnsi="Arial" w:cs="Arial"/>
          <w:b/>
          <w:sz w:val="20"/>
          <w:lang w:eastAsia="en-AU"/>
        </w:rPr>
        <w:t>Habitat:</w:t>
      </w:r>
      <w:r w:rsidR="00F172F2">
        <w:rPr>
          <w:rFonts w:ascii="Arial" w:hAnsi="Arial" w:cs="Arial"/>
          <w:sz w:val="20"/>
          <w:lang w:eastAsia="en-AU"/>
        </w:rPr>
        <w:t xml:space="preserve"> u</w:t>
      </w:r>
      <w:r w:rsidRPr="00E17A81">
        <w:rPr>
          <w:rFonts w:ascii="Arial" w:hAnsi="Arial" w:cs="Arial"/>
          <w:sz w:val="20"/>
          <w:lang w:eastAsia="en-AU"/>
        </w:rPr>
        <w:t xml:space="preserve">sually fringing permanent billabongs and semi-permanent back-water swamps on </w:t>
      </w:r>
      <w:proofErr w:type="gramStart"/>
      <w:r w:rsidRPr="00E17A81">
        <w:rPr>
          <w:rFonts w:ascii="Arial" w:hAnsi="Arial" w:cs="Arial"/>
          <w:sz w:val="20"/>
          <w:lang w:eastAsia="en-AU"/>
        </w:rPr>
        <w:t>floodplains,</w:t>
      </w:r>
      <w:proofErr w:type="gramEnd"/>
      <w:r w:rsidRPr="00E17A81">
        <w:rPr>
          <w:rFonts w:ascii="Arial" w:hAnsi="Arial" w:cs="Arial"/>
          <w:sz w:val="20"/>
          <w:lang w:eastAsia="en-AU"/>
        </w:rPr>
        <w:t xml:space="preserve"> grows in water to 2.5 metres deep.</w:t>
      </w:r>
    </w:p>
    <w:p w:rsidR="006957E7" w:rsidRPr="00E17A81" w:rsidRDefault="006957E7" w:rsidP="006957E7">
      <w:pPr>
        <w:spacing w:after="0" w:line="240" w:lineRule="auto"/>
        <w:rPr>
          <w:rFonts w:ascii="Arial" w:hAnsi="Arial" w:cs="Arial"/>
          <w:sz w:val="20"/>
          <w:highlight w:val="yellow"/>
          <w:lang w:eastAsia="en-AU"/>
        </w:rPr>
      </w:pPr>
      <w:proofErr w:type="gramStart"/>
      <w:r w:rsidRPr="00E17A81">
        <w:rPr>
          <w:rFonts w:ascii="Arial" w:hAnsi="Arial" w:cs="Arial"/>
          <w:b/>
          <w:sz w:val="20"/>
          <w:lang w:eastAsia="en-AU"/>
        </w:rPr>
        <w:t>Flowering:</w:t>
      </w:r>
      <w:r w:rsidRPr="00E17A81">
        <w:rPr>
          <w:rFonts w:ascii="Arial" w:hAnsi="Arial" w:cs="Arial"/>
          <w:sz w:val="20"/>
          <w:lang w:eastAsia="en-AU"/>
        </w:rPr>
        <w:t xml:space="preserve"> March – December.</w:t>
      </w:r>
      <w:proofErr w:type="gramEnd"/>
    </w:p>
    <w:p w:rsidR="006957E7" w:rsidRDefault="006957E7" w:rsidP="006957E7">
      <w:pPr>
        <w:spacing w:after="0" w:line="240" w:lineRule="auto"/>
        <w:rPr>
          <w:rFonts w:ascii="Arial" w:hAnsi="Arial" w:cs="Arial"/>
          <w:b/>
          <w:color w:val="000000" w:themeColor="text1"/>
          <w:sz w:val="16"/>
          <w:szCs w:val="16"/>
          <w:lang w:eastAsia="en-AU"/>
        </w:rPr>
      </w:pPr>
      <w:proofErr w:type="gramStart"/>
      <w:r w:rsidRPr="00E17A81">
        <w:rPr>
          <w:rFonts w:ascii="Arial" w:hAnsi="Arial" w:cs="Arial"/>
          <w:b/>
          <w:sz w:val="20"/>
          <w:lang w:eastAsia="en-AU"/>
        </w:rPr>
        <w:t>Fruiting:</w:t>
      </w:r>
      <w:r w:rsidRPr="00E17A81">
        <w:rPr>
          <w:rFonts w:ascii="Arial" w:hAnsi="Arial" w:cs="Arial"/>
          <w:sz w:val="20"/>
          <w:lang w:eastAsia="en-AU"/>
        </w:rPr>
        <w:t xml:space="preserve"> July – October.</w:t>
      </w:r>
      <w:proofErr w:type="gramEnd"/>
      <w:r>
        <w:rPr>
          <w:rFonts w:ascii="Arial" w:hAnsi="Arial" w:cs="Arial"/>
          <w:b/>
          <w:color w:val="000000" w:themeColor="text1"/>
          <w:sz w:val="16"/>
          <w:szCs w:val="16"/>
          <w:lang w:eastAsia="en-AU"/>
        </w:rPr>
        <w:t xml:space="preserve"> </w:t>
      </w:r>
    </w:p>
    <w:p w:rsidR="001B47A2" w:rsidRPr="001B47A2" w:rsidRDefault="006957E7" w:rsidP="006957E7">
      <w:pPr>
        <w:spacing w:after="0" w:line="240" w:lineRule="auto"/>
        <w:rPr>
          <w:rFonts w:ascii="Arial" w:eastAsiaTheme="minorHAnsi" w:hAnsi="Arial" w:cs="Arial"/>
          <w:iCs/>
          <w:sz w:val="16"/>
          <w:szCs w:val="16"/>
          <w:lang w:eastAsia="en-AU"/>
        </w:rPr>
        <w:sectPr w:rsidR="001B47A2" w:rsidRPr="001B47A2" w:rsidSect="00224F8A">
          <w:pgSz w:w="11906" w:h="16838" w:code="9"/>
          <w:pgMar w:top="1440" w:right="1440" w:bottom="1440" w:left="1440" w:header="1080" w:footer="835" w:gutter="0"/>
          <w:cols w:space="360"/>
          <w:noEndnote/>
          <w:docGrid w:linePitch="299"/>
        </w:sectPr>
      </w:pPr>
      <w:proofErr w:type="gramStart"/>
      <w:r w:rsidRPr="00E17A81">
        <w:rPr>
          <w:rFonts w:ascii="Arial" w:hAnsi="Arial" w:cs="Arial"/>
          <w:b/>
          <w:color w:val="000000" w:themeColor="text1"/>
          <w:sz w:val="16"/>
          <w:szCs w:val="16"/>
          <w:lang w:eastAsia="en-AU"/>
        </w:rPr>
        <w:t>Sources of Information</w:t>
      </w:r>
      <w:r w:rsidRPr="00E17A81">
        <w:rPr>
          <w:rFonts w:ascii="Arial" w:hAnsi="Arial" w:cs="Arial"/>
          <w:sz w:val="16"/>
          <w:szCs w:val="16"/>
          <w:lang w:eastAsia="en-AU"/>
        </w:rPr>
        <w:t>.</w:t>
      </w:r>
      <w:proofErr w:type="gramEnd"/>
      <w:r w:rsidRPr="00E17A81">
        <w:rPr>
          <w:rFonts w:ascii="Arial" w:eastAsiaTheme="minorHAnsi" w:hAnsi="Arial" w:cs="Arial"/>
          <w:color w:val="000000" w:themeColor="text1"/>
          <w:sz w:val="16"/>
          <w:szCs w:val="16"/>
        </w:rPr>
        <w:t xml:space="preserve"> </w:t>
      </w:r>
      <w:proofErr w:type="gramStart"/>
      <w:r w:rsidRPr="00E17A81">
        <w:rPr>
          <w:rFonts w:ascii="Arial" w:hAnsi="Arial" w:cs="Arial"/>
          <w:color w:val="000000" w:themeColor="text1"/>
          <w:sz w:val="16"/>
          <w:szCs w:val="16"/>
          <w:lang w:eastAsia="en-AU"/>
        </w:rPr>
        <w:t>Cowie et al. 2000, Flora of Australia Volume 2 2007</w:t>
      </w:r>
      <w:r w:rsidRPr="00E17A81">
        <w:rPr>
          <w:rFonts w:ascii="Arial" w:eastAsiaTheme="minorHAnsi" w:hAnsi="Arial" w:cs="Arial"/>
          <w:iCs/>
          <w:sz w:val="16"/>
          <w:szCs w:val="16"/>
          <w:lang w:eastAsia="en-AU"/>
        </w:rPr>
        <w:t>.</w:t>
      </w:r>
      <w:proofErr w:type="gramEnd"/>
    </w:p>
    <w:p w:rsidR="006957E7" w:rsidRPr="008C4BB7" w:rsidRDefault="006957E7" w:rsidP="006957E7">
      <w:pPr>
        <w:spacing w:after="0" w:line="240" w:lineRule="auto"/>
        <w:jc w:val="center"/>
        <w:rPr>
          <w:rFonts w:eastAsiaTheme="minorHAnsi"/>
          <w:b/>
          <w:i/>
          <w:sz w:val="36"/>
          <w:szCs w:val="36"/>
        </w:rPr>
      </w:pPr>
      <w:r w:rsidRPr="008C4BB7">
        <w:rPr>
          <w:rFonts w:eastAsiaTheme="minorHAnsi"/>
          <w:b/>
          <w:i/>
          <w:sz w:val="36"/>
          <w:szCs w:val="36"/>
        </w:rPr>
        <w:t>Pandanus spiralis</w:t>
      </w:r>
    </w:p>
    <w:p w:rsidR="006957E7" w:rsidRPr="008C4BB7" w:rsidRDefault="006957E7" w:rsidP="006957E7">
      <w:pPr>
        <w:spacing w:after="0" w:line="240" w:lineRule="auto"/>
        <w:jc w:val="center"/>
        <w:rPr>
          <w:rFonts w:eastAsiaTheme="minorHAnsi"/>
          <w:b/>
          <w:i/>
          <w:sz w:val="32"/>
          <w:szCs w:val="32"/>
        </w:rPr>
      </w:pPr>
      <w:proofErr w:type="gramStart"/>
      <w:r>
        <w:rPr>
          <w:rFonts w:ascii="Arial" w:eastAsiaTheme="minorHAnsi" w:hAnsi="Arial" w:cs="Arial"/>
          <w:b/>
          <w:sz w:val="32"/>
          <w:szCs w:val="32"/>
        </w:rPr>
        <w:t>a</w:t>
      </w:r>
      <w:r w:rsidRPr="008C4BB7">
        <w:rPr>
          <w:rFonts w:ascii="Arial" w:eastAsiaTheme="minorHAnsi" w:hAnsi="Arial" w:cs="Arial"/>
          <w:b/>
          <w:sz w:val="32"/>
          <w:szCs w:val="32"/>
        </w:rPr>
        <w:t>nyagngarra</w:t>
      </w:r>
      <w:proofErr w:type="gramEnd"/>
    </w:p>
    <w:p w:rsidR="006957E7" w:rsidRPr="008C4BB7" w:rsidRDefault="006957E7" w:rsidP="00F172F2">
      <w:pPr>
        <w:spacing w:after="0" w:line="240" w:lineRule="auto"/>
        <w:jc w:val="left"/>
        <w:rPr>
          <w:rFonts w:ascii="Arial" w:eastAsiaTheme="minorHAnsi" w:hAnsi="Arial" w:cs="Arial"/>
          <w:b/>
          <w:bCs/>
          <w:iCs/>
          <w:kern w:val="36"/>
          <w:szCs w:val="24"/>
          <w:lang w:eastAsia="en-AU"/>
        </w:rPr>
      </w:pPr>
      <w:r w:rsidRPr="008C4BB7">
        <w:rPr>
          <w:rFonts w:ascii="Arial" w:eastAsiaTheme="minorHAnsi" w:hAnsi="Arial" w:cs="Arial"/>
          <w:b/>
          <w:bCs/>
          <w:iCs/>
          <w:kern w:val="36"/>
          <w:szCs w:val="24"/>
          <w:lang w:eastAsia="en-AU"/>
        </w:rPr>
        <w:t>TREE</w:t>
      </w:r>
    </w:p>
    <w:tbl>
      <w:tblPr>
        <w:tblW w:w="0" w:type="auto"/>
        <w:jc w:val="center"/>
        <w:tblLayout w:type="fixed"/>
        <w:tblLook w:val="04A0"/>
      </w:tblPr>
      <w:tblGrid>
        <w:gridCol w:w="2694"/>
        <w:gridCol w:w="2693"/>
        <w:gridCol w:w="3969"/>
      </w:tblGrid>
      <w:tr w:rsidR="006957E7" w:rsidRPr="008C4BB7" w:rsidTr="00224F8A">
        <w:trPr>
          <w:trHeight w:val="4332"/>
          <w:jc w:val="center"/>
        </w:trPr>
        <w:tc>
          <w:tcPr>
            <w:tcW w:w="2694" w:type="dxa"/>
          </w:tcPr>
          <w:p w:rsidR="006957E7" w:rsidRPr="008C4BB7" w:rsidRDefault="006957E7" w:rsidP="00224F8A">
            <w:pPr>
              <w:spacing w:after="0" w:line="240" w:lineRule="auto"/>
              <w:jc w:val="center"/>
              <w:rPr>
                <w:rFonts w:ascii="Arial" w:hAnsi="Arial" w:cs="Arial"/>
                <w:b/>
                <w:bCs/>
                <w:color w:val="E36C0A" w:themeColor="accent6" w:themeShade="BF"/>
                <w:kern w:val="36"/>
                <w:lang w:eastAsia="en-AU"/>
              </w:rPr>
            </w:pPr>
            <w:r w:rsidRPr="008C4BB7">
              <w:rPr>
                <w:rFonts w:ascii="Arial" w:hAnsi="Arial" w:cs="Arial"/>
                <w:b/>
                <w:bCs/>
                <w:noProof/>
                <w:color w:val="E36C0A" w:themeColor="accent6" w:themeShade="BF"/>
                <w:kern w:val="36"/>
                <w:lang w:eastAsia="en-AU"/>
              </w:rPr>
              <w:drawing>
                <wp:inline distT="0" distB="0" distL="0" distR="0">
                  <wp:extent cx="1579953" cy="2369930"/>
                  <wp:effectExtent l="19050" t="0" r="1197" b="0"/>
                  <wp:docPr id="303" name="Picture 11" descr="fru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ruit.jpg"/>
                          <pic:cNvPicPr/>
                        </pic:nvPicPr>
                        <pic:blipFill>
                          <a:blip r:embed="rId234" cstate="screen"/>
                          <a:stretch>
                            <a:fillRect/>
                          </a:stretch>
                        </pic:blipFill>
                        <pic:spPr>
                          <a:xfrm>
                            <a:off x="0" y="0"/>
                            <a:ext cx="1589917" cy="2384877"/>
                          </a:xfrm>
                          <a:prstGeom prst="rect">
                            <a:avLst/>
                          </a:prstGeom>
                        </pic:spPr>
                      </pic:pic>
                    </a:graphicData>
                  </a:graphic>
                </wp:inline>
              </w:drawing>
            </w:r>
          </w:p>
          <w:p w:rsidR="006957E7" w:rsidRPr="008C4BB7" w:rsidRDefault="006957E7" w:rsidP="00224F8A">
            <w:pPr>
              <w:spacing w:after="0" w:line="240" w:lineRule="auto"/>
              <w:jc w:val="center"/>
              <w:rPr>
                <w:rFonts w:ascii="Arial" w:hAnsi="Arial" w:cs="Arial"/>
                <w:b/>
                <w:bCs/>
                <w:color w:val="E36C0A" w:themeColor="accent6" w:themeShade="BF"/>
                <w:kern w:val="36"/>
                <w:sz w:val="18"/>
                <w:szCs w:val="18"/>
                <w:lang w:eastAsia="en-AU"/>
              </w:rPr>
            </w:pPr>
            <w:r w:rsidRPr="008C4BB7">
              <w:rPr>
                <w:rFonts w:ascii="Arial" w:hAnsi="Arial" w:cs="Arial"/>
                <w:b/>
                <w:bCs/>
                <w:color w:val="000000" w:themeColor="text1"/>
                <w:kern w:val="36"/>
                <w:sz w:val="18"/>
                <w:szCs w:val="18"/>
                <w:lang w:eastAsia="en-AU"/>
              </w:rPr>
              <w:t>Kernels embedded within the woody fruits</w:t>
            </w:r>
          </w:p>
        </w:tc>
        <w:tc>
          <w:tcPr>
            <w:tcW w:w="2693" w:type="dxa"/>
          </w:tcPr>
          <w:p w:rsidR="006957E7" w:rsidRPr="008C4BB7" w:rsidRDefault="006957E7" w:rsidP="00224F8A">
            <w:pPr>
              <w:spacing w:after="0" w:line="240" w:lineRule="auto"/>
              <w:jc w:val="center"/>
              <w:rPr>
                <w:rFonts w:ascii="Arial" w:hAnsi="Arial" w:cs="Arial"/>
                <w:b/>
                <w:bCs/>
                <w:color w:val="E36C0A" w:themeColor="accent6" w:themeShade="BF"/>
                <w:kern w:val="36"/>
                <w:lang w:eastAsia="en-AU"/>
              </w:rPr>
            </w:pPr>
            <w:r w:rsidRPr="008C4BB7">
              <w:rPr>
                <w:rFonts w:ascii="Arial" w:hAnsi="Arial" w:cs="Arial"/>
                <w:b/>
                <w:bCs/>
                <w:noProof/>
                <w:color w:val="E36C0A" w:themeColor="accent6" w:themeShade="BF"/>
                <w:kern w:val="36"/>
                <w:lang w:eastAsia="en-AU"/>
              </w:rPr>
              <w:drawing>
                <wp:inline distT="0" distB="0" distL="0" distR="0">
                  <wp:extent cx="1570378" cy="2347846"/>
                  <wp:effectExtent l="19050" t="0" r="0" b="0"/>
                  <wp:docPr id="304" name="Picture 0" descr="Cabbage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bage 1.jpg"/>
                          <pic:cNvPicPr/>
                        </pic:nvPicPr>
                        <pic:blipFill>
                          <a:blip r:embed="rId235" cstate="screen"/>
                          <a:stretch>
                            <a:fillRect/>
                          </a:stretch>
                        </pic:blipFill>
                        <pic:spPr>
                          <a:xfrm>
                            <a:off x="0" y="0"/>
                            <a:ext cx="1571861" cy="2350064"/>
                          </a:xfrm>
                          <a:prstGeom prst="rect">
                            <a:avLst/>
                          </a:prstGeom>
                        </pic:spPr>
                      </pic:pic>
                    </a:graphicData>
                  </a:graphic>
                </wp:inline>
              </w:drawing>
            </w:r>
          </w:p>
          <w:p w:rsidR="006957E7" w:rsidRPr="008C4BB7" w:rsidRDefault="006957E7" w:rsidP="00224F8A">
            <w:pPr>
              <w:spacing w:after="0" w:line="240" w:lineRule="auto"/>
              <w:jc w:val="center"/>
              <w:rPr>
                <w:rFonts w:ascii="Arial" w:hAnsi="Arial" w:cs="Arial"/>
                <w:b/>
                <w:bCs/>
                <w:color w:val="E36C0A" w:themeColor="accent6" w:themeShade="BF"/>
                <w:kern w:val="36"/>
                <w:lang w:eastAsia="en-AU"/>
              </w:rPr>
            </w:pPr>
            <w:r w:rsidRPr="008C4BB7">
              <w:rPr>
                <w:rFonts w:ascii="Arial" w:hAnsi="Arial" w:cs="Arial"/>
                <w:b/>
                <w:sz w:val="18"/>
                <w:szCs w:val="18"/>
              </w:rPr>
              <w:t>Pale bases from newest leaves cut from stem and eaten</w:t>
            </w:r>
          </w:p>
        </w:tc>
        <w:tc>
          <w:tcPr>
            <w:tcW w:w="3969" w:type="dxa"/>
          </w:tcPr>
          <w:p w:rsidR="006957E7" w:rsidRPr="008C4BB7" w:rsidRDefault="006957E7" w:rsidP="00224F8A">
            <w:pPr>
              <w:spacing w:after="0" w:line="240" w:lineRule="auto"/>
              <w:jc w:val="center"/>
              <w:rPr>
                <w:rFonts w:ascii="Arial" w:hAnsi="Arial" w:cs="Arial"/>
                <w:b/>
                <w:bCs/>
                <w:color w:val="E36C0A" w:themeColor="accent6" w:themeShade="BF"/>
                <w:kern w:val="36"/>
                <w:lang w:eastAsia="en-AU"/>
              </w:rPr>
            </w:pPr>
            <w:r w:rsidRPr="008C4BB7">
              <w:rPr>
                <w:rFonts w:ascii="Arial" w:hAnsi="Arial" w:cs="Arial"/>
                <w:b/>
                <w:bCs/>
                <w:noProof/>
                <w:color w:val="E36C0A" w:themeColor="accent6" w:themeShade="BF"/>
                <w:kern w:val="36"/>
                <w:lang w:eastAsia="en-AU"/>
              </w:rPr>
              <w:drawing>
                <wp:inline distT="0" distB="0" distL="0" distR="0">
                  <wp:extent cx="2398505" cy="2343886"/>
                  <wp:effectExtent l="19050" t="0" r="1795" b="0"/>
                  <wp:docPr id="305" name="Picture 1" descr="Pandanus spiralis fruit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ndanus spiralis fruit 2.jpg"/>
                          <pic:cNvPicPr/>
                        </pic:nvPicPr>
                        <pic:blipFill>
                          <a:blip r:embed="rId236" cstate="screen"/>
                          <a:stretch>
                            <a:fillRect/>
                          </a:stretch>
                        </pic:blipFill>
                        <pic:spPr>
                          <a:xfrm>
                            <a:off x="0" y="0"/>
                            <a:ext cx="2399820" cy="2345171"/>
                          </a:xfrm>
                          <a:prstGeom prst="rect">
                            <a:avLst/>
                          </a:prstGeom>
                        </pic:spPr>
                      </pic:pic>
                    </a:graphicData>
                  </a:graphic>
                </wp:inline>
              </w:drawing>
            </w:r>
          </w:p>
          <w:p w:rsidR="006957E7" w:rsidRPr="008C4BB7" w:rsidRDefault="006957E7" w:rsidP="00224F8A">
            <w:pPr>
              <w:spacing w:after="0" w:line="240" w:lineRule="auto"/>
              <w:jc w:val="center"/>
              <w:rPr>
                <w:rFonts w:ascii="Arial" w:hAnsi="Arial" w:cs="Arial"/>
                <w:b/>
                <w:bCs/>
                <w:color w:val="E36C0A" w:themeColor="accent6" w:themeShade="BF"/>
                <w:kern w:val="36"/>
                <w:lang w:eastAsia="en-AU"/>
              </w:rPr>
            </w:pPr>
            <w:r w:rsidRPr="008C4BB7">
              <w:rPr>
                <w:rFonts w:ascii="Arial" w:hAnsi="Arial" w:cs="Arial"/>
                <w:b/>
                <w:sz w:val="18"/>
                <w:szCs w:val="18"/>
              </w:rPr>
              <w:t>Fresh fruits chewed and sucked for juice. Fruit crushed, soaked in water and the liquid drunk</w:t>
            </w:r>
          </w:p>
        </w:tc>
      </w:tr>
    </w:tbl>
    <w:p w:rsidR="006957E7" w:rsidRPr="00D7716A" w:rsidRDefault="006957E7" w:rsidP="00F172F2">
      <w:pPr>
        <w:tabs>
          <w:tab w:val="left" w:pos="6300"/>
        </w:tabs>
        <w:spacing w:before="240" w:after="0" w:line="240" w:lineRule="auto"/>
        <w:rPr>
          <w:rFonts w:ascii="Arial" w:hAnsi="Arial" w:cs="Arial"/>
          <w:bCs/>
          <w:iCs/>
          <w:color w:val="000000" w:themeColor="text1"/>
          <w:kern w:val="36"/>
          <w:sz w:val="20"/>
          <w:lang w:eastAsia="en-AU"/>
        </w:rPr>
      </w:pPr>
      <w:r w:rsidRPr="00D7716A">
        <w:rPr>
          <w:rFonts w:ascii="Arial" w:hAnsi="Arial" w:cs="Arial"/>
          <w:b/>
          <w:bCs/>
          <w:iCs/>
          <w:color w:val="000000" w:themeColor="text1"/>
          <w:kern w:val="36"/>
          <w:sz w:val="20"/>
          <w:lang w:eastAsia="en-AU"/>
        </w:rPr>
        <w:t>SEEDS:</w:t>
      </w:r>
      <w:r w:rsidRPr="00D7716A">
        <w:rPr>
          <w:rFonts w:ascii="Arial" w:eastAsiaTheme="minorHAnsi" w:hAnsi="Arial" w:cs="Arial"/>
          <w:b/>
          <w:sz w:val="20"/>
        </w:rPr>
        <w:t xml:space="preserve"> </w:t>
      </w:r>
      <w:r w:rsidRPr="00D7716A">
        <w:rPr>
          <w:rFonts w:ascii="Arial" w:eastAsiaTheme="minorHAnsi" w:hAnsi="Arial" w:cs="Arial"/>
          <w:b/>
          <w:color w:val="00B050"/>
          <w:sz w:val="20"/>
        </w:rPr>
        <w:t>Eaten Food.</w:t>
      </w:r>
      <w:r w:rsidR="00F172F2">
        <w:rPr>
          <w:rFonts w:ascii="Arial" w:eastAsiaTheme="minorHAnsi" w:hAnsi="Arial" w:cs="Arial"/>
          <w:sz w:val="20"/>
        </w:rPr>
        <w:t xml:space="preserve"> </w:t>
      </w:r>
      <w:proofErr w:type="gramStart"/>
      <w:r w:rsidR="00F172F2">
        <w:rPr>
          <w:rFonts w:ascii="Arial" w:eastAsiaTheme="minorHAnsi" w:hAnsi="Arial" w:cs="Arial"/>
          <w:sz w:val="20"/>
        </w:rPr>
        <w:t>Gurrung</w:t>
      </w:r>
      <w:r w:rsidRPr="00D7716A">
        <w:rPr>
          <w:rFonts w:ascii="Arial" w:eastAsiaTheme="minorHAnsi" w:hAnsi="Arial" w:cs="Arial"/>
          <w:sz w:val="20"/>
        </w:rPr>
        <w:t xml:space="preserve"> </w:t>
      </w:r>
      <w:r w:rsidRPr="00D7716A">
        <w:rPr>
          <w:rFonts w:ascii="Arial" w:hAnsi="Arial" w:cs="Arial"/>
          <w:bCs/>
          <w:iCs/>
          <w:color w:val="000000" w:themeColor="text1"/>
          <w:kern w:val="36"/>
          <w:sz w:val="20"/>
          <w:lang w:eastAsia="en-AU"/>
        </w:rPr>
        <w:t>(Aug</w:t>
      </w:r>
      <w:r w:rsidR="00F172F2">
        <w:rPr>
          <w:rFonts w:ascii="Arial" w:hAnsi="Arial" w:cs="Arial"/>
          <w:bCs/>
          <w:iCs/>
          <w:color w:val="000000" w:themeColor="text1"/>
          <w:kern w:val="36"/>
          <w:sz w:val="20"/>
          <w:lang w:eastAsia="en-AU"/>
        </w:rPr>
        <w:t>ust</w:t>
      </w:r>
      <w:r w:rsidRPr="00D7716A">
        <w:rPr>
          <w:rFonts w:ascii="Arial" w:hAnsi="Arial" w:cs="Arial"/>
          <w:bCs/>
          <w:iCs/>
          <w:color w:val="000000" w:themeColor="text1"/>
          <w:kern w:val="36"/>
          <w:sz w:val="20"/>
          <w:lang w:eastAsia="en-AU"/>
        </w:rPr>
        <w:t xml:space="preserve"> – Sep</w:t>
      </w:r>
      <w:r w:rsidR="00F172F2">
        <w:rPr>
          <w:rFonts w:ascii="Arial" w:hAnsi="Arial" w:cs="Arial"/>
          <w:bCs/>
          <w:iCs/>
          <w:color w:val="000000" w:themeColor="text1"/>
          <w:kern w:val="36"/>
          <w:sz w:val="20"/>
          <w:lang w:eastAsia="en-AU"/>
        </w:rPr>
        <w:t>tember</w:t>
      </w:r>
      <w:r w:rsidRPr="00D7716A">
        <w:rPr>
          <w:rFonts w:ascii="Arial" w:hAnsi="Arial" w:cs="Arial"/>
          <w:bCs/>
          <w:iCs/>
          <w:color w:val="000000" w:themeColor="text1"/>
          <w:kern w:val="36"/>
          <w:sz w:val="20"/>
          <w:lang w:eastAsia="en-AU"/>
        </w:rPr>
        <w:t>)</w:t>
      </w:r>
      <w:r w:rsidR="00F172F2">
        <w:rPr>
          <w:rFonts w:ascii="Arial" w:hAnsi="Arial" w:cs="Arial"/>
          <w:bCs/>
          <w:iCs/>
          <w:color w:val="000000" w:themeColor="text1"/>
          <w:kern w:val="36"/>
          <w:sz w:val="20"/>
          <w:lang w:eastAsia="en-AU"/>
        </w:rPr>
        <w:t>.</w:t>
      </w:r>
      <w:proofErr w:type="gramEnd"/>
    </w:p>
    <w:p w:rsidR="006957E7" w:rsidRPr="00157EE8" w:rsidRDefault="006957E7" w:rsidP="00F172F2">
      <w:pPr>
        <w:spacing w:line="240" w:lineRule="auto"/>
        <w:rPr>
          <w:rFonts w:ascii="Arial" w:eastAsiaTheme="minorHAnsi" w:hAnsi="Arial"/>
          <w:sz w:val="20"/>
        </w:rPr>
      </w:pPr>
      <w:proofErr w:type="gramStart"/>
      <w:r w:rsidRPr="00157EE8">
        <w:rPr>
          <w:rFonts w:ascii="Arial" w:eastAsiaTheme="minorHAnsi" w:hAnsi="Arial"/>
          <w:sz w:val="20"/>
        </w:rPr>
        <w:t>Kernel extracted from fruits and eaten raw or roasted.</w:t>
      </w:r>
      <w:proofErr w:type="gramEnd"/>
    </w:p>
    <w:p w:rsidR="006957E7" w:rsidRPr="00D7716A" w:rsidRDefault="006957E7" w:rsidP="00F172F2">
      <w:pPr>
        <w:spacing w:after="0" w:line="240" w:lineRule="auto"/>
        <w:rPr>
          <w:rFonts w:ascii="Arial" w:eastAsiaTheme="minorHAnsi" w:hAnsi="Arial" w:cs="Arial"/>
          <w:sz w:val="20"/>
        </w:rPr>
      </w:pPr>
      <w:r w:rsidRPr="00D7716A">
        <w:rPr>
          <w:rFonts w:ascii="Arial" w:hAnsi="Arial" w:cs="Arial"/>
          <w:b/>
          <w:bCs/>
          <w:iCs/>
          <w:color w:val="000000" w:themeColor="text1"/>
          <w:kern w:val="36"/>
          <w:sz w:val="20"/>
          <w:lang w:eastAsia="en-AU"/>
        </w:rPr>
        <w:t>LEAF BASE:</w:t>
      </w:r>
      <w:r w:rsidRPr="00D7716A">
        <w:rPr>
          <w:rFonts w:ascii="Arial" w:eastAsiaTheme="minorHAnsi" w:hAnsi="Arial" w:cs="Arial"/>
          <w:b/>
          <w:sz w:val="20"/>
        </w:rPr>
        <w:t xml:space="preserve"> </w:t>
      </w:r>
      <w:r w:rsidRPr="00D7716A">
        <w:rPr>
          <w:rFonts w:ascii="Arial" w:eastAsiaTheme="minorHAnsi" w:hAnsi="Arial" w:cs="Arial"/>
          <w:b/>
          <w:color w:val="00B050"/>
          <w:sz w:val="20"/>
        </w:rPr>
        <w:t>Eaten Food.</w:t>
      </w:r>
      <w:r w:rsidRPr="00D7716A">
        <w:rPr>
          <w:rFonts w:ascii="Arial" w:eastAsiaTheme="minorHAnsi" w:hAnsi="Arial" w:cs="Arial"/>
          <w:sz w:val="20"/>
        </w:rPr>
        <w:t xml:space="preserve"> Throughout the year</w:t>
      </w:r>
    </w:p>
    <w:tbl>
      <w:tblPr>
        <w:tblpPr w:leftFromText="180" w:rightFromText="180" w:vertAnchor="text" w:tblpX="6737" w:tblpY="1"/>
        <w:tblOverlap w:val="never"/>
        <w:tblW w:w="0" w:type="auto"/>
        <w:tblLook w:val="04A0"/>
      </w:tblPr>
      <w:tblGrid>
        <w:gridCol w:w="3116"/>
      </w:tblGrid>
      <w:tr w:rsidR="006957E7" w:rsidRPr="00D7716A" w:rsidTr="00224F8A">
        <w:tc>
          <w:tcPr>
            <w:tcW w:w="3116" w:type="dxa"/>
          </w:tcPr>
          <w:p w:rsidR="006957E7" w:rsidRPr="00D7716A" w:rsidRDefault="006957E7" w:rsidP="00F172F2">
            <w:pPr>
              <w:spacing w:after="0" w:line="240" w:lineRule="auto"/>
              <w:jc w:val="center"/>
              <w:rPr>
                <w:rFonts w:ascii="Arial" w:hAnsi="Arial" w:cs="Arial"/>
                <w:b/>
                <w:color w:val="000000" w:themeColor="text1"/>
                <w:lang w:eastAsia="en-AU"/>
              </w:rPr>
            </w:pPr>
            <w:r w:rsidRPr="00D7716A">
              <w:rPr>
                <w:rFonts w:ascii="Arial" w:hAnsi="Arial" w:cs="Arial"/>
                <w:b/>
                <w:noProof/>
                <w:color w:val="000000" w:themeColor="text1"/>
                <w:lang w:eastAsia="en-AU"/>
              </w:rPr>
              <w:drawing>
                <wp:inline distT="0" distB="0" distL="0" distR="0">
                  <wp:extent cx="1313367" cy="1970121"/>
                  <wp:effectExtent l="19050" t="0" r="1083" b="0"/>
                  <wp:docPr id="306" name="Picture 31" descr="Pandanus spiralis peduncle 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ndanus spiralis peduncle a.JPG"/>
                          <pic:cNvPicPr/>
                        </pic:nvPicPr>
                        <pic:blipFill>
                          <a:blip r:embed="rId237" cstate="screen"/>
                          <a:stretch>
                            <a:fillRect/>
                          </a:stretch>
                        </pic:blipFill>
                        <pic:spPr>
                          <a:xfrm>
                            <a:off x="0" y="0"/>
                            <a:ext cx="1327301" cy="1991022"/>
                          </a:xfrm>
                          <a:prstGeom prst="rect">
                            <a:avLst/>
                          </a:prstGeom>
                        </pic:spPr>
                      </pic:pic>
                    </a:graphicData>
                  </a:graphic>
                </wp:inline>
              </w:drawing>
            </w:r>
          </w:p>
          <w:p w:rsidR="006957E7" w:rsidRPr="00D7716A" w:rsidRDefault="006957E7" w:rsidP="00F172F2">
            <w:pPr>
              <w:spacing w:after="0" w:line="240" w:lineRule="auto"/>
              <w:jc w:val="center"/>
              <w:rPr>
                <w:rFonts w:ascii="Arial" w:hAnsi="Arial" w:cs="Arial"/>
                <w:b/>
                <w:color w:val="000000" w:themeColor="text1"/>
                <w:lang w:eastAsia="en-AU"/>
              </w:rPr>
            </w:pPr>
            <w:r w:rsidRPr="00BB1B3B">
              <w:rPr>
                <w:rFonts w:ascii="Arial" w:hAnsi="Arial" w:cs="Arial"/>
                <w:b/>
                <w:sz w:val="18"/>
                <w:szCs w:val="18"/>
              </w:rPr>
              <w:t>Fruit stalk (peduncle) can also be eaten after being lightly roasted</w:t>
            </w:r>
          </w:p>
          <w:p w:rsidR="006957E7" w:rsidRPr="00D7716A" w:rsidRDefault="006957E7" w:rsidP="00F172F2">
            <w:pPr>
              <w:spacing w:after="0" w:line="240" w:lineRule="auto"/>
              <w:jc w:val="center"/>
              <w:rPr>
                <w:rFonts w:ascii="Arial" w:hAnsi="Arial" w:cs="Arial"/>
                <w:b/>
                <w:color w:val="000000" w:themeColor="text1"/>
                <w:lang w:eastAsia="en-AU"/>
              </w:rPr>
            </w:pPr>
          </w:p>
        </w:tc>
      </w:tr>
      <w:tr w:rsidR="006957E7" w:rsidRPr="00D7716A" w:rsidTr="00224F8A">
        <w:tc>
          <w:tcPr>
            <w:tcW w:w="3116" w:type="dxa"/>
          </w:tcPr>
          <w:p w:rsidR="006957E7" w:rsidRPr="00D7716A" w:rsidRDefault="006957E7" w:rsidP="00F172F2">
            <w:pPr>
              <w:spacing w:after="0" w:line="240" w:lineRule="auto"/>
              <w:jc w:val="center"/>
              <w:rPr>
                <w:rFonts w:ascii="Arial" w:hAnsi="Arial" w:cs="Arial"/>
                <w:b/>
                <w:color w:val="000000" w:themeColor="text1"/>
                <w:lang w:eastAsia="en-AU"/>
              </w:rPr>
            </w:pPr>
            <w:r w:rsidRPr="00D7716A">
              <w:rPr>
                <w:rFonts w:ascii="Arial" w:hAnsi="Arial" w:cs="Arial"/>
                <w:b/>
                <w:noProof/>
                <w:color w:val="000000" w:themeColor="text1"/>
                <w:lang w:eastAsia="en-AU"/>
              </w:rPr>
              <w:drawing>
                <wp:inline distT="0" distB="0" distL="0" distR="0">
                  <wp:extent cx="1594098" cy="1546412"/>
                  <wp:effectExtent l="19050" t="0" r="6102" b="0"/>
                  <wp:docPr id="307"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049 crop.jpg"/>
                          <pic:cNvPicPr/>
                        </pic:nvPicPr>
                        <pic:blipFill>
                          <a:blip r:embed="rId238" cstate="screen">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606750" cy="1558686"/>
                          </a:xfrm>
                          <a:prstGeom prst="rect">
                            <a:avLst/>
                          </a:prstGeom>
                        </pic:spPr>
                      </pic:pic>
                    </a:graphicData>
                  </a:graphic>
                </wp:inline>
              </w:drawing>
            </w:r>
          </w:p>
          <w:p w:rsidR="006957E7" w:rsidRPr="00D7716A" w:rsidRDefault="006957E7" w:rsidP="00F172F2">
            <w:pPr>
              <w:spacing w:after="0" w:line="240" w:lineRule="auto"/>
              <w:jc w:val="center"/>
              <w:rPr>
                <w:rFonts w:ascii="Arial" w:hAnsi="Arial" w:cs="Arial"/>
                <w:b/>
                <w:color w:val="000000" w:themeColor="text1"/>
                <w:lang w:eastAsia="en-AU"/>
              </w:rPr>
            </w:pPr>
            <w:r w:rsidRPr="00BB1B3B">
              <w:rPr>
                <w:rFonts w:ascii="Arial" w:hAnsi="Arial" w:cs="Arial"/>
                <w:b/>
                <w:sz w:val="18"/>
                <w:szCs w:val="18"/>
              </w:rPr>
              <w:t>Distinctive tree</w:t>
            </w:r>
          </w:p>
        </w:tc>
      </w:tr>
    </w:tbl>
    <w:p w:rsidR="006957E7" w:rsidRPr="00157EE8" w:rsidRDefault="006957E7" w:rsidP="00F172F2">
      <w:pPr>
        <w:spacing w:line="240" w:lineRule="auto"/>
        <w:rPr>
          <w:rFonts w:ascii="Arial" w:hAnsi="Arial"/>
          <w:sz w:val="20"/>
          <w:lang w:eastAsia="en-AU"/>
        </w:rPr>
      </w:pPr>
      <w:r w:rsidRPr="00157EE8">
        <w:rPr>
          <w:rFonts w:ascii="Arial" w:eastAsiaTheme="minorHAnsi" w:hAnsi="Arial"/>
          <w:sz w:val="20"/>
        </w:rPr>
        <w:t>White, moist bases of fronds can be eaten.</w:t>
      </w:r>
    </w:p>
    <w:p w:rsidR="006957E7" w:rsidRPr="00D7716A" w:rsidRDefault="006957E7" w:rsidP="00F172F2">
      <w:pPr>
        <w:spacing w:after="0" w:line="240" w:lineRule="auto"/>
        <w:rPr>
          <w:rFonts w:ascii="Arial" w:hAnsi="Arial" w:cs="Arial"/>
          <w:bCs/>
          <w:iCs/>
          <w:color w:val="000000" w:themeColor="text1"/>
          <w:kern w:val="36"/>
          <w:sz w:val="20"/>
          <w:lang w:eastAsia="en-AU"/>
        </w:rPr>
      </w:pPr>
      <w:r w:rsidRPr="00D7716A">
        <w:rPr>
          <w:rFonts w:ascii="Arial" w:hAnsi="Arial" w:cs="Arial"/>
          <w:b/>
          <w:bCs/>
          <w:iCs/>
          <w:color w:val="000000" w:themeColor="text1"/>
          <w:kern w:val="36"/>
          <w:sz w:val="20"/>
          <w:lang w:eastAsia="en-AU"/>
        </w:rPr>
        <w:t>FRUIT:</w:t>
      </w:r>
      <w:r w:rsidRPr="00D7716A">
        <w:rPr>
          <w:rFonts w:ascii="Arial" w:eastAsiaTheme="minorHAnsi" w:hAnsi="Arial" w:cs="Arial"/>
          <w:b/>
          <w:sz w:val="20"/>
        </w:rPr>
        <w:t xml:space="preserve"> </w:t>
      </w:r>
      <w:r w:rsidRPr="00D7716A">
        <w:rPr>
          <w:rFonts w:ascii="Arial" w:eastAsiaTheme="minorHAnsi" w:hAnsi="Arial" w:cs="Arial"/>
          <w:b/>
          <w:color w:val="00B050"/>
          <w:sz w:val="20"/>
        </w:rPr>
        <w:t>Eaten Food.</w:t>
      </w:r>
      <w:r w:rsidR="00F172F2">
        <w:rPr>
          <w:rFonts w:ascii="Arial" w:eastAsiaTheme="minorHAnsi" w:hAnsi="Arial" w:cs="Arial"/>
          <w:sz w:val="20"/>
        </w:rPr>
        <w:t xml:space="preserve"> </w:t>
      </w:r>
      <w:proofErr w:type="gramStart"/>
      <w:r w:rsidR="00F172F2">
        <w:rPr>
          <w:rFonts w:ascii="Arial" w:eastAsiaTheme="minorHAnsi" w:hAnsi="Arial" w:cs="Arial"/>
          <w:sz w:val="20"/>
        </w:rPr>
        <w:t>Gurrung</w:t>
      </w:r>
      <w:r w:rsidRPr="00D7716A">
        <w:rPr>
          <w:rFonts w:ascii="Arial" w:eastAsiaTheme="minorHAnsi" w:hAnsi="Arial" w:cs="Arial"/>
          <w:sz w:val="20"/>
        </w:rPr>
        <w:t xml:space="preserve"> </w:t>
      </w:r>
      <w:r w:rsidRPr="00D7716A">
        <w:rPr>
          <w:rFonts w:ascii="Arial" w:hAnsi="Arial" w:cs="Arial"/>
          <w:bCs/>
          <w:iCs/>
          <w:color w:val="000000" w:themeColor="text1"/>
          <w:kern w:val="36"/>
          <w:sz w:val="20"/>
          <w:lang w:eastAsia="en-AU"/>
        </w:rPr>
        <w:t>(Aug</w:t>
      </w:r>
      <w:r w:rsidR="00F172F2">
        <w:rPr>
          <w:rFonts w:ascii="Arial" w:hAnsi="Arial" w:cs="Arial"/>
          <w:bCs/>
          <w:iCs/>
          <w:color w:val="000000" w:themeColor="text1"/>
          <w:kern w:val="36"/>
          <w:sz w:val="20"/>
          <w:lang w:eastAsia="en-AU"/>
        </w:rPr>
        <w:t>ust</w:t>
      </w:r>
      <w:r w:rsidRPr="00D7716A">
        <w:rPr>
          <w:rFonts w:ascii="Arial" w:hAnsi="Arial" w:cs="Arial"/>
          <w:bCs/>
          <w:iCs/>
          <w:color w:val="000000" w:themeColor="text1"/>
          <w:kern w:val="36"/>
          <w:sz w:val="20"/>
          <w:lang w:eastAsia="en-AU"/>
        </w:rPr>
        <w:t xml:space="preserve"> – Sep</w:t>
      </w:r>
      <w:r w:rsidR="00F172F2">
        <w:rPr>
          <w:rFonts w:ascii="Arial" w:hAnsi="Arial" w:cs="Arial"/>
          <w:bCs/>
          <w:iCs/>
          <w:color w:val="000000" w:themeColor="text1"/>
          <w:kern w:val="36"/>
          <w:sz w:val="20"/>
          <w:lang w:eastAsia="en-AU"/>
        </w:rPr>
        <w:t>tember</w:t>
      </w:r>
      <w:r w:rsidRPr="00D7716A">
        <w:rPr>
          <w:rFonts w:ascii="Arial" w:hAnsi="Arial" w:cs="Arial"/>
          <w:bCs/>
          <w:iCs/>
          <w:color w:val="000000" w:themeColor="text1"/>
          <w:kern w:val="36"/>
          <w:sz w:val="20"/>
          <w:lang w:eastAsia="en-AU"/>
        </w:rPr>
        <w:t>)</w:t>
      </w:r>
      <w:r w:rsidR="00F172F2">
        <w:rPr>
          <w:rFonts w:ascii="Arial" w:hAnsi="Arial" w:cs="Arial"/>
          <w:bCs/>
          <w:iCs/>
          <w:color w:val="000000" w:themeColor="text1"/>
          <w:kern w:val="36"/>
          <w:sz w:val="20"/>
          <w:lang w:eastAsia="en-AU"/>
        </w:rPr>
        <w:t>.</w:t>
      </w:r>
      <w:proofErr w:type="gramEnd"/>
    </w:p>
    <w:p w:rsidR="006957E7" w:rsidRPr="00157EE8" w:rsidRDefault="006957E7" w:rsidP="00F172F2">
      <w:pPr>
        <w:spacing w:line="240" w:lineRule="auto"/>
        <w:rPr>
          <w:rFonts w:ascii="Arial" w:eastAsiaTheme="minorHAnsi" w:hAnsi="Arial"/>
          <w:sz w:val="20"/>
        </w:rPr>
      </w:pPr>
      <w:r w:rsidRPr="00157EE8">
        <w:rPr>
          <w:rFonts w:ascii="Arial" w:eastAsiaTheme="minorHAnsi" w:hAnsi="Arial"/>
          <w:sz w:val="20"/>
        </w:rPr>
        <w:t>Fresh fruits chewed and sucked for the juice. The skin of the fruit is also crushed, soaked in water and the liquid drunk.</w:t>
      </w:r>
    </w:p>
    <w:p w:rsidR="006957E7" w:rsidRPr="00D7716A" w:rsidRDefault="006957E7" w:rsidP="00F172F2">
      <w:pPr>
        <w:spacing w:after="0" w:line="240" w:lineRule="auto"/>
        <w:rPr>
          <w:rFonts w:ascii="Arial" w:eastAsiaTheme="minorHAnsi" w:hAnsi="Arial" w:cs="Arial"/>
          <w:b/>
          <w:sz w:val="20"/>
        </w:rPr>
      </w:pPr>
      <w:r w:rsidRPr="00D7716A">
        <w:rPr>
          <w:rFonts w:ascii="Arial" w:hAnsi="Arial" w:cs="Arial"/>
          <w:b/>
          <w:bCs/>
          <w:iCs/>
          <w:color w:val="000000" w:themeColor="text1"/>
          <w:kern w:val="36"/>
          <w:sz w:val="20"/>
          <w:lang w:eastAsia="en-AU"/>
        </w:rPr>
        <w:t xml:space="preserve">Habitat: </w:t>
      </w:r>
      <w:r w:rsidRPr="00D7716A">
        <w:rPr>
          <w:rFonts w:ascii="Arial" w:eastAsiaTheme="minorHAnsi" w:hAnsi="Arial" w:cs="Arial"/>
          <w:b/>
          <w:sz w:val="20"/>
        </w:rPr>
        <w:t>Lowland Woodland, Sandstone Woodland.</w:t>
      </w:r>
    </w:p>
    <w:p w:rsidR="006957E7" w:rsidRPr="00D7716A" w:rsidRDefault="006957E7" w:rsidP="00F172F2">
      <w:pPr>
        <w:spacing w:after="0" w:line="240" w:lineRule="auto"/>
        <w:rPr>
          <w:rFonts w:ascii="Arial" w:eastAsiaTheme="minorHAnsi" w:hAnsi="Arial" w:cs="Arial"/>
          <w:sz w:val="16"/>
          <w:szCs w:val="16"/>
        </w:rPr>
      </w:pPr>
      <w:proofErr w:type="gramStart"/>
      <w:r w:rsidRPr="00D7716A">
        <w:rPr>
          <w:rFonts w:ascii="Arial" w:hAnsi="Arial" w:cs="Arial"/>
          <w:b/>
          <w:color w:val="000000" w:themeColor="text1"/>
          <w:sz w:val="16"/>
          <w:szCs w:val="16"/>
          <w:lang w:eastAsia="en-AU"/>
        </w:rPr>
        <w:t>Sources of Information</w:t>
      </w:r>
      <w:r w:rsidRPr="00D7716A">
        <w:rPr>
          <w:rFonts w:ascii="Arial" w:hAnsi="Arial" w:cs="Arial"/>
          <w:sz w:val="16"/>
          <w:szCs w:val="16"/>
          <w:lang w:eastAsia="en-AU"/>
        </w:rPr>
        <w:t>.</w:t>
      </w:r>
      <w:proofErr w:type="gramEnd"/>
      <w:r w:rsidRPr="00D7716A">
        <w:rPr>
          <w:rFonts w:ascii="Arial" w:eastAsiaTheme="minorHAnsi" w:hAnsi="Arial" w:cs="Arial"/>
          <w:color w:val="000000" w:themeColor="text1"/>
          <w:sz w:val="16"/>
          <w:szCs w:val="16"/>
        </w:rPr>
        <w:t xml:space="preserve"> </w:t>
      </w:r>
      <w:proofErr w:type="gramStart"/>
      <w:r w:rsidRPr="00D7716A">
        <w:rPr>
          <w:rFonts w:ascii="Arial" w:eastAsiaTheme="minorHAnsi" w:hAnsi="Arial" w:cs="Arial"/>
          <w:sz w:val="16"/>
          <w:szCs w:val="16"/>
        </w:rPr>
        <w:t>Chaloupka &amp; Giuliani 1984, Lucas &amp; Russell-Smith 1993.</w:t>
      </w:r>
      <w:proofErr w:type="gramEnd"/>
    </w:p>
    <w:p w:rsidR="006957E7" w:rsidRPr="00D7716A" w:rsidRDefault="006957E7" w:rsidP="006957E7">
      <w:pPr>
        <w:spacing w:before="240" w:after="0" w:line="240" w:lineRule="auto"/>
        <w:rPr>
          <w:rFonts w:ascii="Arial" w:hAnsi="Arial" w:cs="Arial"/>
          <w:b/>
          <w:i/>
          <w:color w:val="000000" w:themeColor="text1"/>
          <w:szCs w:val="24"/>
          <w:lang w:eastAsia="en-AU"/>
        </w:rPr>
      </w:pPr>
      <w:r w:rsidRPr="00D7716A">
        <w:rPr>
          <w:rFonts w:ascii="Arial" w:hAnsi="Arial" w:cs="Arial"/>
          <w:b/>
          <w:i/>
          <w:color w:val="000000" w:themeColor="text1"/>
          <w:szCs w:val="24"/>
          <w:lang w:eastAsia="en-AU"/>
        </w:rPr>
        <w:t>Pandanus spiralis</w:t>
      </w:r>
      <w:r w:rsidR="00F172F2">
        <w:rPr>
          <w:rFonts w:ascii="Arial" w:hAnsi="Arial" w:cs="Arial"/>
          <w:b/>
          <w:i/>
          <w:color w:val="000000" w:themeColor="text1"/>
          <w:szCs w:val="24"/>
          <w:lang w:eastAsia="en-AU"/>
        </w:rPr>
        <w:t xml:space="preserve"> </w:t>
      </w:r>
      <w:r w:rsidR="00F172F2" w:rsidRPr="001621F3">
        <w:rPr>
          <w:rFonts w:ascii="Arial" w:hAnsi="Arial" w:cs="Arial"/>
          <w:b/>
          <w:color w:val="000000" w:themeColor="text1"/>
          <w:szCs w:val="24"/>
          <w:lang w:eastAsia="en-AU"/>
        </w:rPr>
        <w:t>(Pandanus)</w:t>
      </w:r>
    </w:p>
    <w:p w:rsidR="006957E7" w:rsidRPr="00D7716A" w:rsidRDefault="006957E7" w:rsidP="006957E7">
      <w:pPr>
        <w:spacing w:after="0" w:line="240" w:lineRule="auto"/>
        <w:rPr>
          <w:rFonts w:ascii="Arial" w:hAnsi="Arial" w:cs="Arial"/>
          <w:sz w:val="20"/>
          <w:lang w:eastAsia="en-AU"/>
        </w:rPr>
      </w:pPr>
      <w:r w:rsidRPr="00D7716A">
        <w:rPr>
          <w:rFonts w:ascii="Arial" w:hAnsi="Arial" w:cs="Arial"/>
          <w:b/>
          <w:sz w:val="20"/>
          <w:lang w:eastAsia="en-AU"/>
        </w:rPr>
        <w:t>Family:</w:t>
      </w:r>
      <w:r w:rsidR="00F172F2">
        <w:rPr>
          <w:rFonts w:ascii="Arial" w:hAnsi="Arial" w:cs="Arial"/>
          <w:sz w:val="20"/>
          <w:lang w:eastAsia="en-AU"/>
        </w:rPr>
        <w:t xml:space="preserve"> Pandanaceae</w:t>
      </w:r>
    </w:p>
    <w:p w:rsidR="006957E7" w:rsidRPr="00D7716A" w:rsidRDefault="006957E7" w:rsidP="006957E7">
      <w:pPr>
        <w:spacing w:after="0" w:line="240" w:lineRule="auto"/>
        <w:rPr>
          <w:rFonts w:ascii="Arial" w:hAnsi="Arial" w:cs="Arial"/>
          <w:sz w:val="20"/>
          <w:lang w:eastAsia="en-AU"/>
        </w:rPr>
      </w:pPr>
      <w:r w:rsidRPr="00D7716A">
        <w:rPr>
          <w:rFonts w:ascii="Arial" w:hAnsi="Arial" w:cs="Arial"/>
          <w:b/>
          <w:sz w:val="20"/>
          <w:lang w:eastAsia="en-AU"/>
        </w:rPr>
        <w:t>Habit:</w:t>
      </w:r>
      <w:r w:rsidRPr="00D7716A">
        <w:rPr>
          <w:rFonts w:ascii="Arial" w:hAnsi="Arial" w:cs="Arial"/>
          <w:color w:val="403152" w:themeColor="accent4" w:themeShade="80"/>
          <w:sz w:val="20"/>
          <w:lang w:eastAsia="en-AU"/>
        </w:rPr>
        <w:t xml:space="preserve"> </w:t>
      </w:r>
      <w:r w:rsidR="001621F3">
        <w:rPr>
          <w:rFonts w:ascii="Arial" w:hAnsi="Arial" w:cs="Arial"/>
          <w:sz w:val="20"/>
          <w:lang w:eastAsia="en-AU"/>
        </w:rPr>
        <w:t>d</w:t>
      </w:r>
      <w:r w:rsidRPr="00D7716A">
        <w:rPr>
          <w:rFonts w:ascii="Arial" w:hAnsi="Arial" w:cs="Arial"/>
          <w:sz w:val="20"/>
          <w:lang w:eastAsia="en-AU"/>
        </w:rPr>
        <w:t xml:space="preserve">istinctive tree to 8 metres high with prickly leaves and spirally marked </w:t>
      </w:r>
      <w:proofErr w:type="gramStart"/>
      <w:r w:rsidRPr="00D7716A">
        <w:rPr>
          <w:rFonts w:ascii="Arial" w:hAnsi="Arial" w:cs="Arial"/>
          <w:sz w:val="20"/>
          <w:lang w:eastAsia="en-AU"/>
        </w:rPr>
        <w:t>trunk,</w:t>
      </w:r>
      <w:proofErr w:type="gramEnd"/>
      <w:r w:rsidRPr="00D7716A">
        <w:rPr>
          <w:rFonts w:ascii="Arial" w:hAnsi="Arial" w:cs="Arial"/>
          <w:sz w:val="20"/>
          <w:lang w:eastAsia="en-AU"/>
        </w:rPr>
        <w:t xml:space="preserve"> does not have prop roots, often in small clumps, male and female plants.</w:t>
      </w:r>
    </w:p>
    <w:p w:rsidR="006957E7" w:rsidRPr="00D7716A" w:rsidRDefault="006957E7" w:rsidP="006957E7">
      <w:pPr>
        <w:spacing w:after="0" w:line="240" w:lineRule="auto"/>
        <w:rPr>
          <w:rFonts w:ascii="Arial" w:hAnsi="Arial" w:cs="Arial"/>
          <w:color w:val="403152" w:themeColor="accent4" w:themeShade="80"/>
          <w:sz w:val="20"/>
          <w:lang w:eastAsia="en-AU"/>
        </w:rPr>
      </w:pPr>
      <w:r w:rsidRPr="00D7716A">
        <w:rPr>
          <w:rFonts w:ascii="Arial" w:hAnsi="Arial" w:cs="Arial"/>
          <w:b/>
          <w:sz w:val="20"/>
          <w:lang w:eastAsia="en-AU"/>
        </w:rPr>
        <w:t>Leaves:</w:t>
      </w:r>
      <w:r w:rsidR="001621F3">
        <w:rPr>
          <w:rFonts w:ascii="Arial" w:hAnsi="Arial" w:cs="Arial"/>
          <w:sz w:val="20"/>
          <w:lang w:eastAsia="en-AU"/>
        </w:rPr>
        <w:t xml:space="preserve"> c</w:t>
      </w:r>
      <w:r w:rsidRPr="00D7716A">
        <w:rPr>
          <w:rFonts w:ascii="Arial" w:hAnsi="Arial" w:cs="Arial"/>
          <w:sz w:val="20"/>
          <w:lang w:eastAsia="en-AU"/>
        </w:rPr>
        <w:t>rowded spirally towards end of branches, stiff, thick, leathery, V-shaped, widest at base tapering to elongated pointed tip, 1.5-2 m long x 4-7 cm wide at base, bent downwards about third of length, numerous longitudinal veins, numerous small thorns along margins and back of mid-rib diminishing in size towards the apex.</w:t>
      </w:r>
    </w:p>
    <w:p w:rsidR="006957E7" w:rsidRPr="00D7716A" w:rsidRDefault="006957E7" w:rsidP="006957E7">
      <w:pPr>
        <w:spacing w:after="0" w:line="240" w:lineRule="auto"/>
        <w:rPr>
          <w:rFonts w:ascii="Arial" w:hAnsi="Arial" w:cs="Arial"/>
          <w:sz w:val="20"/>
          <w:lang w:eastAsia="en-AU"/>
        </w:rPr>
      </w:pPr>
      <w:proofErr w:type="gramStart"/>
      <w:r w:rsidRPr="00D7716A">
        <w:rPr>
          <w:rFonts w:ascii="Arial" w:hAnsi="Arial" w:cs="Arial"/>
          <w:b/>
          <w:sz w:val="20"/>
          <w:lang w:eastAsia="en-AU"/>
        </w:rPr>
        <w:t>Flowers:</w:t>
      </w:r>
      <w:r w:rsidR="001621F3">
        <w:rPr>
          <w:rFonts w:ascii="Arial" w:hAnsi="Arial" w:cs="Arial"/>
          <w:sz w:val="20"/>
          <w:lang w:eastAsia="en-AU"/>
        </w:rPr>
        <w:t xml:space="preserve"> m</w:t>
      </w:r>
      <w:r w:rsidRPr="00D7716A">
        <w:rPr>
          <w:rFonts w:ascii="Arial" w:hAnsi="Arial" w:cs="Arial"/>
          <w:sz w:val="20"/>
          <w:lang w:eastAsia="en-AU"/>
        </w:rPr>
        <w:t>ale and female flowers on separate plants, small, white, inconspicuous, in dense terminal spikes, 3-7 cm long, enclosed by leaf-like bracts.</w:t>
      </w:r>
      <w:proofErr w:type="gramEnd"/>
    </w:p>
    <w:p w:rsidR="006957E7" w:rsidRPr="00D7716A" w:rsidRDefault="006957E7" w:rsidP="006957E7">
      <w:pPr>
        <w:spacing w:after="0" w:line="240" w:lineRule="auto"/>
        <w:rPr>
          <w:rFonts w:ascii="Arial" w:hAnsi="Arial" w:cs="Arial"/>
          <w:color w:val="403152" w:themeColor="accent4" w:themeShade="80"/>
          <w:sz w:val="20"/>
          <w:lang w:eastAsia="en-AU"/>
        </w:rPr>
      </w:pPr>
      <w:r w:rsidRPr="00D7716A">
        <w:rPr>
          <w:rFonts w:ascii="Arial" w:hAnsi="Arial" w:cs="Arial"/>
          <w:b/>
          <w:sz w:val="20"/>
          <w:lang w:eastAsia="en-AU"/>
        </w:rPr>
        <w:t>Fruit:</w:t>
      </w:r>
      <w:r w:rsidR="001621F3">
        <w:rPr>
          <w:rFonts w:ascii="Arial" w:hAnsi="Arial" w:cs="Arial"/>
          <w:sz w:val="20"/>
          <w:lang w:eastAsia="en-AU"/>
        </w:rPr>
        <w:t xml:space="preserve"> l</w:t>
      </w:r>
      <w:r w:rsidRPr="00D7716A">
        <w:rPr>
          <w:rFonts w:ascii="Arial" w:hAnsi="Arial" w:cs="Arial"/>
          <w:sz w:val="20"/>
          <w:lang w:eastAsia="en-AU"/>
        </w:rPr>
        <w:t>arge, roundish composite clusters pendulous below the crown, 15-20 cm across, containing 8-25 individual wedge-shaped, woody fruits 50-70 mm x 50-80 mm, each with 7-10 edible seeds, deep orange-red when ripe but seeds eaten when fruit turns a brown colour.</w:t>
      </w:r>
    </w:p>
    <w:p w:rsidR="006957E7" w:rsidRPr="00D7716A" w:rsidRDefault="006957E7" w:rsidP="006957E7">
      <w:pPr>
        <w:spacing w:after="0" w:line="240" w:lineRule="auto"/>
        <w:rPr>
          <w:rFonts w:ascii="Arial" w:hAnsi="Arial" w:cs="Arial"/>
          <w:sz w:val="20"/>
          <w:lang w:eastAsia="en-AU"/>
        </w:rPr>
      </w:pPr>
      <w:r w:rsidRPr="00D7716A">
        <w:rPr>
          <w:rFonts w:ascii="Arial" w:hAnsi="Arial" w:cs="Arial"/>
          <w:b/>
          <w:sz w:val="20"/>
          <w:lang w:eastAsia="en-AU"/>
        </w:rPr>
        <w:t>Habitat:</w:t>
      </w:r>
      <w:r w:rsidR="001621F3">
        <w:rPr>
          <w:rFonts w:ascii="Arial" w:hAnsi="Arial" w:cs="Arial"/>
          <w:sz w:val="20"/>
          <w:lang w:eastAsia="en-AU"/>
        </w:rPr>
        <w:t xml:space="preserve"> s</w:t>
      </w:r>
      <w:r w:rsidRPr="00D7716A">
        <w:rPr>
          <w:rFonts w:ascii="Arial" w:hAnsi="Arial" w:cs="Arial"/>
          <w:sz w:val="20"/>
          <w:lang w:eastAsia="en-AU"/>
        </w:rPr>
        <w:t>wamps, billabongs and fringes of floodplains, beside freshwater streams, open forest and woodland.</w:t>
      </w:r>
    </w:p>
    <w:p w:rsidR="006957E7" w:rsidRPr="00D7716A" w:rsidRDefault="006957E7" w:rsidP="006957E7">
      <w:pPr>
        <w:spacing w:after="0" w:line="240" w:lineRule="auto"/>
        <w:rPr>
          <w:rFonts w:ascii="Arial" w:hAnsi="Arial" w:cs="Arial"/>
          <w:sz w:val="20"/>
          <w:lang w:eastAsia="en-AU"/>
        </w:rPr>
      </w:pPr>
      <w:proofErr w:type="gramStart"/>
      <w:r w:rsidRPr="00D7716A">
        <w:rPr>
          <w:rFonts w:ascii="Arial" w:hAnsi="Arial" w:cs="Arial"/>
          <w:b/>
          <w:sz w:val="20"/>
          <w:lang w:eastAsia="en-AU"/>
        </w:rPr>
        <w:t>Flowering:</w:t>
      </w:r>
      <w:r w:rsidRPr="00D7716A">
        <w:rPr>
          <w:rFonts w:ascii="Arial" w:hAnsi="Arial" w:cs="Arial"/>
          <w:color w:val="000000" w:themeColor="text1"/>
          <w:sz w:val="20"/>
          <w:lang w:eastAsia="en-AU"/>
        </w:rPr>
        <w:t xml:space="preserve"> </w:t>
      </w:r>
      <w:r w:rsidRPr="00D7716A">
        <w:rPr>
          <w:rFonts w:ascii="Arial" w:hAnsi="Arial" w:cs="Arial"/>
          <w:sz w:val="20"/>
          <w:lang w:eastAsia="en-AU"/>
        </w:rPr>
        <w:t>April - July.</w:t>
      </w:r>
      <w:proofErr w:type="gramEnd"/>
    </w:p>
    <w:p w:rsidR="006957E7" w:rsidRPr="00D7716A" w:rsidRDefault="006957E7" w:rsidP="006957E7">
      <w:pPr>
        <w:spacing w:after="0" w:line="240" w:lineRule="auto"/>
        <w:rPr>
          <w:rFonts w:ascii="Arial" w:hAnsi="Arial" w:cs="Arial"/>
          <w:sz w:val="20"/>
          <w:lang w:eastAsia="en-AU"/>
        </w:rPr>
      </w:pPr>
      <w:proofErr w:type="gramStart"/>
      <w:r w:rsidRPr="00D7716A">
        <w:rPr>
          <w:rFonts w:ascii="Arial" w:hAnsi="Arial" w:cs="Arial"/>
          <w:b/>
          <w:sz w:val="20"/>
          <w:lang w:eastAsia="en-AU"/>
        </w:rPr>
        <w:t>Fruiting:</w:t>
      </w:r>
      <w:r w:rsidRPr="00D7716A">
        <w:rPr>
          <w:rFonts w:ascii="Arial" w:hAnsi="Arial" w:cs="Arial"/>
          <w:sz w:val="20"/>
          <w:lang w:eastAsia="en-AU"/>
        </w:rPr>
        <w:t xml:space="preserve"> June – October.</w:t>
      </w:r>
      <w:proofErr w:type="gramEnd"/>
    </w:p>
    <w:p w:rsidR="006957E7" w:rsidRPr="00D7716A" w:rsidRDefault="006957E7" w:rsidP="006957E7">
      <w:pPr>
        <w:spacing w:after="240" w:line="240" w:lineRule="auto"/>
        <w:rPr>
          <w:rFonts w:ascii="Arial" w:eastAsiaTheme="minorHAnsi" w:hAnsi="Arial" w:cs="Arial"/>
          <w:color w:val="000000" w:themeColor="text1"/>
          <w:sz w:val="16"/>
          <w:szCs w:val="16"/>
        </w:rPr>
      </w:pPr>
      <w:proofErr w:type="gramStart"/>
      <w:r w:rsidRPr="00D7716A">
        <w:rPr>
          <w:rFonts w:ascii="Arial" w:hAnsi="Arial" w:cs="Arial"/>
          <w:b/>
          <w:color w:val="000000" w:themeColor="text1"/>
          <w:sz w:val="16"/>
          <w:szCs w:val="16"/>
          <w:lang w:eastAsia="en-AU"/>
        </w:rPr>
        <w:t>Sources of Information</w:t>
      </w:r>
      <w:r w:rsidRPr="00D7716A">
        <w:rPr>
          <w:rFonts w:ascii="Arial" w:hAnsi="Arial" w:cs="Arial"/>
          <w:szCs w:val="22"/>
          <w:lang w:eastAsia="en-AU"/>
        </w:rPr>
        <w:t>.</w:t>
      </w:r>
      <w:proofErr w:type="gramEnd"/>
      <w:r w:rsidRPr="00D7716A">
        <w:rPr>
          <w:rFonts w:ascii="Arial" w:hAnsi="Arial" w:cs="Arial"/>
          <w:color w:val="000000" w:themeColor="text1"/>
          <w:sz w:val="16"/>
          <w:szCs w:val="16"/>
          <w:lang w:eastAsia="en-AU"/>
        </w:rPr>
        <w:t xml:space="preserve"> </w:t>
      </w:r>
      <w:proofErr w:type="gramStart"/>
      <w:r w:rsidRPr="00D7716A">
        <w:rPr>
          <w:rFonts w:ascii="Arial" w:hAnsi="Arial" w:cs="Arial"/>
          <w:color w:val="000000" w:themeColor="text1"/>
          <w:sz w:val="16"/>
          <w:szCs w:val="16"/>
          <w:lang w:eastAsia="en-AU"/>
        </w:rPr>
        <w:t>B</w:t>
      </w:r>
      <w:r w:rsidRPr="00D7716A">
        <w:rPr>
          <w:rFonts w:ascii="Arial" w:eastAsiaTheme="minorHAnsi" w:hAnsi="Arial" w:cs="Arial"/>
          <w:color w:val="000000" w:themeColor="text1"/>
          <w:sz w:val="16"/>
          <w:szCs w:val="16"/>
        </w:rPr>
        <w:t xml:space="preserve">rock 2007, </w:t>
      </w:r>
      <w:r w:rsidRPr="00D7716A">
        <w:rPr>
          <w:rFonts w:ascii="Arial" w:hAnsi="Arial" w:cs="Arial"/>
          <w:color w:val="000000" w:themeColor="text1"/>
          <w:sz w:val="16"/>
          <w:szCs w:val="16"/>
          <w:lang w:eastAsia="en-AU"/>
        </w:rPr>
        <w:t xml:space="preserve">Cowie et al. 2000, </w:t>
      </w:r>
      <w:r w:rsidRPr="00D7716A">
        <w:rPr>
          <w:rFonts w:ascii="Arial" w:eastAsiaTheme="minorHAnsi" w:hAnsi="Arial" w:cs="Arial"/>
          <w:sz w:val="16"/>
          <w:szCs w:val="16"/>
          <w:lang w:eastAsia="en-AU"/>
        </w:rPr>
        <w:t>Petheram &amp; Kok 2003</w:t>
      </w:r>
      <w:r w:rsidRPr="00D7716A">
        <w:rPr>
          <w:rFonts w:ascii="Arial" w:eastAsiaTheme="minorHAnsi" w:hAnsi="Arial" w:cs="Arial"/>
          <w:color w:val="000000" w:themeColor="text1"/>
          <w:sz w:val="16"/>
          <w:szCs w:val="16"/>
        </w:rPr>
        <w:t>.</w:t>
      </w:r>
      <w:proofErr w:type="gramEnd"/>
    </w:p>
    <w:p w:rsidR="006957E7" w:rsidRDefault="006957E7" w:rsidP="006957E7">
      <w:pPr>
        <w:spacing w:after="0" w:line="240" w:lineRule="auto"/>
        <w:sectPr w:rsidR="006957E7" w:rsidSect="00224F8A">
          <w:pgSz w:w="11906" w:h="16838" w:code="9"/>
          <w:pgMar w:top="1440" w:right="1440" w:bottom="1440" w:left="1440" w:header="1080" w:footer="835" w:gutter="0"/>
          <w:cols w:space="360"/>
          <w:noEndnote/>
          <w:docGrid w:linePitch="299"/>
        </w:sectPr>
      </w:pPr>
    </w:p>
    <w:p w:rsidR="006957E7" w:rsidRPr="00F1060B" w:rsidRDefault="006957E7" w:rsidP="006957E7">
      <w:pPr>
        <w:jc w:val="center"/>
        <w:rPr>
          <w:b/>
          <w:i/>
          <w:sz w:val="36"/>
          <w:szCs w:val="36"/>
        </w:rPr>
      </w:pPr>
      <w:r w:rsidRPr="00F1060B">
        <w:rPr>
          <w:b/>
          <w:i/>
          <w:sz w:val="36"/>
          <w:szCs w:val="36"/>
        </w:rPr>
        <w:t>Capparis umbonata</w:t>
      </w:r>
    </w:p>
    <w:p w:rsidR="006957E7" w:rsidRPr="001B602F" w:rsidRDefault="006957E7" w:rsidP="006957E7">
      <w:pPr>
        <w:jc w:val="center"/>
        <w:rPr>
          <w:b/>
          <w:sz w:val="32"/>
          <w:szCs w:val="32"/>
        </w:rPr>
      </w:pPr>
      <w:proofErr w:type="gramStart"/>
      <w:r>
        <w:rPr>
          <w:rFonts w:ascii="Arial" w:hAnsi="Arial" w:cs="Arial"/>
          <w:b/>
          <w:sz w:val="32"/>
          <w:szCs w:val="32"/>
        </w:rPr>
        <w:t>g</w:t>
      </w:r>
      <w:r w:rsidRPr="001B602F">
        <w:rPr>
          <w:rFonts w:ascii="Arial" w:hAnsi="Arial" w:cs="Arial"/>
          <w:b/>
          <w:sz w:val="32"/>
          <w:szCs w:val="32"/>
        </w:rPr>
        <w:t>aiwom</w:t>
      </w:r>
      <w:proofErr w:type="gramEnd"/>
      <w:r w:rsidRPr="001B602F">
        <w:rPr>
          <w:rFonts w:ascii="Arial" w:hAnsi="Arial" w:cs="Arial"/>
          <w:b/>
          <w:sz w:val="32"/>
          <w:szCs w:val="32"/>
        </w:rPr>
        <w:t xml:space="preserve"> / </w:t>
      </w:r>
      <w:r>
        <w:rPr>
          <w:rFonts w:ascii="Arial" w:hAnsi="Arial" w:cs="Arial"/>
          <w:b/>
          <w:sz w:val="32"/>
          <w:szCs w:val="32"/>
        </w:rPr>
        <w:t>g</w:t>
      </w:r>
      <w:r w:rsidRPr="001B602F">
        <w:rPr>
          <w:rFonts w:ascii="Arial" w:hAnsi="Arial" w:cs="Arial"/>
          <w:b/>
          <w:sz w:val="32"/>
          <w:szCs w:val="32"/>
        </w:rPr>
        <w:t xml:space="preserve">aibam / </w:t>
      </w:r>
      <w:r>
        <w:rPr>
          <w:rFonts w:ascii="Arial" w:hAnsi="Arial" w:cs="Arial"/>
          <w:b/>
          <w:sz w:val="32"/>
          <w:szCs w:val="32"/>
        </w:rPr>
        <w:t>b</w:t>
      </w:r>
      <w:r w:rsidRPr="001B602F">
        <w:rPr>
          <w:rFonts w:ascii="Arial" w:hAnsi="Arial" w:cs="Arial"/>
          <w:b/>
          <w:sz w:val="32"/>
          <w:szCs w:val="32"/>
        </w:rPr>
        <w:t>aiwal</w:t>
      </w:r>
    </w:p>
    <w:p w:rsidR="006957E7" w:rsidRDefault="006957E7" w:rsidP="001621F3">
      <w:pPr>
        <w:jc w:val="left"/>
        <w:rPr>
          <w:rFonts w:ascii="Arial" w:hAnsi="Arial" w:cs="Arial"/>
          <w:b/>
          <w:bCs/>
          <w:iCs/>
          <w:kern w:val="36"/>
          <w:szCs w:val="24"/>
          <w:lang w:eastAsia="en-AU"/>
        </w:rPr>
      </w:pPr>
      <w:r w:rsidRPr="00F1060B">
        <w:rPr>
          <w:rFonts w:ascii="Arial" w:hAnsi="Arial" w:cs="Arial"/>
          <w:b/>
          <w:bCs/>
          <w:iCs/>
          <w:kern w:val="36"/>
          <w:szCs w:val="24"/>
          <w:lang w:eastAsia="en-AU"/>
        </w:rPr>
        <w:t>SHRUB or TREE</w:t>
      </w:r>
    </w:p>
    <w:tbl>
      <w:tblPr>
        <w:tblpPr w:leftFromText="180" w:rightFromText="180" w:vertAnchor="text" w:tblpXSpec="right" w:tblpY="1"/>
        <w:tblOverlap w:val="never"/>
        <w:tblW w:w="0" w:type="auto"/>
        <w:tblLook w:val="04A0"/>
      </w:tblPr>
      <w:tblGrid>
        <w:gridCol w:w="2021"/>
      </w:tblGrid>
      <w:tr w:rsidR="006957E7" w:rsidTr="00224F8A">
        <w:tc>
          <w:tcPr>
            <w:tcW w:w="1913" w:type="dxa"/>
          </w:tcPr>
          <w:p w:rsidR="006957E7" w:rsidRDefault="006957E7" w:rsidP="00224F8A">
            <w:pPr>
              <w:jc w:val="center"/>
              <w:rPr>
                <w:b/>
              </w:rPr>
            </w:pPr>
            <w:r w:rsidRPr="00C32A3C">
              <w:rPr>
                <w:b/>
                <w:noProof/>
                <w:lang w:eastAsia="en-AU"/>
              </w:rPr>
              <w:drawing>
                <wp:inline distT="0" distB="0" distL="0" distR="0">
                  <wp:extent cx="1126676" cy="2290233"/>
                  <wp:effectExtent l="19050" t="0" r="0" b="0"/>
                  <wp:docPr id="248" name="Picture 8" descr="Capparis fruit 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paris fruit 13.jpg"/>
                          <pic:cNvPicPr/>
                        </pic:nvPicPr>
                        <pic:blipFill>
                          <a:blip r:embed="rId239" cstate="screen"/>
                          <a:stretch>
                            <a:fillRect/>
                          </a:stretch>
                        </pic:blipFill>
                        <pic:spPr>
                          <a:xfrm>
                            <a:off x="0" y="0"/>
                            <a:ext cx="1126500" cy="2289876"/>
                          </a:xfrm>
                          <a:prstGeom prst="rect">
                            <a:avLst/>
                          </a:prstGeom>
                        </pic:spPr>
                      </pic:pic>
                    </a:graphicData>
                  </a:graphic>
                </wp:inline>
              </w:drawing>
            </w:r>
          </w:p>
          <w:p w:rsidR="006957E7" w:rsidRPr="00071DF3" w:rsidRDefault="006957E7" w:rsidP="00224F8A">
            <w:pPr>
              <w:jc w:val="center"/>
              <w:rPr>
                <w:rFonts w:ascii="Arial" w:hAnsi="Arial" w:cs="Arial"/>
                <w:b/>
                <w:sz w:val="18"/>
                <w:szCs w:val="18"/>
              </w:rPr>
            </w:pPr>
            <w:r w:rsidRPr="00071DF3">
              <w:rPr>
                <w:rFonts w:ascii="Arial" w:hAnsi="Arial" w:cs="Arial"/>
                <w:b/>
                <w:sz w:val="18"/>
                <w:szCs w:val="18"/>
              </w:rPr>
              <w:t>Fruit born on very long stalk</w:t>
            </w:r>
          </w:p>
        </w:tc>
      </w:tr>
      <w:tr w:rsidR="006957E7" w:rsidTr="00224F8A">
        <w:tc>
          <w:tcPr>
            <w:tcW w:w="1913" w:type="dxa"/>
          </w:tcPr>
          <w:p w:rsidR="006957E7" w:rsidRDefault="006957E7" w:rsidP="00224F8A">
            <w:pPr>
              <w:jc w:val="center"/>
              <w:rPr>
                <w:b/>
              </w:rPr>
            </w:pPr>
            <w:r>
              <w:rPr>
                <w:b/>
                <w:noProof/>
                <w:lang w:eastAsia="en-AU"/>
              </w:rPr>
              <w:drawing>
                <wp:inline distT="0" distB="0" distL="0" distR="0">
                  <wp:extent cx="1105391" cy="1092200"/>
                  <wp:effectExtent l="19050" t="0" r="0" b="0"/>
                  <wp:docPr id="254" name="Picture 253" descr="Capparis fruit 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paris fruit 14.jpg"/>
                          <pic:cNvPicPr/>
                        </pic:nvPicPr>
                        <pic:blipFill>
                          <a:blip r:embed="rId240" cstate="screen"/>
                          <a:stretch>
                            <a:fillRect/>
                          </a:stretch>
                        </pic:blipFill>
                        <pic:spPr>
                          <a:xfrm>
                            <a:off x="0" y="0"/>
                            <a:ext cx="1111819" cy="1098552"/>
                          </a:xfrm>
                          <a:prstGeom prst="rect">
                            <a:avLst/>
                          </a:prstGeom>
                        </pic:spPr>
                      </pic:pic>
                    </a:graphicData>
                  </a:graphic>
                </wp:inline>
              </w:drawing>
            </w:r>
          </w:p>
          <w:p w:rsidR="006957E7" w:rsidRPr="00BB1E11" w:rsidRDefault="001621F3" w:rsidP="00224F8A">
            <w:pPr>
              <w:jc w:val="center"/>
              <w:rPr>
                <w:rFonts w:ascii="Arial" w:hAnsi="Arial" w:cs="Arial"/>
                <w:b/>
                <w:sz w:val="18"/>
                <w:szCs w:val="18"/>
              </w:rPr>
            </w:pPr>
            <w:r>
              <w:rPr>
                <w:rFonts w:ascii="Arial" w:hAnsi="Arial" w:cs="Arial"/>
                <w:b/>
                <w:sz w:val="18"/>
                <w:szCs w:val="18"/>
              </w:rPr>
              <w:t>Orange flesh</w:t>
            </w:r>
          </w:p>
        </w:tc>
      </w:tr>
    </w:tbl>
    <w:p w:rsidR="006957E7" w:rsidRPr="00D7716A" w:rsidRDefault="006957E7" w:rsidP="001621F3">
      <w:pPr>
        <w:spacing w:after="0" w:line="240" w:lineRule="auto"/>
        <w:rPr>
          <w:rFonts w:ascii="Arial" w:hAnsi="Arial" w:cs="Arial"/>
          <w:bCs/>
          <w:iCs/>
          <w:color w:val="000000" w:themeColor="text1"/>
          <w:kern w:val="36"/>
          <w:sz w:val="20"/>
          <w:lang w:eastAsia="en-AU"/>
        </w:rPr>
      </w:pPr>
      <w:r w:rsidRPr="001621F3">
        <w:rPr>
          <w:rFonts w:ascii="Arial" w:hAnsi="Arial" w:cs="Arial"/>
          <w:b/>
          <w:bCs/>
          <w:iCs/>
          <w:color w:val="000000" w:themeColor="text1"/>
          <w:kern w:val="36"/>
          <w:sz w:val="20"/>
          <w:lang w:eastAsia="en-AU"/>
        </w:rPr>
        <w:t>FRUIT:</w:t>
      </w:r>
      <w:r w:rsidRPr="00D7716A">
        <w:rPr>
          <w:rFonts w:ascii="Arial" w:hAnsi="Arial" w:cs="Arial"/>
          <w:bCs/>
          <w:iCs/>
          <w:color w:val="000000" w:themeColor="text1"/>
          <w:kern w:val="36"/>
          <w:sz w:val="20"/>
          <w:lang w:eastAsia="en-AU"/>
        </w:rPr>
        <w:t xml:space="preserve"> </w:t>
      </w:r>
      <w:r w:rsidRPr="00D7716A">
        <w:rPr>
          <w:rFonts w:ascii="Arial" w:hAnsi="Arial" w:cs="Arial"/>
          <w:b/>
          <w:color w:val="00B050"/>
          <w:sz w:val="20"/>
        </w:rPr>
        <w:t>Eaten Food</w:t>
      </w:r>
      <w:r w:rsidRPr="00D7716A">
        <w:rPr>
          <w:rFonts w:ascii="Arial" w:hAnsi="Arial" w:cs="Arial"/>
          <w:color w:val="00B050"/>
          <w:sz w:val="20"/>
        </w:rPr>
        <w:t>.</w:t>
      </w:r>
      <w:r w:rsidRPr="00D7716A">
        <w:rPr>
          <w:rFonts w:ascii="Arial" w:hAnsi="Arial" w:cs="Arial"/>
          <w:sz w:val="20"/>
        </w:rPr>
        <w:t xml:space="preserve"> </w:t>
      </w:r>
      <w:proofErr w:type="gramStart"/>
      <w:r w:rsidR="001621F3">
        <w:rPr>
          <w:rFonts w:ascii="Arial" w:hAnsi="Arial" w:cs="Arial"/>
          <w:bCs/>
          <w:iCs/>
          <w:color w:val="000000" w:themeColor="text1"/>
          <w:kern w:val="36"/>
          <w:sz w:val="20"/>
          <w:lang w:eastAsia="en-AU"/>
        </w:rPr>
        <w:t>Gudjeuk</w:t>
      </w:r>
      <w:r w:rsidRPr="00D7716A">
        <w:rPr>
          <w:rFonts w:ascii="Arial" w:hAnsi="Arial" w:cs="Arial"/>
          <w:bCs/>
          <w:iCs/>
          <w:color w:val="000000" w:themeColor="text1"/>
          <w:kern w:val="36"/>
          <w:sz w:val="20"/>
          <w:lang w:eastAsia="en-AU"/>
        </w:rPr>
        <w:t xml:space="preserve"> (Jan</w:t>
      </w:r>
      <w:r w:rsidR="001621F3">
        <w:rPr>
          <w:rFonts w:ascii="Arial" w:hAnsi="Arial" w:cs="Arial"/>
          <w:bCs/>
          <w:iCs/>
          <w:color w:val="000000" w:themeColor="text1"/>
          <w:kern w:val="36"/>
          <w:sz w:val="20"/>
          <w:lang w:eastAsia="en-AU"/>
        </w:rPr>
        <w:t>uary</w:t>
      </w:r>
      <w:r w:rsidRPr="00D7716A">
        <w:rPr>
          <w:rFonts w:ascii="Arial" w:hAnsi="Arial" w:cs="Arial"/>
          <w:bCs/>
          <w:iCs/>
          <w:color w:val="000000" w:themeColor="text1"/>
          <w:kern w:val="36"/>
          <w:sz w:val="20"/>
          <w:lang w:eastAsia="en-AU"/>
        </w:rPr>
        <w:t xml:space="preserve"> – Mar</w:t>
      </w:r>
      <w:r w:rsidR="001621F3">
        <w:rPr>
          <w:rFonts w:ascii="Arial" w:hAnsi="Arial" w:cs="Arial"/>
          <w:bCs/>
          <w:iCs/>
          <w:color w:val="000000" w:themeColor="text1"/>
          <w:kern w:val="36"/>
          <w:sz w:val="20"/>
          <w:lang w:eastAsia="en-AU"/>
        </w:rPr>
        <w:t>ch</w:t>
      </w:r>
      <w:r w:rsidRPr="00D7716A">
        <w:rPr>
          <w:rFonts w:ascii="Arial" w:hAnsi="Arial" w:cs="Arial"/>
          <w:bCs/>
          <w:iCs/>
          <w:color w:val="000000" w:themeColor="text1"/>
          <w:kern w:val="36"/>
          <w:sz w:val="20"/>
          <w:lang w:eastAsia="en-AU"/>
        </w:rPr>
        <w:t>)</w:t>
      </w:r>
      <w:r w:rsidR="001621F3">
        <w:rPr>
          <w:rFonts w:ascii="Arial" w:hAnsi="Arial" w:cs="Arial"/>
          <w:bCs/>
          <w:iCs/>
          <w:color w:val="000000" w:themeColor="text1"/>
          <w:kern w:val="36"/>
          <w:sz w:val="20"/>
          <w:lang w:eastAsia="en-AU"/>
        </w:rPr>
        <w:t>.</w:t>
      </w:r>
      <w:proofErr w:type="gramEnd"/>
    </w:p>
    <w:p w:rsidR="006957E7" w:rsidRPr="00D7716A" w:rsidRDefault="006957E7" w:rsidP="001621F3">
      <w:pPr>
        <w:spacing w:after="0" w:line="240" w:lineRule="auto"/>
        <w:rPr>
          <w:rFonts w:ascii="Arial" w:hAnsi="Arial" w:cs="Arial"/>
          <w:bCs/>
          <w:iCs/>
          <w:color w:val="000000" w:themeColor="text1"/>
          <w:kern w:val="36"/>
          <w:sz w:val="20"/>
          <w:lang w:eastAsia="en-AU"/>
        </w:rPr>
      </w:pPr>
      <w:r w:rsidRPr="00D7716A">
        <w:rPr>
          <w:rFonts w:ascii="Arial" w:hAnsi="Arial" w:cs="Arial"/>
          <w:bCs/>
          <w:iCs/>
          <w:color w:val="000000" w:themeColor="text1"/>
          <w:kern w:val="36"/>
          <w:sz w:val="20"/>
          <w:lang w:eastAsia="en-AU"/>
        </w:rPr>
        <w:t>Fruit is eaten when ripe, green and soft.</w:t>
      </w:r>
    </w:p>
    <w:p w:rsidR="006957E7" w:rsidRPr="00D7716A" w:rsidRDefault="006957E7" w:rsidP="001621F3">
      <w:pPr>
        <w:spacing w:after="0" w:line="240" w:lineRule="auto"/>
        <w:rPr>
          <w:rFonts w:ascii="Arial" w:hAnsi="Arial" w:cs="Arial"/>
          <w:sz w:val="20"/>
        </w:rPr>
      </w:pPr>
      <w:r w:rsidRPr="00D7716A">
        <w:rPr>
          <w:rFonts w:ascii="Arial" w:hAnsi="Arial" w:cs="Arial"/>
          <w:b/>
          <w:bCs/>
          <w:iCs/>
          <w:color w:val="000000" w:themeColor="text1"/>
          <w:kern w:val="36"/>
          <w:sz w:val="20"/>
          <w:lang w:eastAsia="en-AU"/>
        </w:rPr>
        <w:t>Habitat: Lowland Woodland.</w:t>
      </w:r>
    </w:p>
    <w:p w:rsidR="006957E7" w:rsidRPr="00D7716A" w:rsidRDefault="006957E7" w:rsidP="001621F3">
      <w:pPr>
        <w:spacing w:after="0" w:line="240" w:lineRule="auto"/>
        <w:rPr>
          <w:rFonts w:ascii="Arial" w:hAnsi="Arial" w:cs="Arial"/>
          <w:sz w:val="16"/>
          <w:szCs w:val="16"/>
        </w:rPr>
      </w:pPr>
      <w:proofErr w:type="gramStart"/>
      <w:r w:rsidRPr="00D7716A">
        <w:rPr>
          <w:rFonts w:ascii="Arial" w:hAnsi="Arial" w:cs="Arial"/>
          <w:b/>
          <w:color w:val="000000" w:themeColor="text1"/>
          <w:sz w:val="16"/>
          <w:szCs w:val="16"/>
          <w:lang w:eastAsia="en-AU"/>
        </w:rPr>
        <w:t>Source of Information</w:t>
      </w:r>
      <w:r w:rsidRPr="00D7716A">
        <w:rPr>
          <w:rFonts w:ascii="Arial" w:hAnsi="Arial" w:cs="Arial"/>
          <w:sz w:val="16"/>
          <w:szCs w:val="16"/>
          <w:lang w:eastAsia="en-AU"/>
        </w:rPr>
        <w:t>.</w:t>
      </w:r>
      <w:proofErr w:type="gramEnd"/>
      <w:r w:rsidRPr="00D7716A">
        <w:rPr>
          <w:rFonts w:ascii="Arial" w:hAnsi="Arial" w:cs="Arial"/>
          <w:sz w:val="16"/>
          <w:szCs w:val="16"/>
        </w:rPr>
        <w:t xml:space="preserve"> </w:t>
      </w:r>
      <w:proofErr w:type="gramStart"/>
      <w:r w:rsidRPr="00D7716A">
        <w:rPr>
          <w:rFonts w:ascii="Arial" w:hAnsi="Arial" w:cs="Arial"/>
          <w:sz w:val="16"/>
          <w:szCs w:val="16"/>
        </w:rPr>
        <w:t>Lucas &amp; Russell-Smith 1993.</w:t>
      </w:r>
      <w:proofErr w:type="gramEnd"/>
    </w:p>
    <w:p w:rsidR="006957E7" w:rsidRDefault="006957E7" w:rsidP="006957E7">
      <w:pPr>
        <w:spacing w:after="0"/>
        <w:rPr>
          <w:b/>
          <w:i/>
          <w:color w:val="000000" w:themeColor="text1"/>
          <w:szCs w:val="24"/>
          <w:lang w:eastAsia="en-AU"/>
        </w:rPr>
      </w:pPr>
    </w:p>
    <w:p w:rsidR="006957E7" w:rsidRPr="00E70BC9" w:rsidRDefault="006957E7" w:rsidP="001621F3">
      <w:pPr>
        <w:spacing w:after="0" w:line="240" w:lineRule="auto"/>
        <w:rPr>
          <w:rFonts w:ascii="Arial" w:hAnsi="Arial" w:cs="Arial"/>
          <w:b/>
          <w:i/>
          <w:color w:val="000000" w:themeColor="text1"/>
          <w:szCs w:val="24"/>
          <w:lang w:eastAsia="en-AU"/>
        </w:rPr>
      </w:pPr>
      <w:r w:rsidRPr="00E70BC9">
        <w:rPr>
          <w:rFonts w:ascii="Arial" w:hAnsi="Arial" w:cs="Arial"/>
          <w:b/>
          <w:i/>
          <w:color w:val="000000" w:themeColor="text1"/>
          <w:szCs w:val="24"/>
          <w:lang w:eastAsia="en-AU"/>
        </w:rPr>
        <w:t>Capparis umbonata</w:t>
      </w:r>
      <w:r w:rsidR="001621F3" w:rsidRPr="001621F3">
        <w:rPr>
          <w:rFonts w:ascii="Arial" w:hAnsi="Arial" w:cs="Arial"/>
          <w:b/>
          <w:color w:val="000000" w:themeColor="text1"/>
          <w:szCs w:val="24"/>
          <w:lang w:eastAsia="en-AU"/>
        </w:rPr>
        <w:t xml:space="preserve"> (Wild Orange)</w:t>
      </w:r>
    </w:p>
    <w:p w:rsidR="006957E7" w:rsidRPr="00D7716A" w:rsidRDefault="006957E7" w:rsidP="001621F3">
      <w:pPr>
        <w:spacing w:after="0" w:line="240" w:lineRule="auto"/>
        <w:rPr>
          <w:rFonts w:ascii="Arial" w:hAnsi="Arial" w:cs="Arial"/>
          <w:sz w:val="20"/>
          <w:lang w:eastAsia="en-AU"/>
        </w:rPr>
      </w:pPr>
      <w:r w:rsidRPr="00D7716A">
        <w:rPr>
          <w:rFonts w:ascii="Arial" w:hAnsi="Arial" w:cs="Arial"/>
          <w:b/>
          <w:sz w:val="20"/>
          <w:lang w:eastAsia="en-AU"/>
        </w:rPr>
        <w:t>Family:</w:t>
      </w:r>
      <w:r w:rsidRPr="00D7716A">
        <w:rPr>
          <w:rFonts w:ascii="Arial" w:hAnsi="Arial" w:cs="Arial"/>
          <w:sz w:val="20"/>
          <w:lang w:eastAsia="en-AU"/>
        </w:rPr>
        <w:t xml:space="preserve"> Capp</w:t>
      </w:r>
      <w:r w:rsidR="001621F3">
        <w:rPr>
          <w:rFonts w:ascii="Arial" w:hAnsi="Arial" w:cs="Arial"/>
          <w:sz w:val="20"/>
          <w:lang w:eastAsia="en-AU"/>
        </w:rPr>
        <w:t>paraceae</w:t>
      </w:r>
    </w:p>
    <w:p w:rsidR="006957E7" w:rsidRPr="00D7716A" w:rsidRDefault="006957E7" w:rsidP="001621F3">
      <w:pPr>
        <w:spacing w:after="0" w:line="240" w:lineRule="auto"/>
        <w:rPr>
          <w:rFonts w:ascii="Arial" w:hAnsi="Arial" w:cs="Arial"/>
          <w:sz w:val="20"/>
          <w:lang w:eastAsia="en-AU"/>
        </w:rPr>
      </w:pPr>
      <w:r w:rsidRPr="00D7716A">
        <w:rPr>
          <w:rFonts w:ascii="Arial" w:hAnsi="Arial" w:cs="Arial"/>
          <w:b/>
          <w:sz w:val="20"/>
          <w:lang w:eastAsia="en-AU"/>
        </w:rPr>
        <w:t>Habit:</w:t>
      </w:r>
      <w:r w:rsidR="001621F3">
        <w:rPr>
          <w:rFonts w:ascii="Arial" w:hAnsi="Arial" w:cs="Arial"/>
          <w:sz w:val="20"/>
          <w:lang w:eastAsia="en-AU"/>
        </w:rPr>
        <w:t xml:space="preserve"> s</w:t>
      </w:r>
      <w:r w:rsidRPr="00D7716A">
        <w:rPr>
          <w:rFonts w:ascii="Arial" w:hAnsi="Arial" w:cs="Arial"/>
          <w:sz w:val="20"/>
          <w:lang w:eastAsia="en-AU"/>
        </w:rPr>
        <w:t>lender tree to 7 metres high with pendulous leaves and branches, small spines along young branches.</w:t>
      </w:r>
    </w:p>
    <w:p w:rsidR="006957E7" w:rsidRPr="00D7716A" w:rsidRDefault="006957E7" w:rsidP="001621F3">
      <w:pPr>
        <w:spacing w:after="0" w:line="240" w:lineRule="auto"/>
        <w:rPr>
          <w:rFonts w:ascii="Arial" w:hAnsi="Arial" w:cs="Arial"/>
          <w:sz w:val="20"/>
          <w:lang w:eastAsia="en-AU"/>
        </w:rPr>
      </w:pPr>
      <w:r w:rsidRPr="00D7716A">
        <w:rPr>
          <w:rFonts w:ascii="Arial" w:hAnsi="Arial" w:cs="Arial"/>
          <w:b/>
          <w:sz w:val="20"/>
          <w:lang w:eastAsia="en-AU"/>
        </w:rPr>
        <w:t>Bark:</w:t>
      </w:r>
      <w:r w:rsidR="001621F3">
        <w:rPr>
          <w:rFonts w:ascii="Arial" w:hAnsi="Arial" w:cs="Arial"/>
          <w:sz w:val="20"/>
          <w:lang w:eastAsia="en-AU"/>
        </w:rPr>
        <w:t xml:space="preserve"> g</w:t>
      </w:r>
      <w:r w:rsidRPr="00D7716A">
        <w:rPr>
          <w:rFonts w:ascii="Arial" w:hAnsi="Arial" w:cs="Arial"/>
          <w:sz w:val="20"/>
          <w:lang w:eastAsia="en-AU"/>
        </w:rPr>
        <w:t>rey, hard and rough.</w:t>
      </w:r>
    </w:p>
    <w:p w:rsidR="006957E7" w:rsidRPr="00D7716A" w:rsidRDefault="006957E7" w:rsidP="001621F3">
      <w:pPr>
        <w:spacing w:after="0" w:line="240" w:lineRule="auto"/>
        <w:rPr>
          <w:rFonts w:ascii="Arial" w:hAnsi="Arial" w:cs="Arial"/>
          <w:sz w:val="20"/>
          <w:lang w:eastAsia="en-AU"/>
        </w:rPr>
      </w:pPr>
      <w:r w:rsidRPr="00D7716A">
        <w:rPr>
          <w:rFonts w:ascii="Arial" w:hAnsi="Arial" w:cs="Arial"/>
          <w:b/>
          <w:sz w:val="20"/>
          <w:lang w:eastAsia="en-AU"/>
        </w:rPr>
        <w:t>Leaves:</w:t>
      </w:r>
      <w:r w:rsidR="001621F3">
        <w:rPr>
          <w:rFonts w:ascii="Arial" w:hAnsi="Arial" w:cs="Arial"/>
          <w:sz w:val="20"/>
          <w:lang w:eastAsia="en-AU"/>
        </w:rPr>
        <w:t xml:space="preserve"> a</w:t>
      </w:r>
      <w:r w:rsidRPr="00D7716A">
        <w:rPr>
          <w:rFonts w:ascii="Arial" w:hAnsi="Arial" w:cs="Arial"/>
          <w:sz w:val="20"/>
          <w:lang w:eastAsia="en-AU"/>
        </w:rPr>
        <w:t>lternate, variable in shape and size, pendulous, smooth, leathery, long and narrow or curved and elongated tapering towards base, 100-230 mm long x 7-30 mm wide, dull dark green, prominent mid-rib, round or pointed tip, petioles 10-30 mm long.</w:t>
      </w:r>
    </w:p>
    <w:p w:rsidR="006957E7" w:rsidRPr="00D7716A" w:rsidRDefault="006957E7" w:rsidP="001621F3">
      <w:pPr>
        <w:spacing w:after="0" w:line="240" w:lineRule="auto"/>
        <w:rPr>
          <w:rFonts w:ascii="Arial" w:hAnsi="Arial" w:cs="Arial"/>
          <w:sz w:val="20"/>
          <w:lang w:eastAsia="en-AU"/>
        </w:rPr>
      </w:pPr>
      <w:r w:rsidRPr="00D7716A">
        <w:rPr>
          <w:rFonts w:ascii="Arial" w:hAnsi="Arial" w:cs="Arial"/>
          <w:b/>
          <w:color w:val="000000" w:themeColor="text1"/>
          <w:sz w:val="20"/>
          <w:lang w:eastAsia="en-AU"/>
        </w:rPr>
        <w:t>F</w:t>
      </w:r>
      <w:r w:rsidRPr="00D7716A">
        <w:rPr>
          <w:rFonts w:ascii="Arial" w:hAnsi="Arial" w:cs="Arial"/>
          <w:b/>
          <w:sz w:val="20"/>
          <w:lang w:eastAsia="en-AU"/>
        </w:rPr>
        <w:t>lowers:</w:t>
      </w:r>
      <w:r w:rsidR="001621F3">
        <w:rPr>
          <w:rFonts w:ascii="Arial" w:hAnsi="Arial" w:cs="Arial"/>
          <w:sz w:val="20"/>
          <w:lang w:eastAsia="en-AU"/>
        </w:rPr>
        <w:t xml:space="preserve"> l</w:t>
      </w:r>
      <w:r w:rsidRPr="00D7716A">
        <w:rPr>
          <w:rFonts w:ascii="Arial" w:hAnsi="Arial" w:cs="Arial"/>
          <w:sz w:val="20"/>
          <w:lang w:eastAsia="en-AU"/>
        </w:rPr>
        <w:t xml:space="preserve">arge, white to pale yellow, </w:t>
      </w:r>
      <w:r w:rsidRPr="00D7716A">
        <w:rPr>
          <w:rFonts w:ascii="Arial" w:hAnsi="Arial" w:cs="Arial"/>
          <w:sz w:val="20"/>
        </w:rPr>
        <w:t>sweetly scented and open at night,</w:t>
      </w:r>
      <w:r w:rsidRPr="00D7716A">
        <w:rPr>
          <w:rFonts w:ascii="Arial" w:hAnsi="Arial" w:cs="Arial"/>
          <w:sz w:val="20"/>
          <w:lang w:eastAsia="en-AU"/>
        </w:rPr>
        <w:t xml:space="preserve"> with numerous long stamens and long protruding style, 50-100 mm long, up to 6 flowered in inflorescences towards ends of branches. Flower stalk 20-55 mm long.</w:t>
      </w:r>
    </w:p>
    <w:p w:rsidR="006957E7" w:rsidRPr="00D7716A" w:rsidRDefault="006957E7" w:rsidP="001621F3">
      <w:pPr>
        <w:spacing w:after="0" w:line="240" w:lineRule="auto"/>
        <w:rPr>
          <w:rFonts w:ascii="Arial" w:hAnsi="Arial" w:cs="Arial"/>
          <w:sz w:val="20"/>
          <w:lang w:eastAsia="en-AU"/>
        </w:rPr>
      </w:pPr>
      <w:r w:rsidRPr="00D7716A">
        <w:rPr>
          <w:rFonts w:ascii="Arial" w:hAnsi="Arial" w:cs="Arial"/>
          <w:b/>
          <w:color w:val="000000" w:themeColor="text1"/>
          <w:sz w:val="20"/>
          <w:lang w:eastAsia="en-AU"/>
        </w:rPr>
        <w:t>F</w:t>
      </w:r>
      <w:r w:rsidRPr="00D7716A">
        <w:rPr>
          <w:rFonts w:ascii="Arial" w:hAnsi="Arial" w:cs="Arial"/>
          <w:b/>
          <w:sz w:val="20"/>
          <w:lang w:eastAsia="en-AU"/>
        </w:rPr>
        <w:t>ruit:</w:t>
      </w:r>
      <w:r w:rsidR="001621F3">
        <w:rPr>
          <w:rFonts w:ascii="Arial" w:hAnsi="Arial" w:cs="Arial"/>
          <w:sz w:val="20"/>
          <w:lang w:eastAsia="en-AU"/>
        </w:rPr>
        <w:t xml:space="preserve"> s</w:t>
      </w:r>
      <w:r w:rsidRPr="00D7716A">
        <w:rPr>
          <w:rFonts w:ascii="Arial" w:hAnsi="Arial" w:cs="Arial"/>
          <w:sz w:val="20"/>
          <w:lang w:eastAsia="en-AU"/>
        </w:rPr>
        <w:t>mooth, globular, 30-50 mm diameter, on long stalk, green or green-yellow when ripe,</w:t>
      </w:r>
      <w:r w:rsidR="001621F3">
        <w:rPr>
          <w:rFonts w:ascii="Arial" w:hAnsi="Arial" w:cs="Arial"/>
          <w:sz w:val="20"/>
          <w:lang w:eastAsia="en-AU"/>
        </w:rPr>
        <w:t xml:space="preserve"> usually containing more than ten</w:t>
      </w:r>
      <w:r w:rsidRPr="00D7716A">
        <w:rPr>
          <w:rFonts w:ascii="Arial" w:hAnsi="Arial" w:cs="Arial"/>
          <w:sz w:val="20"/>
          <w:lang w:eastAsia="en-AU"/>
        </w:rPr>
        <w:t xml:space="preserve"> brown seeds to 8 mm long.</w:t>
      </w:r>
    </w:p>
    <w:p w:rsidR="006957E7" w:rsidRPr="00D7716A" w:rsidRDefault="006957E7" w:rsidP="001621F3">
      <w:pPr>
        <w:spacing w:after="0" w:line="240" w:lineRule="auto"/>
        <w:rPr>
          <w:rFonts w:ascii="Arial" w:hAnsi="Arial" w:cs="Arial"/>
          <w:sz w:val="20"/>
          <w:lang w:eastAsia="en-AU"/>
        </w:rPr>
      </w:pPr>
      <w:r w:rsidRPr="00D7716A">
        <w:rPr>
          <w:rFonts w:ascii="Arial" w:hAnsi="Arial" w:cs="Arial"/>
          <w:b/>
          <w:color w:val="000000" w:themeColor="text1"/>
          <w:sz w:val="20"/>
          <w:lang w:eastAsia="en-AU"/>
        </w:rPr>
        <w:t>H</w:t>
      </w:r>
      <w:r w:rsidRPr="00D7716A">
        <w:rPr>
          <w:rFonts w:ascii="Arial" w:hAnsi="Arial" w:cs="Arial"/>
          <w:b/>
          <w:sz w:val="20"/>
          <w:lang w:eastAsia="en-AU"/>
        </w:rPr>
        <w:t>abitat:</w:t>
      </w:r>
      <w:r w:rsidR="001621F3">
        <w:rPr>
          <w:rFonts w:ascii="Arial" w:hAnsi="Arial" w:cs="Arial"/>
          <w:sz w:val="20"/>
          <w:lang w:eastAsia="en-AU"/>
        </w:rPr>
        <w:t xml:space="preserve"> s</w:t>
      </w:r>
      <w:r w:rsidRPr="00D7716A">
        <w:rPr>
          <w:rFonts w:ascii="Arial" w:hAnsi="Arial" w:cs="Arial"/>
          <w:sz w:val="20"/>
          <w:lang w:eastAsia="en-AU"/>
        </w:rPr>
        <w:t>cattered in open forest and woodland, sandstone country in shrubby woodland on the plateau or slopes. Occasionally in monsoon vine thickets.</w:t>
      </w:r>
    </w:p>
    <w:p w:rsidR="006957E7" w:rsidRPr="00D7716A" w:rsidRDefault="006957E7" w:rsidP="001621F3">
      <w:pPr>
        <w:spacing w:after="0" w:line="240" w:lineRule="auto"/>
        <w:rPr>
          <w:rFonts w:ascii="Arial" w:hAnsi="Arial" w:cs="Arial"/>
          <w:sz w:val="20"/>
          <w:lang w:eastAsia="en-AU"/>
        </w:rPr>
      </w:pPr>
      <w:proofErr w:type="gramStart"/>
      <w:r w:rsidRPr="00D7716A">
        <w:rPr>
          <w:rFonts w:ascii="Arial" w:hAnsi="Arial" w:cs="Arial"/>
          <w:b/>
          <w:sz w:val="20"/>
          <w:lang w:eastAsia="en-AU"/>
        </w:rPr>
        <w:t>Flowering:</w:t>
      </w:r>
      <w:r w:rsidRPr="00D7716A">
        <w:rPr>
          <w:rFonts w:ascii="Arial" w:hAnsi="Arial" w:cs="Arial"/>
          <w:sz w:val="20"/>
          <w:lang w:eastAsia="en-AU"/>
        </w:rPr>
        <w:t xml:space="preserve"> Most months.</w:t>
      </w:r>
      <w:proofErr w:type="gramEnd"/>
    </w:p>
    <w:p w:rsidR="006957E7" w:rsidRPr="00D7716A" w:rsidRDefault="006957E7" w:rsidP="001621F3">
      <w:pPr>
        <w:spacing w:after="0" w:line="240" w:lineRule="auto"/>
        <w:rPr>
          <w:rFonts w:ascii="Arial" w:hAnsi="Arial" w:cs="Arial"/>
          <w:sz w:val="20"/>
          <w:lang w:eastAsia="en-AU"/>
        </w:rPr>
      </w:pPr>
      <w:proofErr w:type="gramStart"/>
      <w:r w:rsidRPr="00D7716A">
        <w:rPr>
          <w:rFonts w:ascii="Arial" w:hAnsi="Arial" w:cs="Arial"/>
          <w:b/>
          <w:sz w:val="20"/>
          <w:lang w:eastAsia="en-AU"/>
        </w:rPr>
        <w:t>Fruiting:</w:t>
      </w:r>
      <w:r w:rsidRPr="00D7716A">
        <w:rPr>
          <w:rFonts w:ascii="Arial" w:hAnsi="Arial" w:cs="Arial"/>
          <w:sz w:val="20"/>
          <w:lang w:eastAsia="en-AU"/>
        </w:rPr>
        <w:t xml:space="preserve"> Most months.</w:t>
      </w:r>
      <w:proofErr w:type="gramEnd"/>
    </w:p>
    <w:p w:rsidR="006957E7" w:rsidRPr="00D7716A" w:rsidRDefault="006957E7" w:rsidP="001621F3">
      <w:pPr>
        <w:spacing w:after="240" w:line="240" w:lineRule="auto"/>
        <w:rPr>
          <w:rFonts w:ascii="Arial" w:hAnsi="Arial" w:cs="Arial"/>
          <w:b/>
          <w:sz w:val="16"/>
          <w:szCs w:val="16"/>
          <w:lang w:eastAsia="en-AU"/>
        </w:rPr>
      </w:pPr>
      <w:proofErr w:type="gramStart"/>
      <w:r w:rsidRPr="00D7716A">
        <w:rPr>
          <w:rFonts w:ascii="Arial" w:hAnsi="Arial" w:cs="Arial"/>
          <w:b/>
          <w:color w:val="000000" w:themeColor="text1"/>
          <w:sz w:val="16"/>
          <w:szCs w:val="16"/>
          <w:lang w:eastAsia="en-AU"/>
        </w:rPr>
        <w:t>Source of Information</w:t>
      </w:r>
      <w:r w:rsidRPr="00D7716A">
        <w:rPr>
          <w:rFonts w:ascii="Arial" w:hAnsi="Arial" w:cs="Arial"/>
          <w:sz w:val="16"/>
          <w:szCs w:val="16"/>
          <w:lang w:eastAsia="en-AU"/>
        </w:rPr>
        <w:t>.</w:t>
      </w:r>
      <w:proofErr w:type="gramEnd"/>
      <w:r w:rsidRPr="00D7716A">
        <w:rPr>
          <w:rFonts w:ascii="Arial" w:hAnsi="Arial" w:cs="Arial"/>
          <w:sz w:val="16"/>
          <w:szCs w:val="16"/>
          <w:lang w:eastAsia="en-AU"/>
        </w:rPr>
        <w:t xml:space="preserve"> </w:t>
      </w:r>
      <w:proofErr w:type="gramStart"/>
      <w:r w:rsidRPr="00D7716A">
        <w:rPr>
          <w:rFonts w:ascii="Arial" w:hAnsi="Arial" w:cs="Arial"/>
          <w:sz w:val="16"/>
          <w:szCs w:val="16"/>
          <w:lang w:eastAsia="en-AU"/>
        </w:rPr>
        <w:t>B</w:t>
      </w:r>
      <w:r w:rsidRPr="00D7716A">
        <w:rPr>
          <w:rFonts w:ascii="Arial" w:hAnsi="Arial" w:cs="Arial"/>
          <w:sz w:val="16"/>
          <w:szCs w:val="16"/>
        </w:rPr>
        <w:t xml:space="preserve">rock 2007, </w:t>
      </w:r>
      <w:r w:rsidRPr="00D7716A">
        <w:rPr>
          <w:rFonts w:ascii="Arial" w:hAnsi="Arial" w:cs="Arial"/>
          <w:sz w:val="16"/>
          <w:szCs w:val="16"/>
          <w:lang w:eastAsia="en-AU"/>
        </w:rPr>
        <w:t>Flora of Australia Volume 8</w:t>
      </w:r>
      <w:r w:rsidR="001621F3">
        <w:rPr>
          <w:rFonts w:ascii="Arial" w:hAnsi="Arial" w:cs="Arial"/>
          <w:sz w:val="16"/>
          <w:szCs w:val="16"/>
          <w:lang w:eastAsia="en-AU"/>
        </w:rPr>
        <w:t>,</w:t>
      </w:r>
      <w:r w:rsidRPr="00D7716A">
        <w:rPr>
          <w:rFonts w:ascii="Arial" w:hAnsi="Arial" w:cs="Arial"/>
          <w:sz w:val="16"/>
          <w:szCs w:val="16"/>
          <w:lang w:eastAsia="en-AU"/>
        </w:rPr>
        <w:t xml:space="preserve"> 1982, Petheram &amp; Kok 2003, </w:t>
      </w:r>
      <w:r w:rsidRPr="00D7716A">
        <w:rPr>
          <w:rFonts w:ascii="Arial" w:hAnsi="Arial" w:cs="Arial"/>
          <w:color w:val="000000" w:themeColor="text1"/>
          <w:sz w:val="16"/>
          <w:szCs w:val="16"/>
        </w:rPr>
        <w:t>Short 2011</w:t>
      </w:r>
      <w:r w:rsidRPr="00D7716A">
        <w:rPr>
          <w:rFonts w:ascii="Arial" w:hAnsi="Arial" w:cs="Arial"/>
          <w:sz w:val="16"/>
          <w:szCs w:val="16"/>
        </w:rPr>
        <w:t>.</w:t>
      </w:r>
      <w:proofErr w:type="gramEnd"/>
    </w:p>
    <w:tbl>
      <w:tblPr>
        <w:tblW w:w="0" w:type="auto"/>
        <w:jc w:val="center"/>
        <w:tblLook w:val="04A0"/>
      </w:tblPr>
      <w:tblGrid>
        <w:gridCol w:w="3360"/>
        <w:gridCol w:w="1654"/>
        <w:gridCol w:w="1400"/>
      </w:tblGrid>
      <w:tr w:rsidR="00E16AC4" w:rsidTr="00224F8A">
        <w:trPr>
          <w:trHeight w:val="3393"/>
          <w:jc w:val="center"/>
        </w:trPr>
        <w:tc>
          <w:tcPr>
            <w:tcW w:w="4783" w:type="dxa"/>
          </w:tcPr>
          <w:p w:rsidR="006957E7" w:rsidRPr="00786F9E" w:rsidRDefault="006957E7" w:rsidP="00224F8A">
            <w:pPr>
              <w:spacing w:after="0"/>
              <w:jc w:val="center"/>
              <w:rPr>
                <w:rFonts w:ascii="Arial" w:hAnsi="Arial" w:cs="Arial"/>
                <w:sz w:val="16"/>
                <w:szCs w:val="16"/>
                <w:lang w:eastAsia="en-AU"/>
              </w:rPr>
            </w:pPr>
            <w:r w:rsidRPr="00786F9E">
              <w:rPr>
                <w:rFonts w:ascii="Arial" w:hAnsi="Arial" w:cs="Arial"/>
                <w:noProof/>
                <w:lang w:eastAsia="en-AU"/>
              </w:rPr>
              <w:drawing>
                <wp:inline distT="0" distB="0" distL="0" distR="0">
                  <wp:extent cx="2604496" cy="1922929"/>
                  <wp:effectExtent l="19050" t="0" r="5354" b="0"/>
                  <wp:docPr id="308"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4153 crop1.jpg"/>
                          <pic:cNvPicPr/>
                        </pic:nvPicPr>
                        <pic:blipFill>
                          <a:blip r:embed="rId241"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606433" cy="1924359"/>
                          </a:xfrm>
                          <a:prstGeom prst="rect">
                            <a:avLst/>
                          </a:prstGeom>
                        </pic:spPr>
                      </pic:pic>
                    </a:graphicData>
                  </a:graphic>
                </wp:inline>
              </w:drawing>
            </w:r>
          </w:p>
          <w:p w:rsidR="006957E7" w:rsidRPr="00786F9E" w:rsidRDefault="006957E7" w:rsidP="00224F8A">
            <w:pPr>
              <w:jc w:val="center"/>
              <w:rPr>
                <w:rFonts w:ascii="Arial" w:hAnsi="Arial" w:cs="Arial"/>
                <w:b/>
                <w:sz w:val="18"/>
                <w:szCs w:val="18"/>
                <w:lang w:eastAsia="en-AU"/>
              </w:rPr>
            </w:pPr>
            <w:r w:rsidRPr="00786F9E">
              <w:rPr>
                <w:rFonts w:ascii="Arial" w:hAnsi="Arial" w:cs="Arial"/>
                <w:b/>
                <w:sz w:val="18"/>
                <w:szCs w:val="18"/>
                <w:lang w:eastAsia="en-AU"/>
              </w:rPr>
              <w:t>Flowers with long white stamens</w:t>
            </w:r>
          </w:p>
        </w:tc>
        <w:tc>
          <w:tcPr>
            <w:tcW w:w="2316" w:type="dxa"/>
          </w:tcPr>
          <w:p w:rsidR="006957E7" w:rsidRPr="00786F9E" w:rsidRDefault="006957E7" w:rsidP="00224F8A">
            <w:pPr>
              <w:spacing w:after="0"/>
              <w:jc w:val="center"/>
              <w:rPr>
                <w:rFonts w:ascii="Arial" w:hAnsi="Arial" w:cs="Arial"/>
                <w:sz w:val="16"/>
                <w:szCs w:val="16"/>
                <w:lang w:eastAsia="en-AU"/>
              </w:rPr>
            </w:pPr>
            <w:r w:rsidRPr="00786F9E">
              <w:rPr>
                <w:rFonts w:ascii="Arial" w:hAnsi="Arial" w:cs="Arial"/>
                <w:noProof/>
                <w:lang w:eastAsia="en-AU"/>
              </w:rPr>
              <w:drawing>
                <wp:inline distT="0" distB="0" distL="0" distR="0">
                  <wp:extent cx="1183542" cy="1922929"/>
                  <wp:effectExtent l="19050" t="0" r="0" b="0"/>
                  <wp:docPr id="30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4476 crop1.jpg"/>
                          <pic:cNvPicPr/>
                        </pic:nvPicPr>
                        <pic:blipFill>
                          <a:blip r:embed="rId242"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195101" cy="1941709"/>
                          </a:xfrm>
                          <a:prstGeom prst="rect">
                            <a:avLst/>
                          </a:prstGeom>
                        </pic:spPr>
                      </pic:pic>
                    </a:graphicData>
                  </a:graphic>
                </wp:inline>
              </w:drawing>
            </w:r>
          </w:p>
          <w:p w:rsidR="006957E7" w:rsidRPr="00786F9E" w:rsidRDefault="006957E7" w:rsidP="00224F8A">
            <w:pPr>
              <w:jc w:val="center"/>
              <w:rPr>
                <w:rFonts w:ascii="Arial" w:hAnsi="Arial" w:cs="Arial"/>
                <w:b/>
                <w:sz w:val="18"/>
                <w:szCs w:val="18"/>
                <w:lang w:eastAsia="en-AU"/>
              </w:rPr>
            </w:pPr>
            <w:r w:rsidRPr="00786F9E">
              <w:rPr>
                <w:rFonts w:ascii="Arial" w:hAnsi="Arial" w:cs="Arial"/>
                <w:b/>
                <w:sz w:val="18"/>
                <w:szCs w:val="18"/>
                <w:lang w:eastAsia="en-AU"/>
              </w:rPr>
              <w:t>Rough bark</w:t>
            </w:r>
          </w:p>
        </w:tc>
        <w:tc>
          <w:tcPr>
            <w:tcW w:w="1930" w:type="dxa"/>
          </w:tcPr>
          <w:p w:rsidR="006957E7" w:rsidRPr="00786F9E" w:rsidRDefault="006957E7" w:rsidP="00224F8A">
            <w:pPr>
              <w:spacing w:after="0"/>
              <w:jc w:val="center"/>
              <w:rPr>
                <w:rFonts w:ascii="Arial" w:hAnsi="Arial" w:cs="Arial"/>
                <w:sz w:val="16"/>
                <w:szCs w:val="16"/>
                <w:lang w:eastAsia="en-AU"/>
              </w:rPr>
            </w:pPr>
            <w:r w:rsidRPr="00786F9E">
              <w:rPr>
                <w:rFonts w:ascii="Arial" w:hAnsi="Arial" w:cs="Arial"/>
                <w:noProof/>
                <w:lang w:eastAsia="en-AU"/>
              </w:rPr>
              <w:drawing>
                <wp:inline distT="0" distB="0" distL="0" distR="0">
                  <wp:extent cx="969289" cy="1924050"/>
                  <wp:effectExtent l="19050" t="0" r="2261" b="0"/>
                  <wp:docPr id="310" name="Picture 9" descr="Capparis umbonata-leav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paris umbonata-leaves.jpg"/>
                          <pic:cNvPicPr/>
                        </pic:nvPicPr>
                        <pic:blipFill>
                          <a:blip r:embed="rId243" cstate="screen"/>
                          <a:stretch>
                            <a:fillRect/>
                          </a:stretch>
                        </pic:blipFill>
                        <pic:spPr>
                          <a:xfrm>
                            <a:off x="0" y="0"/>
                            <a:ext cx="972042" cy="1929514"/>
                          </a:xfrm>
                          <a:prstGeom prst="rect">
                            <a:avLst/>
                          </a:prstGeom>
                        </pic:spPr>
                      </pic:pic>
                    </a:graphicData>
                  </a:graphic>
                </wp:inline>
              </w:drawing>
            </w:r>
          </w:p>
          <w:p w:rsidR="006957E7" w:rsidRPr="00786F9E" w:rsidRDefault="006957E7" w:rsidP="00224F8A">
            <w:pPr>
              <w:jc w:val="center"/>
              <w:rPr>
                <w:rFonts w:ascii="Arial" w:hAnsi="Arial" w:cs="Arial"/>
                <w:b/>
                <w:sz w:val="18"/>
                <w:szCs w:val="18"/>
                <w:lang w:eastAsia="en-AU"/>
              </w:rPr>
            </w:pPr>
            <w:r w:rsidRPr="00786F9E">
              <w:rPr>
                <w:rFonts w:ascii="Arial" w:hAnsi="Arial" w:cs="Arial"/>
                <w:b/>
                <w:sz w:val="18"/>
                <w:szCs w:val="18"/>
                <w:lang w:eastAsia="en-AU"/>
              </w:rPr>
              <w:t>Narrow leaves</w:t>
            </w:r>
          </w:p>
        </w:tc>
      </w:tr>
    </w:tbl>
    <w:p w:rsidR="001B47A2" w:rsidRDefault="001B47A2" w:rsidP="006957E7">
      <w:pPr>
        <w:spacing w:after="0" w:line="240" w:lineRule="auto"/>
        <w:sectPr w:rsidR="001B47A2" w:rsidSect="00D444BD">
          <w:headerReference w:type="even" r:id="rId244"/>
          <w:footerReference w:type="even" r:id="rId245"/>
          <w:headerReference w:type="first" r:id="rId246"/>
          <w:footerReference w:type="first" r:id="rId247"/>
          <w:pgSz w:w="11906" w:h="16838" w:code="9"/>
          <w:pgMar w:top="1440" w:right="1800" w:bottom="1440" w:left="1800" w:header="1080" w:footer="835" w:gutter="0"/>
          <w:cols w:space="360"/>
          <w:noEndnote/>
        </w:sectPr>
      </w:pPr>
    </w:p>
    <w:p w:rsidR="006957E7" w:rsidRDefault="006957E7" w:rsidP="006957E7">
      <w:pPr>
        <w:spacing w:after="0" w:line="240" w:lineRule="auto"/>
      </w:pPr>
    </w:p>
    <w:p w:rsidR="006957E7" w:rsidRDefault="006957E7" w:rsidP="007A03F3">
      <w:pPr>
        <w:pStyle w:val="Heading3"/>
      </w:pPr>
      <w:r>
        <w:t>Outstanding work</w:t>
      </w:r>
    </w:p>
    <w:p w:rsidR="006957E7" w:rsidRDefault="006957E7" w:rsidP="006957E7">
      <w:r>
        <w:t>Writing of the report is continuing. Some botanical information</w:t>
      </w:r>
      <w:r w:rsidRPr="003B73C2">
        <w:t xml:space="preserve"> </w:t>
      </w:r>
      <w:r>
        <w:t>for, and photography of, some of the species is still incomplete, but description of most of the species has been completed.</w:t>
      </w:r>
      <w:r w:rsidRPr="00E076DB">
        <w:t xml:space="preserve"> </w:t>
      </w:r>
      <w:r>
        <w:t>The existing plant descriptions need to be internally validated before final publication.</w:t>
      </w:r>
    </w:p>
    <w:p w:rsidR="006957E7" w:rsidRDefault="006957E7" w:rsidP="007A03F3">
      <w:pPr>
        <w:pStyle w:val="Heading2"/>
      </w:pPr>
      <w:r>
        <w:t>References</w:t>
      </w:r>
    </w:p>
    <w:p w:rsidR="006957E7" w:rsidRPr="006957E7" w:rsidRDefault="006957E7" w:rsidP="00786F9E">
      <w:pPr>
        <w:pStyle w:val="referencelist1"/>
      </w:pPr>
      <w:r w:rsidRPr="006957E7">
        <w:t xml:space="preserve">Altman JC 1984. </w:t>
      </w:r>
      <w:proofErr w:type="gramStart"/>
      <w:r w:rsidRPr="006957E7">
        <w:t>The dietary utilisation of flora and fauna by contemporary hunter-gatherers at Momega Outstation, north central Arnhem Land.</w:t>
      </w:r>
      <w:proofErr w:type="gramEnd"/>
      <w:r w:rsidRPr="006957E7">
        <w:t xml:space="preserve"> Australian Ab</w:t>
      </w:r>
      <w:r w:rsidR="00786F9E">
        <w:t xml:space="preserve">original Studies. No1. </w:t>
      </w:r>
      <w:proofErr w:type="gramStart"/>
      <w:r w:rsidR="00786F9E">
        <w:t>Pages 35–</w:t>
      </w:r>
      <w:r w:rsidRPr="006957E7">
        <w:t>46.</w:t>
      </w:r>
      <w:proofErr w:type="gramEnd"/>
    </w:p>
    <w:p w:rsidR="006957E7" w:rsidRPr="006957E7" w:rsidRDefault="006957E7" w:rsidP="00786F9E">
      <w:pPr>
        <w:pStyle w:val="referencelist1"/>
      </w:pPr>
      <w:proofErr w:type="gramStart"/>
      <w:r w:rsidRPr="006957E7">
        <w:t>Blake NM, Wightman G &amp; Williams L 1998.</w:t>
      </w:r>
      <w:proofErr w:type="gramEnd"/>
      <w:r w:rsidRPr="006957E7">
        <w:t xml:space="preserve"> Iwaidja Ethnobotany. </w:t>
      </w:r>
      <w:proofErr w:type="gramStart"/>
      <w:r w:rsidRPr="006957E7">
        <w:t>Aboriginal plant knowledge from Gurig National Park, northern Australia.</w:t>
      </w:r>
      <w:proofErr w:type="gramEnd"/>
      <w:r w:rsidRPr="006957E7">
        <w:t xml:space="preserve"> </w:t>
      </w:r>
      <w:r w:rsidRPr="00786F9E">
        <w:rPr>
          <w:i/>
        </w:rPr>
        <w:t>Northern Territory Botanical Bulletin</w:t>
      </w:r>
      <w:r w:rsidRPr="006957E7">
        <w:t xml:space="preserve"> 23: 1–166.</w:t>
      </w:r>
    </w:p>
    <w:p w:rsidR="006957E7" w:rsidRPr="006957E7" w:rsidRDefault="006957E7" w:rsidP="00786F9E">
      <w:pPr>
        <w:pStyle w:val="referencelist1"/>
      </w:pPr>
      <w:proofErr w:type="gramStart"/>
      <w:r w:rsidRPr="006957E7">
        <w:t>Brock J 2001.</w:t>
      </w:r>
      <w:proofErr w:type="gramEnd"/>
      <w:r w:rsidRPr="006957E7">
        <w:t xml:space="preserve"> </w:t>
      </w:r>
      <w:proofErr w:type="gramStart"/>
      <w:r w:rsidRPr="006957E7">
        <w:t>Native plants of Northern Australia.</w:t>
      </w:r>
      <w:proofErr w:type="gramEnd"/>
      <w:r w:rsidRPr="006957E7">
        <w:t xml:space="preserve"> Reed New </w:t>
      </w:r>
      <w:proofErr w:type="gramStart"/>
      <w:r w:rsidRPr="006957E7">
        <w:t>Holland.:</w:t>
      </w:r>
      <w:proofErr w:type="gramEnd"/>
      <w:r w:rsidRPr="006957E7">
        <w:t xml:space="preserve"> Chatsworth, N.S.W.</w:t>
      </w:r>
    </w:p>
    <w:p w:rsidR="006957E7" w:rsidRPr="006957E7" w:rsidRDefault="006957E7" w:rsidP="00786F9E">
      <w:pPr>
        <w:pStyle w:val="referencelist1"/>
      </w:pPr>
      <w:proofErr w:type="gramStart"/>
      <w:r w:rsidRPr="006957E7">
        <w:t>Chaloupka G &amp; Giuliani P 1984.</w:t>
      </w:r>
      <w:proofErr w:type="gramEnd"/>
      <w:r w:rsidRPr="006957E7">
        <w:t xml:space="preserve"> Gundulk </w:t>
      </w:r>
      <w:proofErr w:type="gramStart"/>
      <w:r w:rsidRPr="006957E7">
        <w:t>abel</w:t>
      </w:r>
      <w:proofErr w:type="gramEnd"/>
      <w:r w:rsidRPr="006957E7">
        <w:t xml:space="preserve"> gundalg: Mayali Flora. </w:t>
      </w:r>
      <w:proofErr w:type="gramStart"/>
      <w:r w:rsidRPr="006957E7">
        <w:t>Unpublished report, Northern Territory Museum of Arts &amp; Sciences, Darwin</w:t>
      </w:r>
      <w:r w:rsidR="00E70BC9">
        <w:t>.</w:t>
      </w:r>
      <w:proofErr w:type="gramEnd"/>
    </w:p>
    <w:p w:rsidR="006957E7" w:rsidRPr="006957E7" w:rsidRDefault="001621F3" w:rsidP="00786F9E">
      <w:pPr>
        <w:pStyle w:val="referencelist1"/>
      </w:pPr>
      <w:r>
        <w:t xml:space="preserve">Cowie ID, Short P &amp; </w:t>
      </w:r>
      <w:r w:rsidR="006957E7" w:rsidRPr="006957E7">
        <w:t xml:space="preserve">Osterkamp Madsen M 2000. </w:t>
      </w:r>
      <w:proofErr w:type="gramStart"/>
      <w:r w:rsidR="006957E7" w:rsidRPr="006957E7">
        <w:t>Floodplain Flora.</w:t>
      </w:r>
      <w:proofErr w:type="gramEnd"/>
      <w:r w:rsidR="006957E7" w:rsidRPr="006957E7">
        <w:t xml:space="preserve"> </w:t>
      </w:r>
      <w:proofErr w:type="gramStart"/>
      <w:r w:rsidR="006957E7" w:rsidRPr="006957E7">
        <w:t>A Flora of the Coastal Floodplains of the Northern Territory, Australia.</w:t>
      </w:r>
      <w:proofErr w:type="gramEnd"/>
      <w:r w:rsidR="006957E7" w:rsidRPr="006957E7">
        <w:t xml:space="preserve"> (Flora of Australia Supplementary Series Number 10). (Australian Biological Resources Study: Canberra).</w:t>
      </w:r>
    </w:p>
    <w:p w:rsidR="006957E7" w:rsidRPr="006957E7" w:rsidRDefault="006957E7" w:rsidP="00786F9E">
      <w:pPr>
        <w:pStyle w:val="referencelist1"/>
      </w:pPr>
      <w:r w:rsidRPr="006957E7">
        <w:t>Flora of Australia Volume 2, Winteraceae to Platanaceae. Me</w:t>
      </w:r>
      <w:r w:rsidR="00786F9E">
        <w:t>lbourne: ABRS/CSIRO Publishing 2007.</w:t>
      </w:r>
    </w:p>
    <w:p w:rsidR="006957E7" w:rsidRPr="006957E7" w:rsidRDefault="006957E7" w:rsidP="00786F9E">
      <w:pPr>
        <w:pStyle w:val="referencelist1"/>
      </w:pPr>
      <w:r w:rsidRPr="006957E7">
        <w:t xml:space="preserve">Levitt D 1981. </w:t>
      </w:r>
      <w:proofErr w:type="gramStart"/>
      <w:r w:rsidRPr="006957E7">
        <w:t>Plants and People.</w:t>
      </w:r>
      <w:proofErr w:type="gramEnd"/>
      <w:r w:rsidRPr="006957E7">
        <w:t xml:space="preserve"> </w:t>
      </w:r>
      <w:proofErr w:type="gramStart"/>
      <w:r w:rsidRPr="006957E7">
        <w:t>Aboriginal Uses of Plants on Groote Eylandt.</w:t>
      </w:r>
      <w:proofErr w:type="gramEnd"/>
      <w:r w:rsidRPr="006957E7">
        <w:t xml:space="preserve"> </w:t>
      </w:r>
      <w:proofErr w:type="gramStart"/>
      <w:r w:rsidRPr="006957E7">
        <w:t>Australian Institute of Aboriginal studies.</w:t>
      </w:r>
      <w:proofErr w:type="gramEnd"/>
      <w:r w:rsidRPr="006957E7">
        <w:t xml:space="preserve"> Canberra.</w:t>
      </w:r>
    </w:p>
    <w:p w:rsidR="006957E7" w:rsidRPr="006957E7" w:rsidRDefault="006957E7" w:rsidP="00786F9E">
      <w:pPr>
        <w:pStyle w:val="referencelist1"/>
      </w:pPr>
      <w:proofErr w:type="gramStart"/>
      <w:r w:rsidRPr="006957E7">
        <w:t>Lucas DE &amp; Russell-Smith J 1993.</w:t>
      </w:r>
      <w:proofErr w:type="gramEnd"/>
      <w:r w:rsidRPr="006957E7">
        <w:t xml:space="preserve"> Traditional Resources of the South Alligator Floodplain: Utilisation and Management (3 Vols), Unpublished report to ANCA, Canberra.</w:t>
      </w:r>
    </w:p>
    <w:p w:rsidR="006957E7" w:rsidRPr="006957E7" w:rsidRDefault="006957E7" w:rsidP="00786F9E">
      <w:pPr>
        <w:pStyle w:val="referencelist1"/>
      </w:pPr>
      <w:r w:rsidRPr="006957E7">
        <w:t xml:space="preserve">McArthur M 1960. </w:t>
      </w:r>
      <w:proofErr w:type="gramStart"/>
      <w:r w:rsidRPr="006957E7">
        <w:t>Food Consumption and Dietary Levels of Groups of Aborigines Living on naturally Occurring Foods.</w:t>
      </w:r>
      <w:proofErr w:type="gramEnd"/>
      <w:r w:rsidRPr="006957E7">
        <w:t xml:space="preserve"> Records of the American-Australian Scientific Expedition to Arnhem Land, Vol 2: Anthropology and Nutrition. Melbourne University Press, Melbourne</w:t>
      </w:r>
      <w:r w:rsidR="00E70BC9">
        <w:t>.</w:t>
      </w:r>
    </w:p>
    <w:p w:rsidR="006957E7" w:rsidRPr="006957E7" w:rsidRDefault="006957E7" w:rsidP="00786F9E">
      <w:pPr>
        <w:pStyle w:val="referencelist1"/>
      </w:pPr>
      <w:r w:rsidRPr="006957E7">
        <w:t xml:space="preserve">McLauglin D 1982. </w:t>
      </w:r>
      <w:proofErr w:type="gramStart"/>
      <w:r w:rsidRPr="006957E7">
        <w:t>A checklist of biotic resources utilised by Aboriginal people in the Alligator Rivers Region.</w:t>
      </w:r>
      <w:proofErr w:type="gramEnd"/>
    </w:p>
    <w:p w:rsidR="006957E7" w:rsidRPr="006957E7" w:rsidRDefault="006957E7" w:rsidP="00786F9E">
      <w:pPr>
        <w:pStyle w:val="referencelist1"/>
      </w:pPr>
      <w:proofErr w:type="gramStart"/>
      <w:r w:rsidRPr="006957E7">
        <w:t>Pate J &amp; Dixon K 1982.</w:t>
      </w:r>
      <w:proofErr w:type="gramEnd"/>
      <w:r w:rsidRPr="006957E7">
        <w:t xml:space="preserve"> </w:t>
      </w:r>
      <w:proofErr w:type="gramStart"/>
      <w:r w:rsidRPr="006957E7">
        <w:t>Tuberous, Cormous and Bulbous Plants.</w:t>
      </w:r>
      <w:proofErr w:type="gramEnd"/>
      <w:r w:rsidRPr="006957E7">
        <w:t xml:space="preserve"> </w:t>
      </w:r>
      <w:proofErr w:type="gramStart"/>
      <w:r w:rsidRPr="006957E7">
        <w:t>Biology of an Adaptive Strategy in Western Australia.</w:t>
      </w:r>
      <w:proofErr w:type="gramEnd"/>
      <w:r w:rsidRPr="006957E7">
        <w:t xml:space="preserve"> </w:t>
      </w:r>
      <w:proofErr w:type="gramStart"/>
      <w:r w:rsidRPr="006957E7">
        <w:t>University of Western Australia Press.</w:t>
      </w:r>
      <w:proofErr w:type="gramEnd"/>
    </w:p>
    <w:p w:rsidR="006957E7" w:rsidRPr="006957E7" w:rsidRDefault="006957E7" w:rsidP="00786F9E">
      <w:pPr>
        <w:pStyle w:val="referencelist1"/>
      </w:pPr>
      <w:proofErr w:type="gramStart"/>
      <w:r w:rsidRPr="006957E7">
        <w:t>Petheram RJ &amp; Kok B 2003.</w:t>
      </w:r>
      <w:proofErr w:type="gramEnd"/>
      <w:r w:rsidRPr="006957E7">
        <w:t xml:space="preserve"> </w:t>
      </w:r>
      <w:proofErr w:type="gramStart"/>
      <w:r w:rsidRPr="006957E7">
        <w:t>Plants of the Kimberly region of Western Australia.</w:t>
      </w:r>
      <w:proofErr w:type="gramEnd"/>
      <w:r w:rsidRPr="006957E7">
        <w:t xml:space="preserve"> </w:t>
      </w:r>
      <w:proofErr w:type="gramStart"/>
      <w:r w:rsidRPr="006957E7">
        <w:t>University of Western Australia Press.</w:t>
      </w:r>
      <w:proofErr w:type="gramEnd"/>
      <w:r w:rsidRPr="006957E7">
        <w:t xml:space="preserve"> </w:t>
      </w:r>
      <w:proofErr w:type="gramStart"/>
      <w:r w:rsidRPr="006957E7">
        <w:t>Revised Edition.</w:t>
      </w:r>
      <w:proofErr w:type="gramEnd"/>
    </w:p>
    <w:p w:rsidR="006957E7" w:rsidRPr="006957E7" w:rsidRDefault="006957E7" w:rsidP="00786F9E">
      <w:pPr>
        <w:pStyle w:val="referencelist1"/>
      </w:pPr>
      <w:r w:rsidRPr="006957E7">
        <w:t>Short PS, Albrecht DE, Cowie ID, Lewis DL &amp; Stuckey BM (</w:t>
      </w:r>
      <w:proofErr w:type="gramStart"/>
      <w:r w:rsidRPr="006957E7">
        <w:t>eds</w:t>
      </w:r>
      <w:proofErr w:type="gramEnd"/>
      <w:r w:rsidRPr="006957E7">
        <w:t xml:space="preserve">). 2011. Checklist of the Vascular Plants of the Northern Territory. </w:t>
      </w:r>
      <w:proofErr w:type="gramStart"/>
      <w:r w:rsidRPr="006957E7">
        <w:t>Northern Territory Herbarium.</w:t>
      </w:r>
      <w:proofErr w:type="gramEnd"/>
      <w:r w:rsidRPr="006957E7">
        <w:t xml:space="preserve"> </w:t>
      </w:r>
      <w:proofErr w:type="gramStart"/>
      <w:r w:rsidRPr="006957E7">
        <w:t>Department of Natural Resources, Environment, the Arts and Sport.</w:t>
      </w:r>
      <w:proofErr w:type="gramEnd"/>
    </w:p>
    <w:p w:rsidR="006957E7" w:rsidRPr="006957E7" w:rsidRDefault="006957E7" w:rsidP="00786F9E">
      <w:pPr>
        <w:pStyle w:val="referencelist1"/>
      </w:pPr>
      <w:proofErr w:type="gramStart"/>
      <w:r w:rsidRPr="006957E7">
        <w:t>Short PS 2011.</w:t>
      </w:r>
      <w:proofErr w:type="gramEnd"/>
      <w:r w:rsidRPr="006957E7">
        <w:t xml:space="preserve"> </w:t>
      </w:r>
      <w:proofErr w:type="gramStart"/>
      <w:r w:rsidRPr="006957E7">
        <w:t>Capparaceae.</w:t>
      </w:r>
      <w:proofErr w:type="gramEnd"/>
      <w:r w:rsidRPr="006957E7">
        <w:t xml:space="preserve"> In Short, P.S. &amp; Cowie, I.D. (</w:t>
      </w:r>
      <w:proofErr w:type="gramStart"/>
      <w:r w:rsidRPr="006957E7">
        <w:t>eds</w:t>
      </w:r>
      <w:proofErr w:type="gramEnd"/>
      <w:r w:rsidRPr="006957E7">
        <w:t xml:space="preserve">), Flora of the Darwin Region. </w:t>
      </w:r>
      <w:proofErr w:type="gramStart"/>
      <w:r w:rsidRPr="006957E7">
        <w:t>Northern Territory Herbarium, Department of Natural Resources, Environment, the Arts and Sport.</w:t>
      </w:r>
      <w:proofErr w:type="gramEnd"/>
      <w:r w:rsidRPr="006957E7">
        <w:t xml:space="preserve"> Vol. 1, pp. 1–24.</w:t>
      </w:r>
    </w:p>
    <w:p w:rsidR="006957E7" w:rsidRPr="006957E7" w:rsidRDefault="006957E7" w:rsidP="00786F9E">
      <w:pPr>
        <w:pStyle w:val="referencelist1"/>
      </w:pPr>
      <w:proofErr w:type="gramStart"/>
      <w:r w:rsidRPr="006957E7">
        <w:t>Smyth DM &amp; von Sturmer JR 1981.</w:t>
      </w:r>
      <w:proofErr w:type="gramEnd"/>
      <w:r w:rsidRPr="006957E7">
        <w:t xml:space="preserve"> </w:t>
      </w:r>
      <w:proofErr w:type="gramStart"/>
      <w:r w:rsidRPr="006957E7">
        <w:t>The Use of plants by the Aboriginal People in the Oenpelli Region of Western Arnhem Land.</w:t>
      </w:r>
      <w:proofErr w:type="gramEnd"/>
      <w:r w:rsidRPr="006957E7">
        <w:t xml:space="preserve"> </w:t>
      </w:r>
      <w:proofErr w:type="gramStart"/>
      <w:r w:rsidRPr="006957E7">
        <w:t>Australian Institute of Aboriginal Studies.</w:t>
      </w:r>
      <w:proofErr w:type="gramEnd"/>
      <w:r w:rsidRPr="006957E7">
        <w:t xml:space="preserve"> </w:t>
      </w:r>
      <w:proofErr w:type="gramStart"/>
      <w:r w:rsidRPr="006957E7">
        <w:t>Social Impact of Uranium Mining on the Aborigines of the Northern Territory.</w:t>
      </w:r>
      <w:proofErr w:type="gramEnd"/>
    </w:p>
    <w:p w:rsidR="006957E7" w:rsidRPr="006957E7" w:rsidRDefault="006957E7" w:rsidP="00786F9E">
      <w:pPr>
        <w:pStyle w:val="referencelist1"/>
      </w:pPr>
      <w:r w:rsidRPr="006957E7">
        <w:t xml:space="preserve">Specht RL 1958. </w:t>
      </w:r>
      <w:proofErr w:type="gramStart"/>
      <w:r w:rsidRPr="006957E7">
        <w:t>An Introduction to the Ethno – Botany of Arnhem Land.</w:t>
      </w:r>
      <w:proofErr w:type="gramEnd"/>
      <w:r w:rsidRPr="006957E7">
        <w:t xml:space="preserve"> Records of the American-Australian Scientific Expedition to Arnhem Land, Vol 3: Botany and Plant Ecology. Melbourne University Press, Melbourne.</w:t>
      </w:r>
    </w:p>
    <w:p w:rsidR="006957E7" w:rsidRPr="006957E7" w:rsidRDefault="006957E7" w:rsidP="00786F9E">
      <w:pPr>
        <w:pStyle w:val="referencelist1"/>
      </w:pPr>
      <w:r w:rsidRPr="006957E7">
        <w:t xml:space="preserve">Wiynjorrotj P, Flora S, Brown ND, Jatbula P, Galmur J, Katherine M, Merlan F. &amp; Wightman G 2005. Jawoyn plant and animals: Aboriginal flora and fauna knowledge from Nitmiluk National Park and the Katherine area, northern Australia. </w:t>
      </w:r>
      <w:r w:rsidRPr="00786F9E">
        <w:rPr>
          <w:i/>
        </w:rPr>
        <w:t xml:space="preserve">Northern Territory Botanical Bulletin </w:t>
      </w:r>
      <w:r w:rsidR="001621F3">
        <w:t>29,</w:t>
      </w:r>
      <w:r w:rsidRPr="006957E7">
        <w:t xml:space="preserve"> 1–236.</w:t>
      </w:r>
    </w:p>
    <w:p w:rsidR="00786F9E" w:rsidRDefault="00786F9E">
      <w:pPr>
        <w:spacing w:after="0" w:line="240" w:lineRule="auto"/>
        <w:jc w:val="left"/>
        <w:rPr>
          <w:rFonts w:ascii="Arial" w:hAnsi="Arial"/>
          <w:b/>
          <w:sz w:val="28"/>
        </w:rPr>
      </w:pPr>
      <w:r>
        <w:br w:type="page"/>
      </w:r>
    </w:p>
    <w:p w:rsidR="00224F8A" w:rsidRDefault="00224F8A" w:rsidP="00361D80">
      <w:pPr>
        <w:pStyle w:val="Heading1"/>
        <w:rPr>
          <w:lang w:val="en-US"/>
        </w:rPr>
      </w:pPr>
      <w:bookmarkStart w:id="262" w:name="_Toc401910203"/>
      <w:bookmarkStart w:id="263" w:name="_Toc409772828"/>
      <w:bookmarkStart w:id="264" w:name="_Toc418172725"/>
      <w:r w:rsidRPr="00F776F2">
        <w:rPr>
          <w:lang w:val="en-US"/>
        </w:rPr>
        <w:t xml:space="preserve">Environmental media concentration limits </w:t>
      </w:r>
      <w:r>
        <w:rPr>
          <w:lang w:val="en-US"/>
        </w:rPr>
        <w:t>for terrestrial wildlife</w:t>
      </w:r>
      <w:bookmarkEnd w:id="262"/>
      <w:bookmarkEnd w:id="263"/>
      <w:bookmarkEnd w:id="264"/>
    </w:p>
    <w:p w:rsidR="00361D80" w:rsidRPr="00361D80" w:rsidRDefault="00AB0795" w:rsidP="00361D80">
      <w:pPr>
        <w:pStyle w:val="Heading3"/>
        <w:spacing w:after="480"/>
        <w:jc w:val="center"/>
        <w:rPr>
          <w:lang w:val="en-US"/>
        </w:rPr>
      </w:pPr>
      <w:r>
        <w:rPr>
          <w:lang w:val="en-US"/>
        </w:rPr>
        <w:t>C</w:t>
      </w:r>
      <w:r w:rsidR="005868D2">
        <w:rPr>
          <w:lang w:val="en-US"/>
        </w:rPr>
        <w:t xml:space="preserve"> Doering &amp; </w:t>
      </w:r>
      <w:r>
        <w:rPr>
          <w:lang w:val="en-US"/>
        </w:rPr>
        <w:t>A</w:t>
      </w:r>
      <w:r w:rsidR="005868D2" w:rsidRPr="00F704FA">
        <w:rPr>
          <w:lang w:val="en-US"/>
        </w:rPr>
        <w:t xml:space="preserve"> Bollhöfer</w:t>
      </w:r>
    </w:p>
    <w:p w:rsidR="00224F8A" w:rsidRPr="00F776F2" w:rsidRDefault="00224F8A" w:rsidP="007A03F3">
      <w:pPr>
        <w:pStyle w:val="Heading2"/>
        <w:rPr>
          <w:lang w:val="en-US"/>
        </w:rPr>
      </w:pPr>
      <w:r w:rsidRPr="00F776F2">
        <w:rPr>
          <w:lang w:val="en-US"/>
        </w:rPr>
        <w:t>Introduction</w:t>
      </w:r>
    </w:p>
    <w:p w:rsidR="00224F8A" w:rsidRPr="00F776F2" w:rsidRDefault="00224F8A" w:rsidP="00224F8A">
      <w:pPr>
        <w:rPr>
          <w:lang w:val="en-US"/>
        </w:rPr>
      </w:pPr>
      <w:r w:rsidRPr="00F776F2">
        <w:rPr>
          <w:lang w:val="en-US"/>
        </w:rPr>
        <w:t xml:space="preserve">The environmental exposure of wildlife to </w:t>
      </w:r>
      <w:r>
        <w:rPr>
          <w:lang w:val="en-US"/>
        </w:rPr>
        <w:t>above-</w:t>
      </w:r>
      <w:r w:rsidRPr="00F776F2">
        <w:rPr>
          <w:lang w:val="en-US"/>
        </w:rPr>
        <w:t xml:space="preserve">background radiation sources resulting from human activities has been included as a distinct exposure category in contemporary radiation protection recommendations </w:t>
      </w:r>
      <w:r>
        <w:rPr>
          <w:lang w:val="en-US"/>
        </w:rPr>
        <w:t xml:space="preserve">from national (ARPANSA 2014) and international </w:t>
      </w:r>
      <w:r w:rsidRPr="00F776F2">
        <w:rPr>
          <w:lang w:val="en-US"/>
        </w:rPr>
        <w:t>(ICRP 2007)</w:t>
      </w:r>
      <w:r>
        <w:rPr>
          <w:lang w:val="en-US"/>
        </w:rPr>
        <w:t xml:space="preserve"> bodies </w:t>
      </w:r>
      <w:r w:rsidRPr="00F776F2">
        <w:rPr>
          <w:lang w:val="en-US"/>
        </w:rPr>
        <w:t>and an environmental radiological protection framework developed (ICRP 2008, ICRP 2009, ICRP 2014). Radiation exposure to wildlife from radionuclide contaminated environments should be considered and assessed where the potential for environmental effects exist or where otherwise required to do so. Uranium mine rehabilitation is a human activity that may lead to the environmental exposure of wildlife if average radionuclide concentrations on the rehabilitated landform are greater than pre-mining. This is the likely scenario for Ranger uranium mine, where the preferred rehabilitation strategy is to use waste rock material as the surface cover on the rehabilitated landform.</w:t>
      </w:r>
    </w:p>
    <w:p w:rsidR="00224F8A" w:rsidRPr="00F776F2" w:rsidRDefault="00224F8A" w:rsidP="00224F8A">
      <w:pPr>
        <w:rPr>
          <w:lang w:val="en-US"/>
        </w:rPr>
      </w:pPr>
      <w:r w:rsidRPr="00F776F2">
        <w:rPr>
          <w:lang w:val="en-US"/>
        </w:rPr>
        <w:t>Environmental exposure is typically quantified as the absorbed dose rate to wildlife from the radionuclide contaminated environment</w:t>
      </w:r>
      <w:r>
        <w:rPr>
          <w:lang w:val="en-US"/>
        </w:rPr>
        <w:t>,</w:t>
      </w:r>
      <w:r w:rsidRPr="00F776F2">
        <w:rPr>
          <w:lang w:val="en-US"/>
        </w:rPr>
        <w:t xml:space="preserve"> and can be placed in a risk context by comparing with a screening dose rate. The screening dose rate is an absorbed dose rate value that provides some level of protection to wildlife. The commonly used ERICA Tool screening dose rate is </w:t>
      </w:r>
      <w:proofErr w:type="gramStart"/>
      <w:r w:rsidRPr="00F776F2">
        <w:rPr>
          <w:lang w:val="en-US"/>
        </w:rPr>
        <w:t>10 µGy h</w:t>
      </w:r>
      <w:r w:rsidRPr="00F776F2">
        <w:rPr>
          <w:snapToGrid w:val="0"/>
          <w:color w:val="000000"/>
          <w:position w:val="5"/>
          <w:sz w:val="15"/>
          <w:szCs w:val="0"/>
          <w:u w:color="000000"/>
          <w:lang w:val="en-US"/>
        </w:rPr>
        <w:t>-1</w:t>
      </w:r>
      <w:proofErr w:type="gramEnd"/>
      <w:r w:rsidRPr="00F776F2">
        <w:rPr>
          <w:lang w:val="en-US"/>
        </w:rPr>
        <w:t xml:space="preserve"> and </w:t>
      </w:r>
      <w:r>
        <w:rPr>
          <w:lang w:val="en-US"/>
        </w:rPr>
        <w:t xml:space="preserve">is intended to </w:t>
      </w:r>
      <w:r w:rsidR="00AB0795">
        <w:rPr>
          <w:lang w:val="en-US"/>
        </w:rPr>
        <w:t xml:space="preserve">conservatively </w:t>
      </w:r>
      <w:r w:rsidRPr="00F776F2">
        <w:rPr>
          <w:lang w:val="en-US"/>
        </w:rPr>
        <w:t>provide 95% species protection based on species sensitivity distribution analysis (Garnier-Laplace et al</w:t>
      </w:r>
      <w:r w:rsidR="00167FC0">
        <w:rPr>
          <w:lang w:val="en-US"/>
        </w:rPr>
        <w:t>.</w:t>
      </w:r>
      <w:r w:rsidRPr="00F776F2">
        <w:rPr>
          <w:lang w:val="en-US"/>
        </w:rPr>
        <w:t xml:space="preserve"> 2008</w:t>
      </w:r>
      <w:r>
        <w:rPr>
          <w:lang w:val="en-US"/>
        </w:rPr>
        <w:t>)</w:t>
      </w:r>
      <w:r w:rsidRPr="00F776F2">
        <w:rPr>
          <w:lang w:val="en-US"/>
        </w:rPr>
        <w:t xml:space="preserve">. Exposures below this screening dose rate suggest low risk. Those above it are not necessarily harmful or unacceptable, but highlight that a more detailed assessment of the exposure situation </w:t>
      </w:r>
      <w:r>
        <w:rPr>
          <w:lang w:val="en-US"/>
        </w:rPr>
        <w:t>may be necessary</w:t>
      </w:r>
      <w:r w:rsidRPr="00F776F2">
        <w:rPr>
          <w:lang w:val="en-US"/>
        </w:rPr>
        <w:t xml:space="preserve"> in order to determine this.</w:t>
      </w:r>
    </w:p>
    <w:p w:rsidR="00224F8A" w:rsidRPr="00F776F2" w:rsidRDefault="00224F8A" w:rsidP="00224F8A">
      <w:pPr>
        <w:rPr>
          <w:lang w:val="en-US"/>
        </w:rPr>
      </w:pPr>
      <w:r w:rsidRPr="00F776F2">
        <w:rPr>
          <w:lang w:val="en-US"/>
        </w:rPr>
        <w:t>The environmental media concentration limit (EMCL) for terrestrial ecosystems is the soil radionuclide activity concentration that would result in an absorbed dose rate to wildlife equal to that of the screening dose rate and can be calculated as (Brown et al</w:t>
      </w:r>
      <w:r w:rsidR="00167FC0">
        <w:rPr>
          <w:lang w:val="en-US"/>
        </w:rPr>
        <w:t>.</w:t>
      </w:r>
      <w:r w:rsidRPr="00F776F2">
        <w:rPr>
          <w:lang w:val="en-US"/>
        </w:rPr>
        <w:t xml:space="preserve"> 2008):</w:t>
      </w:r>
    </w:p>
    <w:p w:rsidR="00224F8A" w:rsidRPr="00F776F2" w:rsidRDefault="00224F8A" w:rsidP="00224F8A">
      <w:pPr>
        <w:rPr>
          <w:lang w:val="en-US"/>
        </w:rPr>
      </w:pPr>
      <m:oMathPara>
        <m:oMath>
          <m:r>
            <w:rPr>
              <w:rFonts w:ascii="Cambria Math" w:hAnsi="Cambria Math"/>
              <w:lang w:val="en-US"/>
            </w:rPr>
            <m:t xml:space="preserve">EMCL </m:t>
          </m:r>
          <m:d>
            <m:dPr>
              <m:ctrlPr>
                <w:rPr>
                  <w:rFonts w:ascii="Cambria Math" w:hAnsi="Cambria Math"/>
                  <w:i/>
                  <w:lang w:val="en-US"/>
                </w:rPr>
              </m:ctrlPr>
            </m:dPr>
            <m:e>
              <m:sSup>
                <m:sSupPr>
                  <m:ctrlPr>
                    <w:rPr>
                      <w:rFonts w:ascii="Cambria Math" w:hAnsi="Cambria Math"/>
                      <w:i/>
                      <w:lang w:val="en-US"/>
                    </w:rPr>
                  </m:ctrlPr>
                </m:sSupPr>
                <m:e>
                  <m:r>
                    <w:rPr>
                      <w:rFonts w:ascii="Cambria Math" w:hAnsi="Cambria Math"/>
                      <w:lang w:val="en-US"/>
                    </w:rPr>
                    <m:t>Bq kg</m:t>
                  </m:r>
                </m:e>
                <m:sup>
                  <m:r>
                    <w:rPr>
                      <w:rFonts w:ascii="Cambria Math" w:hAnsi="Cambria Math"/>
                      <w:lang w:val="en-US"/>
                    </w:rPr>
                    <m:t>-1</m:t>
                  </m:r>
                </m:sup>
              </m:sSup>
            </m:e>
          </m:d>
          <m:r>
            <w:rPr>
              <w:rFonts w:ascii="Cambria Math" w:hAnsi="Cambria Math"/>
              <w:lang w:val="en-US"/>
            </w:rPr>
            <m:t>=</m:t>
          </m:r>
          <m:f>
            <m:fPr>
              <m:ctrlPr>
                <w:rPr>
                  <w:rFonts w:ascii="Cambria Math" w:hAnsi="Cambria Math"/>
                  <w:i/>
                  <w:lang w:val="en-US"/>
                </w:rPr>
              </m:ctrlPr>
            </m:fPr>
            <m:num>
              <m:r>
                <w:rPr>
                  <w:rFonts w:ascii="Cambria Math" w:hAnsi="Cambria Math"/>
                  <w:lang w:val="en-US"/>
                </w:rPr>
                <m:t>SDR</m:t>
              </m:r>
            </m:num>
            <m:den>
              <m:r>
                <w:rPr>
                  <w:rFonts w:ascii="Cambria Math" w:hAnsi="Cambria Math"/>
                  <w:lang w:val="en-US"/>
                </w:rPr>
                <m:t>F</m:t>
              </m:r>
            </m:den>
          </m:f>
        </m:oMath>
      </m:oMathPara>
    </w:p>
    <w:p w:rsidR="00224F8A" w:rsidRPr="00F776F2" w:rsidRDefault="00224F8A" w:rsidP="00224F8A">
      <w:pPr>
        <w:rPr>
          <w:lang w:val="en-US"/>
        </w:rPr>
      </w:pPr>
      <w:proofErr w:type="gramStart"/>
      <w:r w:rsidRPr="00F776F2">
        <w:rPr>
          <w:lang w:val="en-US"/>
        </w:rPr>
        <w:t>where</w:t>
      </w:r>
      <w:proofErr w:type="gramEnd"/>
      <w:r w:rsidRPr="00F776F2">
        <w:rPr>
          <w:lang w:val="en-US"/>
        </w:rPr>
        <w:t>:</w:t>
      </w:r>
    </w:p>
    <w:p w:rsidR="00224F8A" w:rsidRPr="00F776F2" w:rsidRDefault="00224F8A" w:rsidP="00224F8A">
      <w:pPr>
        <w:rPr>
          <w:lang w:val="en-US"/>
        </w:rPr>
      </w:pPr>
      <w:r w:rsidRPr="00F776F2">
        <w:rPr>
          <w:rFonts w:ascii="Cambria Math" w:hAnsi="Cambria Math"/>
          <w:i/>
          <w:lang w:val="en-US"/>
        </w:rPr>
        <w:t>SDR</w:t>
      </w:r>
      <w:r w:rsidRPr="00F776F2">
        <w:rPr>
          <w:lang w:val="en-US"/>
        </w:rPr>
        <w:t xml:space="preserve"> (µGy h</w:t>
      </w:r>
      <w:r w:rsidRPr="00F776F2">
        <w:rPr>
          <w:snapToGrid w:val="0"/>
          <w:color w:val="000000"/>
          <w:position w:val="5"/>
          <w:sz w:val="15"/>
          <w:szCs w:val="0"/>
          <w:u w:color="000000"/>
          <w:lang w:val="en-US"/>
        </w:rPr>
        <w:t>-1</w:t>
      </w:r>
      <w:r w:rsidRPr="00F776F2">
        <w:rPr>
          <w:lang w:val="en-US"/>
        </w:rPr>
        <w:t>) is the screening dose rate; and</w:t>
      </w:r>
    </w:p>
    <w:p w:rsidR="00224F8A" w:rsidRPr="00F776F2" w:rsidRDefault="00224F8A" w:rsidP="00224F8A">
      <w:pPr>
        <w:rPr>
          <w:lang w:val="en-US"/>
        </w:rPr>
      </w:pPr>
      <w:r w:rsidRPr="00F776F2">
        <w:rPr>
          <w:rFonts w:ascii="Cambria Math" w:hAnsi="Cambria Math"/>
          <w:i/>
          <w:lang w:val="en-US"/>
        </w:rPr>
        <w:t>F</w:t>
      </w:r>
      <w:r w:rsidRPr="00F776F2">
        <w:rPr>
          <w:lang w:val="en-US"/>
        </w:rPr>
        <w:t xml:space="preserve"> (µGy h</w:t>
      </w:r>
      <w:r w:rsidRPr="00F776F2">
        <w:rPr>
          <w:snapToGrid w:val="0"/>
          <w:color w:val="000000"/>
          <w:position w:val="5"/>
          <w:sz w:val="15"/>
          <w:szCs w:val="0"/>
          <w:u w:color="000000"/>
          <w:lang w:val="en-US"/>
        </w:rPr>
        <w:t>-1</w:t>
      </w:r>
      <w:r w:rsidRPr="00F776F2">
        <w:rPr>
          <w:lang w:val="en-US"/>
        </w:rPr>
        <w:t xml:space="preserve"> per Bq kg</w:t>
      </w:r>
      <w:r w:rsidRPr="00F776F2">
        <w:rPr>
          <w:snapToGrid w:val="0"/>
          <w:color w:val="000000"/>
          <w:position w:val="5"/>
          <w:sz w:val="15"/>
          <w:szCs w:val="0"/>
          <w:u w:color="000000"/>
          <w:lang w:val="en-US"/>
        </w:rPr>
        <w:t>-1</w:t>
      </w:r>
      <w:r w:rsidRPr="00F776F2">
        <w:rPr>
          <w:lang w:val="en-US"/>
        </w:rPr>
        <w:t>) is the dose rate to the organism per unit activity concentration of the radionuclide or mix of radionuclides in the soil of the contaminated environment</w:t>
      </w:r>
      <w:r>
        <w:rPr>
          <w:lang w:val="en-US"/>
        </w:rPr>
        <w:t>,</w:t>
      </w:r>
      <w:r w:rsidRPr="00F776F2">
        <w:rPr>
          <w:lang w:val="en-US"/>
        </w:rPr>
        <w:t xml:space="preserve"> and is calculated from organism radionuclide concentration ratios (CRs) and dose coefficients.</w:t>
      </w:r>
    </w:p>
    <w:p w:rsidR="00224F8A" w:rsidRPr="00F776F2" w:rsidRDefault="00224F8A" w:rsidP="00224F8A">
      <w:pPr>
        <w:rPr>
          <w:lang w:val="en-US"/>
        </w:rPr>
      </w:pPr>
      <w:r w:rsidRPr="00F776F2">
        <w:rPr>
          <w:lang w:val="en-US"/>
        </w:rPr>
        <w:t>Comparison of measured or predicted above background soil radionuclide activity concentrations in the contaminated environment with the EMCL can be used to establish the risk context. The convenience of the EMCL in uranium mine rehabilitation is to provide guideline values for soil radiological quality for wildlife</w:t>
      </w:r>
      <w:r>
        <w:rPr>
          <w:lang w:val="en-US"/>
        </w:rPr>
        <w:t>-based protection</w:t>
      </w:r>
      <w:r w:rsidRPr="00F776F2">
        <w:rPr>
          <w:lang w:val="en-US"/>
        </w:rPr>
        <w:t xml:space="preserve"> that can be considered at the landform design stage.</w:t>
      </w:r>
    </w:p>
    <w:p w:rsidR="00224F8A" w:rsidRDefault="00224F8A" w:rsidP="007A03F3">
      <w:pPr>
        <w:pStyle w:val="Heading2"/>
        <w:rPr>
          <w:lang w:val="en-US"/>
        </w:rPr>
      </w:pPr>
      <w:r w:rsidRPr="00F776F2">
        <w:rPr>
          <w:lang w:val="en-US"/>
        </w:rPr>
        <w:t>Method</w:t>
      </w:r>
    </w:p>
    <w:p w:rsidR="00224F8A" w:rsidRDefault="00224F8A" w:rsidP="007A03F3">
      <w:pPr>
        <w:pStyle w:val="Heading3"/>
        <w:spacing w:before="0" w:after="0"/>
        <w:rPr>
          <w:lang w:val="en-US"/>
        </w:rPr>
      </w:pPr>
      <w:r>
        <w:rPr>
          <w:lang w:val="en-US"/>
        </w:rPr>
        <w:t>Radionuclides</w:t>
      </w:r>
    </w:p>
    <w:p w:rsidR="00224F8A" w:rsidRPr="00CB3211" w:rsidRDefault="00224F8A" w:rsidP="00224F8A">
      <w:pPr>
        <w:rPr>
          <w:lang w:val="en-US"/>
        </w:rPr>
      </w:pPr>
      <w:r>
        <w:rPr>
          <w:lang w:val="en-US"/>
        </w:rPr>
        <w:t xml:space="preserve">The Ranger rehabilitated landform was assumed to be covered with a waste rock substrate. </w:t>
      </w:r>
      <w:r w:rsidRPr="005D6721">
        <w:rPr>
          <w:snapToGrid w:val="0"/>
          <w:color w:val="000000"/>
          <w:position w:val="5"/>
          <w:sz w:val="15"/>
          <w:szCs w:val="0"/>
          <w:u w:color="000000"/>
          <w:lang w:val="en-US"/>
        </w:rPr>
        <w:t>238</w:t>
      </w:r>
      <w:r>
        <w:rPr>
          <w:lang w:val="en-US"/>
        </w:rPr>
        <w:t>U series radionuclides were assumed to be in approximate secular equilibrium in the substrate as waste rock is a natural (unprocessed) material. The ERICA Tool (Brown et al</w:t>
      </w:r>
      <w:r w:rsidR="00BD4830">
        <w:rPr>
          <w:lang w:val="en-US"/>
        </w:rPr>
        <w:t>.</w:t>
      </w:r>
      <w:r>
        <w:rPr>
          <w:lang w:val="en-US"/>
        </w:rPr>
        <w:t xml:space="preserve"> 2008) was the used for the analysis. </w:t>
      </w:r>
      <w:r w:rsidRPr="003B575E">
        <w:rPr>
          <w:lang w:val="en-US"/>
        </w:rPr>
        <w:t xml:space="preserve">The </w:t>
      </w:r>
      <w:r>
        <w:rPr>
          <w:lang w:val="en-US"/>
        </w:rPr>
        <w:t>t</w:t>
      </w:r>
      <w:r w:rsidRPr="003B575E">
        <w:rPr>
          <w:lang w:val="en-US"/>
        </w:rPr>
        <w:t>ool includes progeny radionuclides in the dose coefficient of the</w:t>
      </w:r>
      <w:r>
        <w:rPr>
          <w:lang w:val="en-US"/>
        </w:rPr>
        <w:t>ir</w:t>
      </w:r>
      <w:r w:rsidRPr="003B575E">
        <w:rPr>
          <w:lang w:val="en-US"/>
        </w:rPr>
        <w:t xml:space="preserve"> parent if their half-life is less than 10 days. </w:t>
      </w:r>
      <w:r>
        <w:rPr>
          <w:lang w:val="en-US"/>
        </w:rPr>
        <w:t>T</w:t>
      </w:r>
      <w:r w:rsidRPr="003B575E">
        <w:rPr>
          <w:lang w:val="en-US"/>
        </w:rPr>
        <w:t xml:space="preserve">he specific radionuclides </w:t>
      </w:r>
      <w:r>
        <w:rPr>
          <w:lang w:val="en-US"/>
        </w:rPr>
        <w:t xml:space="preserve">required for </w:t>
      </w:r>
      <w:r w:rsidRPr="003B575E">
        <w:rPr>
          <w:snapToGrid w:val="0"/>
          <w:color w:val="000000"/>
          <w:position w:val="5"/>
          <w:sz w:val="15"/>
          <w:szCs w:val="0"/>
          <w:u w:color="000000"/>
          <w:lang w:val="en-US"/>
        </w:rPr>
        <w:t>238</w:t>
      </w:r>
      <w:r w:rsidRPr="003B575E">
        <w:rPr>
          <w:lang w:val="en-US"/>
        </w:rPr>
        <w:t xml:space="preserve">U series secular equilibrium were </w:t>
      </w:r>
      <w:r w:rsidRPr="003B575E">
        <w:rPr>
          <w:snapToGrid w:val="0"/>
          <w:color w:val="000000"/>
          <w:position w:val="5"/>
          <w:sz w:val="15"/>
          <w:szCs w:val="0"/>
          <w:u w:color="000000"/>
          <w:lang w:val="en-US"/>
        </w:rPr>
        <w:t>238</w:t>
      </w:r>
      <w:r w:rsidRPr="003B575E">
        <w:rPr>
          <w:lang w:val="en-US"/>
        </w:rPr>
        <w:t xml:space="preserve">U, </w:t>
      </w:r>
      <w:r w:rsidRPr="003B575E">
        <w:rPr>
          <w:snapToGrid w:val="0"/>
          <w:color w:val="000000"/>
          <w:position w:val="5"/>
          <w:sz w:val="15"/>
          <w:szCs w:val="0"/>
          <w:u w:color="000000"/>
          <w:lang w:val="en-US"/>
        </w:rPr>
        <w:t>234</w:t>
      </w:r>
      <w:r w:rsidRPr="003B575E">
        <w:rPr>
          <w:lang w:val="en-US"/>
        </w:rPr>
        <w:t xml:space="preserve">Th, </w:t>
      </w:r>
      <w:r w:rsidRPr="003B575E">
        <w:rPr>
          <w:snapToGrid w:val="0"/>
          <w:color w:val="000000"/>
          <w:position w:val="5"/>
          <w:sz w:val="15"/>
          <w:szCs w:val="0"/>
          <w:u w:color="000000"/>
          <w:lang w:val="en-US"/>
        </w:rPr>
        <w:t>234</w:t>
      </w:r>
      <w:r w:rsidRPr="003B575E">
        <w:rPr>
          <w:lang w:val="en-US"/>
        </w:rPr>
        <w:t xml:space="preserve">U, </w:t>
      </w:r>
      <w:r w:rsidRPr="003B575E">
        <w:rPr>
          <w:snapToGrid w:val="0"/>
          <w:color w:val="000000"/>
          <w:position w:val="5"/>
          <w:sz w:val="15"/>
          <w:szCs w:val="0"/>
          <w:u w:color="000000"/>
          <w:lang w:val="en-US"/>
        </w:rPr>
        <w:t>230</w:t>
      </w:r>
      <w:r w:rsidRPr="003B575E">
        <w:rPr>
          <w:lang w:val="en-US"/>
        </w:rPr>
        <w:t xml:space="preserve">Th, </w:t>
      </w:r>
      <w:r w:rsidRPr="003B575E">
        <w:rPr>
          <w:snapToGrid w:val="0"/>
          <w:color w:val="000000"/>
          <w:position w:val="5"/>
          <w:sz w:val="15"/>
          <w:szCs w:val="0"/>
          <w:u w:color="000000"/>
          <w:lang w:val="en-US"/>
        </w:rPr>
        <w:t>226</w:t>
      </w:r>
      <w:r w:rsidRPr="003B575E">
        <w:rPr>
          <w:lang w:val="en-US"/>
        </w:rPr>
        <w:t xml:space="preserve">Ra, </w:t>
      </w:r>
      <w:r w:rsidRPr="003B575E">
        <w:rPr>
          <w:snapToGrid w:val="0"/>
          <w:color w:val="000000"/>
          <w:position w:val="5"/>
          <w:sz w:val="15"/>
          <w:szCs w:val="0"/>
          <w:u w:color="000000"/>
          <w:lang w:val="en-US"/>
        </w:rPr>
        <w:t>210</w:t>
      </w:r>
      <w:r w:rsidRPr="003B575E">
        <w:rPr>
          <w:lang w:val="en-US"/>
        </w:rPr>
        <w:t xml:space="preserve">Pb and </w:t>
      </w:r>
      <w:r w:rsidRPr="003B575E">
        <w:rPr>
          <w:snapToGrid w:val="0"/>
          <w:color w:val="000000"/>
          <w:position w:val="5"/>
          <w:sz w:val="15"/>
          <w:szCs w:val="0"/>
          <w:u w:color="000000"/>
          <w:lang w:val="en-US"/>
        </w:rPr>
        <w:t>210</w:t>
      </w:r>
      <w:r w:rsidRPr="003B575E">
        <w:rPr>
          <w:lang w:val="en-US"/>
        </w:rPr>
        <w:t>Po.</w:t>
      </w:r>
    </w:p>
    <w:p w:rsidR="00224F8A" w:rsidRPr="00F776F2" w:rsidRDefault="00224F8A" w:rsidP="007A03F3">
      <w:pPr>
        <w:pStyle w:val="Heading3"/>
        <w:spacing w:before="0" w:after="0"/>
        <w:rPr>
          <w:lang w:val="en-US"/>
        </w:rPr>
      </w:pPr>
      <w:r w:rsidRPr="00F776F2">
        <w:rPr>
          <w:lang w:val="en-US"/>
        </w:rPr>
        <w:t>Representa</w:t>
      </w:r>
      <w:r>
        <w:rPr>
          <w:lang w:val="en-US"/>
        </w:rPr>
        <w:t>t</w:t>
      </w:r>
      <w:r w:rsidRPr="00F776F2">
        <w:rPr>
          <w:lang w:val="en-US"/>
        </w:rPr>
        <w:t>ive organisms</w:t>
      </w:r>
    </w:p>
    <w:p w:rsidR="00224F8A" w:rsidRDefault="00224F8A" w:rsidP="00224F8A">
      <w:pPr>
        <w:rPr>
          <w:lang w:val="en-US"/>
        </w:rPr>
      </w:pPr>
      <w:r w:rsidRPr="00F776F2">
        <w:rPr>
          <w:lang w:val="en-US"/>
        </w:rPr>
        <w:t>Local wildlife species spanning a range of different organism types were selected for environmental exposure assessment and calculating EMCLs for the Ranger rehabilitated landform (Table 1). Their selection considered exposure likelihood, ecological importance, Aboriginal cultural factors and threatened species. The selected local wildlife species are considered preliminary at this stage and are pending endorsement from the cultural closure criteria technical working group.</w:t>
      </w:r>
    </w:p>
    <w:p w:rsidR="00224F8A" w:rsidRPr="00F776F2" w:rsidRDefault="00224F8A" w:rsidP="007A03F3">
      <w:pPr>
        <w:pStyle w:val="Heading3"/>
        <w:spacing w:before="0" w:after="0"/>
        <w:rPr>
          <w:lang w:val="en-US"/>
        </w:rPr>
      </w:pPr>
      <w:r w:rsidRPr="00F776F2">
        <w:rPr>
          <w:lang w:val="en-US"/>
        </w:rPr>
        <w:t>Reference organisms</w:t>
      </w:r>
    </w:p>
    <w:p w:rsidR="00224F8A" w:rsidRDefault="00224F8A" w:rsidP="00224F8A">
      <w:pPr>
        <w:rPr>
          <w:lang w:val="en-US"/>
        </w:rPr>
      </w:pPr>
      <w:r w:rsidRPr="00F776F2">
        <w:rPr>
          <w:lang w:val="en-US"/>
        </w:rPr>
        <w:t xml:space="preserve">Reference organism dosimetric models for each selected local wildlife species were defined in the ERICA Tool based on typical body shape proportions and mass. </w:t>
      </w:r>
      <w:r>
        <w:rPr>
          <w:lang w:val="en-US"/>
        </w:rPr>
        <w:t>Some of the species were matched to existing reference organisms in the tool, while for others a new reference organism was created (Table 1). Reference organism geometries were simple ellipsoids, since more complex configurations are not supported by the</w:t>
      </w:r>
      <w:r w:rsidRPr="00F776F2">
        <w:rPr>
          <w:lang w:val="en-US"/>
        </w:rPr>
        <w:t xml:space="preserve"> ERICA Tool</w:t>
      </w:r>
      <w:r>
        <w:rPr>
          <w:lang w:val="en-US"/>
        </w:rPr>
        <w:t>. Internal and external dose coefficients for the reference organisms were generated in the ERICA Tool’s dosimetric module (Ulanovsky et al</w:t>
      </w:r>
      <w:r w:rsidR="00786F9E">
        <w:rPr>
          <w:lang w:val="en-US"/>
        </w:rPr>
        <w:t>.</w:t>
      </w:r>
      <w:r>
        <w:rPr>
          <w:lang w:val="en-US"/>
        </w:rPr>
        <w:t xml:space="preserve"> 2008).</w:t>
      </w:r>
    </w:p>
    <w:p w:rsidR="00AB0795" w:rsidRDefault="00224F8A" w:rsidP="00AB0795">
      <w:pPr>
        <w:pStyle w:val="tablecaption"/>
        <w:rPr>
          <w:lang w:val="en-US"/>
        </w:rPr>
      </w:pPr>
      <w:r w:rsidRPr="003C3476">
        <w:rPr>
          <w:b/>
          <w:lang w:val="en-US"/>
        </w:rPr>
        <w:t xml:space="preserve">Table </w:t>
      </w:r>
      <w:proofErr w:type="gramStart"/>
      <w:r w:rsidRPr="003C3476">
        <w:rPr>
          <w:b/>
          <w:lang w:val="en-US"/>
        </w:rPr>
        <w:t>1</w:t>
      </w:r>
      <w:r>
        <w:rPr>
          <w:lang w:val="en-US"/>
        </w:rPr>
        <w:t xml:space="preserve">  Body</w:t>
      </w:r>
      <w:proofErr w:type="gramEnd"/>
      <w:r>
        <w:rPr>
          <w:lang w:val="en-US"/>
        </w:rPr>
        <w:t xml:space="preserve"> shape proportions and mass used for the reference organisms in the ERICA Tool (A is the length of the ellipsoid major axis, B and C are the lengths of the ellipsoid minor axes)</w:t>
      </w:r>
      <w:r w:rsidR="00167FC0">
        <w:rPr>
          <w:lang w:val="en-US"/>
        </w:rPr>
        <w:t>.</w:t>
      </w:r>
      <w:r>
        <w:rPr>
          <w:lang w:val="en-US"/>
        </w:rPr>
        <w:t xml:space="preserve"> </w:t>
      </w:r>
    </w:p>
    <w:tbl>
      <w:tblPr>
        <w:tblW w:w="0" w:type="auto"/>
        <w:tblBorders>
          <w:top w:val="single" w:sz="4" w:space="0" w:color="auto"/>
          <w:bottom w:val="single" w:sz="4" w:space="0" w:color="auto"/>
        </w:tblBorders>
        <w:tblLook w:val="04A0"/>
      </w:tblPr>
      <w:tblGrid>
        <w:gridCol w:w="1809"/>
        <w:gridCol w:w="2268"/>
        <w:gridCol w:w="1134"/>
        <w:gridCol w:w="1134"/>
        <w:gridCol w:w="1134"/>
        <w:gridCol w:w="1043"/>
      </w:tblGrid>
      <w:tr w:rsidR="00AB0795" w:rsidTr="0058618D">
        <w:tc>
          <w:tcPr>
            <w:tcW w:w="4077" w:type="dxa"/>
            <w:gridSpan w:val="2"/>
            <w:tcBorders>
              <w:bottom w:val="nil"/>
            </w:tcBorders>
          </w:tcPr>
          <w:p w:rsidR="00AB0795" w:rsidRPr="00786F9E" w:rsidRDefault="00AB0795" w:rsidP="0058618D">
            <w:pPr>
              <w:pStyle w:val="table1"/>
              <w:rPr>
                <w:color w:val="000000"/>
                <w:u w:color="000000"/>
                <w:lang w:val="en-US"/>
              </w:rPr>
            </w:pPr>
            <w:r w:rsidRPr="00786F9E">
              <w:rPr>
                <w:color w:val="000000"/>
                <w:u w:color="000000"/>
                <w:lang w:val="en-US"/>
              </w:rPr>
              <w:t>Organism</w:t>
            </w:r>
          </w:p>
        </w:tc>
        <w:tc>
          <w:tcPr>
            <w:tcW w:w="4445" w:type="dxa"/>
            <w:gridSpan w:val="4"/>
            <w:tcBorders>
              <w:bottom w:val="nil"/>
            </w:tcBorders>
          </w:tcPr>
          <w:p w:rsidR="00AB0795" w:rsidRPr="00786F9E" w:rsidRDefault="00AB0795" w:rsidP="0058618D">
            <w:pPr>
              <w:pStyle w:val="table1"/>
              <w:rPr>
                <w:color w:val="000000"/>
                <w:u w:color="000000"/>
                <w:lang w:val="en-US"/>
              </w:rPr>
            </w:pPr>
            <w:r w:rsidRPr="00786F9E">
              <w:rPr>
                <w:color w:val="000000"/>
                <w:u w:color="000000"/>
                <w:lang w:val="en-US"/>
              </w:rPr>
              <w:t>Body shape proportions and mass</w:t>
            </w:r>
          </w:p>
        </w:tc>
      </w:tr>
      <w:tr w:rsidR="00AB0795" w:rsidTr="0058618D">
        <w:tc>
          <w:tcPr>
            <w:tcW w:w="1809" w:type="dxa"/>
            <w:tcBorders>
              <w:top w:val="nil"/>
              <w:bottom w:val="single" w:sz="4" w:space="0" w:color="auto"/>
            </w:tcBorders>
          </w:tcPr>
          <w:p w:rsidR="00AB0795" w:rsidRPr="00786F9E" w:rsidRDefault="00AB0795" w:rsidP="0058618D">
            <w:pPr>
              <w:pStyle w:val="table1"/>
              <w:rPr>
                <w:color w:val="000000"/>
                <w:u w:color="000000"/>
                <w:lang w:val="en-US"/>
              </w:rPr>
            </w:pPr>
            <w:r w:rsidRPr="00786F9E">
              <w:rPr>
                <w:color w:val="000000"/>
                <w:u w:color="000000"/>
                <w:lang w:val="en-US"/>
              </w:rPr>
              <w:t>Representative</w:t>
            </w:r>
          </w:p>
        </w:tc>
        <w:tc>
          <w:tcPr>
            <w:tcW w:w="2268" w:type="dxa"/>
            <w:tcBorders>
              <w:top w:val="nil"/>
              <w:bottom w:val="single" w:sz="4" w:space="0" w:color="auto"/>
            </w:tcBorders>
          </w:tcPr>
          <w:p w:rsidR="00AB0795" w:rsidRPr="00786F9E" w:rsidRDefault="00AB0795" w:rsidP="0058618D">
            <w:pPr>
              <w:pStyle w:val="table1"/>
              <w:rPr>
                <w:color w:val="000000"/>
                <w:u w:color="000000"/>
                <w:lang w:val="en-US"/>
              </w:rPr>
            </w:pPr>
            <w:r w:rsidRPr="00786F9E">
              <w:rPr>
                <w:color w:val="000000"/>
                <w:u w:color="000000"/>
                <w:lang w:val="en-US"/>
              </w:rPr>
              <w:t>Reference</w:t>
            </w:r>
          </w:p>
        </w:tc>
        <w:tc>
          <w:tcPr>
            <w:tcW w:w="1134" w:type="dxa"/>
            <w:tcBorders>
              <w:top w:val="nil"/>
              <w:bottom w:val="single" w:sz="4" w:space="0" w:color="auto"/>
            </w:tcBorders>
          </w:tcPr>
          <w:p w:rsidR="00AB0795" w:rsidRPr="00786F9E" w:rsidRDefault="00AB0795" w:rsidP="0058618D">
            <w:pPr>
              <w:pStyle w:val="table1"/>
              <w:rPr>
                <w:color w:val="000000"/>
                <w:u w:color="000000"/>
                <w:lang w:val="en-US"/>
              </w:rPr>
            </w:pPr>
            <w:r w:rsidRPr="00786F9E">
              <w:rPr>
                <w:color w:val="000000"/>
                <w:u w:color="000000"/>
                <w:lang w:val="en-US"/>
              </w:rPr>
              <w:t>A (cm)</w:t>
            </w:r>
          </w:p>
        </w:tc>
        <w:tc>
          <w:tcPr>
            <w:tcW w:w="1134" w:type="dxa"/>
            <w:tcBorders>
              <w:top w:val="nil"/>
              <w:bottom w:val="single" w:sz="4" w:space="0" w:color="auto"/>
            </w:tcBorders>
          </w:tcPr>
          <w:p w:rsidR="00AB0795" w:rsidRPr="00786F9E" w:rsidRDefault="00AB0795" w:rsidP="0058618D">
            <w:pPr>
              <w:pStyle w:val="table1"/>
              <w:rPr>
                <w:color w:val="000000"/>
                <w:u w:color="000000"/>
                <w:lang w:val="en-US"/>
              </w:rPr>
            </w:pPr>
            <w:r w:rsidRPr="00786F9E">
              <w:rPr>
                <w:color w:val="000000"/>
                <w:u w:color="000000"/>
                <w:lang w:val="en-US"/>
              </w:rPr>
              <w:t>B (cm)</w:t>
            </w:r>
          </w:p>
        </w:tc>
        <w:tc>
          <w:tcPr>
            <w:tcW w:w="1134" w:type="dxa"/>
            <w:tcBorders>
              <w:top w:val="nil"/>
              <w:bottom w:val="single" w:sz="4" w:space="0" w:color="auto"/>
            </w:tcBorders>
          </w:tcPr>
          <w:p w:rsidR="00AB0795" w:rsidRPr="00786F9E" w:rsidRDefault="00AB0795" w:rsidP="0058618D">
            <w:pPr>
              <w:pStyle w:val="table1"/>
              <w:rPr>
                <w:color w:val="000000"/>
                <w:u w:color="000000"/>
                <w:lang w:val="en-US"/>
              </w:rPr>
            </w:pPr>
            <w:r w:rsidRPr="00786F9E">
              <w:rPr>
                <w:color w:val="000000"/>
                <w:u w:color="000000"/>
                <w:lang w:val="en-US"/>
              </w:rPr>
              <w:t>C (cm)</w:t>
            </w:r>
          </w:p>
        </w:tc>
        <w:tc>
          <w:tcPr>
            <w:tcW w:w="1043" w:type="dxa"/>
            <w:tcBorders>
              <w:top w:val="nil"/>
              <w:bottom w:val="single" w:sz="4" w:space="0" w:color="auto"/>
            </w:tcBorders>
          </w:tcPr>
          <w:p w:rsidR="00AB0795" w:rsidRPr="00786F9E" w:rsidRDefault="00AB0795" w:rsidP="0058618D">
            <w:pPr>
              <w:pStyle w:val="table1"/>
              <w:rPr>
                <w:color w:val="000000"/>
                <w:u w:color="000000"/>
                <w:lang w:val="en-US"/>
              </w:rPr>
            </w:pPr>
            <w:r w:rsidRPr="00786F9E">
              <w:rPr>
                <w:color w:val="000000"/>
                <w:u w:color="000000"/>
                <w:lang w:val="en-US"/>
              </w:rPr>
              <w:t>Mass (kg)</w:t>
            </w:r>
          </w:p>
        </w:tc>
      </w:tr>
      <w:tr w:rsidR="00AB0795" w:rsidTr="0058618D">
        <w:tc>
          <w:tcPr>
            <w:tcW w:w="1809" w:type="dxa"/>
            <w:tcBorders>
              <w:top w:val="single" w:sz="4" w:space="0" w:color="auto"/>
            </w:tcBorders>
          </w:tcPr>
          <w:p w:rsidR="00AB0795" w:rsidRPr="00786F9E" w:rsidRDefault="00AB0795" w:rsidP="0058618D">
            <w:pPr>
              <w:pStyle w:val="table1"/>
              <w:rPr>
                <w:color w:val="000000"/>
                <w:u w:color="000000"/>
                <w:lang w:val="en-US"/>
              </w:rPr>
            </w:pPr>
            <w:r w:rsidRPr="00786F9E">
              <w:rPr>
                <w:color w:val="000000"/>
                <w:u w:color="000000"/>
                <w:lang w:val="en-US"/>
              </w:rPr>
              <w:t>Green tree frog</w:t>
            </w:r>
          </w:p>
        </w:tc>
        <w:tc>
          <w:tcPr>
            <w:tcW w:w="2268" w:type="dxa"/>
            <w:tcBorders>
              <w:top w:val="single" w:sz="4" w:space="0" w:color="auto"/>
            </w:tcBorders>
          </w:tcPr>
          <w:p w:rsidR="00AB0795" w:rsidRPr="00786F9E" w:rsidRDefault="00AB0795" w:rsidP="0058618D">
            <w:pPr>
              <w:pStyle w:val="table1"/>
              <w:rPr>
                <w:color w:val="000000"/>
                <w:u w:color="000000"/>
                <w:lang w:val="en-US"/>
              </w:rPr>
            </w:pPr>
            <w:r w:rsidRPr="00786F9E">
              <w:rPr>
                <w:color w:val="000000"/>
                <w:u w:color="000000"/>
                <w:lang w:val="en-US"/>
              </w:rPr>
              <w:t>ERICA – Amphibian</w:t>
            </w:r>
          </w:p>
        </w:tc>
        <w:tc>
          <w:tcPr>
            <w:tcW w:w="1134" w:type="dxa"/>
            <w:tcBorders>
              <w:top w:val="single" w:sz="4" w:space="0" w:color="auto"/>
            </w:tcBorders>
          </w:tcPr>
          <w:p w:rsidR="00AB0795" w:rsidRPr="00786F9E" w:rsidRDefault="00AB0795" w:rsidP="0058618D">
            <w:pPr>
              <w:pStyle w:val="table1"/>
              <w:rPr>
                <w:color w:val="000000"/>
                <w:u w:color="000000"/>
                <w:lang w:val="en-US"/>
              </w:rPr>
            </w:pPr>
            <w:r w:rsidRPr="00786F9E">
              <w:rPr>
                <w:color w:val="000000"/>
                <w:u w:color="000000"/>
                <w:lang w:val="en-US"/>
              </w:rPr>
              <w:t>8</w:t>
            </w:r>
          </w:p>
        </w:tc>
        <w:tc>
          <w:tcPr>
            <w:tcW w:w="1134" w:type="dxa"/>
            <w:tcBorders>
              <w:top w:val="single" w:sz="4" w:space="0" w:color="auto"/>
            </w:tcBorders>
          </w:tcPr>
          <w:p w:rsidR="00AB0795" w:rsidRPr="00786F9E" w:rsidRDefault="00AB0795" w:rsidP="0058618D">
            <w:pPr>
              <w:pStyle w:val="table1"/>
              <w:rPr>
                <w:color w:val="000000"/>
                <w:u w:color="000000"/>
                <w:lang w:val="en-US"/>
              </w:rPr>
            </w:pPr>
            <w:r w:rsidRPr="00786F9E">
              <w:rPr>
                <w:color w:val="000000"/>
                <w:u w:color="000000"/>
                <w:lang w:val="en-US"/>
              </w:rPr>
              <w:t>3</w:t>
            </w:r>
          </w:p>
        </w:tc>
        <w:tc>
          <w:tcPr>
            <w:tcW w:w="1134" w:type="dxa"/>
            <w:tcBorders>
              <w:top w:val="single" w:sz="4" w:space="0" w:color="auto"/>
            </w:tcBorders>
          </w:tcPr>
          <w:p w:rsidR="00AB0795" w:rsidRPr="00786F9E" w:rsidRDefault="00AB0795" w:rsidP="0058618D">
            <w:pPr>
              <w:pStyle w:val="table1"/>
              <w:rPr>
                <w:color w:val="000000"/>
                <w:u w:color="000000"/>
                <w:lang w:val="en-US"/>
              </w:rPr>
            </w:pPr>
            <w:r w:rsidRPr="00786F9E">
              <w:rPr>
                <w:color w:val="000000"/>
                <w:u w:color="000000"/>
                <w:lang w:val="en-US"/>
              </w:rPr>
              <w:t>2.5</w:t>
            </w:r>
          </w:p>
        </w:tc>
        <w:tc>
          <w:tcPr>
            <w:tcW w:w="1043" w:type="dxa"/>
            <w:tcBorders>
              <w:top w:val="single" w:sz="4" w:space="0" w:color="auto"/>
            </w:tcBorders>
          </w:tcPr>
          <w:p w:rsidR="00AB0795" w:rsidRPr="00786F9E" w:rsidRDefault="00AB0795" w:rsidP="0058618D">
            <w:pPr>
              <w:pStyle w:val="table1"/>
              <w:rPr>
                <w:color w:val="000000"/>
                <w:u w:color="000000"/>
                <w:lang w:val="en-US"/>
              </w:rPr>
            </w:pPr>
            <w:r w:rsidRPr="00786F9E">
              <w:rPr>
                <w:color w:val="000000"/>
                <w:u w:color="000000"/>
                <w:lang w:val="en-US"/>
              </w:rPr>
              <w:t>3.14</w:t>
            </w:r>
            <w:r w:rsidRPr="00786F9E">
              <w:rPr>
                <w:rFonts w:cs="Arial"/>
                <w:color w:val="000000"/>
                <w:u w:color="000000"/>
                <w:lang w:val="en-US"/>
              </w:rPr>
              <w:t>×</w:t>
            </w:r>
            <w:r w:rsidRPr="00786F9E">
              <w:rPr>
                <w:color w:val="000000"/>
                <w:u w:color="000000"/>
                <w:lang w:val="en-US"/>
              </w:rPr>
              <w:t>10</w:t>
            </w:r>
            <w:r w:rsidRPr="00AA3E24">
              <w:rPr>
                <w:snapToGrid w:val="0"/>
                <w:color w:val="000000"/>
                <w:position w:val="4"/>
                <w:sz w:val="11"/>
                <w:szCs w:val="0"/>
                <w:u w:color="000000"/>
                <w:lang w:val="en-US"/>
              </w:rPr>
              <w:t>-2</w:t>
            </w:r>
          </w:p>
        </w:tc>
      </w:tr>
      <w:tr w:rsidR="00AB0795" w:rsidTr="0058618D">
        <w:tc>
          <w:tcPr>
            <w:tcW w:w="1809" w:type="dxa"/>
          </w:tcPr>
          <w:p w:rsidR="00AB0795" w:rsidRPr="00786F9E" w:rsidRDefault="00AB0795" w:rsidP="0058618D">
            <w:pPr>
              <w:pStyle w:val="table1"/>
              <w:rPr>
                <w:color w:val="000000"/>
                <w:u w:color="000000"/>
                <w:lang w:val="en-US"/>
              </w:rPr>
            </w:pPr>
            <w:r w:rsidRPr="00786F9E">
              <w:rPr>
                <w:color w:val="000000"/>
                <w:u w:color="000000"/>
                <w:lang w:val="en-US"/>
              </w:rPr>
              <w:t>Corella</w:t>
            </w:r>
          </w:p>
        </w:tc>
        <w:tc>
          <w:tcPr>
            <w:tcW w:w="2268" w:type="dxa"/>
          </w:tcPr>
          <w:p w:rsidR="00AB0795" w:rsidRPr="00786F9E" w:rsidRDefault="00AB0795" w:rsidP="0058618D">
            <w:pPr>
              <w:pStyle w:val="table1"/>
              <w:rPr>
                <w:color w:val="000000"/>
                <w:u w:color="000000"/>
                <w:lang w:val="en-US"/>
              </w:rPr>
            </w:pPr>
            <w:r w:rsidRPr="00786F9E">
              <w:rPr>
                <w:color w:val="000000"/>
                <w:u w:color="000000"/>
                <w:lang w:val="en-US"/>
              </w:rPr>
              <w:t>ERICA – Bird</w:t>
            </w:r>
          </w:p>
        </w:tc>
        <w:tc>
          <w:tcPr>
            <w:tcW w:w="1134" w:type="dxa"/>
          </w:tcPr>
          <w:p w:rsidR="00AB0795" w:rsidRPr="00786F9E" w:rsidRDefault="00AB0795" w:rsidP="0058618D">
            <w:pPr>
              <w:pStyle w:val="table1"/>
              <w:rPr>
                <w:color w:val="000000"/>
                <w:u w:color="000000"/>
                <w:lang w:val="en-US"/>
              </w:rPr>
            </w:pPr>
            <w:r w:rsidRPr="00786F9E">
              <w:rPr>
                <w:color w:val="000000"/>
                <w:u w:color="000000"/>
                <w:lang w:val="en-US"/>
              </w:rPr>
              <w:t>30</w:t>
            </w:r>
          </w:p>
        </w:tc>
        <w:tc>
          <w:tcPr>
            <w:tcW w:w="1134" w:type="dxa"/>
          </w:tcPr>
          <w:p w:rsidR="00AB0795" w:rsidRPr="00786F9E" w:rsidRDefault="00AB0795" w:rsidP="0058618D">
            <w:pPr>
              <w:pStyle w:val="table1"/>
              <w:rPr>
                <w:color w:val="000000"/>
                <w:u w:color="000000"/>
                <w:lang w:val="en-US"/>
              </w:rPr>
            </w:pPr>
            <w:r w:rsidRPr="00786F9E">
              <w:rPr>
                <w:color w:val="000000"/>
                <w:u w:color="000000"/>
                <w:lang w:val="en-US"/>
              </w:rPr>
              <w:t>10</w:t>
            </w:r>
          </w:p>
        </w:tc>
        <w:tc>
          <w:tcPr>
            <w:tcW w:w="1134" w:type="dxa"/>
          </w:tcPr>
          <w:p w:rsidR="00AB0795" w:rsidRPr="00786F9E" w:rsidRDefault="00AB0795" w:rsidP="0058618D">
            <w:pPr>
              <w:pStyle w:val="table1"/>
              <w:rPr>
                <w:color w:val="000000"/>
                <w:u w:color="000000"/>
                <w:lang w:val="en-US"/>
              </w:rPr>
            </w:pPr>
            <w:r w:rsidRPr="00786F9E">
              <w:rPr>
                <w:color w:val="000000"/>
                <w:u w:color="000000"/>
                <w:lang w:val="en-US"/>
              </w:rPr>
              <w:t>8</w:t>
            </w:r>
          </w:p>
        </w:tc>
        <w:tc>
          <w:tcPr>
            <w:tcW w:w="1043" w:type="dxa"/>
          </w:tcPr>
          <w:p w:rsidR="00AB0795" w:rsidRPr="00786F9E" w:rsidRDefault="00AB0795" w:rsidP="0058618D">
            <w:pPr>
              <w:pStyle w:val="table1"/>
              <w:rPr>
                <w:color w:val="000000"/>
                <w:u w:color="000000"/>
                <w:lang w:val="en-US"/>
              </w:rPr>
            </w:pPr>
            <w:r w:rsidRPr="00786F9E">
              <w:rPr>
                <w:color w:val="000000"/>
                <w:u w:color="000000"/>
                <w:lang w:val="en-US"/>
              </w:rPr>
              <w:t>1.26</w:t>
            </w:r>
          </w:p>
        </w:tc>
      </w:tr>
      <w:tr w:rsidR="00AB0795" w:rsidTr="0058618D">
        <w:tc>
          <w:tcPr>
            <w:tcW w:w="1809" w:type="dxa"/>
          </w:tcPr>
          <w:p w:rsidR="00AB0795" w:rsidRPr="00786F9E" w:rsidRDefault="00AB0795" w:rsidP="0058618D">
            <w:pPr>
              <w:pStyle w:val="table1"/>
              <w:rPr>
                <w:color w:val="000000"/>
                <w:u w:color="000000"/>
                <w:lang w:val="en-US"/>
              </w:rPr>
            </w:pPr>
            <w:r w:rsidRPr="00786F9E">
              <w:rPr>
                <w:color w:val="000000"/>
                <w:u w:color="000000"/>
                <w:lang w:val="en-US"/>
              </w:rPr>
              <w:t>Spear grass</w:t>
            </w:r>
          </w:p>
        </w:tc>
        <w:tc>
          <w:tcPr>
            <w:tcW w:w="2268" w:type="dxa"/>
          </w:tcPr>
          <w:p w:rsidR="00AB0795" w:rsidRPr="00786F9E" w:rsidRDefault="00AB0795" w:rsidP="0058618D">
            <w:pPr>
              <w:pStyle w:val="table1"/>
              <w:rPr>
                <w:color w:val="000000"/>
                <w:u w:color="000000"/>
                <w:lang w:val="en-US"/>
              </w:rPr>
            </w:pPr>
            <w:r w:rsidRPr="00786F9E">
              <w:rPr>
                <w:color w:val="000000"/>
                <w:u w:color="000000"/>
                <w:lang w:val="en-US"/>
              </w:rPr>
              <w:t>ERICA – Grasses &amp; Herbs</w:t>
            </w:r>
          </w:p>
        </w:tc>
        <w:tc>
          <w:tcPr>
            <w:tcW w:w="1134" w:type="dxa"/>
          </w:tcPr>
          <w:p w:rsidR="00AB0795" w:rsidRPr="00786F9E" w:rsidRDefault="00AB0795" w:rsidP="0058618D">
            <w:pPr>
              <w:pStyle w:val="table1"/>
              <w:rPr>
                <w:color w:val="000000"/>
                <w:u w:color="000000"/>
                <w:lang w:val="en-US"/>
              </w:rPr>
            </w:pPr>
            <w:r w:rsidRPr="00786F9E">
              <w:rPr>
                <w:color w:val="000000"/>
                <w:u w:color="000000"/>
                <w:lang w:val="en-US"/>
              </w:rPr>
              <w:t>5</w:t>
            </w:r>
          </w:p>
        </w:tc>
        <w:tc>
          <w:tcPr>
            <w:tcW w:w="1134" w:type="dxa"/>
          </w:tcPr>
          <w:p w:rsidR="00AB0795" w:rsidRPr="00786F9E" w:rsidRDefault="00AB0795" w:rsidP="0058618D">
            <w:pPr>
              <w:pStyle w:val="table1"/>
              <w:rPr>
                <w:color w:val="000000"/>
                <w:u w:color="000000"/>
                <w:lang w:val="en-US"/>
              </w:rPr>
            </w:pPr>
            <w:r w:rsidRPr="00786F9E">
              <w:rPr>
                <w:color w:val="000000"/>
                <w:u w:color="000000"/>
                <w:lang w:val="en-US"/>
              </w:rPr>
              <w:t>1</w:t>
            </w:r>
          </w:p>
        </w:tc>
        <w:tc>
          <w:tcPr>
            <w:tcW w:w="1134" w:type="dxa"/>
          </w:tcPr>
          <w:p w:rsidR="00AB0795" w:rsidRPr="00786F9E" w:rsidRDefault="00AB0795" w:rsidP="0058618D">
            <w:pPr>
              <w:pStyle w:val="table1"/>
              <w:rPr>
                <w:color w:val="000000"/>
                <w:u w:color="000000"/>
                <w:lang w:val="en-US"/>
              </w:rPr>
            </w:pPr>
            <w:r w:rsidRPr="00786F9E">
              <w:rPr>
                <w:color w:val="000000"/>
                <w:u w:color="000000"/>
                <w:lang w:val="en-US"/>
              </w:rPr>
              <w:t>1</w:t>
            </w:r>
          </w:p>
        </w:tc>
        <w:tc>
          <w:tcPr>
            <w:tcW w:w="1043" w:type="dxa"/>
          </w:tcPr>
          <w:p w:rsidR="00AB0795" w:rsidRPr="00786F9E" w:rsidRDefault="00AB0795" w:rsidP="0058618D">
            <w:pPr>
              <w:pStyle w:val="table1"/>
              <w:rPr>
                <w:color w:val="000000"/>
                <w:u w:color="000000"/>
                <w:lang w:val="en-US"/>
              </w:rPr>
            </w:pPr>
            <w:r w:rsidRPr="00786F9E">
              <w:rPr>
                <w:color w:val="000000"/>
                <w:u w:color="000000"/>
                <w:lang w:val="en-US"/>
              </w:rPr>
              <w:t>2.62</w:t>
            </w:r>
            <w:r w:rsidRPr="00786F9E">
              <w:rPr>
                <w:rFonts w:cs="Arial"/>
                <w:color w:val="000000"/>
                <w:u w:color="000000"/>
                <w:lang w:val="en-US"/>
              </w:rPr>
              <w:t>×</w:t>
            </w:r>
            <w:r w:rsidRPr="00786F9E">
              <w:rPr>
                <w:color w:val="000000"/>
                <w:u w:color="000000"/>
                <w:lang w:val="en-US"/>
              </w:rPr>
              <w:t>10</w:t>
            </w:r>
            <w:r w:rsidRPr="00AA3E24">
              <w:rPr>
                <w:snapToGrid w:val="0"/>
                <w:color w:val="000000"/>
                <w:position w:val="4"/>
                <w:sz w:val="11"/>
                <w:szCs w:val="0"/>
                <w:u w:color="000000"/>
                <w:lang w:val="en-US"/>
              </w:rPr>
              <w:t>-3</w:t>
            </w:r>
          </w:p>
        </w:tc>
      </w:tr>
      <w:tr w:rsidR="00AB0795" w:rsidTr="0058618D">
        <w:tc>
          <w:tcPr>
            <w:tcW w:w="1809" w:type="dxa"/>
          </w:tcPr>
          <w:p w:rsidR="00AB0795" w:rsidRPr="00786F9E" w:rsidRDefault="00AB0795" w:rsidP="0058618D">
            <w:pPr>
              <w:pStyle w:val="table1"/>
              <w:rPr>
                <w:color w:val="000000"/>
                <w:u w:color="000000"/>
                <w:lang w:val="en-US"/>
              </w:rPr>
            </w:pPr>
            <w:r w:rsidRPr="00786F9E">
              <w:rPr>
                <w:color w:val="000000"/>
                <w:u w:color="000000"/>
                <w:lang w:val="en-US"/>
              </w:rPr>
              <w:t>Green ant</w:t>
            </w:r>
          </w:p>
        </w:tc>
        <w:tc>
          <w:tcPr>
            <w:tcW w:w="2268" w:type="dxa"/>
          </w:tcPr>
          <w:p w:rsidR="00AB0795" w:rsidRPr="00786F9E" w:rsidRDefault="00AB0795" w:rsidP="0058618D">
            <w:pPr>
              <w:pStyle w:val="table1"/>
              <w:rPr>
                <w:color w:val="000000"/>
                <w:u w:color="000000"/>
                <w:lang w:val="en-US"/>
              </w:rPr>
            </w:pPr>
            <w:r w:rsidRPr="00786F9E">
              <w:rPr>
                <w:color w:val="000000"/>
                <w:u w:color="000000"/>
                <w:lang w:val="en-US"/>
              </w:rPr>
              <w:t>New – Ant</w:t>
            </w:r>
          </w:p>
        </w:tc>
        <w:tc>
          <w:tcPr>
            <w:tcW w:w="1134" w:type="dxa"/>
            <w:vAlign w:val="bottom"/>
          </w:tcPr>
          <w:p w:rsidR="00AB0795" w:rsidRPr="00786F9E" w:rsidRDefault="00AB0795" w:rsidP="0058618D">
            <w:pPr>
              <w:pStyle w:val="table1"/>
              <w:rPr>
                <w:color w:val="000000"/>
                <w:u w:color="000000"/>
              </w:rPr>
            </w:pPr>
            <w:r w:rsidRPr="00786F9E">
              <w:rPr>
                <w:color w:val="000000"/>
                <w:u w:color="000000"/>
              </w:rPr>
              <w:t>3.2</w:t>
            </w:r>
          </w:p>
        </w:tc>
        <w:tc>
          <w:tcPr>
            <w:tcW w:w="1134" w:type="dxa"/>
            <w:vAlign w:val="bottom"/>
          </w:tcPr>
          <w:p w:rsidR="00AB0795" w:rsidRPr="00786F9E" w:rsidRDefault="00AB0795" w:rsidP="0058618D">
            <w:pPr>
              <w:pStyle w:val="table1"/>
              <w:rPr>
                <w:color w:val="000000"/>
                <w:u w:color="000000"/>
              </w:rPr>
            </w:pPr>
            <w:r w:rsidRPr="00786F9E">
              <w:rPr>
                <w:color w:val="000000"/>
                <w:u w:color="000000"/>
              </w:rPr>
              <w:t>0.32</w:t>
            </w:r>
          </w:p>
        </w:tc>
        <w:tc>
          <w:tcPr>
            <w:tcW w:w="1134" w:type="dxa"/>
            <w:vAlign w:val="bottom"/>
          </w:tcPr>
          <w:p w:rsidR="00AB0795" w:rsidRPr="00786F9E" w:rsidRDefault="00AB0795" w:rsidP="0058618D">
            <w:pPr>
              <w:pStyle w:val="table1"/>
              <w:rPr>
                <w:color w:val="000000"/>
                <w:u w:color="000000"/>
              </w:rPr>
            </w:pPr>
            <w:r w:rsidRPr="00786F9E">
              <w:rPr>
                <w:color w:val="000000"/>
                <w:u w:color="000000"/>
              </w:rPr>
              <w:t>0.32</w:t>
            </w:r>
          </w:p>
        </w:tc>
        <w:tc>
          <w:tcPr>
            <w:tcW w:w="1043" w:type="dxa"/>
          </w:tcPr>
          <w:p w:rsidR="00AB0795" w:rsidRPr="00786F9E" w:rsidRDefault="00AB0795" w:rsidP="0058618D">
            <w:pPr>
              <w:pStyle w:val="table1"/>
              <w:rPr>
                <w:color w:val="000000"/>
                <w:u w:color="000000"/>
                <w:lang w:val="en-US"/>
              </w:rPr>
            </w:pPr>
            <w:r w:rsidRPr="00786F9E">
              <w:rPr>
                <w:color w:val="000000"/>
                <w:u w:color="000000"/>
                <w:lang w:val="en-US"/>
              </w:rPr>
              <w:t>1.74</w:t>
            </w:r>
            <w:r w:rsidRPr="00786F9E">
              <w:rPr>
                <w:rFonts w:cs="Arial"/>
                <w:color w:val="000000"/>
                <w:u w:color="000000"/>
                <w:lang w:val="en-US"/>
              </w:rPr>
              <w:t>×</w:t>
            </w:r>
            <w:r w:rsidRPr="00786F9E">
              <w:rPr>
                <w:color w:val="000000"/>
                <w:u w:color="000000"/>
                <w:lang w:val="en-US"/>
              </w:rPr>
              <w:t>10</w:t>
            </w:r>
            <w:r w:rsidRPr="00AA3E24">
              <w:rPr>
                <w:snapToGrid w:val="0"/>
                <w:color w:val="000000"/>
                <w:position w:val="4"/>
                <w:sz w:val="11"/>
                <w:szCs w:val="0"/>
                <w:u w:color="000000"/>
                <w:lang w:val="en-US"/>
              </w:rPr>
              <w:t>-4</w:t>
            </w:r>
          </w:p>
        </w:tc>
      </w:tr>
      <w:tr w:rsidR="00AB0795" w:rsidTr="0058618D">
        <w:tc>
          <w:tcPr>
            <w:tcW w:w="1809" w:type="dxa"/>
          </w:tcPr>
          <w:p w:rsidR="00AB0795" w:rsidRPr="00786F9E" w:rsidRDefault="00AB0795" w:rsidP="0058618D">
            <w:pPr>
              <w:pStyle w:val="table1"/>
              <w:rPr>
                <w:color w:val="000000"/>
                <w:u w:color="000000"/>
                <w:lang w:val="en-US"/>
              </w:rPr>
            </w:pPr>
            <w:r w:rsidRPr="00786F9E">
              <w:rPr>
                <w:color w:val="000000"/>
                <w:u w:color="000000"/>
                <w:lang w:val="en-US"/>
              </w:rPr>
              <w:t>Sand goanna</w:t>
            </w:r>
          </w:p>
        </w:tc>
        <w:tc>
          <w:tcPr>
            <w:tcW w:w="2268" w:type="dxa"/>
          </w:tcPr>
          <w:p w:rsidR="00AB0795" w:rsidRPr="00786F9E" w:rsidRDefault="00AB0795" w:rsidP="0058618D">
            <w:pPr>
              <w:pStyle w:val="table1"/>
              <w:rPr>
                <w:color w:val="000000"/>
                <w:u w:color="000000"/>
                <w:lang w:val="en-US"/>
              </w:rPr>
            </w:pPr>
            <w:r w:rsidRPr="00786F9E">
              <w:rPr>
                <w:color w:val="000000"/>
                <w:u w:color="000000"/>
                <w:lang w:val="en-US"/>
              </w:rPr>
              <w:t>New – Goanna</w:t>
            </w:r>
          </w:p>
        </w:tc>
        <w:tc>
          <w:tcPr>
            <w:tcW w:w="1134" w:type="dxa"/>
            <w:vAlign w:val="bottom"/>
          </w:tcPr>
          <w:p w:rsidR="00AB0795" w:rsidRPr="00786F9E" w:rsidRDefault="00AB0795" w:rsidP="0058618D">
            <w:pPr>
              <w:pStyle w:val="table1"/>
              <w:rPr>
                <w:color w:val="000000"/>
                <w:u w:color="000000"/>
              </w:rPr>
            </w:pPr>
            <w:r w:rsidRPr="00786F9E">
              <w:rPr>
                <w:color w:val="000000"/>
                <w:u w:color="000000"/>
              </w:rPr>
              <w:t>100</w:t>
            </w:r>
          </w:p>
        </w:tc>
        <w:tc>
          <w:tcPr>
            <w:tcW w:w="1134" w:type="dxa"/>
            <w:vAlign w:val="bottom"/>
          </w:tcPr>
          <w:p w:rsidR="00AB0795" w:rsidRPr="00786F9E" w:rsidRDefault="00AB0795" w:rsidP="0058618D">
            <w:pPr>
              <w:pStyle w:val="table1"/>
              <w:rPr>
                <w:color w:val="000000"/>
                <w:u w:color="000000"/>
              </w:rPr>
            </w:pPr>
            <w:r w:rsidRPr="00786F9E">
              <w:rPr>
                <w:color w:val="000000"/>
                <w:u w:color="000000"/>
              </w:rPr>
              <w:t>5</w:t>
            </w:r>
          </w:p>
        </w:tc>
        <w:tc>
          <w:tcPr>
            <w:tcW w:w="1134" w:type="dxa"/>
            <w:vAlign w:val="bottom"/>
          </w:tcPr>
          <w:p w:rsidR="00AB0795" w:rsidRPr="00786F9E" w:rsidRDefault="00AB0795" w:rsidP="0058618D">
            <w:pPr>
              <w:pStyle w:val="table1"/>
              <w:rPr>
                <w:color w:val="000000"/>
                <w:u w:color="000000"/>
              </w:rPr>
            </w:pPr>
            <w:r w:rsidRPr="00786F9E">
              <w:rPr>
                <w:color w:val="000000"/>
                <w:u w:color="000000"/>
              </w:rPr>
              <w:t>5</w:t>
            </w:r>
          </w:p>
        </w:tc>
        <w:tc>
          <w:tcPr>
            <w:tcW w:w="1043" w:type="dxa"/>
          </w:tcPr>
          <w:p w:rsidR="00AB0795" w:rsidRPr="00786F9E" w:rsidRDefault="00AB0795" w:rsidP="0058618D">
            <w:pPr>
              <w:pStyle w:val="table1"/>
              <w:rPr>
                <w:color w:val="000000"/>
                <w:u w:color="000000"/>
                <w:lang w:val="en-US"/>
              </w:rPr>
            </w:pPr>
            <w:r w:rsidRPr="00786F9E">
              <w:rPr>
                <w:color w:val="000000"/>
                <w:u w:color="000000"/>
                <w:lang w:val="en-US"/>
              </w:rPr>
              <w:t>1.3</w:t>
            </w:r>
          </w:p>
        </w:tc>
      </w:tr>
      <w:tr w:rsidR="00AB0795" w:rsidTr="0058618D">
        <w:tc>
          <w:tcPr>
            <w:tcW w:w="1809" w:type="dxa"/>
          </w:tcPr>
          <w:p w:rsidR="00AB0795" w:rsidRPr="00786F9E" w:rsidRDefault="00AB0795" w:rsidP="0058618D">
            <w:pPr>
              <w:pStyle w:val="table1"/>
              <w:rPr>
                <w:color w:val="000000"/>
                <w:u w:color="000000"/>
                <w:lang w:val="en-US"/>
              </w:rPr>
            </w:pPr>
            <w:r w:rsidRPr="00786F9E">
              <w:rPr>
                <w:color w:val="000000"/>
                <w:u w:color="000000"/>
                <w:lang w:val="en-US"/>
              </w:rPr>
              <w:t>Olive python</w:t>
            </w:r>
          </w:p>
        </w:tc>
        <w:tc>
          <w:tcPr>
            <w:tcW w:w="2268" w:type="dxa"/>
          </w:tcPr>
          <w:p w:rsidR="00AB0795" w:rsidRPr="00786F9E" w:rsidRDefault="00AB0795" w:rsidP="0058618D">
            <w:pPr>
              <w:pStyle w:val="table1"/>
              <w:rPr>
                <w:color w:val="000000"/>
                <w:u w:color="000000"/>
                <w:lang w:val="en-US"/>
              </w:rPr>
            </w:pPr>
            <w:r w:rsidRPr="00786F9E">
              <w:rPr>
                <w:color w:val="000000"/>
                <w:u w:color="000000"/>
                <w:lang w:val="en-US"/>
              </w:rPr>
              <w:t>New – Snake</w:t>
            </w:r>
          </w:p>
        </w:tc>
        <w:tc>
          <w:tcPr>
            <w:tcW w:w="1134" w:type="dxa"/>
            <w:vAlign w:val="bottom"/>
          </w:tcPr>
          <w:p w:rsidR="00AB0795" w:rsidRPr="00786F9E" w:rsidRDefault="00AB0795" w:rsidP="0058618D">
            <w:pPr>
              <w:pStyle w:val="table1"/>
              <w:rPr>
                <w:color w:val="000000"/>
                <w:u w:color="000000"/>
              </w:rPr>
            </w:pPr>
            <w:r w:rsidRPr="00786F9E">
              <w:rPr>
                <w:color w:val="000000"/>
                <w:u w:color="000000"/>
              </w:rPr>
              <w:t>250</w:t>
            </w:r>
          </w:p>
        </w:tc>
        <w:tc>
          <w:tcPr>
            <w:tcW w:w="1134" w:type="dxa"/>
            <w:vAlign w:val="bottom"/>
          </w:tcPr>
          <w:p w:rsidR="00AB0795" w:rsidRPr="00786F9E" w:rsidRDefault="00AB0795" w:rsidP="0058618D">
            <w:pPr>
              <w:pStyle w:val="table1"/>
              <w:rPr>
                <w:color w:val="000000"/>
                <w:u w:color="000000"/>
              </w:rPr>
            </w:pPr>
            <w:r w:rsidRPr="00786F9E">
              <w:rPr>
                <w:color w:val="000000"/>
                <w:u w:color="000000"/>
              </w:rPr>
              <w:t>5</w:t>
            </w:r>
          </w:p>
        </w:tc>
        <w:tc>
          <w:tcPr>
            <w:tcW w:w="1134" w:type="dxa"/>
            <w:vAlign w:val="bottom"/>
          </w:tcPr>
          <w:p w:rsidR="00AB0795" w:rsidRPr="00786F9E" w:rsidRDefault="00AB0795" w:rsidP="0058618D">
            <w:pPr>
              <w:pStyle w:val="table1"/>
              <w:rPr>
                <w:color w:val="000000"/>
                <w:u w:color="000000"/>
              </w:rPr>
            </w:pPr>
            <w:r w:rsidRPr="00786F9E">
              <w:rPr>
                <w:color w:val="000000"/>
                <w:u w:color="000000"/>
              </w:rPr>
              <w:t>5</w:t>
            </w:r>
          </w:p>
        </w:tc>
        <w:tc>
          <w:tcPr>
            <w:tcW w:w="1043" w:type="dxa"/>
          </w:tcPr>
          <w:p w:rsidR="00AB0795" w:rsidRPr="00786F9E" w:rsidRDefault="00AB0795" w:rsidP="0058618D">
            <w:pPr>
              <w:pStyle w:val="table1"/>
              <w:rPr>
                <w:color w:val="000000"/>
                <w:u w:color="000000"/>
                <w:lang w:val="en-US"/>
              </w:rPr>
            </w:pPr>
            <w:r w:rsidRPr="00786F9E">
              <w:rPr>
                <w:color w:val="000000"/>
                <w:u w:color="000000"/>
                <w:lang w:val="en-US"/>
              </w:rPr>
              <w:t>3.3</w:t>
            </w:r>
          </w:p>
        </w:tc>
      </w:tr>
      <w:tr w:rsidR="00AB0795" w:rsidTr="0058618D">
        <w:tc>
          <w:tcPr>
            <w:tcW w:w="1809" w:type="dxa"/>
          </w:tcPr>
          <w:p w:rsidR="00AB0795" w:rsidRPr="00786F9E" w:rsidRDefault="00AB0795" w:rsidP="0058618D">
            <w:pPr>
              <w:pStyle w:val="table1"/>
              <w:rPr>
                <w:color w:val="000000"/>
                <w:u w:color="000000"/>
                <w:lang w:val="en-US"/>
              </w:rPr>
            </w:pPr>
            <w:r w:rsidRPr="00786F9E">
              <w:rPr>
                <w:color w:val="000000"/>
                <w:u w:color="000000"/>
                <w:lang w:val="en-US"/>
              </w:rPr>
              <w:t>Cathedral termite</w:t>
            </w:r>
          </w:p>
        </w:tc>
        <w:tc>
          <w:tcPr>
            <w:tcW w:w="2268" w:type="dxa"/>
          </w:tcPr>
          <w:p w:rsidR="00AB0795" w:rsidRPr="00786F9E" w:rsidRDefault="00AB0795" w:rsidP="0058618D">
            <w:pPr>
              <w:pStyle w:val="table1"/>
              <w:rPr>
                <w:color w:val="000000"/>
                <w:u w:color="000000"/>
                <w:lang w:val="en-US"/>
              </w:rPr>
            </w:pPr>
            <w:r w:rsidRPr="00786F9E">
              <w:rPr>
                <w:color w:val="000000"/>
                <w:u w:color="000000"/>
                <w:lang w:val="en-US"/>
              </w:rPr>
              <w:t>New – Termite</w:t>
            </w:r>
          </w:p>
        </w:tc>
        <w:tc>
          <w:tcPr>
            <w:tcW w:w="1134" w:type="dxa"/>
            <w:vAlign w:val="bottom"/>
          </w:tcPr>
          <w:p w:rsidR="00AB0795" w:rsidRPr="00786F9E" w:rsidRDefault="00AB0795" w:rsidP="0058618D">
            <w:pPr>
              <w:pStyle w:val="table1"/>
              <w:rPr>
                <w:color w:val="000000"/>
                <w:u w:color="000000"/>
              </w:rPr>
            </w:pPr>
            <w:r w:rsidRPr="00786F9E">
              <w:rPr>
                <w:color w:val="000000"/>
                <w:u w:color="000000"/>
              </w:rPr>
              <w:t>3.2</w:t>
            </w:r>
          </w:p>
        </w:tc>
        <w:tc>
          <w:tcPr>
            <w:tcW w:w="1134" w:type="dxa"/>
            <w:vAlign w:val="bottom"/>
          </w:tcPr>
          <w:p w:rsidR="00AB0795" w:rsidRPr="00786F9E" w:rsidRDefault="00AB0795" w:rsidP="0058618D">
            <w:pPr>
              <w:pStyle w:val="table1"/>
              <w:rPr>
                <w:color w:val="000000"/>
                <w:u w:color="000000"/>
              </w:rPr>
            </w:pPr>
            <w:r w:rsidRPr="00786F9E">
              <w:rPr>
                <w:color w:val="000000"/>
                <w:u w:color="000000"/>
              </w:rPr>
              <w:t>0.32</w:t>
            </w:r>
          </w:p>
        </w:tc>
        <w:tc>
          <w:tcPr>
            <w:tcW w:w="1134" w:type="dxa"/>
            <w:vAlign w:val="bottom"/>
          </w:tcPr>
          <w:p w:rsidR="00AB0795" w:rsidRPr="00786F9E" w:rsidRDefault="00AB0795" w:rsidP="0058618D">
            <w:pPr>
              <w:pStyle w:val="table1"/>
              <w:rPr>
                <w:color w:val="000000"/>
                <w:u w:color="000000"/>
              </w:rPr>
            </w:pPr>
            <w:r w:rsidRPr="00786F9E">
              <w:rPr>
                <w:color w:val="000000"/>
                <w:u w:color="000000"/>
              </w:rPr>
              <w:t>0.32</w:t>
            </w:r>
          </w:p>
        </w:tc>
        <w:tc>
          <w:tcPr>
            <w:tcW w:w="1043" w:type="dxa"/>
          </w:tcPr>
          <w:p w:rsidR="00AB0795" w:rsidRPr="00786F9E" w:rsidRDefault="00AB0795" w:rsidP="0058618D">
            <w:pPr>
              <w:pStyle w:val="table1"/>
              <w:rPr>
                <w:color w:val="000000"/>
                <w:u w:color="000000"/>
                <w:lang w:val="en-US"/>
              </w:rPr>
            </w:pPr>
            <w:r w:rsidRPr="00786F9E">
              <w:rPr>
                <w:color w:val="000000"/>
                <w:u w:color="000000"/>
                <w:lang w:val="en-US"/>
              </w:rPr>
              <w:t>1.74</w:t>
            </w:r>
            <w:r w:rsidRPr="00786F9E">
              <w:rPr>
                <w:rFonts w:cs="Arial"/>
                <w:color w:val="000000"/>
                <w:u w:color="000000"/>
                <w:lang w:val="en-US"/>
              </w:rPr>
              <w:t>×</w:t>
            </w:r>
            <w:r w:rsidRPr="00786F9E">
              <w:rPr>
                <w:color w:val="000000"/>
                <w:u w:color="000000"/>
                <w:lang w:val="en-US"/>
              </w:rPr>
              <w:t>10</w:t>
            </w:r>
            <w:r w:rsidRPr="00AA3E24">
              <w:rPr>
                <w:snapToGrid w:val="0"/>
                <w:color w:val="000000"/>
                <w:position w:val="4"/>
                <w:sz w:val="11"/>
                <w:szCs w:val="0"/>
                <w:u w:color="000000"/>
                <w:lang w:val="en-US"/>
              </w:rPr>
              <w:t>-4</w:t>
            </w:r>
          </w:p>
        </w:tc>
      </w:tr>
      <w:tr w:rsidR="00AB0795" w:rsidTr="0058618D">
        <w:tc>
          <w:tcPr>
            <w:tcW w:w="1809" w:type="dxa"/>
          </w:tcPr>
          <w:p w:rsidR="00AB0795" w:rsidRPr="00786F9E" w:rsidRDefault="00AB0795" w:rsidP="0058618D">
            <w:pPr>
              <w:pStyle w:val="table1"/>
              <w:rPr>
                <w:color w:val="000000"/>
                <w:u w:color="000000"/>
                <w:lang w:val="en-US"/>
              </w:rPr>
            </w:pPr>
            <w:r w:rsidRPr="00786F9E">
              <w:rPr>
                <w:color w:val="000000"/>
                <w:u w:color="000000"/>
                <w:lang w:val="en-US"/>
              </w:rPr>
              <w:t>Agile wallaby</w:t>
            </w:r>
          </w:p>
        </w:tc>
        <w:tc>
          <w:tcPr>
            <w:tcW w:w="2268" w:type="dxa"/>
          </w:tcPr>
          <w:p w:rsidR="00AB0795" w:rsidRPr="00786F9E" w:rsidRDefault="00AB0795" w:rsidP="0058618D">
            <w:pPr>
              <w:pStyle w:val="table1"/>
              <w:rPr>
                <w:color w:val="000000"/>
                <w:u w:color="000000"/>
                <w:lang w:val="en-US"/>
              </w:rPr>
            </w:pPr>
            <w:r w:rsidRPr="00786F9E">
              <w:rPr>
                <w:color w:val="000000"/>
                <w:u w:color="000000"/>
                <w:lang w:val="en-US"/>
              </w:rPr>
              <w:t>New – Wallaby</w:t>
            </w:r>
          </w:p>
        </w:tc>
        <w:tc>
          <w:tcPr>
            <w:tcW w:w="1134" w:type="dxa"/>
            <w:vAlign w:val="bottom"/>
          </w:tcPr>
          <w:p w:rsidR="00AB0795" w:rsidRPr="00786F9E" w:rsidRDefault="00AB0795" w:rsidP="0058618D">
            <w:pPr>
              <w:pStyle w:val="table1"/>
              <w:rPr>
                <w:color w:val="000000"/>
                <w:u w:color="000000"/>
              </w:rPr>
            </w:pPr>
            <w:r w:rsidRPr="00786F9E">
              <w:rPr>
                <w:color w:val="000000"/>
                <w:u w:color="000000"/>
              </w:rPr>
              <w:t>70</w:t>
            </w:r>
          </w:p>
        </w:tc>
        <w:tc>
          <w:tcPr>
            <w:tcW w:w="1134" w:type="dxa"/>
            <w:vAlign w:val="bottom"/>
          </w:tcPr>
          <w:p w:rsidR="00AB0795" w:rsidRPr="00786F9E" w:rsidRDefault="00AB0795" w:rsidP="0058618D">
            <w:pPr>
              <w:pStyle w:val="table1"/>
              <w:rPr>
                <w:color w:val="000000"/>
                <w:u w:color="000000"/>
              </w:rPr>
            </w:pPr>
            <w:r w:rsidRPr="00786F9E">
              <w:rPr>
                <w:color w:val="000000"/>
                <w:u w:color="000000"/>
              </w:rPr>
              <w:t>20</w:t>
            </w:r>
          </w:p>
        </w:tc>
        <w:tc>
          <w:tcPr>
            <w:tcW w:w="1134" w:type="dxa"/>
            <w:vAlign w:val="bottom"/>
          </w:tcPr>
          <w:p w:rsidR="00AB0795" w:rsidRPr="00786F9E" w:rsidRDefault="00AB0795" w:rsidP="0058618D">
            <w:pPr>
              <w:pStyle w:val="table1"/>
              <w:rPr>
                <w:color w:val="000000"/>
                <w:u w:color="000000"/>
              </w:rPr>
            </w:pPr>
            <w:r w:rsidRPr="00786F9E">
              <w:rPr>
                <w:color w:val="000000"/>
                <w:u w:color="000000"/>
              </w:rPr>
              <w:t>20</w:t>
            </w:r>
          </w:p>
        </w:tc>
        <w:tc>
          <w:tcPr>
            <w:tcW w:w="1043" w:type="dxa"/>
          </w:tcPr>
          <w:p w:rsidR="00AB0795" w:rsidRPr="00786F9E" w:rsidRDefault="00AB0795" w:rsidP="0058618D">
            <w:pPr>
              <w:pStyle w:val="table1"/>
              <w:rPr>
                <w:color w:val="000000"/>
                <w:u w:color="000000"/>
                <w:lang w:val="en-US"/>
              </w:rPr>
            </w:pPr>
            <w:r w:rsidRPr="00786F9E">
              <w:rPr>
                <w:color w:val="000000"/>
                <w:u w:color="000000"/>
                <w:lang w:val="en-US"/>
              </w:rPr>
              <w:t>15</w:t>
            </w:r>
          </w:p>
        </w:tc>
      </w:tr>
      <w:tr w:rsidR="00AB0795" w:rsidTr="0058618D">
        <w:tc>
          <w:tcPr>
            <w:tcW w:w="1809" w:type="dxa"/>
          </w:tcPr>
          <w:p w:rsidR="00AB0795" w:rsidRPr="00786F9E" w:rsidRDefault="00AB0795" w:rsidP="0058618D">
            <w:pPr>
              <w:pStyle w:val="table1"/>
              <w:rPr>
                <w:color w:val="000000"/>
                <w:u w:color="000000"/>
                <w:lang w:val="en-US"/>
              </w:rPr>
            </w:pPr>
            <w:r w:rsidRPr="00786F9E">
              <w:rPr>
                <w:color w:val="000000"/>
                <w:u w:color="000000"/>
                <w:lang w:val="en-US"/>
              </w:rPr>
              <w:t>Ironwood</w:t>
            </w:r>
          </w:p>
        </w:tc>
        <w:tc>
          <w:tcPr>
            <w:tcW w:w="2268" w:type="dxa"/>
          </w:tcPr>
          <w:p w:rsidR="00AB0795" w:rsidRPr="00786F9E" w:rsidRDefault="00AB0795" w:rsidP="0058618D">
            <w:pPr>
              <w:pStyle w:val="table1"/>
              <w:rPr>
                <w:color w:val="000000"/>
                <w:u w:color="000000"/>
                <w:lang w:val="en-US"/>
              </w:rPr>
            </w:pPr>
            <w:r w:rsidRPr="00786F9E">
              <w:rPr>
                <w:color w:val="000000"/>
                <w:u w:color="000000"/>
                <w:lang w:val="en-US"/>
              </w:rPr>
              <w:t>ERICA – Tree</w:t>
            </w:r>
          </w:p>
        </w:tc>
        <w:tc>
          <w:tcPr>
            <w:tcW w:w="1134" w:type="dxa"/>
          </w:tcPr>
          <w:p w:rsidR="00AB0795" w:rsidRPr="00786F9E" w:rsidRDefault="00AB0795" w:rsidP="0058618D">
            <w:pPr>
              <w:pStyle w:val="table1"/>
              <w:rPr>
                <w:color w:val="000000"/>
                <w:u w:color="000000"/>
                <w:lang w:val="en-US"/>
              </w:rPr>
            </w:pPr>
            <w:r w:rsidRPr="00786F9E">
              <w:rPr>
                <w:color w:val="000000"/>
                <w:u w:color="000000"/>
                <w:lang w:val="en-US"/>
              </w:rPr>
              <w:t>1000</w:t>
            </w:r>
          </w:p>
        </w:tc>
        <w:tc>
          <w:tcPr>
            <w:tcW w:w="1134" w:type="dxa"/>
          </w:tcPr>
          <w:p w:rsidR="00AB0795" w:rsidRPr="00786F9E" w:rsidRDefault="00AB0795" w:rsidP="0058618D">
            <w:pPr>
              <w:pStyle w:val="table1"/>
              <w:rPr>
                <w:color w:val="000000"/>
                <w:u w:color="000000"/>
                <w:lang w:val="en-US"/>
              </w:rPr>
            </w:pPr>
            <w:r w:rsidRPr="00786F9E">
              <w:rPr>
                <w:color w:val="000000"/>
                <w:u w:color="000000"/>
                <w:lang w:val="en-US"/>
              </w:rPr>
              <w:t>30</w:t>
            </w:r>
          </w:p>
        </w:tc>
        <w:tc>
          <w:tcPr>
            <w:tcW w:w="1134" w:type="dxa"/>
          </w:tcPr>
          <w:p w:rsidR="00AB0795" w:rsidRPr="00786F9E" w:rsidRDefault="00AB0795" w:rsidP="0058618D">
            <w:pPr>
              <w:pStyle w:val="table1"/>
              <w:rPr>
                <w:color w:val="000000"/>
                <w:u w:color="000000"/>
                <w:lang w:val="en-US"/>
              </w:rPr>
            </w:pPr>
            <w:r w:rsidRPr="00786F9E">
              <w:rPr>
                <w:color w:val="000000"/>
                <w:u w:color="000000"/>
                <w:lang w:val="en-US"/>
              </w:rPr>
              <w:t>30</w:t>
            </w:r>
          </w:p>
        </w:tc>
        <w:tc>
          <w:tcPr>
            <w:tcW w:w="1043" w:type="dxa"/>
          </w:tcPr>
          <w:p w:rsidR="00AB0795" w:rsidRPr="00786F9E" w:rsidRDefault="00AB0795" w:rsidP="0058618D">
            <w:pPr>
              <w:pStyle w:val="table1"/>
              <w:rPr>
                <w:color w:val="000000"/>
                <w:u w:color="000000"/>
                <w:lang w:val="en-US"/>
              </w:rPr>
            </w:pPr>
            <w:r w:rsidRPr="00786F9E">
              <w:rPr>
                <w:color w:val="000000"/>
                <w:u w:color="000000"/>
                <w:lang w:val="en-US"/>
              </w:rPr>
              <w:t>471</w:t>
            </w:r>
          </w:p>
        </w:tc>
      </w:tr>
    </w:tbl>
    <w:p w:rsidR="00AB0795" w:rsidRPr="00F776F2" w:rsidRDefault="00AB0795" w:rsidP="00AB0795">
      <w:pPr>
        <w:rPr>
          <w:lang w:val="en-US"/>
        </w:rPr>
      </w:pPr>
    </w:p>
    <w:p w:rsidR="00224F8A" w:rsidRPr="00F776F2" w:rsidRDefault="00224F8A" w:rsidP="007A03F3">
      <w:pPr>
        <w:pStyle w:val="Heading3"/>
        <w:spacing w:before="0" w:after="0"/>
        <w:rPr>
          <w:lang w:val="en-US"/>
        </w:rPr>
      </w:pPr>
      <w:r w:rsidRPr="00F776F2">
        <w:rPr>
          <w:lang w:val="en-US"/>
        </w:rPr>
        <w:t>Occupancy factors</w:t>
      </w:r>
    </w:p>
    <w:p w:rsidR="00224F8A" w:rsidRPr="00F776F2" w:rsidRDefault="00224F8A" w:rsidP="00224F8A">
      <w:pPr>
        <w:rPr>
          <w:lang w:val="en-US"/>
        </w:rPr>
      </w:pPr>
      <w:r w:rsidRPr="00F776F2">
        <w:rPr>
          <w:lang w:val="en-US"/>
        </w:rPr>
        <w:t xml:space="preserve">Occupancy factors were assigned to each organism for time spent on the rehabilitated landform and in different ecosystem compartments. </w:t>
      </w:r>
      <w:r>
        <w:rPr>
          <w:lang w:val="en-US"/>
        </w:rPr>
        <w:t>Landform</w:t>
      </w:r>
      <w:r w:rsidRPr="00F776F2">
        <w:rPr>
          <w:lang w:val="en-US"/>
        </w:rPr>
        <w:t xml:space="preserve"> occupancy was assumed to be 100% for all organisms in order to maximise their environmental exposure and ensure a conservative EMCL. This occupancy assumption is not unrealistic as most of the selected local wildlife species have a home range that is much smaller than the </w:t>
      </w:r>
      <w:r>
        <w:rPr>
          <w:lang w:val="en-US"/>
        </w:rPr>
        <w:t xml:space="preserve">area of the </w:t>
      </w:r>
      <w:r w:rsidRPr="00F776F2">
        <w:rPr>
          <w:lang w:val="en-US"/>
        </w:rPr>
        <w:t>planned rehabilitated landform. The one exception is the corella which is more mobile and has a larger home range. Ecosystem compartment occupancy factors were also selected to maximise environmental exposure. All organisms were assumed to spend 100% of their time on soil except for the cathedral termite which was assumed to spend 100% of its time in soil.</w:t>
      </w:r>
    </w:p>
    <w:p w:rsidR="00224F8A" w:rsidRPr="00F776F2" w:rsidRDefault="00224F8A" w:rsidP="007A03F3">
      <w:pPr>
        <w:pStyle w:val="Heading3"/>
        <w:spacing w:before="120" w:after="0"/>
        <w:rPr>
          <w:lang w:val="en-US"/>
        </w:rPr>
      </w:pPr>
      <w:r w:rsidRPr="00F776F2">
        <w:rPr>
          <w:lang w:val="en-US"/>
        </w:rPr>
        <w:t>Concentration ratios</w:t>
      </w:r>
    </w:p>
    <w:p w:rsidR="00224F8A" w:rsidRPr="00F776F2" w:rsidRDefault="00224F8A" w:rsidP="007A03F3">
      <w:pPr>
        <w:spacing w:after="0"/>
        <w:rPr>
          <w:lang w:val="en-US"/>
        </w:rPr>
      </w:pPr>
      <w:r w:rsidRPr="00F776F2">
        <w:rPr>
          <w:lang w:val="en-US"/>
        </w:rPr>
        <w:t xml:space="preserve">Organism-to-soil CRs (Table </w:t>
      </w:r>
      <w:r>
        <w:rPr>
          <w:lang w:val="en-US"/>
        </w:rPr>
        <w:t>2</w:t>
      </w:r>
      <w:r w:rsidRPr="00F776F2">
        <w:rPr>
          <w:lang w:val="en-US"/>
        </w:rPr>
        <w:t xml:space="preserve">) to back-calculate the </w:t>
      </w:r>
      <w:proofErr w:type="gramStart"/>
      <w:r w:rsidRPr="00F776F2">
        <w:rPr>
          <w:lang w:val="en-US"/>
        </w:rPr>
        <w:t>component of the EMCL related to internal exposure were</w:t>
      </w:r>
      <w:proofErr w:type="gramEnd"/>
      <w:r w:rsidRPr="00F776F2">
        <w:rPr>
          <w:lang w:val="en-US"/>
        </w:rPr>
        <w:t xml:space="preserve"> obtained by one of three methods</w:t>
      </w:r>
      <w:r>
        <w:rPr>
          <w:lang w:val="en-US"/>
        </w:rPr>
        <w:t>:</w:t>
      </w:r>
    </w:p>
    <w:p w:rsidR="00224F8A" w:rsidRPr="00786F9E" w:rsidRDefault="00224F8A" w:rsidP="007A03F3">
      <w:pPr>
        <w:pStyle w:val="bulletlist1"/>
        <w:spacing w:after="0"/>
      </w:pPr>
      <w:r w:rsidRPr="00786F9E">
        <w:rPr>
          <w:i/>
        </w:rPr>
        <w:t>Most preferred:</w:t>
      </w:r>
      <w:r w:rsidRPr="00786F9E">
        <w:t xml:space="preserve"> obtain tissue-to-soil CRs from the BRUCE Tool (Doering 2013) and convert to organism-to-soil CRs using the wholebody to tissue factors reported in Yankovich et al</w:t>
      </w:r>
      <w:r w:rsidR="00786F9E">
        <w:t>.</w:t>
      </w:r>
      <w:r w:rsidRPr="00786F9E">
        <w:t xml:space="preserve"> (2010).</w:t>
      </w:r>
    </w:p>
    <w:p w:rsidR="00224F8A" w:rsidRPr="00786F9E" w:rsidRDefault="00224F8A" w:rsidP="007A03F3">
      <w:pPr>
        <w:pStyle w:val="bulletlist1"/>
        <w:spacing w:after="0"/>
      </w:pPr>
      <w:r w:rsidRPr="00786F9E">
        <w:rPr>
          <w:i/>
        </w:rPr>
        <w:t xml:space="preserve">Next preferred: </w:t>
      </w:r>
      <w:r w:rsidRPr="00786F9E">
        <w:t>use organism-to-soil CRs from the wildlife transfer database (Copplestone et al</w:t>
      </w:r>
      <w:r w:rsidR="00786F9E">
        <w:t>.</w:t>
      </w:r>
      <w:r w:rsidRPr="00786F9E">
        <w:t xml:space="preserve"> 2013) and its base references.</w:t>
      </w:r>
    </w:p>
    <w:p w:rsidR="00224F8A" w:rsidRPr="00786F9E" w:rsidRDefault="00224F8A" w:rsidP="007A03F3">
      <w:pPr>
        <w:pStyle w:val="bulletlist1"/>
        <w:spacing w:after="0"/>
      </w:pPr>
      <w:r w:rsidRPr="00786F9E">
        <w:rPr>
          <w:i/>
        </w:rPr>
        <w:t>Least preferred:</w:t>
      </w:r>
      <w:r w:rsidRPr="00786F9E">
        <w:t xml:space="preserve"> use default organism-to-soil CRs for the closest matching terrestrial reference organism in the ERICA Tool (Beresford et al</w:t>
      </w:r>
      <w:r w:rsidR="00786F9E">
        <w:t>.</w:t>
      </w:r>
      <w:r w:rsidRPr="00786F9E">
        <w:t xml:space="preserve"> 2008).</w:t>
      </w:r>
    </w:p>
    <w:p w:rsidR="00AB0795" w:rsidRDefault="00AB0795" w:rsidP="009A0A84">
      <w:pPr>
        <w:pStyle w:val="table1"/>
        <w:rPr>
          <w:lang w:val="en-US"/>
        </w:rPr>
      </w:pPr>
      <w:r w:rsidRPr="003F6703">
        <w:rPr>
          <w:b/>
          <w:lang w:val="en-US"/>
        </w:rPr>
        <w:t xml:space="preserve">Table </w:t>
      </w:r>
      <w:proofErr w:type="gramStart"/>
      <w:r w:rsidRPr="003F6703">
        <w:rPr>
          <w:b/>
          <w:lang w:val="en-US"/>
        </w:rPr>
        <w:t>2</w:t>
      </w:r>
      <w:r>
        <w:rPr>
          <w:lang w:val="en-US"/>
        </w:rPr>
        <w:t xml:space="preserve">  Organism</w:t>
      </w:r>
      <w:proofErr w:type="gramEnd"/>
      <w:r>
        <w:rPr>
          <w:lang w:val="en-US"/>
        </w:rPr>
        <w:t>-to-soil CRs used to quantify radionuclide transfer to reference organisms</w:t>
      </w:r>
      <w:r w:rsidRPr="00096C44">
        <w:rPr>
          <w:snapToGrid w:val="0"/>
          <w:color w:val="000000"/>
          <w:position w:val="4"/>
          <w:sz w:val="12"/>
          <w:szCs w:val="0"/>
          <w:u w:color="000000"/>
          <w:lang w:val="en-US"/>
        </w:rPr>
        <w:t>1,2,3</w:t>
      </w:r>
    </w:p>
    <w:tbl>
      <w:tblPr>
        <w:tblW w:w="0" w:type="auto"/>
        <w:tblLayout w:type="fixed"/>
        <w:tblLook w:val="04A0"/>
      </w:tblPr>
      <w:tblGrid>
        <w:gridCol w:w="1809"/>
        <w:gridCol w:w="1342"/>
        <w:gridCol w:w="1343"/>
        <w:gridCol w:w="1342"/>
        <w:gridCol w:w="1343"/>
        <w:gridCol w:w="1343"/>
      </w:tblGrid>
      <w:tr w:rsidR="00AB0795" w:rsidRPr="009A0A84" w:rsidTr="0058618D">
        <w:tc>
          <w:tcPr>
            <w:tcW w:w="1809" w:type="dxa"/>
            <w:tcBorders>
              <w:top w:val="single" w:sz="4" w:space="0" w:color="auto"/>
              <w:left w:val="nil"/>
              <w:bottom w:val="single" w:sz="4" w:space="0" w:color="auto"/>
              <w:right w:val="nil"/>
            </w:tcBorders>
          </w:tcPr>
          <w:p w:rsidR="00AB0795" w:rsidRPr="009A0A84" w:rsidRDefault="00AB0795" w:rsidP="0058618D">
            <w:pPr>
              <w:pStyle w:val="table1"/>
              <w:rPr>
                <w:b/>
                <w:color w:val="000000"/>
                <w:u w:color="000000"/>
              </w:rPr>
            </w:pPr>
            <w:r w:rsidRPr="009A0A84">
              <w:rPr>
                <w:b/>
                <w:color w:val="000000"/>
                <w:u w:color="000000"/>
              </w:rPr>
              <w:t>Organism</w:t>
            </w:r>
          </w:p>
        </w:tc>
        <w:tc>
          <w:tcPr>
            <w:tcW w:w="1342" w:type="dxa"/>
            <w:tcBorders>
              <w:top w:val="single" w:sz="4" w:space="0" w:color="auto"/>
              <w:left w:val="nil"/>
              <w:bottom w:val="single" w:sz="4" w:space="0" w:color="auto"/>
              <w:right w:val="nil"/>
            </w:tcBorders>
          </w:tcPr>
          <w:p w:rsidR="00AB0795" w:rsidRPr="009A0A84" w:rsidRDefault="00AB0795" w:rsidP="0058618D">
            <w:pPr>
              <w:pStyle w:val="table1"/>
              <w:rPr>
                <w:b/>
                <w:color w:val="000000"/>
                <w:u w:color="000000"/>
              </w:rPr>
            </w:pPr>
            <w:r w:rsidRPr="009A0A84">
              <w:rPr>
                <w:b/>
                <w:color w:val="000000"/>
                <w:u w:color="000000"/>
              </w:rPr>
              <w:t>Pb</w:t>
            </w:r>
          </w:p>
        </w:tc>
        <w:tc>
          <w:tcPr>
            <w:tcW w:w="1343" w:type="dxa"/>
            <w:tcBorders>
              <w:top w:val="single" w:sz="4" w:space="0" w:color="auto"/>
              <w:left w:val="nil"/>
              <w:bottom w:val="single" w:sz="4" w:space="0" w:color="auto"/>
              <w:right w:val="nil"/>
            </w:tcBorders>
          </w:tcPr>
          <w:p w:rsidR="00AB0795" w:rsidRPr="009A0A84" w:rsidRDefault="00AB0795" w:rsidP="0058618D">
            <w:pPr>
              <w:pStyle w:val="table1"/>
              <w:rPr>
                <w:b/>
                <w:color w:val="000000"/>
                <w:u w:color="000000"/>
              </w:rPr>
            </w:pPr>
            <w:r w:rsidRPr="009A0A84">
              <w:rPr>
                <w:b/>
                <w:color w:val="000000"/>
                <w:u w:color="000000"/>
              </w:rPr>
              <w:t>Po</w:t>
            </w:r>
          </w:p>
        </w:tc>
        <w:tc>
          <w:tcPr>
            <w:tcW w:w="1342" w:type="dxa"/>
            <w:tcBorders>
              <w:top w:val="single" w:sz="4" w:space="0" w:color="auto"/>
              <w:left w:val="nil"/>
              <w:bottom w:val="single" w:sz="4" w:space="0" w:color="auto"/>
              <w:right w:val="nil"/>
            </w:tcBorders>
          </w:tcPr>
          <w:p w:rsidR="00AB0795" w:rsidRPr="009A0A84" w:rsidRDefault="00AB0795" w:rsidP="0058618D">
            <w:pPr>
              <w:pStyle w:val="table1"/>
              <w:rPr>
                <w:b/>
                <w:color w:val="000000"/>
                <w:u w:color="000000"/>
              </w:rPr>
            </w:pPr>
            <w:r w:rsidRPr="009A0A84">
              <w:rPr>
                <w:b/>
                <w:color w:val="000000"/>
                <w:u w:color="000000"/>
              </w:rPr>
              <w:t>Ra</w:t>
            </w:r>
          </w:p>
        </w:tc>
        <w:tc>
          <w:tcPr>
            <w:tcW w:w="1343" w:type="dxa"/>
            <w:tcBorders>
              <w:top w:val="single" w:sz="4" w:space="0" w:color="auto"/>
              <w:left w:val="nil"/>
              <w:bottom w:val="single" w:sz="4" w:space="0" w:color="auto"/>
              <w:right w:val="nil"/>
            </w:tcBorders>
          </w:tcPr>
          <w:p w:rsidR="00AB0795" w:rsidRPr="009A0A84" w:rsidRDefault="00AB0795" w:rsidP="0058618D">
            <w:pPr>
              <w:pStyle w:val="table1"/>
              <w:rPr>
                <w:b/>
                <w:color w:val="000000"/>
                <w:u w:color="000000"/>
              </w:rPr>
            </w:pPr>
            <w:r w:rsidRPr="009A0A84">
              <w:rPr>
                <w:b/>
                <w:color w:val="000000"/>
                <w:u w:color="000000"/>
              </w:rPr>
              <w:t>Th</w:t>
            </w:r>
          </w:p>
        </w:tc>
        <w:tc>
          <w:tcPr>
            <w:tcW w:w="1343" w:type="dxa"/>
            <w:tcBorders>
              <w:top w:val="single" w:sz="4" w:space="0" w:color="auto"/>
              <w:left w:val="nil"/>
              <w:bottom w:val="single" w:sz="4" w:space="0" w:color="auto"/>
              <w:right w:val="nil"/>
            </w:tcBorders>
          </w:tcPr>
          <w:p w:rsidR="00AB0795" w:rsidRPr="009A0A84" w:rsidRDefault="00AB0795" w:rsidP="0058618D">
            <w:pPr>
              <w:pStyle w:val="table1"/>
              <w:rPr>
                <w:b/>
                <w:color w:val="000000"/>
                <w:u w:color="000000"/>
              </w:rPr>
            </w:pPr>
            <w:r w:rsidRPr="009A0A84">
              <w:rPr>
                <w:b/>
                <w:color w:val="000000"/>
                <w:u w:color="000000"/>
              </w:rPr>
              <w:t>U</w:t>
            </w:r>
          </w:p>
        </w:tc>
      </w:tr>
      <w:tr w:rsidR="00AB0795" w:rsidTr="0058618D">
        <w:tc>
          <w:tcPr>
            <w:tcW w:w="1809" w:type="dxa"/>
            <w:tcBorders>
              <w:left w:val="nil"/>
              <w:bottom w:val="nil"/>
              <w:right w:val="nil"/>
            </w:tcBorders>
          </w:tcPr>
          <w:p w:rsidR="00AB0795" w:rsidRPr="00786F9E" w:rsidRDefault="00AB0795" w:rsidP="0058618D">
            <w:pPr>
              <w:pStyle w:val="table1"/>
              <w:rPr>
                <w:color w:val="000000"/>
                <w:u w:color="000000"/>
              </w:rPr>
            </w:pPr>
            <w:r w:rsidRPr="00786F9E">
              <w:rPr>
                <w:color w:val="000000"/>
                <w:u w:color="000000"/>
              </w:rPr>
              <w:t>Green tree frog</w:t>
            </w:r>
          </w:p>
        </w:tc>
        <w:tc>
          <w:tcPr>
            <w:tcW w:w="1342" w:type="dxa"/>
            <w:tcBorders>
              <w:left w:val="nil"/>
              <w:bottom w:val="nil"/>
              <w:right w:val="nil"/>
            </w:tcBorders>
            <w:shd w:val="clear" w:color="auto" w:fill="D9D9D9" w:themeFill="background1" w:themeFillShade="D9"/>
          </w:tcPr>
          <w:p w:rsidR="00AB0795" w:rsidRPr="00786F9E" w:rsidRDefault="00AB0795" w:rsidP="0058618D">
            <w:pPr>
              <w:pStyle w:val="table1"/>
              <w:rPr>
                <w:color w:val="000000"/>
                <w:u w:color="000000"/>
              </w:rPr>
            </w:pPr>
            <w:r w:rsidRPr="00786F9E">
              <w:rPr>
                <w:color w:val="000000"/>
                <w:u w:color="000000"/>
              </w:rPr>
              <w:t>AM: 1.2×10</w:t>
            </w:r>
            <w:r w:rsidRPr="00AA3E24">
              <w:rPr>
                <w:snapToGrid w:val="0"/>
                <w:color w:val="000000"/>
                <w:position w:val="4"/>
                <w:sz w:val="11"/>
                <w:szCs w:val="0"/>
                <w:u w:color="000000"/>
              </w:rPr>
              <w:t>-1</w:t>
            </w:r>
          </w:p>
          <w:p w:rsidR="00AB0795" w:rsidRPr="00786F9E" w:rsidRDefault="00AB0795" w:rsidP="0058618D">
            <w:pPr>
              <w:pStyle w:val="table1"/>
              <w:rPr>
                <w:color w:val="000000"/>
                <w:u w:color="000000"/>
              </w:rPr>
            </w:pPr>
            <w:r w:rsidRPr="00786F9E">
              <w:rPr>
                <w:color w:val="000000"/>
                <w:u w:color="000000"/>
              </w:rPr>
              <w:t>SD: 5.2×10</w:t>
            </w:r>
            <w:r w:rsidRPr="00AA3E24">
              <w:rPr>
                <w:snapToGrid w:val="0"/>
                <w:color w:val="000000"/>
                <w:position w:val="4"/>
                <w:sz w:val="11"/>
                <w:szCs w:val="0"/>
                <w:u w:color="000000"/>
              </w:rPr>
              <w:t>-1</w:t>
            </w:r>
          </w:p>
          <w:p w:rsidR="00AB0795" w:rsidRPr="00786F9E" w:rsidRDefault="00AB0795" w:rsidP="0058618D">
            <w:pPr>
              <w:pStyle w:val="table1"/>
              <w:rPr>
                <w:color w:val="000000"/>
                <w:u w:color="000000"/>
              </w:rPr>
            </w:pPr>
            <w:r w:rsidRPr="00786F9E">
              <w:rPr>
                <w:color w:val="000000"/>
                <w:u w:color="000000"/>
              </w:rPr>
              <w:t>N: 24</w:t>
            </w:r>
          </w:p>
        </w:tc>
        <w:tc>
          <w:tcPr>
            <w:tcW w:w="1343" w:type="dxa"/>
            <w:tcBorders>
              <w:left w:val="nil"/>
              <w:bottom w:val="nil"/>
              <w:right w:val="nil"/>
            </w:tcBorders>
            <w:shd w:val="clear" w:color="auto" w:fill="A6A6A6" w:themeFill="background1" w:themeFillShade="A6"/>
          </w:tcPr>
          <w:p w:rsidR="00AB0795" w:rsidRPr="00786F9E" w:rsidRDefault="00AB0795" w:rsidP="0058618D">
            <w:pPr>
              <w:pStyle w:val="table1"/>
              <w:rPr>
                <w:color w:val="000000"/>
                <w:u w:color="000000"/>
              </w:rPr>
            </w:pPr>
            <w:r w:rsidRPr="00786F9E">
              <w:rPr>
                <w:color w:val="000000"/>
                <w:u w:color="000000"/>
              </w:rPr>
              <w:t>AM: 2.8×10</w:t>
            </w:r>
            <w:r w:rsidRPr="00AA3E24">
              <w:rPr>
                <w:snapToGrid w:val="0"/>
                <w:color w:val="000000"/>
                <w:position w:val="4"/>
                <w:sz w:val="11"/>
                <w:szCs w:val="0"/>
                <w:u w:color="000000"/>
              </w:rPr>
              <w:t>-3</w:t>
            </w:r>
          </w:p>
          <w:p w:rsidR="00AB0795" w:rsidRPr="00786F9E" w:rsidRDefault="00AB0795" w:rsidP="0058618D">
            <w:pPr>
              <w:pStyle w:val="table1"/>
              <w:rPr>
                <w:color w:val="000000"/>
                <w:u w:color="000000"/>
              </w:rPr>
            </w:pPr>
            <w:r w:rsidRPr="00786F9E">
              <w:rPr>
                <w:color w:val="000000"/>
                <w:u w:color="000000"/>
              </w:rPr>
              <w:t>SD: na</w:t>
            </w:r>
          </w:p>
          <w:p w:rsidR="00AB0795" w:rsidRPr="00786F9E" w:rsidRDefault="00AB0795" w:rsidP="0058618D">
            <w:pPr>
              <w:pStyle w:val="table1"/>
              <w:rPr>
                <w:color w:val="000000"/>
                <w:u w:color="000000"/>
              </w:rPr>
            </w:pPr>
            <w:r w:rsidRPr="00786F9E">
              <w:rPr>
                <w:color w:val="000000"/>
                <w:u w:color="000000"/>
              </w:rPr>
              <w:t>N: na</w:t>
            </w:r>
          </w:p>
        </w:tc>
        <w:tc>
          <w:tcPr>
            <w:tcW w:w="1342" w:type="dxa"/>
            <w:tcBorders>
              <w:left w:val="nil"/>
              <w:bottom w:val="nil"/>
              <w:right w:val="nil"/>
            </w:tcBorders>
            <w:shd w:val="clear" w:color="auto" w:fill="A6A6A6" w:themeFill="background1" w:themeFillShade="A6"/>
          </w:tcPr>
          <w:p w:rsidR="00AB0795" w:rsidRPr="00786F9E" w:rsidRDefault="00AB0795" w:rsidP="0058618D">
            <w:pPr>
              <w:pStyle w:val="table1"/>
              <w:rPr>
                <w:color w:val="000000"/>
                <w:u w:color="000000"/>
              </w:rPr>
            </w:pPr>
            <w:r w:rsidRPr="00786F9E">
              <w:rPr>
                <w:color w:val="000000"/>
                <w:u w:color="000000"/>
              </w:rPr>
              <w:t>AM: 3.6×10</w:t>
            </w:r>
            <w:r w:rsidRPr="00AA3E24">
              <w:rPr>
                <w:snapToGrid w:val="0"/>
                <w:color w:val="000000"/>
                <w:position w:val="4"/>
                <w:sz w:val="11"/>
                <w:szCs w:val="0"/>
                <w:u w:color="000000"/>
              </w:rPr>
              <w:t>-2</w:t>
            </w:r>
          </w:p>
          <w:p w:rsidR="00AB0795" w:rsidRPr="00786F9E" w:rsidRDefault="00AB0795" w:rsidP="0058618D">
            <w:pPr>
              <w:pStyle w:val="table1"/>
              <w:rPr>
                <w:color w:val="000000"/>
                <w:u w:color="000000"/>
              </w:rPr>
            </w:pPr>
            <w:r w:rsidRPr="00786F9E">
              <w:rPr>
                <w:color w:val="000000"/>
                <w:u w:color="000000"/>
              </w:rPr>
              <w:t>SD: na</w:t>
            </w:r>
          </w:p>
          <w:p w:rsidR="00AB0795" w:rsidRPr="00786F9E" w:rsidRDefault="00AB0795" w:rsidP="0058618D">
            <w:pPr>
              <w:pStyle w:val="table1"/>
              <w:rPr>
                <w:color w:val="000000"/>
                <w:u w:color="000000"/>
              </w:rPr>
            </w:pPr>
            <w:r w:rsidRPr="00786F9E">
              <w:rPr>
                <w:color w:val="000000"/>
                <w:u w:color="000000"/>
              </w:rPr>
              <w:t>N: na</w:t>
            </w:r>
          </w:p>
        </w:tc>
        <w:tc>
          <w:tcPr>
            <w:tcW w:w="1343" w:type="dxa"/>
            <w:tcBorders>
              <w:left w:val="nil"/>
              <w:bottom w:val="nil"/>
              <w:right w:val="nil"/>
            </w:tcBorders>
            <w:shd w:val="clear" w:color="auto" w:fill="A6A6A6" w:themeFill="background1" w:themeFillShade="A6"/>
          </w:tcPr>
          <w:p w:rsidR="00AB0795" w:rsidRPr="00786F9E" w:rsidRDefault="00AB0795" w:rsidP="0058618D">
            <w:pPr>
              <w:pStyle w:val="table1"/>
              <w:rPr>
                <w:color w:val="000000"/>
                <w:u w:color="000000"/>
              </w:rPr>
            </w:pPr>
            <w:r w:rsidRPr="00786F9E">
              <w:rPr>
                <w:color w:val="000000"/>
                <w:u w:color="000000"/>
              </w:rPr>
              <w:t>AM: 3.9×10</w:t>
            </w:r>
            <w:r w:rsidRPr="00AA3E24">
              <w:rPr>
                <w:snapToGrid w:val="0"/>
                <w:color w:val="000000"/>
                <w:position w:val="4"/>
                <w:sz w:val="11"/>
                <w:szCs w:val="0"/>
                <w:u w:color="000000"/>
              </w:rPr>
              <w:t>-4</w:t>
            </w:r>
          </w:p>
          <w:p w:rsidR="00AB0795" w:rsidRPr="00786F9E" w:rsidRDefault="00AB0795" w:rsidP="0058618D">
            <w:pPr>
              <w:pStyle w:val="table1"/>
              <w:rPr>
                <w:color w:val="000000"/>
                <w:u w:color="000000"/>
              </w:rPr>
            </w:pPr>
            <w:r w:rsidRPr="00786F9E">
              <w:rPr>
                <w:color w:val="000000"/>
                <w:u w:color="000000"/>
              </w:rPr>
              <w:t>SD: na</w:t>
            </w:r>
          </w:p>
          <w:p w:rsidR="00AB0795" w:rsidRPr="00786F9E" w:rsidRDefault="00AB0795" w:rsidP="0058618D">
            <w:pPr>
              <w:pStyle w:val="table1"/>
              <w:rPr>
                <w:color w:val="000000"/>
                <w:u w:color="000000"/>
              </w:rPr>
            </w:pPr>
            <w:r w:rsidRPr="00786F9E">
              <w:rPr>
                <w:color w:val="000000"/>
                <w:u w:color="000000"/>
              </w:rPr>
              <w:t>N: na</w:t>
            </w:r>
          </w:p>
        </w:tc>
        <w:tc>
          <w:tcPr>
            <w:tcW w:w="1343" w:type="dxa"/>
            <w:tcBorders>
              <w:left w:val="nil"/>
              <w:bottom w:val="nil"/>
              <w:right w:val="nil"/>
            </w:tcBorders>
            <w:shd w:val="clear" w:color="auto" w:fill="A6A6A6" w:themeFill="background1" w:themeFillShade="A6"/>
          </w:tcPr>
          <w:p w:rsidR="00AB0795" w:rsidRPr="00786F9E" w:rsidRDefault="00AB0795" w:rsidP="0058618D">
            <w:pPr>
              <w:pStyle w:val="table1"/>
              <w:rPr>
                <w:color w:val="000000"/>
                <w:u w:color="000000"/>
              </w:rPr>
            </w:pPr>
            <w:r w:rsidRPr="00786F9E">
              <w:rPr>
                <w:color w:val="000000"/>
                <w:u w:color="000000"/>
              </w:rPr>
              <w:t>AM: 5.0×10</w:t>
            </w:r>
            <w:r w:rsidRPr="00AA3E24">
              <w:rPr>
                <w:snapToGrid w:val="0"/>
                <w:color w:val="000000"/>
                <w:position w:val="4"/>
                <w:sz w:val="11"/>
                <w:szCs w:val="0"/>
                <w:u w:color="000000"/>
              </w:rPr>
              <w:t>-4</w:t>
            </w:r>
          </w:p>
          <w:p w:rsidR="00AB0795" w:rsidRPr="00786F9E" w:rsidRDefault="00AB0795" w:rsidP="0058618D">
            <w:pPr>
              <w:pStyle w:val="table1"/>
              <w:rPr>
                <w:color w:val="000000"/>
                <w:u w:color="000000"/>
              </w:rPr>
            </w:pPr>
            <w:r w:rsidRPr="00786F9E">
              <w:rPr>
                <w:color w:val="000000"/>
                <w:u w:color="000000"/>
              </w:rPr>
              <w:t>SD: na</w:t>
            </w:r>
          </w:p>
          <w:p w:rsidR="00AB0795" w:rsidRPr="00786F9E" w:rsidRDefault="00AB0795" w:rsidP="0058618D">
            <w:pPr>
              <w:pStyle w:val="table1"/>
              <w:rPr>
                <w:color w:val="000000"/>
                <w:u w:color="000000"/>
              </w:rPr>
            </w:pPr>
            <w:r w:rsidRPr="00786F9E">
              <w:rPr>
                <w:color w:val="000000"/>
                <w:u w:color="000000"/>
              </w:rPr>
              <w:t>N: na</w:t>
            </w:r>
          </w:p>
        </w:tc>
      </w:tr>
      <w:tr w:rsidR="00AB0795" w:rsidTr="0058618D">
        <w:tc>
          <w:tcPr>
            <w:tcW w:w="1809" w:type="dxa"/>
            <w:tcBorders>
              <w:top w:val="nil"/>
              <w:left w:val="nil"/>
              <w:bottom w:val="nil"/>
              <w:right w:val="nil"/>
            </w:tcBorders>
          </w:tcPr>
          <w:p w:rsidR="00AB0795" w:rsidRPr="00786F9E" w:rsidRDefault="00AB0795" w:rsidP="0058618D">
            <w:pPr>
              <w:pStyle w:val="table1"/>
              <w:rPr>
                <w:color w:val="000000"/>
                <w:u w:color="000000"/>
              </w:rPr>
            </w:pPr>
            <w:r w:rsidRPr="00786F9E">
              <w:rPr>
                <w:color w:val="000000"/>
                <w:u w:color="000000"/>
              </w:rPr>
              <w:t>Corella</w:t>
            </w:r>
          </w:p>
        </w:tc>
        <w:tc>
          <w:tcPr>
            <w:tcW w:w="1342" w:type="dxa"/>
            <w:tcBorders>
              <w:top w:val="nil"/>
              <w:left w:val="nil"/>
              <w:bottom w:val="nil"/>
              <w:right w:val="nil"/>
            </w:tcBorders>
          </w:tcPr>
          <w:p w:rsidR="00AB0795" w:rsidRPr="00786F9E" w:rsidRDefault="00AB0795" w:rsidP="0058618D">
            <w:pPr>
              <w:pStyle w:val="table1"/>
              <w:rPr>
                <w:color w:val="000000"/>
                <w:u w:color="000000"/>
              </w:rPr>
            </w:pPr>
            <w:r w:rsidRPr="00786F9E">
              <w:rPr>
                <w:color w:val="000000"/>
                <w:u w:color="000000"/>
              </w:rPr>
              <w:t>AM: 4.9×10</w:t>
            </w:r>
            <w:r w:rsidRPr="00AA3E24">
              <w:rPr>
                <w:snapToGrid w:val="0"/>
                <w:color w:val="000000"/>
                <w:position w:val="4"/>
                <w:sz w:val="11"/>
                <w:szCs w:val="0"/>
                <w:u w:color="000000"/>
              </w:rPr>
              <w:t>-2</w:t>
            </w:r>
          </w:p>
          <w:p w:rsidR="00AB0795" w:rsidRPr="00786F9E" w:rsidRDefault="00AB0795" w:rsidP="0058618D">
            <w:pPr>
              <w:pStyle w:val="table1"/>
              <w:rPr>
                <w:color w:val="000000"/>
                <w:u w:color="000000"/>
              </w:rPr>
            </w:pPr>
            <w:r w:rsidRPr="00786F9E">
              <w:rPr>
                <w:color w:val="000000"/>
                <w:u w:color="000000"/>
              </w:rPr>
              <w:t>SD: na</w:t>
            </w:r>
          </w:p>
          <w:p w:rsidR="00AB0795" w:rsidRPr="00786F9E" w:rsidRDefault="00AB0795" w:rsidP="0058618D">
            <w:pPr>
              <w:pStyle w:val="table1"/>
              <w:rPr>
                <w:color w:val="000000"/>
                <w:u w:color="000000"/>
              </w:rPr>
            </w:pPr>
            <w:r w:rsidRPr="00786F9E">
              <w:rPr>
                <w:color w:val="000000"/>
                <w:u w:color="000000"/>
              </w:rPr>
              <w:t>N: 1</w:t>
            </w:r>
          </w:p>
        </w:tc>
        <w:tc>
          <w:tcPr>
            <w:tcW w:w="1343" w:type="dxa"/>
            <w:tcBorders>
              <w:top w:val="nil"/>
              <w:left w:val="nil"/>
              <w:bottom w:val="nil"/>
              <w:right w:val="nil"/>
            </w:tcBorders>
            <w:shd w:val="clear" w:color="auto" w:fill="D9D9D9" w:themeFill="background1" w:themeFillShade="D9"/>
          </w:tcPr>
          <w:p w:rsidR="00AB0795" w:rsidRPr="00786F9E" w:rsidRDefault="00AB0795" w:rsidP="0058618D">
            <w:pPr>
              <w:pStyle w:val="table1"/>
              <w:rPr>
                <w:color w:val="000000"/>
                <w:u w:color="000000"/>
              </w:rPr>
            </w:pPr>
            <w:r w:rsidRPr="00786F9E">
              <w:rPr>
                <w:color w:val="000000"/>
                <w:u w:color="000000"/>
              </w:rPr>
              <w:t>AM: 1.0×10</w:t>
            </w:r>
            <w:r w:rsidRPr="00AA3E24">
              <w:rPr>
                <w:snapToGrid w:val="0"/>
                <w:color w:val="000000"/>
                <w:position w:val="4"/>
                <w:sz w:val="11"/>
                <w:szCs w:val="0"/>
                <w:u w:color="000000"/>
              </w:rPr>
              <w:t>-2</w:t>
            </w:r>
          </w:p>
          <w:p w:rsidR="00AB0795" w:rsidRPr="00786F9E" w:rsidRDefault="00AB0795" w:rsidP="0058618D">
            <w:pPr>
              <w:pStyle w:val="table1"/>
              <w:rPr>
                <w:color w:val="000000"/>
                <w:u w:color="000000"/>
              </w:rPr>
            </w:pPr>
            <w:r w:rsidRPr="00786F9E">
              <w:rPr>
                <w:color w:val="000000"/>
                <w:u w:color="000000"/>
              </w:rPr>
              <w:t>SD: 2.9×10</w:t>
            </w:r>
            <w:r w:rsidRPr="00AA3E24">
              <w:rPr>
                <w:snapToGrid w:val="0"/>
                <w:color w:val="000000"/>
                <w:position w:val="4"/>
                <w:sz w:val="11"/>
                <w:szCs w:val="0"/>
                <w:u w:color="000000"/>
              </w:rPr>
              <w:t>-3</w:t>
            </w:r>
          </w:p>
          <w:p w:rsidR="00AB0795" w:rsidRPr="00786F9E" w:rsidRDefault="00AB0795" w:rsidP="0058618D">
            <w:pPr>
              <w:pStyle w:val="table1"/>
              <w:rPr>
                <w:color w:val="000000"/>
                <w:u w:color="000000"/>
              </w:rPr>
            </w:pPr>
            <w:r w:rsidRPr="00786F9E">
              <w:rPr>
                <w:color w:val="000000"/>
                <w:u w:color="000000"/>
              </w:rPr>
              <w:t>N: 5</w:t>
            </w:r>
          </w:p>
        </w:tc>
        <w:tc>
          <w:tcPr>
            <w:tcW w:w="1342" w:type="dxa"/>
            <w:tcBorders>
              <w:top w:val="nil"/>
              <w:left w:val="nil"/>
              <w:bottom w:val="nil"/>
              <w:right w:val="nil"/>
            </w:tcBorders>
          </w:tcPr>
          <w:p w:rsidR="00AB0795" w:rsidRPr="00786F9E" w:rsidRDefault="00AB0795" w:rsidP="0058618D">
            <w:pPr>
              <w:pStyle w:val="table1"/>
              <w:rPr>
                <w:color w:val="000000"/>
                <w:u w:color="000000"/>
              </w:rPr>
            </w:pPr>
            <w:r w:rsidRPr="00786F9E">
              <w:rPr>
                <w:color w:val="000000"/>
                <w:u w:color="000000"/>
              </w:rPr>
              <w:t>AM: 9.7×10</w:t>
            </w:r>
            <w:r w:rsidRPr="00AA3E24">
              <w:rPr>
                <w:snapToGrid w:val="0"/>
                <w:color w:val="000000"/>
                <w:position w:val="4"/>
                <w:sz w:val="11"/>
                <w:szCs w:val="0"/>
                <w:u w:color="000000"/>
              </w:rPr>
              <w:t>-3</w:t>
            </w:r>
          </w:p>
          <w:p w:rsidR="00AB0795" w:rsidRPr="00786F9E" w:rsidRDefault="00AB0795" w:rsidP="0058618D">
            <w:pPr>
              <w:pStyle w:val="table1"/>
              <w:rPr>
                <w:color w:val="000000"/>
                <w:u w:color="000000"/>
              </w:rPr>
            </w:pPr>
            <w:r w:rsidRPr="00786F9E">
              <w:rPr>
                <w:color w:val="000000"/>
                <w:u w:color="000000"/>
              </w:rPr>
              <w:t>SD: na</w:t>
            </w:r>
          </w:p>
          <w:p w:rsidR="00AB0795" w:rsidRPr="00786F9E" w:rsidRDefault="00AB0795" w:rsidP="0058618D">
            <w:pPr>
              <w:pStyle w:val="table1"/>
              <w:rPr>
                <w:color w:val="000000"/>
                <w:u w:color="000000"/>
              </w:rPr>
            </w:pPr>
            <w:r w:rsidRPr="00786F9E">
              <w:rPr>
                <w:color w:val="000000"/>
                <w:u w:color="000000"/>
              </w:rPr>
              <w:t>N: 1</w:t>
            </w:r>
          </w:p>
        </w:tc>
        <w:tc>
          <w:tcPr>
            <w:tcW w:w="1343" w:type="dxa"/>
            <w:tcBorders>
              <w:top w:val="nil"/>
              <w:left w:val="nil"/>
              <w:bottom w:val="nil"/>
              <w:right w:val="nil"/>
            </w:tcBorders>
            <w:shd w:val="clear" w:color="auto" w:fill="D9D9D9" w:themeFill="background1" w:themeFillShade="D9"/>
          </w:tcPr>
          <w:p w:rsidR="00AB0795" w:rsidRPr="00786F9E" w:rsidRDefault="00AB0795" w:rsidP="0058618D">
            <w:pPr>
              <w:pStyle w:val="table1"/>
              <w:rPr>
                <w:color w:val="000000"/>
                <w:u w:color="000000"/>
              </w:rPr>
            </w:pPr>
            <w:r w:rsidRPr="00786F9E">
              <w:rPr>
                <w:color w:val="000000"/>
                <w:u w:color="000000"/>
              </w:rPr>
              <w:t>AM: 3.9×10</w:t>
            </w:r>
            <w:r w:rsidRPr="00AA3E24">
              <w:rPr>
                <w:snapToGrid w:val="0"/>
                <w:color w:val="000000"/>
                <w:position w:val="4"/>
                <w:sz w:val="11"/>
                <w:szCs w:val="0"/>
                <w:u w:color="000000"/>
              </w:rPr>
              <w:t>-4</w:t>
            </w:r>
          </w:p>
          <w:p w:rsidR="00AB0795" w:rsidRPr="00786F9E" w:rsidRDefault="00AB0795" w:rsidP="0058618D">
            <w:pPr>
              <w:pStyle w:val="table1"/>
              <w:rPr>
                <w:snapToGrid w:val="0"/>
                <w:color w:val="000000"/>
                <w:szCs w:val="0"/>
                <w:u w:color="000000"/>
              </w:rPr>
            </w:pPr>
            <w:r w:rsidRPr="00786F9E">
              <w:rPr>
                <w:color w:val="000000"/>
                <w:u w:color="000000"/>
              </w:rPr>
              <w:t>SD: 9.4×10</w:t>
            </w:r>
            <w:r w:rsidRPr="00AA3E24">
              <w:rPr>
                <w:snapToGrid w:val="0"/>
                <w:color w:val="000000"/>
                <w:position w:val="4"/>
                <w:sz w:val="11"/>
                <w:szCs w:val="0"/>
                <w:u w:color="000000"/>
              </w:rPr>
              <w:t>-5</w:t>
            </w:r>
          </w:p>
          <w:p w:rsidR="00AB0795" w:rsidRPr="00786F9E" w:rsidRDefault="00AB0795" w:rsidP="0058618D">
            <w:pPr>
              <w:pStyle w:val="table1"/>
              <w:rPr>
                <w:color w:val="000000"/>
                <w:u w:color="000000"/>
              </w:rPr>
            </w:pPr>
            <w:r w:rsidRPr="00786F9E">
              <w:rPr>
                <w:color w:val="000000"/>
                <w:u w:color="000000"/>
              </w:rPr>
              <w:t>N: 20</w:t>
            </w:r>
          </w:p>
        </w:tc>
        <w:tc>
          <w:tcPr>
            <w:tcW w:w="1343" w:type="dxa"/>
            <w:tcBorders>
              <w:top w:val="nil"/>
              <w:left w:val="nil"/>
              <w:bottom w:val="nil"/>
              <w:right w:val="nil"/>
            </w:tcBorders>
            <w:shd w:val="clear" w:color="auto" w:fill="D9D9D9" w:themeFill="background1" w:themeFillShade="D9"/>
          </w:tcPr>
          <w:p w:rsidR="00AB0795" w:rsidRPr="00786F9E" w:rsidRDefault="00AB0795" w:rsidP="0058618D">
            <w:pPr>
              <w:pStyle w:val="table1"/>
              <w:rPr>
                <w:snapToGrid w:val="0"/>
                <w:color w:val="000000"/>
                <w:szCs w:val="0"/>
                <w:u w:color="000000"/>
              </w:rPr>
            </w:pPr>
            <w:r w:rsidRPr="00786F9E">
              <w:rPr>
                <w:color w:val="000000"/>
                <w:u w:color="000000"/>
              </w:rPr>
              <w:t>AM: 5.0×10</w:t>
            </w:r>
            <w:r w:rsidRPr="00AA3E24">
              <w:rPr>
                <w:snapToGrid w:val="0"/>
                <w:color w:val="000000"/>
                <w:position w:val="4"/>
                <w:sz w:val="11"/>
                <w:szCs w:val="0"/>
                <w:u w:color="000000"/>
              </w:rPr>
              <w:t>-4</w:t>
            </w:r>
          </w:p>
          <w:p w:rsidR="00AB0795" w:rsidRPr="00786F9E" w:rsidRDefault="00AB0795" w:rsidP="0058618D">
            <w:pPr>
              <w:pStyle w:val="table1"/>
              <w:rPr>
                <w:color w:val="000000"/>
                <w:u w:color="000000"/>
              </w:rPr>
            </w:pPr>
            <w:r w:rsidRPr="00786F9E">
              <w:rPr>
                <w:color w:val="000000"/>
                <w:u w:color="000000"/>
              </w:rPr>
              <w:t>SD: 1.1×10</w:t>
            </w:r>
            <w:r w:rsidRPr="00AA3E24">
              <w:rPr>
                <w:snapToGrid w:val="0"/>
                <w:color w:val="000000"/>
                <w:position w:val="4"/>
                <w:sz w:val="11"/>
                <w:szCs w:val="0"/>
                <w:u w:color="000000"/>
              </w:rPr>
              <w:t>-4</w:t>
            </w:r>
          </w:p>
          <w:p w:rsidR="00AB0795" w:rsidRPr="00786F9E" w:rsidRDefault="00AB0795" w:rsidP="0058618D">
            <w:pPr>
              <w:pStyle w:val="table1"/>
              <w:rPr>
                <w:color w:val="000000"/>
                <w:u w:color="000000"/>
              </w:rPr>
            </w:pPr>
            <w:r w:rsidRPr="00786F9E">
              <w:rPr>
                <w:color w:val="000000"/>
                <w:u w:color="000000"/>
              </w:rPr>
              <w:t>N: 20</w:t>
            </w:r>
          </w:p>
        </w:tc>
      </w:tr>
      <w:tr w:rsidR="00AB0795" w:rsidTr="0058618D">
        <w:tc>
          <w:tcPr>
            <w:tcW w:w="1809" w:type="dxa"/>
            <w:tcBorders>
              <w:top w:val="nil"/>
              <w:left w:val="nil"/>
              <w:bottom w:val="nil"/>
              <w:right w:val="nil"/>
            </w:tcBorders>
          </w:tcPr>
          <w:p w:rsidR="00AB0795" w:rsidRPr="00786F9E" w:rsidRDefault="00AB0795" w:rsidP="0058618D">
            <w:pPr>
              <w:pStyle w:val="table1"/>
              <w:rPr>
                <w:color w:val="000000"/>
                <w:u w:color="000000"/>
              </w:rPr>
            </w:pPr>
            <w:r w:rsidRPr="00786F9E">
              <w:rPr>
                <w:color w:val="000000"/>
                <w:u w:color="000000"/>
              </w:rPr>
              <w:t>Spear grass</w:t>
            </w:r>
          </w:p>
        </w:tc>
        <w:tc>
          <w:tcPr>
            <w:tcW w:w="1342" w:type="dxa"/>
            <w:tcBorders>
              <w:top w:val="nil"/>
              <w:left w:val="nil"/>
              <w:bottom w:val="nil"/>
              <w:right w:val="nil"/>
            </w:tcBorders>
          </w:tcPr>
          <w:p w:rsidR="00AB0795" w:rsidRPr="00786F9E" w:rsidRDefault="00AB0795" w:rsidP="0058618D">
            <w:pPr>
              <w:pStyle w:val="table1"/>
              <w:rPr>
                <w:color w:val="000000"/>
                <w:u w:color="000000"/>
              </w:rPr>
            </w:pPr>
            <w:r w:rsidRPr="00786F9E">
              <w:rPr>
                <w:color w:val="000000"/>
                <w:u w:color="000000"/>
              </w:rPr>
              <w:t>AM: 2.4×10</w:t>
            </w:r>
            <w:r w:rsidRPr="00AA3E24">
              <w:rPr>
                <w:snapToGrid w:val="0"/>
                <w:color w:val="000000"/>
                <w:position w:val="4"/>
                <w:sz w:val="11"/>
                <w:szCs w:val="0"/>
                <w:u w:color="000000"/>
              </w:rPr>
              <w:t>-2</w:t>
            </w:r>
          </w:p>
          <w:p w:rsidR="00AB0795" w:rsidRPr="00786F9E" w:rsidRDefault="00AB0795" w:rsidP="0058618D">
            <w:pPr>
              <w:pStyle w:val="table1"/>
              <w:rPr>
                <w:color w:val="000000"/>
                <w:u w:color="000000"/>
              </w:rPr>
            </w:pPr>
            <w:r w:rsidRPr="00786F9E">
              <w:rPr>
                <w:color w:val="000000"/>
                <w:u w:color="000000"/>
              </w:rPr>
              <w:t>SD: na</w:t>
            </w:r>
          </w:p>
          <w:p w:rsidR="00AB0795" w:rsidRPr="00786F9E" w:rsidRDefault="00AB0795" w:rsidP="0058618D">
            <w:pPr>
              <w:pStyle w:val="table1"/>
              <w:rPr>
                <w:color w:val="000000"/>
                <w:u w:color="000000"/>
              </w:rPr>
            </w:pPr>
            <w:r w:rsidRPr="00786F9E">
              <w:rPr>
                <w:color w:val="000000"/>
                <w:u w:color="000000"/>
              </w:rPr>
              <w:t>N: 1</w:t>
            </w:r>
          </w:p>
        </w:tc>
        <w:tc>
          <w:tcPr>
            <w:tcW w:w="1343" w:type="dxa"/>
            <w:tcBorders>
              <w:top w:val="nil"/>
              <w:left w:val="nil"/>
              <w:bottom w:val="nil"/>
              <w:right w:val="nil"/>
            </w:tcBorders>
            <w:shd w:val="clear" w:color="auto" w:fill="D9D9D9" w:themeFill="background1" w:themeFillShade="D9"/>
          </w:tcPr>
          <w:p w:rsidR="00AB0795" w:rsidRPr="00786F9E" w:rsidRDefault="00AB0795" w:rsidP="0058618D">
            <w:pPr>
              <w:pStyle w:val="table1"/>
              <w:rPr>
                <w:color w:val="000000"/>
                <w:u w:color="000000"/>
              </w:rPr>
            </w:pPr>
            <w:r w:rsidRPr="00786F9E">
              <w:rPr>
                <w:color w:val="000000"/>
                <w:u w:color="000000"/>
              </w:rPr>
              <w:t>AM: 3.1×10</w:t>
            </w:r>
            <w:r w:rsidRPr="00AA3E24">
              <w:rPr>
                <w:snapToGrid w:val="0"/>
                <w:color w:val="000000"/>
                <w:position w:val="4"/>
                <w:sz w:val="11"/>
                <w:szCs w:val="0"/>
                <w:u w:color="000000"/>
              </w:rPr>
              <w:t>-1</w:t>
            </w:r>
          </w:p>
          <w:p w:rsidR="00AB0795" w:rsidRPr="00786F9E" w:rsidRDefault="00AB0795" w:rsidP="0058618D">
            <w:pPr>
              <w:pStyle w:val="table1"/>
              <w:rPr>
                <w:color w:val="000000"/>
                <w:u w:color="000000"/>
              </w:rPr>
            </w:pPr>
            <w:r w:rsidRPr="00786F9E">
              <w:rPr>
                <w:color w:val="000000"/>
                <w:u w:color="000000"/>
              </w:rPr>
              <w:t>SD: 4.9×10</w:t>
            </w:r>
            <w:r w:rsidRPr="00AA3E24">
              <w:rPr>
                <w:snapToGrid w:val="0"/>
                <w:color w:val="000000"/>
                <w:position w:val="4"/>
                <w:sz w:val="11"/>
                <w:szCs w:val="0"/>
                <w:u w:color="000000"/>
              </w:rPr>
              <w:t>-1</w:t>
            </w:r>
          </w:p>
          <w:p w:rsidR="00AB0795" w:rsidRPr="00786F9E" w:rsidRDefault="00AB0795" w:rsidP="0058618D">
            <w:pPr>
              <w:pStyle w:val="table1"/>
              <w:rPr>
                <w:color w:val="000000"/>
                <w:u w:color="000000"/>
              </w:rPr>
            </w:pPr>
            <w:r w:rsidRPr="00786F9E">
              <w:rPr>
                <w:color w:val="000000"/>
                <w:u w:color="000000"/>
              </w:rPr>
              <w:t>N: 71</w:t>
            </w:r>
          </w:p>
        </w:tc>
        <w:tc>
          <w:tcPr>
            <w:tcW w:w="1342" w:type="dxa"/>
            <w:tcBorders>
              <w:top w:val="nil"/>
              <w:left w:val="nil"/>
              <w:bottom w:val="nil"/>
              <w:right w:val="nil"/>
            </w:tcBorders>
          </w:tcPr>
          <w:p w:rsidR="00AB0795" w:rsidRPr="00786F9E" w:rsidRDefault="00AB0795" w:rsidP="0058618D">
            <w:pPr>
              <w:pStyle w:val="table1"/>
              <w:rPr>
                <w:color w:val="000000"/>
                <w:u w:color="000000"/>
              </w:rPr>
            </w:pPr>
            <w:r w:rsidRPr="00786F9E">
              <w:rPr>
                <w:color w:val="000000"/>
                <w:u w:color="000000"/>
              </w:rPr>
              <w:t>AM: 2.3×10</w:t>
            </w:r>
            <w:r w:rsidRPr="00AA3E24">
              <w:rPr>
                <w:snapToGrid w:val="0"/>
                <w:color w:val="000000"/>
                <w:position w:val="4"/>
                <w:sz w:val="11"/>
                <w:szCs w:val="0"/>
                <w:u w:color="000000"/>
              </w:rPr>
              <w:t>-3</w:t>
            </w:r>
          </w:p>
          <w:p w:rsidR="00AB0795" w:rsidRPr="00786F9E" w:rsidRDefault="00AB0795" w:rsidP="0058618D">
            <w:pPr>
              <w:pStyle w:val="table1"/>
              <w:rPr>
                <w:color w:val="000000"/>
                <w:u w:color="000000"/>
              </w:rPr>
            </w:pPr>
            <w:r w:rsidRPr="00786F9E">
              <w:rPr>
                <w:color w:val="000000"/>
                <w:u w:color="000000"/>
              </w:rPr>
              <w:t>SD: na</w:t>
            </w:r>
          </w:p>
          <w:p w:rsidR="00AB0795" w:rsidRPr="00786F9E" w:rsidRDefault="00AB0795" w:rsidP="0058618D">
            <w:pPr>
              <w:pStyle w:val="table1"/>
              <w:rPr>
                <w:color w:val="000000"/>
                <w:u w:color="000000"/>
              </w:rPr>
            </w:pPr>
            <w:r w:rsidRPr="00786F9E">
              <w:rPr>
                <w:color w:val="000000"/>
                <w:u w:color="000000"/>
              </w:rPr>
              <w:t>N: 1</w:t>
            </w:r>
          </w:p>
        </w:tc>
        <w:tc>
          <w:tcPr>
            <w:tcW w:w="1343" w:type="dxa"/>
            <w:tcBorders>
              <w:top w:val="nil"/>
              <w:left w:val="nil"/>
              <w:bottom w:val="nil"/>
              <w:right w:val="nil"/>
            </w:tcBorders>
          </w:tcPr>
          <w:p w:rsidR="00AB0795" w:rsidRPr="00786F9E" w:rsidRDefault="00AB0795" w:rsidP="0058618D">
            <w:pPr>
              <w:pStyle w:val="table1"/>
              <w:rPr>
                <w:color w:val="000000"/>
                <w:u w:color="000000"/>
              </w:rPr>
            </w:pPr>
            <w:r w:rsidRPr="00786F9E">
              <w:rPr>
                <w:color w:val="000000"/>
                <w:u w:color="000000"/>
              </w:rPr>
              <w:t>AM: 2.3×10</w:t>
            </w:r>
            <w:r w:rsidRPr="00AA3E24">
              <w:rPr>
                <w:snapToGrid w:val="0"/>
                <w:color w:val="000000"/>
                <w:position w:val="4"/>
                <w:sz w:val="11"/>
                <w:szCs w:val="0"/>
                <w:u w:color="000000"/>
              </w:rPr>
              <w:t>-4</w:t>
            </w:r>
          </w:p>
          <w:p w:rsidR="00AB0795" w:rsidRPr="00786F9E" w:rsidRDefault="00AB0795" w:rsidP="0058618D">
            <w:pPr>
              <w:pStyle w:val="table1"/>
              <w:rPr>
                <w:color w:val="000000"/>
                <w:u w:color="000000"/>
              </w:rPr>
            </w:pPr>
            <w:r w:rsidRPr="00786F9E">
              <w:rPr>
                <w:color w:val="000000"/>
                <w:u w:color="000000"/>
              </w:rPr>
              <w:t>SD: na</w:t>
            </w:r>
          </w:p>
          <w:p w:rsidR="00AB0795" w:rsidRPr="00786F9E" w:rsidRDefault="00AB0795" w:rsidP="0058618D">
            <w:pPr>
              <w:pStyle w:val="table1"/>
              <w:rPr>
                <w:color w:val="000000"/>
                <w:u w:color="000000"/>
              </w:rPr>
            </w:pPr>
            <w:r w:rsidRPr="00786F9E">
              <w:rPr>
                <w:color w:val="000000"/>
                <w:u w:color="000000"/>
              </w:rPr>
              <w:t>N: 1</w:t>
            </w:r>
          </w:p>
        </w:tc>
        <w:tc>
          <w:tcPr>
            <w:tcW w:w="1343" w:type="dxa"/>
            <w:tcBorders>
              <w:top w:val="nil"/>
              <w:left w:val="nil"/>
              <w:bottom w:val="nil"/>
              <w:right w:val="nil"/>
            </w:tcBorders>
          </w:tcPr>
          <w:p w:rsidR="00AB0795" w:rsidRPr="00786F9E" w:rsidRDefault="00AB0795" w:rsidP="0058618D">
            <w:pPr>
              <w:pStyle w:val="table1"/>
              <w:rPr>
                <w:color w:val="000000"/>
                <w:u w:color="000000"/>
              </w:rPr>
            </w:pPr>
            <w:r w:rsidRPr="00786F9E">
              <w:rPr>
                <w:color w:val="000000"/>
                <w:u w:color="000000"/>
              </w:rPr>
              <w:t>AM: 3.5×10</w:t>
            </w:r>
            <w:r w:rsidRPr="00AA3E24">
              <w:rPr>
                <w:snapToGrid w:val="0"/>
                <w:color w:val="000000"/>
                <w:position w:val="4"/>
                <w:sz w:val="11"/>
                <w:szCs w:val="0"/>
                <w:u w:color="000000"/>
              </w:rPr>
              <w:t>-4</w:t>
            </w:r>
          </w:p>
          <w:p w:rsidR="00AB0795" w:rsidRPr="00786F9E" w:rsidRDefault="00AB0795" w:rsidP="0058618D">
            <w:pPr>
              <w:pStyle w:val="table1"/>
              <w:rPr>
                <w:color w:val="000000"/>
                <w:u w:color="000000"/>
              </w:rPr>
            </w:pPr>
            <w:r w:rsidRPr="00786F9E">
              <w:rPr>
                <w:color w:val="000000"/>
                <w:u w:color="000000"/>
              </w:rPr>
              <w:t>SD: na</w:t>
            </w:r>
          </w:p>
          <w:p w:rsidR="00AB0795" w:rsidRPr="00786F9E" w:rsidRDefault="00AB0795" w:rsidP="0058618D">
            <w:pPr>
              <w:pStyle w:val="table1"/>
              <w:rPr>
                <w:color w:val="000000"/>
                <w:u w:color="000000"/>
              </w:rPr>
            </w:pPr>
            <w:r w:rsidRPr="00786F9E">
              <w:rPr>
                <w:color w:val="000000"/>
                <w:u w:color="000000"/>
              </w:rPr>
              <w:t>N: 1</w:t>
            </w:r>
          </w:p>
        </w:tc>
      </w:tr>
      <w:tr w:rsidR="00AB0795" w:rsidTr="0058618D">
        <w:tc>
          <w:tcPr>
            <w:tcW w:w="1809" w:type="dxa"/>
            <w:tcBorders>
              <w:top w:val="nil"/>
              <w:left w:val="nil"/>
              <w:bottom w:val="nil"/>
              <w:right w:val="nil"/>
            </w:tcBorders>
          </w:tcPr>
          <w:p w:rsidR="00AB0795" w:rsidRPr="00786F9E" w:rsidRDefault="00AB0795" w:rsidP="0058618D">
            <w:pPr>
              <w:pStyle w:val="table1"/>
              <w:rPr>
                <w:color w:val="000000"/>
                <w:u w:color="000000"/>
              </w:rPr>
            </w:pPr>
            <w:r w:rsidRPr="00786F9E">
              <w:rPr>
                <w:color w:val="000000"/>
                <w:u w:color="000000"/>
              </w:rPr>
              <w:t>Green ant</w:t>
            </w:r>
          </w:p>
        </w:tc>
        <w:tc>
          <w:tcPr>
            <w:tcW w:w="1342" w:type="dxa"/>
            <w:tcBorders>
              <w:top w:val="nil"/>
              <w:left w:val="nil"/>
              <w:bottom w:val="nil"/>
              <w:right w:val="nil"/>
            </w:tcBorders>
            <w:shd w:val="clear" w:color="auto" w:fill="D9D9D9" w:themeFill="background1" w:themeFillShade="D9"/>
          </w:tcPr>
          <w:p w:rsidR="00AB0795" w:rsidRPr="00786F9E" w:rsidRDefault="00AB0795" w:rsidP="0058618D">
            <w:pPr>
              <w:pStyle w:val="table1"/>
              <w:rPr>
                <w:color w:val="000000"/>
                <w:u w:color="000000"/>
              </w:rPr>
            </w:pPr>
            <w:r w:rsidRPr="00786F9E">
              <w:rPr>
                <w:color w:val="000000"/>
                <w:u w:color="000000"/>
              </w:rPr>
              <w:t>AM: 4.0×10</w:t>
            </w:r>
            <w:r w:rsidRPr="00AA3E24">
              <w:rPr>
                <w:snapToGrid w:val="0"/>
                <w:color w:val="000000"/>
                <w:position w:val="4"/>
                <w:sz w:val="11"/>
                <w:szCs w:val="0"/>
                <w:u w:color="000000"/>
              </w:rPr>
              <w:t>-1</w:t>
            </w:r>
          </w:p>
          <w:p w:rsidR="00AB0795" w:rsidRPr="00786F9E" w:rsidRDefault="00AB0795" w:rsidP="0058618D">
            <w:pPr>
              <w:pStyle w:val="table1"/>
              <w:rPr>
                <w:color w:val="000000"/>
                <w:u w:color="000000"/>
              </w:rPr>
            </w:pPr>
            <w:r w:rsidRPr="00786F9E">
              <w:rPr>
                <w:color w:val="000000"/>
                <w:u w:color="000000"/>
              </w:rPr>
              <w:t>SD: 4.7×10</w:t>
            </w:r>
            <w:r w:rsidRPr="00AA3E24">
              <w:rPr>
                <w:snapToGrid w:val="0"/>
                <w:color w:val="000000"/>
                <w:position w:val="4"/>
                <w:sz w:val="11"/>
                <w:szCs w:val="0"/>
                <w:u w:color="000000"/>
              </w:rPr>
              <w:t>-1</w:t>
            </w:r>
          </w:p>
          <w:p w:rsidR="00AB0795" w:rsidRPr="00786F9E" w:rsidRDefault="00AB0795" w:rsidP="0058618D">
            <w:pPr>
              <w:pStyle w:val="table1"/>
              <w:rPr>
                <w:color w:val="000000"/>
                <w:u w:color="000000"/>
              </w:rPr>
            </w:pPr>
            <w:r w:rsidRPr="00786F9E">
              <w:rPr>
                <w:color w:val="000000"/>
                <w:u w:color="000000"/>
              </w:rPr>
              <w:t>N: 561</w:t>
            </w:r>
          </w:p>
        </w:tc>
        <w:tc>
          <w:tcPr>
            <w:tcW w:w="1343" w:type="dxa"/>
            <w:tcBorders>
              <w:top w:val="nil"/>
              <w:left w:val="nil"/>
              <w:bottom w:val="nil"/>
              <w:right w:val="nil"/>
            </w:tcBorders>
            <w:shd w:val="clear" w:color="auto" w:fill="A6A6A6" w:themeFill="background1" w:themeFillShade="A6"/>
          </w:tcPr>
          <w:p w:rsidR="00AB0795" w:rsidRPr="00786F9E" w:rsidRDefault="00AB0795" w:rsidP="0058618D">
            <w:pPr>
              <w:pStyle w:val="table1"/>
              <w:rPr>
                <w:color w:val="000000"/>
                <w:u w:color="000000"/>
              </w:rPr>
            </w:pPr>
            <w:r w:rsidRPr="00786F9E">
              <w:rPr>
                <w:color w:val="000000"/>
                <w:u w:color="000000"/>
              </w:rPr>
              <w:t>AM: 2.8×10</w:t>
            </w:r>
            <w:r w:rsidRPr="00AA3E24">
              <w:rPr>
                <w:snapToGrid w:val="0"/>
                <w:color w:val="000000"/>
                <w:position w:val="4"/>
                <w:sz w:val="11"/>
                <w:szCs w:val="0"/>
                <w:u w:color="000000"/>
              </w:rPr>
              <w:t>-3</w:t>
            </w:r>
          </w:p>
          <w:p w:rsidR="00AB0795" w:rsidRPr="00786F9E" w:rsidRDefault="00AB0795" w:rsidP="0058618D">
            <w:pPr>
              <w:pStyle w:val="table1"/>
              <w:rPr>
                <w:color w:val="000000"/>
                <w:u w:color="000000"/>
              </w:rPr>
            </w:pPr>
            <w:r w:rsidRPr="00786F9E">
              <w:rPr>
                <w:color w:val="000000"/>
                <w:u w:color="000000"/>
              </w:rPr>
              <w:t>SD: na</w:t>
            </w:r>
          </w:p>
          <w:p w:rsidR="00AB0795" w:rsidRPr="00786F9E" w:rsidRDefault="00AB0795" w:rsidP="0058618D">
            <w:pPr>
              <w:pStyle w:val="table1"/>
              <w:rPr>
                <w:color w:val="000000"/>
                <w:u w:color="000000"/>
              </w:rPr>
            </w:pPr>
            <w:r w:rsidRPr="00786F9E">
              <w:rPr>
                <w:color w:val="000000"/>
                <w:u w:color="000000"/>
              </w:rPr>
              <w:t>N: na</w:t>
            </w:r>
          </w:p>
        </w:tc>
        <w:tc>
          <w:tcPr>
            <w:tcW w:w="1342" w:type="dxa"/>
            <w:tcBorders>
              <w:top w:val="nil"/>
              <w:left w:val="nil"/>
              <w:bottom w:val="nil"/>
              <w:right w:val="nil"/>
            </w:tcBorders>
            <w:shd w:val="clear" w:color="auto" w:fill="D9D9D9" w:themeFill="background1" w:themeFillShade="D9"/>
          </w:tcPr>
          <w:p w:rsidR="00AB0795" w:rsidRPr="00786F9E" w:rsidRDefault="00AB0795" w:rsidP="0058618D">
            <w:pPr>
              <w:pStyle w:val="table1"/>
              <w:rPr>
                <w:color w:val="000000"/>
                <w:u w:color="000000"/>
              </w:rPr>
            </w:pPr>
            <w:r w:rsidRPr="00786F9E">
              <w:rPr>
                <w:color w:val="000000"/>
                <w:u w:color="000000"/>
              </w:rPr>
              <w:t>AM: 6.1×10</w:t>
            </w:r>
            <w:r w:rsidRPr="00AA3E24">
              <w:rPr>
                <w:snapToGrid w:val="0"/>
                <w:color w:val="000000"/>
                <w:position w:val="4"/>
                <w:sz w:val="11"/>
                <w:szCs w:val="0"/>
                <w:u w:color="000000"/>
              </w:rPr>
              <w:t>-2</w:t>
            </w:r>
          </w:p>
          <w:p w:rsidR="00AB0795" w:rsidRPr="00786F9E" w:rsidRDefault="00AB0795" w:rsidP="0058618D">
            <w:pPr>
              <w:pStyle w:val="table1"/>
              <w:rPr>
                <w:color w:val="000000"/>
                <w:u w:color="000000"/>
              </w:rPr>
            </w:pPr>
            <w:r w:rsidRPr="00786F9E">
              <w:rPr>
                <w:color w:val="000000"/>
                <w:u w:color="000000"/>
              </w:rPr>
              <w:t>SD: 2.8×10</w:t>
            </w:r>
            <w:r w:rsidRPr="00AA3E24">
              <w:rPr>
                <w:snapToGrid w:val="0"/>
                <w:color w:val="000000"/>
                <w:position w:val="4"/>
                <w:sz w:val="11"/>
                <w:szCs w:val="0"/>
                <w:u w:color="000000"/>
              </w:rPr>
              <w:t>-2</w:t>
            </w:r>
          </w:p>
          <w:p w:rsidR="00AB0795" w:rsidRPr="00786F9E" w:rsidRDefault="00AB0795" w:rsidP="0058618D">
            <w:pPr>
              <w:pStyle w:val="table1"/>
              <w:rPr>
                <w:color w:val="000000"/>
                <w:u w:color="000000"/>
              </w:rPr>
            </w:pPr>
            <w:r w:rsidRPr="00786F9E">
              <w:rPr>
                <w:color w:val="000000"/>
                <w:u w:color="000000"/>
              </w:rPr>
              <w:t>N: 7</w:t>
            </w:r>
          </w:p>
        </w:tc>
        <w:tc>
          <w:tcPr>
            <w:tcW w:w="1343" w:type="dxa"/>
            <w:tcBorders>
              <w:top w:val="nil"/>
              <w:left w:val="nil"/>
              <w:bottom w:val="nil"/>
              <w:right w:val="nil"/>
            </w:tcBorders>
            <w:shd w:val="clear" w:color="auto" w:fill="D9D9D9" w:themeFill="background1" w:themeFillShade="D9"/>
          </w:tcPr>
          <w:p w:rsidR="00AB0795" w:rsidRPr="00786F9E" w:rsidRDefault="00AB0795" w:rsidP="0058618D">
            <w:pPr>
              <w:pStyle w:val="table1"/>
              <w:rPr>
                <w:color w:val="000000"/>
                <w:u w:color="000000"/>
              </w:rPr>
            </w:pPr>
            <w:r w:rsidRPr="00786F9E">
              <w:rPr>
                <w:color w:val="000000"/>
                <w:u w:color="000000"/>
              </w:rPr>
              <w:t>AM: 1.8×10</w:t>
            </w:r>
            <w:r w:rsidRPr="00AA3E24">
              <w:rPr>
                <w:snapToGrid w:val="0"/>
                <w:color w:val="000000"/>
                <w:position w:val="4"/>
                <w:sz w:val="11"/>
                <w:szCs w:val="0"/>
                <w:u w:color="000000"/>
              </w:rPr>
              <w:t>-2</w:t>
            </w:r>
          </w:p>
          <w:p w:rsidR="00AB0795" w:rsidRPr="00786F9E" w:rsidRDefault="00AB0795" w:rsidP="0058618D">
            <w:pPr>
              <w:pStyle w:val="table1"/>
              <w:rPr>
                <w:color w:val="000000"/>
                <w:u w:color="000000"/>
              </w:rPr>
            </w:pPr>
            <w:r w:rsidRPr="00786F9E">
              <w:rPr>
                <w:color w:val="000000"/>
                <w:u w:color="000000"/>
              </w:rPr>
              <w:t>SD: 5.0×10</w:t>
            </w:r>
            <w:r w:rsidRPr="00AA3E24">
              <w:rPr>
                <w:snapToGrid w:val="0"/>
                <w:color w:val="000000"/>
                <w:position w:val="4"/>
                <w:sz w:val="11"/>
                <w:szCs w:val="0"/>
                <w:u w:color="000000"/>
              </w:rPr>
              <w:t>-3</w:t>
            </w:r>
          </w:p>
          <w:p w:rsidR="00AB0795" w:rsidRPr="00786F9E" w:rsidRDefault="00AB0795" w:rsidP="0058618D">
            <w:pPr>
              <w:pStyle w:val="table1"/>
              <w:rPr>
                <w:color w:val="000000"/>
                <w:u w:color="000000"/>
              </w:rPr>
            </w:pPr>
            <w:r w:rsidRPr="00786F9E">
              <w:rPr>
                <w:color w:val="000000"/>
                <w:u w:color="000000"/>
              </w:rPr>
              <w:t>N: 4</w:t>
            </w:r>
          </w:p>
        </w:tc>
        <w:tc>
          <w:tcPr>
            <w:tcW w:w="1343" w:type="dxa"/>
            <w:tcBorders>
              <w:top w:val="nil"/>
              <w:left w:val="nil"/>
              <w:bottom w:val="nil"/>
              <w:right w:val="nil"/>
            </w:tcBorders>
            <w:shd w:val="clear" w:color="auto" w:fill="D9D9D9" w:themeFill="background1" w:themeFillShade="D9"/>
          </w:tcPr>
          <w:p w:rsidR="00AB0795" w:rsidRPr="00786F9E" w:rsidRDefault="00AB0795" w:rsidP="0058618D">
            <w:pPr>
              <w:pStyle w:val="table1"/>
              <w:rPr>
                <w:color w:val="000000"/>
                <w:u w:color="000000"/>
              </w:rPr>
            </w:pPr>
            <w:r w:rsidRPr="00786F9E">
              <w:rPr>
                <w:color w:val="000000"/>
                <w:u w:color="000000"/>
              </w:rPr>
              <w:t>AM: 1.8×10</w:t>
            </w:r>
            <w:r w:rsidRPr="00AA3E24">
              <w:rPr>
                <w:snapToGrid w:val="0"/>
                <w:color w:val="000000"/>
                <w:position w:val="4"/>
                <w:sz w:val="11"/>
                <w:szCs w:val="0"/>
                <w:u w:color="000000"/>
              </w:rPr>
              <w:t>-2</w:t>
            </w:r>
          </w:p>
          <w:p w:rsidR="00AB0795" w:rsidRPr="00786F9E" w:rsidRDefault="00AB0795" w:rsidP="0058618D">
            <w:pPr>
              <w:pStyle w:val="table1"/>
              <w:rPr>
                <w:color w:val="000000"/>
                <w:u w:color="000000"/>
              </w:rPr>
            </w:pPr>
            <w:r w:rsidRPr="00786F9E">
              <w:rPr>
                <w:color w:val="000000"/>
                <w:u w:color="000000"/>
              </w:rPr>
              <w:t>SD: 5.0×10</w:t>
            </w:r>
            <w:r w:rsidRPr="00AA3E24">
              <w:rPr>
                <w:snapToGrid w:val="0"/>
                <w:color w:val="000000"/>
                <w:position w:val="4"/>
                <w:sz w:val="11"/>
                <w:szCs w:val="0"/>
                <w:u w:color="000000"/>
              </w:rPr>
              <w:t>-3</w:t>
            </w:r>
          </w:p>
          <w:p w:rsidR="00AB0795" w:rsidRPr="00786F9E" w:rsidRDefault="00AB0795" w:rsidP="0058618D">
            <w:pPr>
              <w:pStyle w:val="table1"/>
              <w:rPr>
                <w:color w:val="000000"/>
                <w:u w:color="000000"/>
              </w:rPr>
            </w:pPr>
            <w:r w:rsidRPr="00786F9E">
              <w:rPr>
                <w:color w:val="000000"/>
                <w:u w:color="000000"/>
              </w:rPr>
              <w:t>N: 4</w:t>
            </w:r>
          </w:p>
        </w:tc>
      </w:tr>
      <w:tr w:rsidR="00AB0795" w:rsidTr="0058618D">
        <w:tc>
          <w:tcPr>
            <w:tcW w:w="1809" w:type="dxa"/>
            <w:tcBorders>
              <w:top w:val="nil"/>
              <w:left w:val="nil"/>
              <w:bottom w:val="nil"/>
              <w:right w:val="nil"/>
            </w:tcBorders>
          </w:tcPr>
          <w:p w:rsidR="00AB0795" w:rsidRPr="00786F9E" w:rsidRDefault="00AB0795" w:rsidP="0058618D">
            <w:pPr>
              <w:pStyle w:val="table1"/>
              <w:rPr>
                <w:color w:val="000000"/>
                <w:u w:color="000000"/>
              </w:rPr>
            </w:pPr>
            <w:r w:rsidRPr="00786F9E">
              <w:rPr>
                <w:color w:val="000000"/>
                <w:u w:color="000000"/>
              </w:rPr>
              <w:t>Sand goanna</w:t>
            </w:r>
          </w:p>
        </w:tc>
        <w:tc>
          <w:tcPr>
            <w:tcW w:w="1342" w:type="dxa"/>
            <w:tcBorders>
              <w:top w:val="nil"/>
              <w:left w:val="nil"/>
              <w:bottom w:val="nil"/>
              <w:right w:val="nil"/>
            </w:tcBorders>
          </w:tcPr>
          <w:p w:rsidR="00AB0795" w:rsidRPr="00786F9E" w:rsidRDefault="00AB0795" w:rsidP="0058618D">
            <w:pPr>
              <w:pStyle w:val="table1"/>
              <w:rPr>
                <w:color w:val="000000"/>
                <w:u w:color="000000"/>
              </w:rPr>
            </w:pPr>
            <w:r w:rsidRPr="00786F9E">
              <w:rPr>
                <w:color w:val="000000"/>
                <w:u w:color="000000"/>
              </w:rPr>
              <w:t>AM: 2.8×10</w:t>
            </w:r>
            <w:r w:rsidRPr="00AA3E24">
              <w:rPr>
                <w:snapToGrid w:val="0"/>
                <w:color w:val="000000"/>
                <w:position w:val="4"/>
                <w:sz w:val="11"/>
                <w:szCs w:val="0"/>
                <w:u w:color="000000"/>
              </w:rPr>
              <w:t>-2</w:t>
            </w:r>
          </w:p>
          <w:p w:rsidR="00AB0795" w:rsidRPr="00786F9E" w:rsidRDefault="00AB0795" w:rsidP="0058618D">
            <w:pPr>
              <w:pStyle w:val="table1"/>
              <w:rPr>
                <w:color w:val="000000"/>
                <w:u w:color="000000"/>
              </w:rPr>
            </w:pPr>
            <w:r w:rsidRPr="00786F9E">
              <w:rPr>
                <w:color w:val="000000"/>
                <w:u w:color="000000"/>
              </w:rPr>
              <w:t>SD: 1.9×10</w:t>
            </w:r>
            <w:r w:rsidRPr="00AA3E24">
              <w:rPr>
                <w:snapToGrid w:val="0"/>
                <w:color w:val="000000"/>
                <w:position w:val="4"/>
                <w:sz w:val="11"/>
                <w:szCs w:val="0"/>
                <w:u w:color="000000"/>
              </w:rPr>
              <w:t>-2</w:t>
            </w:r>
          </w:p>
          <w:p w:rsidR="00AB0795" w:rsidRPr="00786F9E" w:rsidRDefault="00AB0795" w:rsidP="0058618D">
            <w:pPr>
              <w:pStyle w:val="table1"/>
              <w:rPr>
                <w:color w:val="000000"/>
                <w:u w:color="000000"/>
              </w:rPr>
            </w:pPr>
            <w:r w:rsidRPr="00786F9E">
              <w:rPr>
                <w:color w:val="000000"/>
                <w:u w:color="000000"/>
              </w:rPr>
              <w:t>N: 2</w:t>
            </w:r>
          </w:p>
        </w:tc>
        <w:tc>
          <w:tcPr>
            <w:tcW w:w="1343" w:type="dxa"/>
            <w:tcBorders>
              <w:top w:val="nil"/>
              <w:left w:val="nil"/>
              <w:bottom w:val="nil"/>
              <w:right w:val="nil"/>
            </w:tcBorders>
          </w:tcPr>
          <w:p w:rsidR="00AB0795" w:rsidRPr="00786F9E" w:rsidRDefault="00AB0795" w:rsidP="0058618D">
            <w:pPr>
              <w:pStyle w:val="table1"/>
              <w:rPr>
                <w:color w:val="000000"/>
                <w:u w:color="000000"/>
              </w:rPr>
            </w:pPr>
            <w:r w:rsidRPr="00786F9E">
              <w:rPr>
                <w:color w:val="000000"/>
                <w:u w:color="000000"/>
              </w:rPr>
              <w:t>AM: 2.4×10</w:t>
            </w:r>
            <w:r w:rsidRPr="00AA3E24">
              <w:rPr>
                <w:snapToGrid w:val="0"/>
                <w:color w:val="000000"/>
                <w:position w:val="4"/>
                <w:sz w:val="11"/>
                <w:szCs w:val="0"/>
                <w:u w:color="000000"/>
              </w:rPr>
              <w:t>-1</w:t>
            </w:r>
          </w:p>
          <w:p w:rsidR="00AB0795" w:rsidRPr="00786F9E" w:rsidRDefault="00AB0795" w:rsidP="0058618D">
            <w:pPr>
              <w:pStyle w:val="table1"/>
              <w:rPr>
                <w:color w:val="000000"/>
                <w:u w:color="000000"/>
              </w:rPr>
            </w:pPr>
            <w:r w:rsidRPr="00786F9E">
              <w:rPr>
                <w:color w:val="000000"/>
                <w:u w:color="000000"/>
              </w:rPr>
              <w:t>SD: 1.5×10</w:t>
            </w:r>
            <w:r w:rsidRPr="00AA3E24">
              <w:rPr>
                <w:snapToGrid w:val="0"/>
                <w:color w:val="000000"/>
                <w:position w:val="4"/>
                <w:sz w:val="11"/>
                <w:szCs w:val="0"/>
                <w:u w:color="000000"/>
              </w:rPr>
              <w:t>-1</w:t>
            </w:r>
          </w:p>
          <w:p w:rsidR="00AB0795" w:rsidRPr="00786F9E" w:rsidRDefault="00AB0795" w:rsidP="0058618D">
            <w:pPr>
              <w:pStyle w:val="table1"/>
              <w:rPr>
                <w:color w:val="000000"/>
                <w:u w:color="000000"/>
              </w:rPr>
            </w:pPr>
            <w:r w:rsidRPr="00786F9E">
              <w:rPr>
                <w:color w:val="000000"/>
                <w:u w:color="000000"/>
              </w:rPr>
              <w:t>N: 2</w:t>
            </w:r>
          </w:p>
        </w:tc>
        <w:tc>
          <w:tcPr>
            <w:tcW w:w="1342" w:type="dxa"/>
            <w:tcBorders>
              <w:top w:val="nil"/>
              <w:left w:val="nil"/>
              <w:bottom w:val="nil"/>
              <w:right w:val="nil"/>
            </w:tcBorders>
          </w:tcPr>
          <w:p w:rsidR="00AB0795" w:rsidRPr="00786F9E" w:rsidRDefault="00AB0795" w:rsidP="0058618D">
            <w:pPr>
              <w:pStyle w:val="table1"/>
              <w:rPr>
                <w:color w:val="000000"/>
                <w:u w:color="000000"/>
              </w:rPr>
            </w:pPr>
            <w:r w:rsidRPr="00786F9E">
              <w:rPr>
                <w:color w:val="000000"/>
                <w:u w:color="000000"/>
              </w:rPr>
              <w:t>AM: 7.6×10</w:t>
            </w:r>
            <w:r w:rsidRPr="00AA3E24">
              <w:rPr>
                <w:snapToGrid w:val="0"/>
                <w:color w:val="000000"/>
                <w:position w:val="4"/>
                <w:sz w:val="11"/>
                <w:szCs w:val="0"/>
                <w:u w:color="000000"/>
              </w:rPr>
              <w:t>-2</w:t>
            </w:r>
          </w:p>
          <w:p w:rsidR="00AB0795" w:rsidRPr="00786F9E" w:rsidRDefault="00AB0795" w:rsidP="0058618D">
            <w:pPr>
              <w:pStyle w:val="table1"/>
              <w:rPr>
                <w:color w:val="000000"/>
                <w:u w:color="000000"/>
              </w:rPr>
            </w:pPr>
            <w:r w:rsidRPr="00786F9E">
              <w:rPr>
                <w:color w:val="000000"/>
                <w:u w:color="000000"/>
              </w:rPr>
              <w:t>SD: 6.1×10</w:t>
            </w:r>
            <w:r w:rsidRPr="00AA3E24">
              <w:rPr>
                <w:snapToGrid w:val="0"/>
                <w:color w:val="000000"/>
                <w:position w:val="4"/>
                <w:sz w:val="11"/>
                <w:szCs w:val="0"/>
                <w:u w:color="000000"/>
              </w:rPr>
              <w:t>-2</w:t>
            </w:r>
          </w:p>
          <w:p w:rsidR="00AB0795" w:rsidRPr="00786F9E" w:rsidRDefault="00AB0795" w:rsidP="0058618D">
            <w:pPr>
              <w:pStyle w:val="table1"/>
              <w:rPr>
                <w:color w:val="000000"/>
                <w:u w:color="000000"/>
              </w:rPr>
            </w:pPr>
            <w:r w:rsidRPr="00786F9E">
              <w:rPr>
                <w:color w:val="000000"/>
                <w:u w:color="000000"/>
              </w:rPr>
              <w:t>N: 2</w:t>
            </w:r>
          </w:p>
        </w:tc>
        <w:tc>
          <w:tcPr>
            <w:tcW w:w="1343" w:type="dxa"/>
            <w:tcBorders>
              <w:top w:val="nil"/>
              <w:left w:val="nil"/>
              <w:bottom w:val="nil"/>
              <w:right w:val="nil"/>
            </w:tcBorders>
          </w:tcPr>
          <w:p w:rsidR="00AB0795" w:rsidRPr="00786F9E" w:rsidRDefault="00AB0795" w:rsidP="0058618D">
            <w:pPr>
              <w:pStyle w:val="table1"/>
              <w:rPr>
                <w:color w:val="000000"/>
                <w:u w:color="000000"/>
              </w:rPr>
            </w:pPr>
            <w:r w:rsidRPr="00786F9E">
              <w:rPr>
                <w:color w:val="000000"/>
                <w:u w:color="000000"/>
              </w:rPr>
              <w:t>AM: 1.7×10</w:t>
            </w:r>
            <w:r w:rsidRPr="00AA3E24">
              <w:rPr>
                <w:snapToGrid w:val="0"/>
                <w:color w:val="000000"/>
                <w:position w:val="4"/>
                <w:sz w:val="11"/>
                <w:szCs w:val="0"/>
                <w:u w:color="000000"/>
              </w:rPr>
              <w:t>-3</w:t>
            </w:r>
          </w:p>
          <w:p w:rsidR="00AB0795" w:rsidRPr="00786F9E" w:rsidRDefault="00AB0795" w:rsidP="0058618D">
            <w:pPr>
              <w:pStyle w:val="table1"/>
              <w:rPr>
                <w:color w:val="000000"/>
                <w:u w:color="000000"/>
              </w:rPr>
            </w:pPr>
            <w:r w:rsidRPr="00786F9E">
              <w:rPr>
                <w:color w:val="000000"/>
                <w:u w:color="000000"/>
              </w:rPr>
              <w:t>SD: 1.1×10</w:t>
            </w:r>
            <w:r w:rsidRPr="00AA3E24">
              <w:rPr>
                <w:snapToGrid w:val="0"/>
                <w:color w:val="000000"/>
                <w:position w:val="4"/>
                <w:sz w:val="11"/>
                <w:szCs w:val="0"/>
                <w:u w:color="000000"/>
              </w:rPr>
              <w:t>-3</w:t>
            </w:r>
          </w:p>
          <w:p w:rsidR="00AB0795" w:rsidRPr="00786F9E" w:rsidRDefault="00AB0795" w:rsidP="0058618D">
            <w:pPr>
              <w:pStyle w:val="table1"/>
              <w:rPr>
                <w:color w:val="000000"/>
                <w:u w:color="000000"/>
              </w:rPr>
            </w:pPr>
            <w:r w:rsidRPr="00786F9E">
              <w:rPr>
                <w:color w:val="000000"/>
                <w:u w:color="000000"/>
              </w:rPr>
              <w:t>N: 3</w:t>
            </w:r>
          </w:p>
        </w:tc>
        <w:tc>
          <w:tcPr>
            <w:tcW w:w="1343" w:type="dxa"/>
            <w:tcBorders>
              <w:top w:val="nil"/>
              <w:left w:val="nil"/>
              <w:bottom w:val="nil"/>
              <w:right w:val="nil"/>
            </w:tcBorders>
          </w:tcPr>
          <w:p w:rsidR="00AB0795" w:rsidRPr="00786F9E" w:rsidRDefault="00AB0795" w:rsidP="0058618D">
            <w:pPr>
              <w:pStyle w:val="table1"/>
              <w:rPr>
                <w:color w:val="000000"/>
                <w:u w:color="000000"/>
              </w:rPr>
            </w:pPr>
            <w:r w:rsidRPr="00786F9E">
              <w:rPr>
                <w:color w:val="000000"/>
                <w:u w:color="000000"/>
              </w:rPr>
              <w:t>AM: 3.6×10</w:t>
            </w:r>
            <w:r w:rsidRPr="00AA3E24">
              <w:rPr>
                <w:snapToGrid w:val="0"/>
                <w:color w:val="000000"/>
                <w:position w:val="4"/>
                <w:sz w:val="11"/>
                <w:szCs w:val="0"/>
                <w:u w:color="000000"/>
              </w:rPr>
              <w:t>-3</w:t>
            </w:r>
          </w:p>
          <w:p w:rsidR="00AB0795" w:rsidRPr="00786F9E" w:rsidRDefault="00AB0795" w:rsidP="0058618D">
            <w:pPr>
              <w:pStyle w:val="table1"/>
              <w:rPr>
                <w:color w:val="000000"/>
                <w:u w:color="000000"/>
              </w:rPr>
            </w:pPr>
            <w:r w:rsidRPr="00786F9E">
              <w:rPr>
                <w:color w:val="000000"/>
                <w:u w:color="000000"/>
              </w:rPr>
              <w:t>SD: 1.8×10</w:t>
            </w:r>
            <w:r w:rsidRPr="00AA3E24">
              <w:rPr>
                <w:snapToGrid w:val="0"/>
                <w:color w:val="000000"/>
                <w:position w:val="4"/>
                <w:sz w:val="11"/>
                <w:szCs w:val="0"/>
                <w:u w:color="000000"/>
              </w:rPr>
              <w:t>-3</w:t>
            </w:r>
          </w:p>
          <w:p w:rsidR="00AB0795" w:rsidRPr="00786F9E" w:rsidRDefault="00AB0795" w:rsidP="0058618D">
            <w:pPr>
              <w:pStyle w:val="table1"/>
              <w:rPr>
                <w:color w:val="000000"/>
                <w:u w:color="000000"/>
              </w:rPr>
            </w:pPr>
            <w:r w:rsidRPr="00786F9E">
              <w:rPr>
                <w:color w:val="000000"/>
                <w:u w:color="000000"/>
              </w:rPr>
              <w:t>N: 4</w:t>
            </w:r>
          </w:p>
        </w:tc>
      </w:tr>
      <w:tr w:rsidR="00AB0795" w:rsidTr="0058618D">
        <w:tc>
          <w:tcPr>
            <w:tcW w:w="1809" w:type="dxa"/>
            <w:tcBorders>
              <w:top w:val="nil"/>
              <w:left w:val="nil"/>
              <w:bottom w:val="nil"/>
              <w:right w:val="nil"/>
            </w:tcBorders>
          </w:tcPr>
          <w:p w:rsidR="00AB0795" w:rsidRPr="00786F9E" w:rsidRDefault="00AB0795" w:rsidP="0058618D">
            <w:pPr>
              <w:pStyle w:val="table1"/>
              <w:rPr>
                <w:color w:val="000000"/>
                <w:u w:color="000000"/>
              </w:rPr>
            </w:pPr>
            <w:r w:rsidRPr="00786F9E">
              <w:rPr>
                <w:color w:val="000000"/>
                <w:u w:color="000000"/>
              </w:rPr>
              <w:t>Olive python</w:t>
            </w:r>
          </w:p>
        </w:tc>
        <w:tc>
          <w:tcPr>
            <w:tcW w:w="1342" w:type="dxa"/>
            <w:tcBorders>
              <w:top w:val="nil"/>
              <w:left w:val="nil"/>
              <w:bottom w:val="nil"/>
              <w:right w:val="nil"/>
            </w:tcBorders>
          </w:tcPr>
          <w:p w:rsidR="00AB0795" w:rsidRPr="00786F9E" w:rsidRDefault="00AB0795" w:rsidP="0058618D">
            <w:pPr>
              <w:pStyle w:val="table1"/>
              <w:rPr>
                <w:color w:val="000000"/>
                <w:u w:color="000000"/>
              </w:rPr>
            </w:pPr>
            <w:r w:rsidRPr="00786F9E">
              <w:rPr>
                <w:color w:val="000000"/>
                <w:u w:color="000000"/>
              </w:rPr>
              <w:t>AM: 2.8×10</w:t>
            </w:r>
            <w:r w:rsidRPr="00AA3E24">
              <w:rPr>
                <w:snapToGrid w:val="0"/>
                <w:color w:val="000000"/>
                <w:position w:val="4"/>
                <w:sz w:val="11"/>
                <w:szCs w:val="0"/>
                <w:u w:color="000000"/>
              </w:rPr>
              <w:t>-2</w:t>
            </w:r>
          </w:p>
          <w:p w:rsidR="00AB0795" w:rsidRPr="00786F9E" w:rsidRDefault="00AB0795" w:rsidP="0058618D">
            <w:pPr>
              <w:pStyle w:val="table1"/>
              <w:rPr>
                <w:color w:val="000000"/>
                <w:u w:color="000000"/>
              </w:rPr>
            </w:pPr>
            <w:r w:rsidRPr="00786F9E">
              <w:rPr>
                <w:color w:val="000000"/>
                <w:u w:color="000000"/>
              </w:rPr>
              <w:t>SD: 1.9×10</w:t>
            </w:r>
            <w:r w:rsidRPr="00AA3E24">
              <w:rPr>
                <w:snapToGrid w:val="0"/>
                <w:color w:val="000000"/>
                <w:position w:val="4"/>
                <w:sz w:val="11"/>
                <w:szCs w:val="0"/>
                <w:u w:color="000000"/>
              </w:rPr>
              <w:t>-2</w:t>
            </w:r>
          </w:p>
          <w:p w:rsidR="00AB0795" w:rsidRPr="00786F9E" w:rsidRDefault="00AB0795" w:rsidP="0058618D">
            <w:pPr>
              <w:pStyle w:val="table1"/>
              <w:rPr>
                <w:color w:val="000000"/>
                <w:u w:color="000000"/>
              </w:rPr>
            </w:pPr>
            <w:r w:rsidRPr="00786F9E">
              <w:rPr>
                <w:color w:val="000000"/>
                <w:u w:color="000000"/>
              </w:rPr>
              <w:t>N: 2</w:t>
            </w:r>
          </w:p>
        </w:tc>
        <w:tc>
          <w:tcPr>
            <w:tcW w:w="1343" w:type="dxa"/>
            <w:tcBorders>
              <w:top w:val="nil"/>
              <w:left w:val="nil"/>
              <w:bottom w:val="nil"/>
              <w:right w:val="nil"/>
            </w:tcBorders>
          </w:tcPr>
          <w:p w:rsidR="00AB0795" w:rsidRPr="00786F9E" w:rsidRDefault="00AB0795" w:rsidP="0058618D">
            <w:pPr>
              <w:pStyle w:val="table1"/>
              <w:rPr>
                <w:color w:val="000000"/>
                <w:u w:color="000000"/>
              </w:rPr>
            </w:pPr>
            <w:r w:rsidRPr="00786F9E">
              <w:rPr>
                <w:color w:val="000000"/>
                <w:u w:color="000000"/>
              </w:rPr>
              <w:t>AM: 2.4×10</w:t>
            </w:r>
            <w:r w:rsidRPr="00AA3E24">
              <w:rPr>
                <w:snapToGrid w:val="0"/>
                <w:color w:val="000000"/>
                <w:position w:val="4"/>
                <w:sz w:val="11"/>
                <w:szCs w:val="0"/>
                <w:u w:color="000000"/>
              </w:rPr>
              <w:t>-1</w:t>
            </w:r>
          </w:p>
          <w:p w:rsidR="00AB0795" w:rsidRPr="00786F9E" w:rsidRDefault="00AB0795" w:rsidP="0058618D">
            <w:pPr>
              <w:pStyle w:val="table1"/>
              <w:rPr>
                <w:color w:val="000000"/>
                <w:u w:color="000000"/>
              </w:rPr>
            </w:pPr>
            <w:r w:rsidRPr="00786F9E">
              <w:rPr>
                <w:color w:val="000000"/>
                <w:u w:color="000000"/>
              </w:rPr>
              <w:t>SD: 1.5×10</w:t>
            </w:r>
            <w:r w:rsidRPr="00AA3E24">
              <w:rPr>
                <w:snapToGrid w:val="0"/>
                <w:color w:val="000000"/>
                <w:position w:val="4"/>
                <w:sz w:val="11"/>
                <w:szCs w:val="0"/>
                <w:u w:color="000000"/>
              </w:rPr>
              <w:t>-1</w:t>
            </w:r>
          </w:p>
          <w:p w:rsidR="00AB0795" w:rsidRPr="00786F9E" w:rsidRDefault="00AB0795" w:rsidP="0058618D">
            <w:pPr>
              <w:pStyle w:val="table1"/>
              <w:rPr>
                <w:color w:val="000000"/>
                <w:u w:color="000000"/>
              </w:rPr>
            </w:pPr>
            <w:r w:rsidRPr="00786F9E">
              <w:rPr>
                <w:color w:val="000000"/>
                <w:u w:color="000000"/>
              </w:rPr>
              <w:t>N: 2</w:t>
            </w:r>
          </w:p>
        </w:tc>
        <w:tc>
          <w:tcPr>
            <w:tcW w:w="1342" w:type="dxa"/>
            <w:tcBorders>
              <w:top w:val="nil"/>
              <w:left w:val="nil"/>
              <w:bottom w:val="nil"/>
              <w:right w:val="nil"/>
            </w:tcBorders>
          </w:tcPr>
          <w:p w:rsidR="00AB0795" w:rsidRPr="00786F9E" w:rsidRDefault="00AB0795" w:rsidP="0058618D">
            <w:pPr>
              <w:pStyle w:val="table1"/>
              <w:rPr>
                <w:color w:val="000000"/>
                <w:u w:color="000000"/>
              </w:rPr>
            </w:pPr>
            <w:r w:rsidRPr="00786F9E">
              <w:rPr>
                <w:color w:val="000000"/>
                <w:u w:color="000000"/>
              </w:rPr>
              <w:t>AM: 1.6×10</w:t>
            </w:r>
            <w:r w:rsidRPr="00AA3E24">
              <w:rPr>
                <w:snapToGrid w:val="0"/>
                <w:color w:val="000000"/>
                <w:position w:val="4"/>
                <w:sz w:val="11"/>
                <w:szCs w:val="0"/>
                <w:u w:color="000000"/>
              </w:rPr>
              <w:t>-1</w:t>
            </w:r>
          </w:p>
          <w:p w:rsidR="00AB0795" w:rsidRPr="00786F9E" w:rsidRDefault="00AB0795" w:rsidP="0058618D">
            <w:pPr>
              <w:pStyle w:val="table1"/>
              <w:rPr>
                <w:color w:val="000000"/>
                <w:u w:color="000000"/>
              </w:rPr>
            </w:pPr>
            <w:r w:rsidRPr="00786F9E">
              <w:rPr>
                <w:color w:val="000000"/>
                <w:u w:color="000000"/>
              </w:rPr>
              <w:t>SD: na</w:t>
            </w:r>
          </w:p>
          <w:p w:rsidR="00AB0795" w:rsidRPr="00786F9E" w:rsidRDefault="00AB0795" w:rsidP="0058618D">
            <w:pPr>
              <w:pStyle w:val="table1"/>
              <w:rPr>
                <w:color w:val="000000"/>
                <w:u w:color="000000"/>
              </w:rPr>
            </w:pPr>
            <w:r w:rsidRPr="00786F9E">
              <w:rPr>
                <w:color w:val="000000"/>
                <w:u w:color="000000"/>
              </w:rPr>
              <w:t>N: 1</w:t>
            </w:r>
          </w:p>
        </w:tc>
        <w:tc>
          <w:tcPr>
            <w:tcW w:w="1343" w:type="dxa"/>
            <w:tcBorders>
              <w:top w:val="nil"/>
              <w:left w:val="nil"/>
              <w:bottom w:val="nil"/>
              <w:right w:val="nil"/>
            </w:tcBorders>
          </w:tcPr>
          <w:p w:rsidR="00AB0795" w:rsidRPr="00786F9E" w:rsidRDefault="00AB0795" w:rsidP="0058618D">
            <w:pPr>
              <w:pStyle w:val="table1"/>
              <w:rPr>
                <w:color w:val="000000"/>
                <w:u w:color="000000"/>
              </w:rPr>
            </w:pPr>
            <w:r w:rsidRPr="00786F9E">
              <w:rPr>
                <w:color w:val="000000"/>
                <w:u w:color="000000"/>
              </w:rPr>
              <w:t>AM: 3.4×10</w:t>
            </w:r>
            <w:r w:rsidRPr="00AA3E24">
              <w:rPr>
                <w:snapToGrid w:val="0"/>
                <w:color w:val="000000"/>
                <w:position w:val="4"/>
                <w:sz w:val="11"/>
                <w:szCs w:val="0"/>
                <w:u w:color="000000"/>
              </w:rPr>
              <w:t>-3</w:t>
            </w:r>
          </w:p>
          <w:p w:rsidR="00AB0795" w:rsidRPr="00786F9E" w:rsidRDefault="00AB0795" w:rsidP="0058618D">
            <w:pPr>
              <w:pStyle w:val="table1"/>
              <w:rPr>
                <w:color w:val="000000"/>
                <w:u w:color="000000"/>
              </w:rPr>
            </w:pPr>
            <w:r w:rsidRPr="00786F9E">
              <w:rPr>
                <w:color w:val="000000"/>
                <w:u w:color="000000"/>
              </w:rPr>
              <w:t>SD: na</w:t>
            </w:r>
          </w:p>
          <w:p w:rsidR="00AB0795" w:rsidRPr="00786F9E" w:rsidRDefault="00AB0795" w:rsidP="0058618D">
            <w:pPr>
              <w:pStyle w:val="table1"/>
              <w:rPr>
                <w:color w:val="000000"/>
                <w:u w:color="000000"/>
              </w:rPr>
            </w:pPr>
            <w:r w:rsidRPr="00786F9E">
              <w:rPr>
                <w:color w:val="000000"/>
                <w:u w:color="000000"/>
              </w:rPr>
              <w:t>N: 1</w:t>
            </w:r>
          </w:p>
        </w:tc>
        <w:tc>
          <w:tcPr>
            <w:tcW w:w="1343" w:type="dxa"/>
            <w:tcBorders>
              <w:top w:val="nil"/>
              <w:left w:val="nil"/>
              <w:bottom w:val="nil"/>
              <w:right w:val="nil"/>
            </w:tcBorders>
          </w:tcPr>
          <w:p w:rsidR="00AB0795" w:rsidRPr="00786F9E" w:rsidRDefault="00AB0795" w:rsidP="0058618D">
            <w:pPr>
              <w:pStyle w:val="table1"/>
              <w:rPr>
                <w:color w:val="000000"/>
                <w:u w:color="000000"/>
              </w:rPr>
            </w:pPr>
            <w:r w:rsidRPr="00786F9E">
              <w:rPr>
                <w:color w:val="000000"/>
                <w:u w:color="000000"/>
              </w:rPr>
              <w:t>AM: 2.4×10</w:t>
            </w:r>
            <w:r w:rsidRPr="00AA3E24">
              <w:rPr>
                <w:snapToGrid w:val="0"/>
                <w:color w:val="000000"/>
                <w:position w:val="4"/>
                <w:sz w:val="11"/>
                <w:szCs w:val="0"/>
                <w:u w:color="000000"/>
              </w:rPr>
              <w:t>-3</w:t>
            </w:r>
          </w:p>
          <w:p w:rsidR="00AB0795" w:rsidRPr="00786F9E" w:rsidRDefault="00AB0795" w:rsidP="0058618D">
            <w:pPr>
              <w:pStyle w:val="table1"/>
              <w:rPr>
                <w:color w:val="000000"/>
                <w:u w:color="000000"/>
              </w:rPr>
            </w:pPr>
            <w:r w:rsidRPr="00786F9E">
              <w:rPr>
                <w:color w:val="000000"/>
                <w:u w:color="000000"/>
              </w:rPr>
              <w:t>SD: 3.6×10</w:t>
            </w:r>
            <w:r w:rsidRPr="00AA3E24">
              <w:rPr>
                <w:snapToGrid w:val="0"/>
                <w:color w:val="000000"/>
                <w:position w:val="4"/>
                <w:sz w:val="11"/>
                <w:szCs w:val="0"/>
                <w:u w:color="000000"/>
              </w:rPr>
              <w:t>-4</w:t>
            </w:r>
          </w:p>
          <w:p w:rsidR="00AB0795" w:rsidRPr="00786F9E" w:rsidRDefault="00AB0795" w:rsidP="0058618D">
            <w:pPr>
              <w:pStyle w:val="table1"/>
              <w:rPr>
                <w:color w:val="000000"/>
                <w:u w:color="000000"/>
              </w:rPr>
            </w:pPr>
            <w:r w:rsidRPr="00786F9E">
              <w:rPr>
                <w:color w:val="000000"/>
                <w:u w:color="000000"/>
              </w:rPr>
              <w:t>N: 2</w:t>
            </w:r>
          </w:p>
        </w:tc>
      </w:tr>
      <w:tr w:rsidR="00AB0795" w:rsidTr="0058618D">
        <w:tc>
          <w:tcPr>
            <w:tcW w:w="1809" w:type="dxa"/>
            <w:tcBorders>
              <w:top w:val="nil"/>
              <w:left w:val="nil"/>
              <w:bottom w:val="nil"/>
              <w:right w:val="nil"/>
            </w:tcBorders>
          </w:tcPr>
          <w:p w:rsidR="00AB0795" w:rsidRPr="00786F9E" w:rsidRDefault="00AB0795" w:rsidP="0058618D">
            <w:pPr>
              <w:pStyle w:val="table1"/>
              <w:rPr>
                <w:color w:val="000000"/>
                <w:u w:color="000000"/>
              </w:rPr>
            </w:pPr>
            <w:r w:rsidRPr="00786F9E">
              <w:rPr>
                <w:color w:val="000000"/>
                <w:u w:color="000000"/>
              </w:rPr>
              <w:t>Cathedral termite</w:t>
            </w:r>
          </w:p>
        </w:tc>
        <w:tc>
          <w:tcPr>
            <w:tcW w:w="1342" w:type="dxa"/>
            <w:tcBorders>
              <w:top w:val="nil"/>
              <w:left w:val="nil"/>
              <w:bottom w:val="nil"/>
              <w:right w:val="nil"/>
            </w:tcBorders>
            <w:shd w:val="clear" w:color="auto" w:fill="D9D9D9" w:themeFill="background1" w:themeFillShade="D9"/>
          </w:tcPr>
          <w:p w:rsidR="00AB0795" w:rsidRPr="00786F9E" w:rsidRDefault="00AB0795" w:rsidP="0058618D">
            <w:pPr>
              <w:pStyle w:val="table1"/>
              <w:rPr>
                <w:color w:val="000000"/>
                <w:u w:color="000000"/>
              </w:rPr>
            </w:pPr>
            <w:r w:rsidRPr="00786F9E">
              <w:rPr>
                <w:color w:val="000000"/>
                <w:u w:color="000000"/>
              </w:rPr>
              <w:t>AM: 4.0×10</w:t>
            </w:r>
            <w:r w:rsidRPr="00AA3E24">
              <w:rPr>
                <w:snapToGrid w:val="0"/>
                <w:color w:val="000000"/>
                <w:position w:val="4"/>
                <w:sz w:val="11"/>
                <w:szCs w:val="0"/>
                <w:u w:color="000000"/>
              </w:rPr>
              <w:t>-1</w:t>
            </w:r>
          </w:p>
          <w:p w:rsidR="00AB0795" w:rsidRPr="00786F9E" w:rsidRDefault="00AB0795" w:rsidP="0058618D">
            <w:pPr>
              <w:pStyle w:val="table1"/>
              <w:rPr>
                <w:color w:val="000000"/>
                <w:u w:color="000000"/>
              </w:rPr>
            </w:pPr>
            <w:r w:rsidRPr="00786F9E">
              <w:rPr>
                <w:color w:val="000000"/>
                <w:u w:color="000000"/>
              </w:rPr>
              <w:t>SD: 4.7×10</w:t>
            </w:r>
            <w:r w:rsidRPr="00AA3E24">
              <w:rPr>
                <w:snapToGrid w:val="0"/>
                <w:color w:val="000000"/>
                <w:position w:val="4"/>
                <w:sz w:val="11"/>
                <w:szCs w:val="0"/>
                <w:u w:color="000000"/>
              </w:rPr>
              <w:t>-1</w:t>
            </w:r>
          </w:p>
          <w:p w:rsidR="00AB0795" w:rsidRPr="00786F9E" w:rsidRDefault="00AB0795" w:rsidP="0058618D">
            <w:pPr>
              <w:pStyle w:val="table1"/>
              <w:rPr>
                <w:color w:val="000000"/>
                <w:u w:color="000000"/>
              </w:rPr>
            </w:pPr>
            <w:r w:rsidRPr="00786F9E">
              <w:rPr>
                <w:color w:val="000000"/>
                <w:u w:color="000000"/>
              </w:rPr>
              <w:t>N: 561</w:t>
            </w:r>
          </w:p>
        </w:tc>
        <w:tc>
          <w:tcPr>
            <w:tcW w:w="1343" w:type="dxa"/>
            <w:tcBorders>
              <w:top w:val="nil"/>
              <w:left w:val="nil"/>
              <w:bottom w:val="nil"/>
              <w:right w:val="nil"/>
            </w:tcBorders>
            <w:shd w:val="clear" w:color="auto" w:fill="A6A6A6" w:themeFill="background1" w:themeFillShade="A6"/>
          </w:tcPr>
          <w:p w:rsidR="00AB0795" w:rsidRPr="00786F9E" w:rsidRDefault="00AB0795" w:rsidP="0058618D">
            <w:pPr>
              <w:pStyle w:val="table1"/>
              <w:rPr>
                <w:color w:val="000000"/>
                <w:u w:color="000000"/>
              </w:rPr>
            </w:pPr>
            <w:r w:rsidRPr="00786F9E">
              <w:rPr>
                <w:color w:val="000000"/>
                <w:u w:color="000000"/>
              </w:rPr>
              <w:t>AM: 2.8×10</w:t>
            </w:r>
            <w:r w:rsidRPr="00AA3E24">
              <w:rPr>
                <w:snapToGrid w:val="0"/>
                <w:color w:val="000000"/>
                <w:position w:val="4"/>
                <w:sz w:val="11"/>
                <w:szCs w:val="0"/>
                <w:u w:color="000000"/>
              </w:rPr>
              <w:t>-3</w:t>
            </w:r>
          </w:p>
          <w:p w:rsidR="00AB0795" w:rsidRPr="00786F9E" w:rsidRDefault="00AB0795" w:rsidP="0058618D">
            <w:pPr>
              <w:pStyle w:val="table1"/>
              <w:rPr>
                <w:color w:val="000000"/>
                <w:u w:color="000000"/>
              </w:rPr>
            </w:pPr>
            <w:r w:rsidRPr="00786F9E">
              <w:rPr>
                <w:color w:val="000000"/>
                <w:u w:color="000000"/>
              </w:rPr>
              <w:t>SD: na</w:t>
            </w:r>
          </w:p>
          <w:p w:rsidR="00AB0795" w:rsidRPr="00786F9E" w:rsidRDefault="00AB0795" w:rsidP="0058618D">
            <w:pPr>
              <w:pStyle w:val="table1"/>
              <w:rPr>
                <w:color w:val="000000"/>
                <w:u w:color="000000"/>
              </w:rPr>
            </w:pPr>
            <w:r w:rsidRPr="00786F9E">
              <w:rPr>
                <w:color w:val="000000"/>
                <w:u w:color="000000"/>
              </w:rPr>
              <w:t>N: na</w:t>
            </w:r>
          </w:p>
        </w:tc>
        <w:tc>
          <w:tcPr>
            <w:tcW w:w="1342" w:type="dxa"/>
            <w:tcBorders>
              <w:top w:val="nil"/>
              <w:left w:val="nil"/>
              <w:bottom w:val="nil"/>
              <w:right w:val="nil"/>
            </w:tcBorders>
            <w:shd w:val="clear" w:color="auto" w:fill="D9D9D9" w:themeFill="background1" w:themeFillShade="D9"/>
          </w:tcPr>
          <w:p w:rsidR="00AB0795" w:rsidRPr="00786F9E" w:rsidRDefault="00AB0795" w:rsidP="0058618D">
            <w:pPr>
              <w:pStyle w:val="table1"/>
              <w:rPr>
                <w:color w:val="000000"/>
                <w:u w:color="000000"/>
              </w:rPr>
            </w:pPr>
            <w:r w:rsidRPr="00786F9E">
              <w:rPr>
                <w:color w:val="000000"/>
                <w:u w:color="000000"/>
              </w:rPr>
              <w:t>AM: 6.1×10</w:t>
            </w:r>
            <w:r w:rsidRPr="00AA3E24">
              <w:rPr>
                <w:snapToGrid w:val="0"/>
                <w:color w:val="000000"/>
                <w:position w:val="4"/>
                <w:sz w:val="11"/>
                <w:szCs w:val="0"/>
                <w:u w:color="000000"/>
              </w:rPr>
              <w:t>-2</w:t>
            </w:r>
          </w:p>
          <w:p w:rsidR="00AB0795" w:rsidRPr="00786F9E" w:rsidRDefault="00AB0795" w:rsidP="0058618D">
            <w:pPr>
              <w:pStyle w:val="table1"/>
              <w:rPr>
                <w:color w:val="000000"/>
                <w:u w:color="000000"/>
              </w:rPr>
            </w:pPr>
            <w:r w:rsidRPr="00786F9E">
              <w:rPr>
                <w:color w:val="000000"/>
                <w:u w:color="000000"/>
              </w:rPr>
              <w:t>SD: 2.8×10</w:t>
            </w:r>
            <w:r w:rsidRPr="00AA3E24">
              <w:rPr>
                <w:snapToGrid w:val="0"/>
                <w:color w:val="000000"/>
                <w:position w:val="4"/>
                <w:sz w:val="11"/>
                <w:szCs w:val="0"/>
                <w:u w:color="000000"/>
              </w:rPr>
              <w:t>-2</w:t>
            </w:r>
          </w:p>
          <w:p w:rsidR="00AB0795" w:rsidRPr="00786F9E" w:rsidRDefault="00AB0795" w:rsidP="0058618D">
            <w:pPr>
              <w:pStyle w:val="table1"/>
              <w:rPr>
                <w:color w:val="000000"/>
                <w:u w:color="000000"/>
              </w:rPr>
            </w:pPr>
            <w:r w:rsidRPr="00786F9E">
              <w:rPr>
                <w:color w:val="000000"/>
                <w:u w:color="000000"/>
              </w:rPr>
              <w:t>N: 7</w:t>
            </w:r>
          </w:p>
        </w:tc>
        <w:tc>
          <w:tcPr>
            <w:tcW w:w="1343" w:type="dxa"/>
            <w:tcBorders>
              <w:top w:val="nil"/>
              <w:left w:val="nil"/>
              <w:bottom w:val="nil"/>
              <w:right w:val="nil"/>
            </w:tcBorders>
            <w:shd w:val="clear" w:color="auto" w:fill="D9D9D9" w:themeFill="background1" w:themeFillShade="D9"/>
          </w:tcPr>
          <w:p w:rsidR="00AB0795" w:rsidRPr="00786F9E" w:rsidRDefault="00AB0795" w:rsidP="0058618D">
            <w:pPr>
              <w:pStyle w:val="table1"/>
              <w:rPr>
                <w:color w:val="000000"/>
                <w:u w:color="000000"/>
              </w:rPr>
            </w:pPr>
            <w:r w:rsidRPr="00786F9E">
              <w:rPr>
                <w:color w:val="000000"/>
                <w:u w:color="000000"/>
              </w:rPr>
              <w:t>AM: 1.8×10</w:t>
            </w:r>
            <w:r w:rsidRPr="00AA3E24">
              <w:rPr>
                <w:snapToGrid w:val="0"/>
                <w:color w:val="000000"/>
                <w:position w:val="4"/>
                <w:sz w:val="11"/>
                <w:szCs w:val="0"/>
                <w:u w:color="000000"/>
              </w:rPr>
              <w:t>-2</w:t>
            </w:r>
          </w:p>
          <w:p w:rsidR="00AB0795" w:rsidRPr="00786F9E" w:rsidRDefault="00AB0795" w:rsidP="0058618D">
            <w:pPr>
              <w:pStyle w:val="table1"/>
              <w:rPr>
                <w:color w:val="000000"/>
                <w:u w:color="000000"/>
              </w:rPr>
            </w:pPr>
            <w:r w:rsidRPr="00786F9E">
              <w:rPr>
                <w:color w:val="000000"/>
                <w:u w:color="000000"/>
              </w:rPr>
              <w:t>SD: 5.0×10</w:t>
            </w:r>
            <w:r w:rsidRPr="00AA3E24">
              <w:rPr>
                <w:snapToGrid w:val="0"/>
                <w:color w:val="000000"/>
                <w:position w:val="4"/>
                <w:sz w:val="11"/>
                <w:szCs w:val="0"/>
                <w:u w:color="000000"/>
              </w:rPr>
              <w:t>-3</w:t>
            </w:r>
          </w:p>
          <w:p w:rsidR="00AB0795" w:rsidRPr="00786F9E" w:rsidRDefault="00AB0795" w:rsidP="0058618D">
            <w:pPr>
              <w:pStyle w:val="table1"/>
              <w:rPr>
                <w:color w:val="000000"/>
                <w:u w:color="000000"/>
              </w:rPr>
            </w:pPr>
            <w:r w:rsidRPr="00786F9E">
              <w:rPr>
                <w:color w:val="000000"/>
                <w:u w:color="000000"/>
              </w:rPr>
              <w:t>N: 4</w:t>
            </w:r>
          </w:p>
        </w:tc>
        <w:tc>
          <w:tcPr>
            <w:tcW w:w="1343" w:type="dxa"/>
            <w:tcBorders>
              <w:top w:val="nil"/>
              <w:left w:val="nil"/>
              <w:bottom w:val="nil"/>
              <w:right w:val="nil"/>
            </w:tcBorders>
            <w:shd w:val="clear" w:color="auto" w:fill="D9D9D9" w:themeFill="background1" w:themeFillShade="D9"/>
          </w:tcPr>
          <w:p w:rsidR="00AB0795" w:rsidRPr="00786F9E" w:rsidRDefault="00AB0795" w:rsidP="0058618D">
            <w:pPr>
              <w:pStyle w:val="table1"/>
              <w:rPr>
                <w:snapToGrid w:val="0"/>
                <w:color w:val="000000"/>
                <w:szCs w:val="0"/>
                <w:u w:color="000000"/>
              </w:rPr>
            </w:pPr>
            <w:r w:rsidRPr="00786F9E">
              <w:rPr>
                <w:color w:val="000000"/>
                <w:u w:color="000000"/>
              </w:rPr>
              <w:t>AM: 1.8×10</w:t>
            </w:r>
            <w:r w:rsidRPr="00AA3E24">
              <w:rPr>
                <w:snapToGrid w:val="0"/>
                <w:color w:val="000000"/>
                <w:position w:val="4"/>
                <w:sz w:val="11"/>
                <w:szCs w:val="0"/>
                <w:u w:color="000000"/>
              </w:rPr>
              <w:t>-2</w:t>
            </w:r>
          </w:p>
          <w:p w:rsidR="00AB0795" w:rsidRPr="00786F9E" w:rsidRDefault="00AB0795" w:rsidP="0058618D">
            <w:pPr>
              <w:pStyle w:val="table1"/>
              <w:rPr>
                <w:color w:val="000000"/>
                <w:u w:color="000000"/>
              </w:rPr>
            </w:pPr>
            <w:r w:rsidRPr="00786F9E">
              <w:rPr>
                <w:color w:val="000000"/>
                <w:u w:color="000000"/>
              </w:rPr>
              <w:t>SD: 5.0×10</w:t>
            </w:r>
            <w:r w:rsidRPr="00AA3E24">
              <w:rPr>
                <w:snapToGrid w:val="0"/>
                <w:color w:val="000000"/>
                <w:position w:val="4"/>
                <w:sz w:val="11"/>
                <w:szCs w:val="0"/>
                <w:u w:color="000000"/>
              </w:rPr>
              <w:t>-3</w:t>
            </w:r>
          </w:p>
          <w:p w:rsidR="00AB0795" w:rsidRPr="00786F9E" w:rsidRDefault="00AB0795" w:rsidP="0058618D">
            <w:pPr>
              <w:pStyle w:val="table1"/>
              <w:rPr>
                <w:color w:val="000000"/>
                <w:u w:color="000000"/>
              </w:rPr>
            </w:pPr>
            <w:r w:rsidRPr="00786F9E">
              <w:rPr>
                <w:color w:val="000000"/>
                <w:u w:color="000000"/>
              </w:rPr>
              <w:t>N: 4</w:t>
            </w:r>
          </w:p>
        </w:tc>
      </w:tr>
      <w:tr w:rsidR="00AB0795" w:rsidTr="0058618D">
        <w:tc>
          <w:tcPr>
            <w:tcW w:w="1809" w:type="dxa"/>
            <w:tcBorders>
              <w:top w:val="nil"/>
              <w:left w:val="nil"/>
              <w:right w:val="nil"/>
            </w:tcBorders>
          </w:tcPr>
          <w:p w:rsidR="00AB0795" w:rsidRPr="00786F9E" w:rsidRDefault="00AB0795" w:rsidP="0058618D">
            <w:pPr>
              <w:pStyle w:val="table1"/>
              <w:rPr>
                <w:color w:val="000000"/>
                <w:u w:color="000000"/>
              </w:rPr>
            </w:pPr>
            <w:r w:rsidRPr="00786F9E">
              <w:rPr>
                <w:color w:val="000000"/>
                <w:u w:color="000000"/>
              </w:rPr>
              <w:t>Agile wallaby</w:t>
            </w:r>
          </w:p>
        </w:tc>
        <w:tc>
          <w:tcPr>
            <w:tcW w:w="1342" w:type="dxa"/>
            <w:tcBorders>
              <w:top w:val="nil"/>
              <w:left w:val="nil"/>
              <w:right w:val="nil"/>
            </w:tcBorders>
          </w:tcPr>
          <w:p w:rsidR="00AB0795" w:rsidRPr="00786F9E" w:rsidRDefault="00AB0795" w:rsidP="0058618D">
            <w:pPr>
              <w:pStyle w:val="table1"/>
              <w:rPr>
                <w:snapToGrid w:val="0"/>
                <w:color w:val="000000"/>
                <w:szCs w:val="0"/>
                <w:u w:color="000000"/>
              </w:rPr>
            </w:pPr>
            <w:r w:rsidRPr="00786F9E">
              <w:rPr>
                <w:color w:val="000000"/>
                <w:u w:color="000000"/>
              </w:rPr>
              <w:t>AM: 4.7×10</w:t>
            </w:r>
            <w:r w:rsidRPr="00AA3E24">
              <w:rPr>
                <w:snapToGrid w:val="0"/>
                <w:color w:val="000000"/>
                <w:position w:val="4"/>
                <w:sz w:val="11"/>
                <w:szCs w:val="0"/>
                <w:u w:color="000000"/>
              </w:rPr>
              <w:t>-3</w:t>
            </w:r>
          </w:p>
          <w:p w:rsidR="00AB0795" w:rsidRPr="00786F9E" w:rsidRDefault="00AB0795" w:rsidP="0058618D">
            <w:pPr>
              <w:pStyle w:val="table1"/>
              <w:rPr>
                <w:color w:val="000000"/>
                <w:u w:color="000000"/>
              </w:rPr>
            </w:pPr>
            <w:r w:rsidRPr="00786F9E">
              <w:rPr>
                <w:color w:val="000000"/>
                <w:u w:color="000000"/>
              </w:rPr>
              <w:t>SD: 5.1×10</w:t>
            </w:r>
            <w:r w:rsidRPr="00AA3E24">
              <w:rPr>
                <w:snapToGrid w:val="0"/>
                <w:color w:val="000000"/>
                <w:position w:val="4"/>
                <w:sz w:val="11"/>
                <w:szCs w:val="0"/>
                <w:u w:color="000000"/>
              </w:rPr>
              <w:t>-3</w:t>
            </w:r>
          </w:p>
          <w:p w:rsidR="00AB0795" w:rsidRPr="00786F9E" w:rsidRDefault="00AB0795" w:rsidP="0058618D">
            <w:pPr>
              <w:pStyle w:val="table1"/>
              <w:rPr>
                <w:color w:val="000000"/>
                <w:u w:color="000000"/>
              </w:rPr>
            </w:pPr>
            <w:r w:rsidRPr="00786F9E">
              <w:rPr>
                <w:color w:val="000000"/>
                <w:u w:color="000000"/>
              </w:rPr>
              <w:t>N: 2</w:t>
            </w:r>
          </w:p>
        </w:tc>
        <w:tc>
          <w:tcPr>
            <w:tcW w:w="1343" w:type="dxa"/>
            <w:tcBorders>
              <w:top w:val="nil"/>
              <w:left w:val="nil"/>
              <w:right w:val="nil"/>
            </w:tcBorders>
          </w:tcPr>
          <w:p w:rsidR="00AB0795" w:rsidRPr="00786F9E" w:rsidRDefault="00AB0795" w:rsidP="0058618D">
            <w:pPr>
              <w:pStyle w:val="table1"/>
              <w:rPr>
                <w:color w:val="000000"/>
                <w:u w:color="000000"/>
              </w:rPr>
            </w:pPr>
            <w:r w:rsidRPr="00786F9E">
              <w:rPr>
                <w:color w:val="000000"/>
                <w:u w:color="000000"/>
              </w:rPr>
              <w:t>AM: 2.2×10</w:t>
            </w:r>
            <w:r w:rsidRPr="00AA3E24">
              <w:rPr>
                <w:snapToGrid w:val="0"/>
                <w:color w:val="000000"/>
                <w:position w:val="4"/>
                <w:sz w:val="11"/>
                <w:szCs w:val="0"/>
                <w:u w:color="000000"/>
              </w:rPr>
              <w:t>-2</w:t>
            </w:r>
          </w:p>
          <w:p w:rsidR="00AB0795" w:rsidRPr="00786F9E" w:rsidRDefault="00AB0795" w:rsidP="0058618D">
            <w:pPr>
              <w:pStyle w:val="table1"/>
              <w:rPr>
                <w:color w:val="000000"/>
                <w:u w:color="000000"/>
              </w:rPr>
            </w:pPr>
            <w:r w:rsidRPr="00786F9E">
              <w:rPr>
                <w:color w:val="000000"/>
                <w:u w:color="000000"/>
              </w:rPr>
              <w:t>SD: na</w:t>
            </w:r>
          </w:p>
          <w:p w:rsidR="00AB0795" w:rsidRPr="00786F9E" w:rsidRDefault="00AB0795" w:rsidP="0058618D">
            <w:pPr>
              <w:pStyle w:val="table1"/>
              <w:rPr>
                <w:color w:val="000000"/>
                <w:u w:color="000000"/>
              </w:rPr>
            </w:pPr>
            <w:r w:rsidRPr="00786F9E">
              <w:rPr>
                <w:color w:val="000000"/>
                <w:u w:color="000000"/>
              </w:rPr>
              <w:t>N: 1</w:t>
            </w:r>
          </w:p>
        </w:tc>
        <w:tc>
          <w:tcPr>
            <w:tcW w:w="1342" w:type="dxa"/>
            <w:tcBorders>
              <w:top w:val="nil"/>
              <w:left w:val="nil"/>
              <w:right w:val="nil"/>
            </w:tcBorders>
          </w:tcPr>
          <w:p w:rsidR="00AB0795" w:rsidRPr="00786F9E" w:rsidRDefault="00AB0795" w:rsidP="0058618D">
            <w:pPr>
              <w:pStyle w:val="table1"/>
              <w:rPr>
                <w:color w:val="000000"/>
                <w:u w:color="000000"/>
              </w:rPr>
            </w:pPr>
            <w:r w:rsidRPr="00786F9E">
              <w:rPr>
                <w:color w:val="000000"/>
                <w:u w:color="000000"/>
              </w:rPr>
              <w:t>AM: 1.6×10</w:t>
            </w:r>
            <w:r w:rsidRPr="00AA3E24">
              <w:rPr>
                <w:snapToGrid w:val="0"/>
                <w:color w:val="000000"/>
                <w:position w:val="4"/>
                <w:sz w:val="11"/>
                <w:szCs w:val="0"/>
                <w:u w:color="000000"/>
              </w:rPr>
              <w:t>-2</w:t>
            </w:r>
          </w:p>
          <w:p w:rsidR="00AB0795" w:rsidRPr="00786F9E" w:rsidRDefault="00AB0795" w:rsidP="0058618D">
            <w:pPr>
              <w:pStyle w:val="table1"/>
              <w:rPr>
                <w:color w:val="000000"/>
                <w:u w:color="000000"/>
              </w:rPr>
            </w:pPr>
            <w:r w:rsidRPr="00786F9E">
              <w:rPr>
                <w:color w:val="000000"/>
                <w:u w:color="000000"/>
              </w:rPr>
              <w:t>SD: 1.6×10</w:t>
            </w:r>
            <w:r w:rsidRPr="00AA3E24">
              <w:rPr>
                <w:snapToGrid w:val="0"/>
                <w:color w:val="000000"/>
                <w:position w:val="4"/>
                <w:sz w:val="11"/>
                <w:szCs w:val="0"/>
                <w:u w:color="000000"/>
              </w:rPr>
              <w:t>-2</w:t>
            </w:r>
          </w:p>
          <w:p w:rsidR="00AB0795" w:rsidRPr="00786F9E" w:rsidRDefault="00AB0795" w:rsidP="0058618D">
            <w:pPr>
              <w:pStyle w:val="table1"/>
              <w:rPr>
                <w:color w:val="000000"/>
                <w:u w:color="000000"/>
              </w:rPr>
            </w:pPr>
            <w:r w:rsidRPr="00786F9E">
              <w:rPr>
                <w:color w:val="000000"/>
                <w:u w:color="000000"/>
              </w:rPr>
              <w:t>N: 9</w:t>
            </w:r>
          </w:p>
        </w:tc>
        <w:tc>
          <w:tcPr>
            <w:tcW w:w="1343" w:type="dxa"/>
            <w:tcBorders>
              <w:top w:val="nil"/>
              <w:left w:val="nil"/>
              <w:right w:val="nil"/>
            </w:tcBorders>
          </w:tcPr>
          <w:p w:rsidR="00AB0795" w:rsidRPr="00786F9E" w:rsidRDefault="00AB0795" w:rsidP="0058618D">
            <w:pPr>
              <w:pStyle w:val="table1"/>
              <w:rPr>
                <w:color w:val="000000"/>
                <w:u w:color="000000"/>
              </w:rPr>
            </w:pPr>
            <w:r w:rsidRPr="00786F9E">
              <w:rPr>
                <w:color w:val="000000"/>
                <w:u w:color="000000"/>
              </w:rPr>
              <w:t>AM: 6.6×10</w:t>
            </w:r>
            <w:r w:rsidRPr="00AA3E24">
              <w:rPr>
                <w:snapToGrid w:val="0"/>
                <w:color w:val="000000"/>
                <w:position w:val="4"/>
                <w:sz w:val="11"/>
                <w:szCs w:val="0"/>
                <w:u w:color="000000"/>
              </w:rPr>
              <w:t>-3</w:t>
            </w:r>
          </w:p>
          <w:p w:rsidR="00AB0795" w:rsidRPr="00786F9E" w:rsidRDefault="00AB0795" w:rsidP="0058618D">
            <w:pPr>
              <w:pStyle w:val="table1"/>
              <w:rPr>
                <w:color w:val="000000"/>
                <w:u w:color="000000"/>
              </w:rPr>
            </w:pPr>
            <w:r w:rsidRPr="00786F9E">
              <w:rPr>
                <w:color w:val="000000"/>
                <w:u w:color="000000"/>
              </w:rPr>
              <w:t>SD: 1.9×10</w:t>
            </w:r>
            <w:r w:rsidRPr="00AA3E24">
              <w:rPr>
                <w:snapToGrid w:val="0"/>
                <w:color w:val="000000"/>
                <w:position w:val="4"/>
                <w:sz w:val="11"/>
                <w:szCs w:val="0"/>
                <w:u w:color="000000"/>
              </w:rPr>
              <w:t>-3</w:t>
            </w:r>
          </w:p>
          <w:p w:rsidR="00AB0795" w:rsidRPr="00786F9E" w:rsidRDefault="00AB0795" w:rsidP="0058618D">
            <w:pPr>
              <w:pStyle w:val="table1"/>
              <w:rPr>
                <w:color w:val="000000"/>
                <w:u w:color="000000"/>
              </w:rPr>
            </w:pPr>
            <w:r w:rsidRPr="00786F9E">
              <w:rPr>
                <w:color w:val="000000"/>
                <w:u w:color="000000"/>
              </w:rPr>
              <w:t>N: 4</w:t>
            </w:r>
          </w:p>
        </w:tc>
        <w:tc>
          <w:tcPr>
            <w:tcW w:w="1343" w:type="dxa"/>
            <w:tcBorders>
              <w:top w:val="nil"/>
              <w:left w:val="nil"/>
              <w:right w:val="nil"/>
            </w:tcBorders>
          </w:tcPr>
          <w:p w:rsidR="00AB0795" w:rsidRPr="00786F9E" w:rsidRDefault="00AB0795" w:rsidP="0058618D">
            <w:pPr>
              <w:pStyle w:val="table1"/>
              <w:rPr>
                <w:color w:val="000000"/>
                <w:u w:color="000000"/>
              </w:rPr>
            </w:pPr>
            <w:r w:rsidRPr="00786F9E">
              <w:rPr>
                <w:color w:val="000000"/>
                <w:u w:color="000000"/>
              </w:rPr>
              <w:t>AM: 4.5×10</w:t>
            </w:r>
            <w:r w:rsidRPr="00AA3E24">
              <w:rPr>
                <w:snapToGrid w:val="0"/>
                <w:color w:val="000000"/>
                <w:position w:val="4"/>
                <w:sz w:val="11"/>
                <w:szCs w:val="0"/>
                <w:u w:color="000000"/>
              </w:rPr>
              <w:t>-4</w:t>
            </w:r>
          </w:p>
          <w:p w:rsidR="00AB0795" w:rsidRPr="00786F9E" w:rsidRDefault="00AB0795" w:rsidP="0058618D">
            <w:pPr>
              <w:pStyle w:val="table1"/>
              <w:rPr>
                <w:color w:val="000000"/>
                <w:u w:color="000000"/>
              </w:rPr>
            </w:pPr>
            <w:r w:rsidRPr="00786F9E">
              <w:rPr>
                <w:color w:val="000000"/>
                <w:u w:color="000000"/>
              </w:rPr>
              <w:t>SD: 2.7×10</w:t>
            </w:r>
            <w:r w:rsidRPr="00AA3E24">
              <w:rPr>
                <w:snapToGrid w:val="0"/>
                <w:color w:val="000000"/>
                <w:position w:val="4"/>
                <w:sz w:val="11"/>
                <w:szCs w:val="0"/>
                <w:u w:color="000000"/>
              </w:rPr>
              <w:t>-4</w:t>
            </w:r>
          </w:p>
          <w:p w:rsidR="00AB0795" w:rsidRPr="00786F9E" w:rsidRDefault="00AB0795" w:rsidP="0058618D">
            <w:pPr>
              <w:pStyle w:val="table1"/>
              <w:rPr>
                <w:color w:val="000000"/>
                <w:u w:color="000000"/>
              </w:rPr>
            </w:pPr>
            <w:r w:rsidRPr="00786F9E">
              <w:rPr>
                <w:color w:val="000000"/>
                <w:u w:color="000000"/>
              </w:rPr>
              <w:t>N: 6</w:t>
            </w:r>
          </w:p>
        </w:tc>
      </w:tr>
      <w:tr w:rsidR="00AB0795" w:rsidTr="0058618D">
        <w:tc>
          <w:tcPr>
            <w:tcW w:w="1809" w:type="dxa"/>
            <w:tcBorders>
              <w:top w:val="nil"/>
              <w:left w:val="nil"/>
              <w:bottom w:val="single" w:sz="4" w:space="0" w:color="auto"/>
              <w:right w:val="nil"/>
            </w:tcBorders>
          </w:tcPr>
          <w:p w:rsidR="00AB0795" w:rsidRPr="00786F9E" w:rsidRDefault="00AB0795" w:rsidP="0058618D">
            <w:pPr>
              <w:pStyle w:val="table1"/>
              <w:rPr>
                <w:color w:val="000000"/>
                <w:u w:color="000000"/>
              </w:rPr>
            </w:pPr>
            <w:r w:rsidRPr="00786F9E">
              <w:rPr>
                <w:color w:val="000000"/>
                <w:u w:color="000000"/>
              </w:rPr>
              <w:t>Ironwood</w:t>
            </w:r>
          </w:p>
        </w:tc>
        <w:tc>
          <w:tcPr>
            <w:tcW w:w="1342" w:type="dxa"/>
            <w:tcBorders>
              <w:top w:val="nil"/>
              <w:left w:val="nil"/>
              <w:bottom w:val="single" w:sz="4" w:space="0" w:color="auto"/>
              <w:right w:val="nil"/>
            </w:tcBorders>
            <w:shd w:val="clear" w:color="auto" w:fill="D9D9D9" w:themeFill="background1" w:themeFillShade="D9"/>
          </w:tcPr>
          <w:p w:rsidR="00AB0795" w:rsidRPr="00786F9E" w:rsidRDefault="00AB0795" w:rsidP="0058618D">
            <w:pPr>
              <w:pStyle w:val="table1"/>
              <w:rPr>
                <w:color w:val="000000"/>
                <w:u w:color="000000"/>
              </w:rPr>
            </w:pPr>
            <w:r w:rsidRPr="00786F9E">
              <w:rPr>
                <w:color w:val="000000"/>
                <w:u w:color="000000"/>
              </w:rPr>
              <w:t>AM: 7.6×10</w:t>
            </w:r>
            <w:r w:rsidRPr="00AA3E24">
              <w:rPr>
                <w:snapToGrid w:val="0"/>
                <w:color w:val="000000"/>
                <w:position w:val="4"/>
                <w:sz w:val="11"/>
                <w:szCs w:val="0"/>
                <w:u w:color="000000"/>
              </w:rPr>
              <w:t>-2</w:t>
            </w:r>
          </w:p>
          <w:p w:rsidR="00AB0795" w:rsidRPr="00786F9E" w:rsidRDefault="00AB0795" w:rsidP="0058618D">
            <w:pPr>
              <w:pStyle w:val="table1"/>
              <w:rPr>
                <w:color w:val="000000"/>
                <w:u w:color="000000"/>
              </w:rPr>
            </w:pPr>
            <w:r w:rsidRPr="00786F9E">
              <w:rPr>
                <w:color w:val="000000"/>
                <w:u w:color="000000"/>
              </w:rPr>
              <w:t>SD: 1.1×10</w:t>
            </w:r>
            <w:r w:rsidRPr="00AA3E24">
              <w:rPr>
                <w:snapToGrid w:val="0"/>
                <w:color w:val="000000"/>
                <w:position w:val="4"/>
                <w:sz w:val="11"/>
                <w:szCs w:val="0"/>
                <w:u w:color="000000"/>
              </w:rPr>
              <w:t>-1</w:t>
            </w:r>
          </w:p>
          <w:p w:rsidR="00AB0795" w:rsidRPr="00786F9E" w:rsidRDefault="00AB0795" w:rsidP="0058618D">
            <w:pPr>
              <w:pStyle w:val="table1"/>
              <w:rPr>
                <w:color w:val="000000"/>
                <w:u w:color="000000"/>
              </w:rPr>
            </w:pPr>
            <w:r w:rsidRPr="00786F9E">
              <w:rPr>
                <w:color w:val="000000"/>
                <w:u w:color="000000"/>
              </w:rPr>
              <w:t>N: 42</w:t>
            </w:r>
          </w:p>
        </w:tc>
        <w:tc>
          <w:tcPr>
            <w:tcW w:w="1343" w:type="dxa"/>
            <w:tcBorders>
              <w:top w:val="nil"/>
              <w:left w:val="nil"/>
              <w:bottom w:val="single" w:sz="4" w:space="0" w:color="auto"/>
              <w:right w:val="nil"/>
            </w:tcBorders>
            <w:shd w:val="clear" w:color="auto" w:fill="D9D9D9" w:themeFill="background1" w:themeFillShade="D9"/>
          </w:tcPr>
          <w:p w:rsidR="00AB0795" w:rsidRPr="00786F9E" w:rsidRDefault="00AB0795" w:rsidP="0058618D">
            <w:pPr>
              <w:pStyle w:val="table1"/>
              <w:rPr>
                <w:color w:val="000000"/>
                <w:u w:color="000000"/>
              </w:rPr>
            </w:pPr>
            <w:r w:rsidRPr="00786F9E">
              <w:rPr>
                <w:color w:val="000000"/>
                <w:u w:color="000000"/>
              </w:rPr>
              <w:t>AM: 3.8×10</w:t>
            </w:r>
            <w:r w:rsidRPr="00AA3E24">
              <w:rPr>
                <w:snapToGrid w:val="0"/>
                <w:color w:val="000000"/>
                <w:position w:val="4"/>
                <w:sz w:val="11"/>
                <w:szCs w:val="0"/>
                <w:u w:color="000000"/>
              </w:rPr>
              <w:t>-2</w:t>
            </w:r>
          </w:p>
          <w:p w:rsidR="00AB0795" w:rsidRPr="00786F9E" w:rsidRDefault="00AB0795" w:rsidP="0058618D">
            <w:pPr>
              <w:pStyle w:val="table1"/>
              <w:rPr>
                <w:color w:val="000000"/>
                <w:u w:color="000000"/>
              </w:rPr>
            </w:pPr>
            <w:r w:rsidRPr="00786F9E">
              <w:rPr>
                <w:color w:val="000000"/>
                <w:u w:color="000000"/>
              </w:rPr>
              <w:t>SD: 2.2×10</w:t>
            </w:r>
            <w:r w:rsidRPr="00AA3E24">
              <w:rPr>
                <w:snapToGrid w:val="0"/>
                <w:color w:val="000000"/>
                <w:position w:val="4"/>
                <w:sz w:val="11"/>
                <w:szCs w:val="0"/>
                <w:u w:color="000000"/>
              </w:rPr>
              <w:t>-2</w:t>
            </w:r>
          </w:p>
          <w:p w:rsidR="00AB0795" w:rsidRPr="00786F9E" w:rsidRDefault="00AB0795" w:rsidP="0058618D">
            <w:pPr>
              <w:pStyle w:val="table1"/>
              <w:rPr>
                <w:color w:val="000000"/>
                <w:u w:color="000000"/>
              </w:rPr>
            </w:pPr>
            <w:r w:rsidRPr="00786F9E">
              <w:rPr>
                <w:color w:val="000000"/>
                <w:u w:color="000000"/>
              </w:rPr>
              <w:t>N: 20</w:t>
            </w:r>
          </w:p>
        </w:tc>
        <w:tc>
          <w:tcPr>
            <w:tcW w:w="1342" w:type="dxa"/>
            <w:tcBorders>
              <w:top w:val="nil"/>
              <w:left w:val="nil"/>
              <w:bottom w:val="single" w:sz="4" w:space="0" w:color="auto"/>
              <w:right w:val="nil"/>
            </w:tcBorders>
            <w:shd w:val="clear" w:color="auto" w:fill="D9D9D9" w:themeFill="background1" w:themeFillShade="D9"/>
          </w:tcPr>
          <w:p w:rsidR="00AB0795" w:rsidRPr="00786F9E" w:rsidRDefault="00AB0795" w:rsidP="0058618D">
            <w:pPr>
              <w:pStyle w:val="table1"/>
              <w:rPr>
                <w:color w:val="000000"/>
                <w:u w:color="000000"/>
              </w:rPr>
            </w:pPr>
            <w:r w:rsidRPr="00786F9E">
              <w:rPr>
                <w:color w:val="000000"/>
                <w:u w:color="000000"/>
              </w:rPr>
              <w:t>AM: 6.8×10</w:t>
            </w:r>
            <w:r w:rsidRPr="00AA3E24">
              <w:rPr>
                <w:snapToGrid w:val="0"/>
                <w:color w:val="000000"/>
                <w:position w:val="4"/>
                <w:sz w:val="11"/>
                <w:szCs w:val="0"/>
                <w:u w:color="000000"/>
              </w:rPr>
              <w:t>-4</w:t>
            </w:r>
          </w:p>
          <w:p w:rsidR="00AB0795" w:rsidRPr="00786F9E" w:rsidRDefault="00AB0795" w:rsidP="0058618D">
            <w:pPr>
              <w:pStyle w:val="table1"/>
              <w:rPr>
                <w:color w:val="000000"/>
                <w:u w:color="000000"/>
              </w:rPr>
            </w:pPr>
            <w:r w:rsidRPr="00786F9E">
              <w:rPr>
                <w:color w:val="000000"/>
                <w:u w:color="000000"/>
              </w:rPr>
              <w:t>SD: 7.5×10</w:t>
            </w:r>
            <w:r w:rsidRPr="00AA3E24">
              <w:rPr>
                <w:snapToGrid w:val="0"/>
                <w:color w:val="000000"/>
                <w:position w:val="4"/>
                <w:sz w:val="11"/>
                <w:szCs w:val="0"/>
                <w:u w:color="000000"/>
              </w:rPr>
              <w:t>-4</w:t>
            </w:r>
          </w:p>
          <w:p w:rsidR="00AB0795" w:rsidRPr="00786F9E" w:rsidRDefault="00AB0795" w:rsidP="0058618D">
            <w:pPr>
              <w:pStyle w:val="table1"/>
              <w:rPr>
                <w:color w:val="000000"/>
                <w:u w:color="000000"/>
              </w:rPr>
            </w:pPr>
            <w:r w:rsidRPr="00786F9E">
              <w:rPr>
                <w:color w:val="000000"/>
                <w:u w:color="000000"/>
              </w:rPr>
              <w:t>N: 20</w:t>
            </w:r>
          </w:p>
        </w:tc>
        <w:tc>
          <w:tcPr>
            <w:tcW w:w="1343" w:type="dxa"/>
            <w:tcBorders>
              <w:top w:val="nil"/>
              <w:left w:val="nil"/>
              <w:bottom w:val="single" w:sz="4" w:space="0" w:color="auto"/>
              <w:right w:val="nil"/>
            </w:tcBorders>
            <w:shd w:val="clear" w:color="auto" w:fill="D9D9D9" w:themeFill="background1" w:themeFillShade="D9"/>
          </w:tcPr>
          <w:p w:rsidR="00AB0795" w:rsidRPr="00786F9E" w:rsidRDefault="00AB0795" w:rsidP="0058618D">
            <w:pPr>
              <w:pStyle w:val="table1"/>
              <w:rPr>
                <w:color w:val="000000"/>
                <w:u w:color="000000"/>
              </w:rPr>
            </w:pPr>
            <w:r w:rsidRPr="00786F9E">
              <w:rPr>
                <w:color w:val="000000"/>
                <w:u w:color="000000"/>
              </w:rPr>
              <w:t>AM: 1.1×10</w:t>
            </w:r>
            <w:r w:rsidRPr="00AA3E24">
              <w:rPr>
                <w:snapToGrid w:val="0"/>
                <w:color w:val="000000"/>
                <w:position w:val="4"/>
                <w:sz w:val="11"/>
                <w:szCs w:val="0"/>
                <w:u w:color="000000"/>
              </w:rPr>
              <w:t>-3</w:t>
            </w:r>
          </w:p>
          <w:p w:rsidR="00AB0795" w:rsidRPr="00786F9E" w:rsidRDefault="00AB0795" w:rsidP="0058618D">
            <w:pPr>
              <w:pStyle w:val="table1"/>
              <w:rPr>
                <w:color w:val="000000"/>
                <w:u w:color="000000"/>
              </w:rPr>
            </w:pPr>
            <w:r w:rsidRPr="00786F9E">
              <w:rPr>
                <w:color w:val="000000"/>
                <w:u w:color="000000"/>
              </w:rPr>
              <w:t>SD: 1.1×10</w:t>
            </w:r>
            <w:r w:rsidRPr="00AA3E24">
              <w:rPr>
                <w:snapToGrid w:val="0"/>
                <w:color w:val="000000"/>
                <w:position w:val="4"/>
                <w:sz w:val="11"/>
                <w:szCs w:val="0"/>
                <w:u w:color="000000"/>
              </w:rPr>
              <w:t>-3</w:t>
            </w:r>
          </w:p>
          <w:p w:rsidR="00AB0795" w:rsidRPr="00786F9E" w:rsidRDefault="00AB0795" w:rsidP="0058618D">
            <w:pPr>
              <w:pStyle w:val="table1"/>
              <w:rPr>
                <w:color w:val="000000"/>
                <w:u w:color="000000"/>
              </w:rPr>
            </w:pPr>
            <w:r w:rsidRPr="00786F9E">
              <w:rPr>
                <w:color w:val="000000"/>
                <w:u w:color="000000"/>
              </w:rPr>
              <w:t>N: 85</w:t>
            </w:r>
          </w:p>
        </w:tc>
        <w:tc>
          <w:tcPr>
            <w:tcW w:w="1343" w:type="dxa"/>
            <w:tcBorders>
              <w:top w:val="nil"/>
              <w:left w:val="nil"/>
              <w:bottom w:val="single" w:sz="4" w:space="0" w:color="auto"/>
              <w:right w:val="nil"/>
            </w:tcBorders>
            <w:shd w:val="clear" w:color="auto" w:fill="D9D9D9" w:themeFill="background1" w:themeFillShade="D9"/>
          </w:tcPr>
          <w:p w:rsidR="00AB0795" w:rsidRPr="00786F9E" w:rsidRDefault="00AB0795" w:rsidP="0058618D">
            <w:pPr>
              <w:pStyle w:val="table1"/>
              <w:rPr>
                <w:snapToGrid w:val="0"/>
                <w:color w:val="000000"/>
                <w:szCs w:val="0"/>
                <w:u w:color="000000"/>
              </w:rPr>
            </w:pPr>
            <w:r w:rsidRPr="00786F9E">
              <w:rPr>
                <w:color w:val="000000"/>
                <w:u w:color="000000"/>
              </w:rPr>
              <w:t>AM: 6.8×10</w:t>
            </w:r>
            <w:r w:rsidRPr="00AA3E24">
              <w:rPr>
                <w:snapToGrid w:val="0"/>
                <w:color w:val="000000"/>
                <w:position w:val="4"/>
                <w:sz w:val="11"/>
                <w:szCs w:val="0"/>
                <w:u w:color="000000"/>
              </w:rPr>
              <w:t>-3</w:t>
            </w:r>
          </w:p>
          <w:p w:rsidR="00AB0795" w:rsidRPr="00786F9E" w:rsidRDefault="00AB0795" w:rsidP="0058618D">
            <w:pPr>
              <w:pStyle w:val="table1"/>
              <w:rPr>
                <w:color w:val="000000"/>
                <w:u w:color="000000"/>
              </w:rPr>
            </w:pPr>
            <w:r w:rsidRPr="00786F9E">
              <w:rPr>
                <w:color w:val="000000"/>
                <w:u w:color="000000"/>
              </w:rPr>
              <w:t>SD: 1.4×10</w:t>
            </w:r>
            <w:r w:rsidRPr="00AA3E24">
              <w:rPr>
                <w:snapToGrid w:val="0"/>
                <w:color w:val="000000"/>
                <w:position w:val="4"/>
                <w:sz w:val="11"/>
                <w:szCs w:val="0"/>
                <w:u w:color="000000"/>
              </w:rPr>
              <w:t>-2</w:t>
            </w:r>
          </w:p>
          <w:p w:rsidR="00AB0795" w:rsidRPr="00786F9E" w:rsidRDefault="00AB0795" w:rsidP="0058618D">
            <w:pPr>
              <w:pStyle w:val="table1"/>
              <w:rPr>
                <w:color w:val="000000"/>
                <w:u w:color="000000"/>
              </w:rPr>
            </w:pPr>
            <w:r w:rsidRPr="00786F9E">
              <w:rPr>
                <w:color w:val="000000"/>
                <w:u w:color="000000"/>
              </w:rPr>
              <w:t>N: 521</w:t>
            </w:r>
          </w:p>
        </w:tc>
      </w:tr>
    </w:tbl>
    <w:p w:rsidR="00AB0795" w:rsidRPr="009A0A84" w:rsidRDefault="00AB0795" w:rsidP="00AB0795">
      <w:pPr>
        <w:pStyle w:val="tablenote"/>
        <w:rPr>
          <w:rFonts w:ascii="Garamond" w:hAnsi="Garamond"/>
          <w:sz w:val="20"/>
          <w:lang w:val="en-US"/>
        </w:rPr>
      </w:pPr>
      <w:r w:rsidRPr="009A0A84">
        <w:rPr>
          <w:rFonts w:ascii="Garamond" w:hAnsi="Garamond"/>
          <w:sz w:val="20"/>
          <w:lang w:val="en-US"/>
        </w:rPr>
        <w:t>1 Values shown are arithmetic mean (AM), standard deviation (SD) and number of samples (N)</w:t>
      </w:r>
    </w:p>
    <w:p w:rsidR="00224F8A" w:rsidRPr="009A0A84" w:rsidRDefault="00224F8A" w:rsidP="00224F8A">
      <w:pPr>
        <w:pStyle w:val="tablenote"/>
        <w:rPr>
          <w:rFonts w:ascii="Garamond" w:hAnsi="Garamond"/>
          <w:sz w:val="20"/>
          <w:lang w:val="en-US"/>
        </w:rPr>
      </w:pPr>
      <w:r w:rsidRPr="009A0A84">
        <w:rPr>
          <w:rFonts w:ascii="Garamond" w:hAnsi="Garamond"/>
          <w:snapToGrid w:val="0"/>
          <w:color w:val="000000"/>
          <w:position w:val="3"/>
          <w:sz w:val="20"/>
          <w:u w:color="000000"/>
          <w:lang w:val="en-US"/>
        </w:rPr>
        <w:t>2</w:t>
      </w:r>
      <w:r w:rsidRPr="009A0A84">
        <w:rPr>
          <w:rFonts w:ascii="Garamond" w:hAnsi="Garamond"/>
          <w:sz w:val="20"/>
          <w:lang w:val="en-US"/>
        </w:rPr>
        <w:t xml:space="preserve"> Values with no shading obtained from the most preferred method, values with light grey shading obtained by the next preferred method, values with dark grey shading obtained by the least preferred method</w:t>
      </w:r>
    </w:p>
    <w:p w:rsidR="00224F8A" w:rsidRPr="009A0A84" w:rsidRDefault="00224F8A" w:rsidP="00224F8A">
      <w:pPr>
        <w:pStyle w:val="tablenote"/>
        <w:rPr>
          <w:rFonts w:ascii="Garamond" w:hAnsi="Garamond"/>
          <w:sz w:val="20"/>
          <w:lang w:val="en-US"/>
        </w:rPr>
      </w:pPr>
      <w:r w:rsidRPr="009A0A84">
        <w:rPr>
          <w:rFonts w:ascii="Garamond" w:hAnsi="Garamond"/>
          <w:snapToGrid w:val="0"/>
          <w:color w:val="000000"/>
          <w:position w:val="3"/>
          <w:sz w:val="20"/>
          <w:u w:color="000000"/>
          <w:lang w:val="en-US"/>
        </w:rPr>
        <w:t>3</w:t>
      </w:r>
      <w:r w:rsidRPr="009A0A84">
        <w:rPr>
          <w:rFonts w:ascii="Garamond" w:hAnsi="Garamond"/>
          <w:sz w:val="20"/>
          <w:lang w:val="en-US"/>
        </w:rPr>
        <w:t xml:space="preserve"> </w:t>
      </w:r>
      <w:proofErr w:type="gramStart"/>
      <w:r w:rsidRPr="009A0A84">
        <w:rPr>
          <w:rFonts w:ascii="Garamond" w:hAnsi="Garamond"/>
          <w:sz w:val="20"/>
          <w:lang w:val="en-US"/>
        </w:rPr>
        <w:t>na</w:t>
      </w:r>
      <w:proofErr w:type="gramEnd"/>
      <w:r w:rsidRPr="009A0A84">
        <w:rPr>
          <w:rFonts w:ascii="Garamond" w:hAnsi="Garamond"/>
          <w:sz w:val="20"/>
          <w:lang w:val="en-US"/>
        </w:rPr>
        <w:t xml:space="preserve"> indicates value not available</w:t>
      </w:r>
    </w:p>
    <w:p w:rsidR="00224F8A" w:rsidRPr="00F776F2" w:rsidRDefault="00224F8A" w:rsidP="00092276">
      <w:pPr>
        <w:pStyle w:val="Heading3"/>
        <w:rPr>
          <w:lang w:val="en-US"/>
        </w:rPr>
      </w:pPr>
      <w:r w:rsidRPr="00F776F2">
        <w:rPr>
          <w:lang w:val="en-US"/>
        </w:rPr>
        <w:t>Analysis approach</w:t>
      </w:r>
    </w:p>
    <w:p w:rsidR="00224F8A" w:rsidRPr="00F776F2" w:rsidRDefault="00224F8A" w:rsidP="00224F8A">
      <w:pPr>
        <w:rPr>
          <w:lang w:val="en-US"/>
        </w:rPr>
      </w:pPr>
      <w:r w:rsidRPr="00F776F2">
        <w:rPr>
          <w:lang w:val="en-US"/>
        </w:rPr>
        <w:t>EMCLs were back-calculated against a screening dose rate of 10 µGy h</w:t>
      </w:r>
      <w:r w:rsidRPr="00F776F2">
        <w:rPr>
          <w:snapToGrid w:val="0"/>
          <w:color w:val="000000"/>
          <w:position w:val="5"/>
          <w:sz w:val="15"/>
          <w:szCs w:val="0"/>
          <w:u w:color="000000"/>
          <w:lang w:val="en-US"/>
        </w:rPr>
        <w:t>-1</w:t>
      </w:r>
      <w:r w:rsidRPr="00F776F2">
        <w:rPr>
          <w:lang w:val="en-US"/>
        </w:rPr>
        <w:t xml:space="preserve"> for an anticipated mix of </w:t>
      </w:r>
      <w:r w:rsidRPr="00F776F2">
        <w:rPr>
          <w:snapToGrid w:val="0"/>
          <w:color w:val="000000"/>
          <w:position w:val="5"/>
          <w:sz w:val="15"/>
          <w:szCs w:val="0"/>
          <w:u w:color="000000"/>
          <w:lang w:val="en-US"/>
        </w:rPr>
        <w:t>238</w:t>
      </w:r>
      <w:r w:rsidRPr="00F776F2">
        <w:rPr>
          <w:lang w:val="en-US"/>
        </w:rPr>
        <w:t xml:space="preserve">U in secular equilibrium with its progeny in the waste rock cover of the rehabilitated </w:t>
      </w:r>
      <w:r w:rsidR="00672FCB" w:rsidRPr="00F776F2">
        <w:rPr>
          <w:lang w:val="en-US"/>
        </w:rPr>
        <w:t>landform</w:t>
      </w:r>
      <w:r w:rsidRPr="00F776F2">
        <w:rPr>
          <w:lang w:val="en-US"/>
        </w:rPr>
        <w:t>. T</w:t>
      </w:r>
      <w:r>
        <w:rPr>
          <w:lang w:val="en-US"/>
        </w:rPr>
        <w:t xml:space="preserve">he ERICA Tool </w:t>
      </w:r>
      <w:r w:rsidRPr="00F776F2">
        <w:rPr>
          <w:lang w:val="en-US"/>
        </w:rPr>
        <w:t xml:space="preserve">was used to calculate the dose rate to the organism per unit activity concentration of </w:t>
      </w:r>
      <w:r w:rsidRPr="00F776F2">
        <w:rPr>
          <w:snapToGrid w:val="0"/>
          <w:color w:val="000000"/>
          <w:position w:val="5"/>
          <w:sz w:val="15"/>
          <w:szCs w:val="0"/>
          <w:u w:color="000000"/>
          <w:lang w:val="en-US"/>
        </w:rPr>
        <w:t>238</w:t>
      </w:r>
      <w:r w:rsidRPr="00F776F2">
        <w:rPr>
          <w:lang w:val="en-US"/>
        </w:rPr>
        <w:t>U series radionuclides in waste rock (</w:t>
      </w:r>
      <w:r w:rsidRPr="00F776F2">
        <w:rPr>
          <w:rFonts w:ascii="Cambria Math" w:hAnsi="Cambria Math"/>
          <w:i/>
          <w:lang w:val="en-US"/>
        </w:rPr>
        <w:t>F</w:t>
      </w:r>
      <w:r w:rsidRPr="00F776F2">
        <w:rPr>
          <w:lang w:val="en-US"/>
        </w:rPr>
        <w:t>-value) in two ways:</w:t>
      </w:r>
    </w:p>
    <w:p w:rsidR="00244787" w:rsidRPr="00F776F2" w:rsidRDefault="00244787" w:rsidP="00244787">
      <w:pPr>
        <w:pStyle w:val="numberlist1"/>
        <w:numPr>
          <w:ilvl w:val="0"/>
          <w:numId w:val="18"/>
        </w:numPr>
        <w:rPr>
          <w:lang w:val="en-US"/>
        </w:rPr>
      </w:pPr>
      <w:r w:rsidRPr="00F776F2">
        <w:rPr>
          <w:i/>
          <w:lang w:val="en-US"/>
        </w:rPr>
        <w:t>Tier 3 analysis.</w:t>
      </w:r>
      <w:r w:rsidRPr="00F776F2">
        <w:rPr>
          <w:lang w:val="en-US"/>
        </w:rPr>
        <w:t xml:space="preserve"> This approach was used to calculate a highly conservative </w:t>
      </w:r>
      <w:r w:rsidRPr="00F776F2">
        <w:rPr>
          <w:rFonts w:ascii="Cambria Math" w:hAnsi="Cambria Math"/>
          <w:i/>
          <w:lang w:val="en-US"/>
        </w:rPr>
        <w:t>F</w:t>
      </w:r>
      <w:r w:rsidRPr="00F776F2">
        <w:rPr>
          <w:lang w:val="en-US"/>
        </w:rPr>
        <w:t>-value and followed the general approach described in the ERICA Tool help file and Brown et al</w:t>
      </w:r>
      <w:r w:rsidR="00E72C28">
        <w:rPr>
          <w:lang w:val="en-US"/>
        </w:rPr>
        <w:t>.</w:t>
      </w:r>
      <w:r w:rsidRPr="00F776F2">
        <w:rPr>
          <w:lang w:val="en-US"/>
        </w:rPr>
        <w:t xml:space="preserve"> (2008). Soil-to-organism CRs were entered as a distribution – lognormal for those with a mean and standard deviation and exponential for those based on a single value only. Soil activity concentrations were entered as 1 Bq kg</w:t>
      </w:r>
      <w:r w:rsidRPr="00F776F2">
        <w:rPr>
          <w:color w:val="000000"/>
          <w:position w:val="5"/>
          <w:sz w:val="15"/>
          <w:szCs w:val="0"/>
          <w:u w:color="000000"/>
          <w:lang w:val="en-US"/>
        </w:rPr>
        <w:t>-1</w:t>
      </w:r>
      <w:r w:rsidRPr="00F776F2">
        <w:rPr>
          <w:lang w:val="en-US"/>
        </w:rPr>
        <w:t xml:space="preserve"> for all radionuclides. The </w:t>
      </w:r>
      <w:r w:rsidRPr="00F776F2">
        <w:rPr>
          <w:rFonts w:ascii="Cambria Math" w:hAnsi="Cambria Math"/>
          <w:i/>
          <w:lang w:val="en-US"/>
        </w:rPr>
        <w:t>F</w:t>
      </w:r>
      <w:r w:rsidRPr="00F776F2">
        <w:rPr>
          <w:lang w:val="en-US"/>
        </w:rPr>
        <w:t>-value was selected as the 95</w:t>
      </w:r>
      <w:r w:rsidRPr="00F776F2">
        <w:rPr>
          <w:vertAlign w:val="superscript"/>
          <w:lang w:val="en-US"/>
        </w:rPr>
        <w:t>th</w:t>
      </w:r>
      <w:r w:rsidRPr="00F776F2">
        <w:rPr>
          <w:lang w:val="en-US"/>
        </w:rPr>
        <w:t xml:space="preserve"> percentile value of the output dose rate distribution from the analysis. The EMCL was then determined for the limiting organism, which was the organism with the highest </w:t>
      </w:r>
      <w:r w:rsidRPr="00F776F2">
        <w:rPr>
          <w:rFonts w:ascii="Cambria Math" w:hAnsi="Cambria Math"/>
          <w:i/>
          <w:lang w:val="en-US"/>
        </w:rPr>
        <w:t>F</w:t>
      </w:r>
      <w:r w:rsidRPr="00F776F2">
        <w:rPr>
          <w:lang w:val="en-US"/>
        </w:rPr>
        <w:t>-value.</w:t>
      </w:r>
    </w:p>
    <w:p w:rsidR="00244787" w:rsidRPr="00F776F2" w:rsidRDefault="00244787" w:rsidP="00244787">
      <w:pPr>
        <w:pStyle w:val="numberlist1"/>
        <w:numPr>
          <w:ilvl w:val="0"/>
          <w:numId w:val="18"/>
        </w:numPr>
        <w:rPr>
          <w:lang w:val="en-US"/>
        </w:rPr>
      </w:pPr>
      <w:r w:rsidRPr="00F776F2">
        <w:rPr>
          <w:i/>
          <w:lang w:val="en-US"/>
        </w:rPr>
        <w:t>Tier 2 analysis.</w:t>
      </w:r>
      <w:r w:rsidRPr="00F776F2">
        <w:rPr>
          <w:lang w:val="en-US"/>
        </w:rPr>
        <w:t xml:space="preserve"> This approach was used to calculate a typical </w:t>
      </w:r>
      <w:r w:rsidRPr="00F776F2">
        <w:rPr>
          <w:rFonts w:ascii="Cambria Math" w:hAnsi="Cambria Math"/>
          <w:i/>
          <w:lang w:val="en-US"/>
        </w:rPr>
        <w:t>F</w:t>
      </w:r>
      <w:r w:rsidRPr="00F776F2">
        <w:rPr>
          <w:lang w:val="en-US"/>
        </w:rPr>
        <w:t>-value. Organism-to-soil CRs were entered as the mean value only, not a distribution. Soil activity concentrations were entered as 1 Bq kg</w:t>
      </w:r>
      <w:r w:rsidRPr="00F776F2">
        <w:rPr>
          <w:color w:val="000000"/>
          <w:position w:val="5"/>
          <w:sz w:val="15"/>
          <w:szCs w:val="0"/>
          <w:u w:color="000000"/>
          <w:lang w:val="en-US"/>
        </w:rPr>
        <w:t>-1</w:t>
      </w:r>
      <w:r w:rsidRPr="00F776F2">
        <w:rPr>
          <w:lang w:val="en-US"/>
        </w:rPr>
        <w:t xml:space="preserve"> for all radionuclides. The </w:t>
      </w:r>
      <w:r w:rsidRPr="00F776F2">
        <w:rPr>
          <w:rFonts w:ascii="Cambria Math" w:hAnsi="Cambria Math"/>
          <w:i/>
          <w:lang w:val="en-US"/>
        </w:rPr>
        <w:t>F</w:t>
      </w:r>
      <w:r w:rsidRPr="00F776F2">
        <w:rPr>
          <w:lang w:val="en-US"/>
        </w:rPr>
        <w:t>-value was selected as the deterministic output dose rate value from the analysis. An EMCL was then determined for each organism.</w:t>
      </w:r>
    </w:p>
    <w:p w:rsidR="00224F8A" w:rsidRPr="00F776F2" w:rsidRDefault="00224F8A" w:rsidP="00092276">
      <w:pPr>
        <w:pStyle w:val="Heading2"/>
        <w:rPr>
          <w:lang w:val="en-US"/>
        </w:rPr>
      </w:pPr>
      <w:r w:rsidRPr="00F776F2">
        <w:rPr>
          <w:lang w:val="en-US"/>
        </w:rPr>
        <w:t>Results and discus</w:t>
      </w:r>
      <w:r w:rsidRPr="00224F8A">
        <w:t>s</w:t>
      </w:r>
      <w:r w:rsidRPr="00F776F2">
        <w:rPr>
          <w:lang w:val="en-US"/>
        </w:rPr>
        <w:t>ion</w:t>
      </w:r>
    </w:p>
    <w:p w:rsidR="00224F8A" w:rsidRDefault="00224F8A" w:rsidP="00224F8A">
      <w:pPr>
        <w:rPr>
          <w:lang w:val="en-US"/>
        </w:rPr>
      </w:pPr>
      <w:r w:rsidRPr="00F776F2">
        <w:rPr>
          <w:lang w:val="en-US"/>
        </w:rPr>
        <w:t xml:space="preserve">Figure 1 shows the highly conservative EMCL </w:t>
      </w:r>
      <w:r>
        <w:rPr>
          <w:lang w:val="en-US"/>
        </w:rPr>
        <w:t xml:space="preserve">for </w:t>
      </w:r>
      <w:r w:rsidRPr="00963724">
        <w:rPr>
          <w:snapToGrid w:val="0"/>
          <w:color w:val="000000"/>
          <w:position w:val="5"/>
          <w:sz w:val="15"/>
          <w:szCs w:val="0"/>
          <w:u w:color="000000"/>
          <w:lang w:val="en-US"/>
        </w:rPr>
        <w:t>238</w:t>
      </w:r>
      <w:r>
        <w:rPr>
          <w:lang w:val="en-US"/>
        </w:rPr>
        <w:t xml:space="preserve">U in secular equilibrium with progeny </w:t>
      </w:r>
      <w:r w:rsidRPr="00F776F2">
        <w:rPr>
          <w:lang w:val="en-US"/>
        </w:rPr>
        <w:t xml:space="preserve">calculated from the tier 3 </w:t>
      </w:r>
      <w:proofErr w:type="gramStart"/>
      <w:r w:rsidRPr="00F776F2">
        <w:rPr>
          <w:lang w:val="en-US"/>
        </w:rPr>
        <w:t>analysis</w:t>
      </w:r>
      <w:proofErr w:type="gramEnd"/>
      <w:r w:rsidRPr="00F776F2">
        <w:rPr>
          <w:lang w:val="en-US"/>
        </w:rPr>
        <w:t xml:space="preserve">. The value was </w:t>
      </w:r>
      <w:proofErr w:type="gramStart"/>
      <w:r w:rsidRPr="00F776F2">
        <w:rPr>
          <w:lang w:val="en-US"/>
        </w:rPr>
        <w:t>130 Bq kg</w:t>
      </w:r>
      <w:r w:rsidRPr="00F776F2">
        <w:rPr>
          <w:snapToGrid w:val="0"/>
          <w:color w:val="000000"/>
          <w:position w:val="5"/>
          <w:sz w:val="15"/>
          <w:szCs w:val="0"/>
          <w:u w:color="000000"/>
          <w:lang w:val="en-US"/>
        </w:rPr>
        <w:t>-1</w:t>
      </w:r>
      <w:proofErr w:type="gramEnd"/>
      <w:r w:rsidRPr="00F776F2">
        <w:rPr>
          <w:lang w:val="en-US"/>
        </w:rPr>
        <w:t xml:space="preserve"> and comes from olive python as the limiting organism. The above baseline soil </w:t>
      </w:r>
      <w:r w:rsidRPr="00F776F2">
        <w:rPr>
          <w:snapToGrid w:val="0"/>
          <w:color w:val="000000"/>
          <w:position w:val="5"/>
          <w:sz w:val="15"/>
          <w:szCs w:val="0"/>
          <w:u w:color="000000"/>
          <w:lang w:val="en-US"/>
        </w:rPr>
        <w:t>238</w:t>
      </w:r>
      <w:r w:rsidRPr="00F776F2">
        <w:rPr>
          <w:lang w:val="en-US"/>
        </w:rPr>
        <w:t xml:space="preserve">U activity concentration from the Ranger rehabilitation strategy could be compared to this EMCL to establish the general ecosystem risk context in a similar way to doing a tier 1 assessment in the ERICA Tool, except that the EMCL in this case has been calculated from local organism data. The ERICA Tool does not allow the user to enter any local organism data during a tier 1 assessment – the user is restricted to use the default reference organisms and default CRs within the tool. The assessment should progress to the tier 2 level if the comparison </w:t>
      </w:r>
      <w:r>
        <w:rPr>
          <w:lang w:val="en-US"/>
        </w:rPr>
        <w:t>of</w:t>
      </w:r>
      <w:r w:rsidRPr="006F2843">
        <w:rPr>
          <w:lang w:val="en-US"/>
        </w:rPr>
        <w:t xml:space="preserve"> </w:t>
      </w:r>
      <w:r w:rsidRPr="00F776F2">
        <w:rPr>
          <w:lang w:val="en-US"/>
        </w:rPr>
        <w:t xml:space="preserve">above baseline soil </w:t>
      </w:r>
      <w:r w:rsidRPr="00F776F2">
        <w:rPr>
          <w:snapToGrid w:val="0"/>
          <w:color w:val="000000"/>
          <w:position w:val="5"/>
          <w:sz w:val="15"/>
          <w:szCs w:val="0"/>
          <w:u w:color="000000"/>
          <w:lang w:val="en-US"/>
        </w:rPr>
        <w:t>238</w:t>
      </w:r>
      <w:r w:rsidRPr="00F776F2">
        <w:rPr>
          <w:lang w:val="en-US"/>
        </w:rPr>
        <w:t>U activity concentration</w:t>
      </w:r>
      <w:r>
        <w:rPr>
          <w:lang w:val="en-US"/>
        </w:rPr>
        <w:t xml:space="preserve"> to the EMCL </w:t>
      </w:r>
      <w:r w:rsidRPr="00F776F2">
        <w:rPr>
          <w:lang w:val="en-US"/>
        </w:rPr>
        <w:t>gives</w:t>
      </w:r>
      <w:r>
        <w:rPr>
          <w:lang w:val="en-US"/>
        </w:rPr>
        <w:t xml:space="preserve"> a quotient greater than one</w:t>
      </w:r>
      <w:r w:rsidRPr="00F776F2">
        <w:rPr>
          <w:lang w:val="en-US"/>
        </w:rPr>
        <w:t>.</w:t>
      </w:r>
    </w:p>
    <w:p w:rsidR="00224F8A" w:rsidRDefault="00224F8A" w:rsidP="00224F8A">
      <w:pPr>
        <w:rPr>
          <w:lang w:val="en-US"/>
        </w:rPr>
      </w:pPr>
    </w:p>
    <w:p w:rsidR="00224F8A" w:rsidRDefault="00224F8A" w:rsidP="00224F8A">
      <w:pPr>
        <w:rPr>
          <w:lang w:val="en-US"/>
        </w:rPr>
      </w:pPr>
      <w:r>
        <w:rPr>
          <w:noProof/>
          <w:lang w:eastAsia="en-AU"/>
        </w:rPr>
        <w:drawing>
          <wp:inline distT="0" distB="0" distL="0" distR="0">
            <wp:extent cx="5274310" cy="1995975"/>
            <wp:effectExtent l="19050" t="0" r="2540" b="0"/>
            <wp:docPr id="31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8" cstate="screen"/>
                    <a:srcRect/>
                    <a:stretch>
                      <a:fillRect/>
                    </a:stretch>
                  </pic:blipFill>
                  <pic:spPr bwMode="auto">
                    <a:xfrm>
                      <a:off x="0" y="0"/>
                      <a:ext cx="5274310" cy="1995975"/>
                    </a:xfrm>
                    <a:prstGeom prst="rect">
                      <a:avLst/>
                    </a:prstGeom>
                    <a:noFill/>
                    <a:ln w="9525">
                      <a:noFill/>
                      <a:miter lim="800000"/>
                      <a:headEnd/>
                      <a:tailEnd/>
                    </a:ln>
                  </pic:spPr>
                </pic:pic>
              </a:graphicData>
            </a:graphic>
          </wp:inline>
        </w:drawing>
      </w:r>
    </w:p>
    <w:p w:rsidR="00224F8A" w:rsidRPr="00F776F2" w:rsidRDefault="00224F8A" w:rsidP="00224F8A">
      <w:pPr>
        <w:pStyle w:val="figurecaption"/>
        <w:rPr>
          <w:lang w:val="en-US"/>
        </w:rPr>
      </w:pPr>
      <w:r w:rsidRPr="00F15CE0">
        <w:rPr>
          <w:b/>
          <w:lang w:val="en-US"/>
        </w:rPr>
        <w:t xml:space="preserve">Figure </w:t>
      </w:r>
      <w:proofErr w:type="gramStart"/>
      <w:r w:rsidRPr="00F15CE0">
        <w:rPr>
          <w:b/>
          <w:lang w:val="en-US"/>
        </w:rPr>
        <w:t>1</w:t>
      </w:r>
      <w:r>
        <w:rPr>
          <w:lang w:val="en-US"/>
        </w:rPr>
        <w:t xml:space="preserve">  Highly</w:t>
      </w:r>
      <w:proofErr w:type="gramEnd"/>
      <w:r>
        <w:rPr>
          <w:lang w:val="en-US"/>
        </w:rPr>
        <w:t xml:space="preserve"> conservative general ecosystem EMCL for </w:t>
      </w:r>
      <w:r w:rsidRPr="00F15CE0">
        <w:rPr>
          <w:snapToGrid w:val="0"/>
          <w:color w:val="000000"/>
          <w:position w:val="4"/>
          <w:sz w:val="12"/>
          <w:szCs w:val="0"/>
          <w:u w:color="000000"/>
          <w:lang w:val="en-US"/>
        </w:rPr>
        <w:t>238</w:t>
      </w:r>
      <w:r>
        <w:rPr>
          <w:lang w:val="en-US"/>
        </w:rPr>
        <w:t>U in secular equilibrium with progeny from the ERICA Tool tier 3 analysis</w:t>
      </w:r>
      <w:r w:rsidR="00244787">
        <w:rPr>
          <w:lang w:val="en-US"/>
        </w:rPr>
        <w:t>.</w:t>
      </w:r>
    </w:p>
    <w:p w:rsidR="00224F8A" w:rsidRDefault="00224F8A" w:rsidP="00224F8A">
      <w:pPr>
        <w:rPr>
          <w:lang w:val="en-US"/>
        </w:rPr>
      </w:pPr>
      <w:r w:rsidRPr="00F776F2">
        <w:rPr>
          <w:lang w:val="en-US"/>
        </w:rPr>
        <w:t xml:space="preserve">Figure 2 shows the typical EMCL </w:t>
      </w:r>
      <w:r>
        <w:rPr>
          <w:lang w:val="en-US"/>
        </w:rPr>
        <w:t xml:space="preserve">for </w:t>
      </w:r>
      <w:r w:rsidRPr="00963724">
        <w:rPr>
          <w:snapToGrid w:val="0"/>
          <w:color w:val="000000"/>
          <w:position w:val="5"/>
          <w:sz w:val="15"/>
          <w:szCs w:val="0"/>
          <w:u w:color="000000"/>
          <w:lang w:val="en-US"/>
        </w:rPr>
        <w:t>238</w:t>
      </w:r>
      <w:r>
        <w:rPr>
          <w:lang w:val="en-US"/>
        </w:rPr>
        <w:t xml:space="preserve">U in secular equilibrium with progeny </w:t>
      </w:r>
      <w:r w:rsidRPr="00F776F2">
        <w:rPr>
          <w:lang w:val="en-US"/>
        </w:rPr>
        <w:t xml:space="preserve">for each organism calculated from the tier 2 </w:t>
      </w:r>
      <w:proofErr w:type="gramStart"/>
      <w:r w:rsidRPr="00F776F2">
        <w:rPr>
          <w:lang w:val="en-US"/>
        </w:rPr>
        <w:t>analysis</w:t>
      </w:r>
      <w:proofErr w:type="gramEnd"/>
      <w:r w:rsidRPr="00F776F2">
        <w:rPr>
          <w:lang w:val="en-US"/>
        </w:rPr>
        <w:t>. The values ranged from 350 Bq kg</w:t>
      </w:r>
      <w:r w:rsidRPr="00F776F2">
        <w:rPr>
          <w:snapToGrid w:val="0"/>
          <w:color w:val="000000"/>
          <w:position w:val="5"/>
          <w:sz w:val="15"/>
          <w:szCs w:val="0"/>
          <w:u w:color="000000"/>
          <w:lang w:val="en-US"/>
        </w:rPr>
        <w:t>-1</w:t>
      </w:r>
      <w:r w:rsidRPr="00F776F2">
        <w:rPr>
          <w:lang w:val="en-US"/>
        </w:rPr>
        <w:t xml:space="preserve"> for olive python to 6500 Bq kg</w:t>
      </w:r>
      <w:r w:rsidRPr="00F776F2">
        <w:rPr>
          <w:snapToGrid w:val="0"/>
          <w:color w:val="000000"/>
          <w:position w:val="5"/>
          <w:sz w:val="15"/>
          <w:szCs w:val="0"/>
          <w:u w:color="000000"/>
          <w:lang w:val="en-US"/>
        </w:rPr>
        <w:t>-1</w:t>
      </w:r>
      <w:r w:rsidRPr="00F776F2">
        <w:rPr>
          <w:lang w:val="en-US"/>
        </w:rPr>
        <w:t xml:space="preserve"> for ironwood. The above baseline soil </w:t>
      </w:r>
      <w:r w:rsidRPr="00F776F2">
        <w:rPr>
          <w:snapToGrid w:val="0"/>
          <w:color w:val="000000"/>
          <w:position w:val="5"/>
          <w:sz w:val="15"/>
          <w:szCs w:val="0"/>
          <w:u w:color="000000"/>
          <w:lang w:val="en-US"/>
        </w:rPr>
        <w:t>238</w:t>
      </w:r>
      <w:r w:rsidRPr="00F776F2">
        <w:rPr>
          <w:lang w:val="en-US"/>
        </w:rPr>
        <w:t>U activity concentration from the Ranger rehabilitation strategy could be compared to these EMCLs to establish the risk context for each organism in a similar way to doing a tier 2 assessment in the ERICA Tool. The assessment</w:t>
      </w:r>
      <w:r>
        <w:rPr>
          <w:lang w:val="en-US"/>
        </w:rPr>
        <w:t xml:space="preserve"> of doses to the environment</w:t>
      </w:r>
      <w:r w:rsidRPr="00F776F2">
        <w:rPr>
          <w:lang w:val="en-US"/>
        </w:rPr>
        <w:t xml:space="preserve"> should progress to the tier 3 level for those organisms where the comparison gives</w:t>
      </w:r>
      <w:r>
        <w:rPr>
          <w:lang w:val="en-US"/>
        </w:rPr>
        <w:t xml:space="preserve"> a quotient greater than one</w:t>
      </w:r>
      <w:r w:rsidRPr="00F776F2">
        <w:rPr>
          <w:lang w:val="en-US"/>
        </w:rPr>
        <w:t>.</w:t>
      </w:r>
    </w:p>
    <w:p w:rsidR="00224F8A" w:rsidRDefault="00224F8A" w:rsidP="00244787">
      <w:pPr>
        <w:jc w:val="center"/>
        <w:rPr>
          <w:lang w:val="en-US"/>
        </w:rPr>
      </w:pPr>
      <w:r>
        <w:rPr>
          <w:noProof/>
          <w:lang w:eastAsia="en-AU"/>
        </w:rPr>
        <w:drawing>
          <wp:inline distT="0" distB="0" distL="0" distR="0">
            <wp:extent cx="4924425" cy="1861672"/>
            <wp:effectExtent l="19050" t="0" r="9525" b="0"/>
            <wp:docPr id="31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9" cstate="screen"/>
                    <a:srcRect/>
                    <a:stretch>
                      <a:fillRect/>
                    </a:stretch>
                  </pic:blipFill>
                  <pic:spPr bwMode="auto">
                    <a:xfrm>
                      <a:off x="0" y="0"/>
                      <a:ext cx="4932393" cy="1864684"/>
                    </a:xfrm>
                    <a:prstGeom prst="rect">
                      <a:avLst/>
                    </a:prstGeom>
                    <a:noFill/>
                    <a:ln w="9525">
                      <a:noFill/>
                      <a:miter lim="800000"/>
                      <a:headEnd/>
                      <a:tailEnd/>
                    </a:ln>
                  </pic:spPr>
                </pic:pic>
              </a:graphicData>
            </a:graphic>
          </wp:inline>
        </w:drawing>
      </w:r>
    </w:p>
    <w:p w:rsidR="00224F8A" w:rsidRDefault="00224F8A" w:rsidP="00224F8A">
      <w:pPr>
        <w:pStyle w:val="figurecaption"/>
        <w:rPr>
          <w:lang w:val="en-US"/>
        </w:rPr>
      </w:pPr>
      <w:r w:rsidRPr="00963724">
        <w:rPr>
          <w:b/>
          <w:lang w:val="en-US"/>
        </w:rPr>
        <w:t xml:space="preserve">Figure </w:t>
      </w:r>
      <w:proofErr w:type="gramStart"/>
      <w:r w:rsidRPr="00963724">
        <w:rPr>
          <w:b/>
          <w:lang w:val="en-US"/>
        </w:rPr>
        <w:t>2</w:t>
      </w:r>
      <w:r>
        <w:rPr>
          <w:lang w:val="en-US"/>
        </w:rPr>
        <w:t xml:space="preserve">  Individual</w:t>
      </w:r>
      <w:proofErr w:type="gramEnd"/>
      <w:r>
        <w:rPr>
          <w:lang w:val="en-US"/>
        </w:rPr>
        <w:t xml:space="preserve"> organism EMCLs for 238U in secular equilibrium with progeny from the ERICA Tool tier 2 analysis</w:t>
      </w:r>
      <w:r w:rsidR="00244787">
        <w:rPr>
          <w:lang w:val="en-US"/>
        </w:rPr>
        <w:t>.</w:t>
      </w:r>
    </w:p>
    <w:p w:rsidR="0057702C" w:rsidRDefault="00244787" w:rsidP="0057702C">
      <w:pPr>
        <w:jc w:val="left"/>
        <w:rPr>
          <w:lang w:val="en-US"/>
        </w:rPr>
        <w:sectPr w:rsidR="0057702C" w:rsidSect="00D444BD">
          <w:pgSz w:w="11906" w:h="16838" w:code="9"/>
          <w:pgMar w:top="1440" w:right="1800" w:bottom="1440" w:left="1800" w:header="1080" w:footer="835" w:gutter="0"/>
          <w:cols w:space="360"/>
          <w:noEndnote/>
        </w:sectPr>
      </w:pPr>
      <w:r w:rsidRPr="00F776F2">
        <w:rPr>
          <w:lang w:val="en-US"/>
        </w:rPr>
        <w:t>Figure 3 shows the EMCL for each individual radionuclide-organism combination and the relative contribution of the internal and external exposure pathways.</w:t>
      </w:r>
      <w:r>
        <w:rPr>
          <w:lang w:val="en-US"/>
        </w:rPr>
        <w:t xml:space="preserve"> </w:t>
      </w:r>
      <w:r w:rsidRPr="00F776F2">
        <w:rPr>
          <w:lang w:val="en-US"/>
        </w:rPr>
        <w:t xml:space="preserve">The most important radionuclide for animals was </w:t>
      </w:r>
      <w:r w:rsidRPr="00F776F2">
        <w:rPr>
          <w:snapToGrid w:val="0"/>
          <w:color w:val="000000"/>
          <w:position w:val="5"/>
          <w:sz w:val="15"/>
          <w:szCs w:val="0"/>
          <w:u w:color="000000"/>
          <w:lang w:val="en-US"/>
        </w:rPr>
        <w:t>226</w:t>
      </w:r>
      <w:r w:rsidRPr="00F776F2">
        <w:rPr>
          <w:lang w:val="en-US"/>
        </w:rPr>
        <w:t xml:space="preserve">Ra – the proportion of the EMCL related to this radionuclide was 79% on average and ranged from 60% for sand goanna to 97% for green tree frog. The most important radionuclide for plants was </w:t>
      </w:r>
      <w:r w:rsidRPr="00F776F2">
        <w:rPr>
          <w:snapToGrid w:val="0"/>
          <w:color w:val="000000"/>
          <w:position w:val="5"/>
          <w:sz w:val="15"/>
          <w:szCs w:val="0"/>
          <w:u w:color="000000"/>
          <w:lang w:val="en-US"/>
        </w:rPr>
        <w:t>210</w:t>
      </w:r>
      <w:r w:rsidRPr="00F776F2">
        <w:rPr>
          <w:lang w:val="en-US"/>
        </w:rPr>
        <w:t xml:space="preserve">Po – the proportion of the EMCL related to this radionuclide was 66% for ironwood and 89% for spear grass. The internal exposure pathway was much more important than the external exposure pathway for all organisms – the proportion of the EMCL related to internal exposure was 92% on average and ranged from 82% for ironwood to 99% for olive python. The dominance of the internal exposure pathway suggests that the most critical parameter in environmental radiological assessment is likely to be soil-to-organism CRs and that research should focus on characterisation of this parameter, especially for </w:t>
      </w:r>
      <w:r w:rsidRPr="00F776F2">
        <w:rPr>
          <w:snapToGrid w:val="0"/>
          <w:color w:val="000000"/>
          <w:position w:val="5"/>
          <w:sz w:val="15"/>
          <w:szCs w:val="0"/>
          <w:u w:color="000000"/>
          <w:lang w:val="en-US"/>
        </w:rPr>
        <w:t>226</w:t>
      </w:r>
      <w:r w:rsidRPr="00F776F2">
        <w:rPr>
          <w:lang w:val="en-US"/>
        </w:rPr>
        <w:t xml:space="preserve">Ra in animals and </w:t>
      </w:r>
      <w:r w:rsidRPr="00F776F2">
        <w:rPr>
          <w:snapToGrid w:val="0"/>
          <w:color w:val="000000"/>
          <w:position w:val="5"/>
          <w:sz w:val="15"/>
          <w:szCs w:val="0"/>
          <w:u w:color="000000"/>
          <w:lang w:val="en-US"/>
        </w:rPr>
        <w:t>210</w:t>
      </w:r>
      <w:r w:rsidRPr="00F776F2">
        <w:rPr>
          <w:lang w:val="en-US"/>
        </w:rPr>
        <w:t>Po in plants.</w:t>
      </w:r>
    </w:p>
    <w:p w:rsidR="00244787" w:rsidRDefault="00244787" w:rsidP="00244787">
      <w:pPr>
        <w:rPr>
          <w:lang w:val="en-US"/>
        </w:rPr>
      </w:pPr>
    </w:p>
    <w:tbl>
      <w:tblPr>
        <w:tblW w:w="0" w:type="auto"/>
        <w:tblCellMar>
          <w:left w:w="0" w:type="dxa"/>
          <w:right w:w="0" w:type="dxa"/>
        </w:tblCellMar>
        <w:tblLook w:val="04A0"/>
      </w:tblPr>
      <w:tblGrid>
        <w:gridCol w:w="2768"/>
        <w:gridCol w:w="2769"/>
        <w:gridCol w:w="2769"/>
      </w:tblGrid>
      <w:tr w:rsidR="00224F8A" w:rsidTr="00244787">
        <w:tc>
          <w:tcPr>
            <w:tcW w:w="2768" w:type="dxa"/>
          </w:tcPr>
          <w:p w:rsidR="00224F8A" w:rsidRDefault="00224F8A" w:rsidP="00224F8A">
            <w:pPr>
              <w:jc w:val="center"/>
              <w:rPr>
                <w:lang w:val="en-US"/>
              </w:rPr>
            </w:pPr>
            <w:r>
              <w:rPr>
                <w:noProof/>
                <w:lang w:eastAsia="en-AU"/>
              </w:rPr>
              <w:drawing>
                <wp:inline distT="0" distB="0" distL="0" distR="0">
                  <wp:extent cx="1686878" cy="1503521"/>
                  <wp:effectExtent l="19050" t="0" r="8572" b="0"/>
                  <wp:docPr id="313"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50" cstate="screen"/>
                          <a:srcRect/>
                          <a:stretch>
                            <a:fillRect/>
                          </a:stretch>
                        </pic:blipFill>
                        <pic:spPr bwMode="auto">
                          <a:xfrm>
                            <a:off x="0" y="0"/>
                            <a:ext cx="1686878" cy="1503521"/>
                          </a:xfrm>
                          <a:prstGeom prst="rect">
                            <a:avLst/>
                          </a:prstGeom>
                          <a:noFill/>
                          <a:ln w="9525">
                            <a:noFill/>
                            <a:miter lim="800000"/>
                            <a:headEnd/>
                            <a:tailEnd/>
                          </a:ln>
                        </pic:spPr>
                      </pic:pic>
                    </a:graphicData>
                  </a:graphic>
                </wp:inline>
              </w:drawing>
            </w:r>
          </w:p>
        </w:tc>
        <w:tc>
          <w:tcPr>
            <w:tcW w:w="2769" w:type="dxa"/>
          </w:tcPr>
          <w:p w:rsidR="00224F8A" w:rsidRDefault="00224F8A" w:rsidP="00224F8A">
            <w:pPr>
              <w:rPr>
                <w:lang w:val="en-US"/>
              </w:rPr>
            </w:pPr>
            <w:r>
              <w:rPr>
                <w:noProof/>
                <w:lang w:eastAsia="en-AU"/>
              </w:rPr>
              <w:drawing>
                <wp:inline distT="0" distB="0" distL="0" distR="0">
                  <wp:extent cx="1683544" cy="1503521"/>
                  <wp:effectExtent l="19050" t="0" r="0" b="0"/>
                  <wp:docPr id="314"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51" cstate="screen"/>
                          <a:srcRect/>
                          <a:stretch>
                            <a:fillRect/>
                          </a:stretch>
                        </pic:blipFill>
                        <pic:spPr bwMode="auto">
                          <a:xfrm>
                            <a:off x="0" y="0"/>
                            <a:ext cx="1683544" cy="1503521"/>
                          </a:xfrm>
                          <a:prstGeom prst="rect">
                            <a:avLst/>
                          </a:prstGeom>
                          <a:noFill/>
                          <a:ln w="9525">
                            <a:noFill/>
                            <a:miter lim="800000"/>
                            <a:headEnd/>
                            <a:tailEnd/>
                          </a:ln>
                        </pic:spPr>
                      </pic:pic>
                    </a:graphicData>
                  </a:graphic>
                </wp:inline>
              </w:drawing>
            </w:r>
          </w:p>
        </w:tc>
        <w:tc>
          <w:tcPr>
            <w:tcW w:w="2769" w:type="dxa"/>
          </w:tcPr>
          <w:p w:rsidR="00224F8A" w:rsidRDefault="00224F8A" w:rsidP="00224F8A">
            <w:pPr>
              <w:jc w:val="center"/>
              <w:rPr>
                <w:lang w:val="en-US"/>
              </w:rPr>
            </w:pPr>
            <w:r>
              <w:rPr>
                <w:noProof/>
                <w:lang w:eastAsia="en-AU"/>
              </w:rPr>
              <w:drawing>
                <wp:inline distT="0" distB="0" distL="0" distR="0">
                  <wp:extent cx="1686878" cy="1503521"/>
                  <wp:effectExtent l="19050" t="0" r="8572" b="0"/>
                  <wp:docPr id="315"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52" cstate="screen"/>
                          <a:srcRect/>
                          <a:stretch>
                            <a:fillRect/>
                          </a:stretch>
                        </pic:blipFill>
                        <pic:spPr bwMode="auto">
                          <a:xfrm>
                            <a:off x="0" y="0"/>
                            <a:ext cx="1686878" cy="1503521"/>
                          </a:xfrm>
                          <a:prstGeom prst="rect">
                            <a:avLst/>
                          </a:prstGeom>
                          <a:noFill/>
                          <a:ln w="9525">
                            <a:noFill/>
                            <a:miter lim="800000"/>
                            <a:headEnd/>
                            <a:tailEnd/>
                          </a:ln>
                        </pic:spPr>
                      </pic:pic>
                    </a:graphicData>
                  </a:graphic>
                </wp:inline>
              </w:drawing>
            </w:r>
          </w:p>
        </w:tc>
      </w:tr>
      <w:tr w:rsidR="00224F8A" w:rsidTr="00244787">
        <w:tc>
          <w:tcPr>
            <w:tcW w:w="2768" w:type="dxa"/>
          </w:tcPr>
          <w:p w:rsidR="00224F8A" w:rsidRDefault="00224F8A" w:rsidP="00224F8A">
            <w:pPr>
              <w:jc w:val="center"/>
              <w:rPr>
                <w:lang w:val="en-US"/>
              </w:rPr>
            </w:pPr>
            <w:r>
              <w:rPr>
                <w:noProof/>
                <w:lang w:eastAsia="en-AU"/>
              </w:rPr>
              <w:drawing>
                <wp:inline distT="0" distB="0" distL="0" distR="0">
                  <wp:extent cx="1686878" cy="1503521"/>
                  <wp:effectExtent l="19050" t="0" r="8572" b="0"/>
                  <wp:docPr id="316"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53" cstate="screen"/>
                          <a:srcRect/>
                          <a:stretch>
                            <a:fillRect/>
                          </a:stretch>
                        </pic:blipFill>
                        <pic:spPr bwMode="auto">
                          <a:xfrm>
                            <a:off x="0" y="0"/>
                            <a:ext cx="1686878" cy="1503521"/>
                          </a:xfrm>
                          <a:prstGeom prst="rect">
                            <a:avLst/>
                          </a:prstGeom>
                          <a:noFill/>
                          <a:ln w="9525">
                            <a:noFill/>
                            <a:miter lim="800000"/>
                            <a:headEnd/>
                            <a:tailEnd/>
                          </a:ln>
                        </pic:spPr>
                      </pic:pic>
                    </a:graphicData>
                  </a:graphic>
                </wp:inline>
              </w:drawing>
            </w:r>
          </w:p>
        </w:tc>
        <w:tc>
          <w:tcPr>
            <w:tcW w:w="2769" w:type="dxa"/>
          </w:tcPr>
          <w:p w:rsidR="00224F8A" w:rsidRDefault="00224F8A" w:rsidP="00224F8A">
            <w:pPr>
              <w:jc w:val="center"/>
              <w:rPr>
                <w:lang w:val="en-US"/>
              </w:rPr>
            </w:pPr>
            <w:r>
              <w:rPr>
                <w:noProof/>
                <w:lang w:eastAsia="en-AU"/>
              </w:rPr>
              <w:drawing>
                <wp:inline distT="0" distB="0" distL="0" distR="0">
                  <wp:extent cx="1686878" cy="1503521"/>
                  <wp:effectExtent l="19050" t="0" r="8572" b="0"/>
                  <wp:docPr id="317"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54" cstate="screen"/>
                          <a:srcRect/>
                          <a:stretch>
                            <a:fillRect/>
                          </a:stretch>
                        </pic:blipFill>
                        <pic:spPr bwMode="auto">
                          <a:xfrm>
                            <a:off x="0" y="0"/>
                            <a:ext cx="1686878" cy="1503521"/>
                          </a:xfrm>
                          <a:prstGeom prst="rect">
                            <a:avLst/>
                          </a:prstGeom>
                          <a:noFill/>
                          <a:ln w="9525">
                            <a:noFill/>
                            <a:miter lim="800000"/>
                            <a:headEnd/>
                            <a:tailEnd/>
                          </a:ln>
                        </pic:spPr>
                      </pic:pic>
                    </a:graphicData>
                  </a:graphic>
                </wp:inline>
              </w:drawing>
            </w:r>
          </w:p>
        </w:tc>
        <w:tc>
          <w:tcPr>
            <w:tcW w:w="2769" w:type="dxa"/>
          </w:tcPr>
          <w:p w:rsidR="00224F8A" w:rsidRDefault="00224F8A" w:rsidP="00224F8A">
            <w:pPr>
              <w:jc w:val="center"/>
              <w:rPr>
                <w:lang w:val="en-US"/>
              </w:rPr>
            </w:pPr>
            <w:r>
              <w:rPr>
                <w:noProof/>
                <w:lang w:eastAsia="en-AU"/>
              </w:rPr>
              <w:drawing>
                <wp:inline distT="0" distB="0" distL="0" distR="0">
                  <wp:extent cx="1686878" cy="1503521"/>
                  <wp:effectExtent l="19050" t="0" r="8572" b="0"/>
                  <wp:docPr id="318"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55" cstate="screen"/>
                          <a:srcRect/>
                          <a:stretch>
                            <a:fillRect/>
                          </a:stretch>
                        </pic:blipFill>
                        <pic:spPr bwMode="auto">
                          <a:xfrm>
                            <a:off x="0" y="0"/>
                            <a:ext cx="1686878" cy="1503521"/>
                          </a:xfrm>
                          <a:prstGeom prst="rect">
                            <a:avLst/>
                          </a:prstGeom>
                          <a:noFill/>
                          <a:ln w="9525">
                            <a:noFill/>
                            <a:miter lim="800000"/>
                            <a:headEnd/>
                            <a:tailEnd/>
                          </a:ln>
                        </pic:spPr>
                      </pic:pic>
                    </a:graphicData>
                  </a:graphic>
                </wp:inline>
              </w:drawing>
            </w:r>
          </w:p>
        </w:tc>
      </w:tr>
      <w:tr w:rsidR="00224F8A" w:rsidTr="00244787">
        <w:tc>
          <w:tcPr>
            <w:tcW w:w="2768" w:type="dxa"/>
          </w:tcPr>
          <w:p w:rsidR="00224F8A" w:rsidRDefault="00224F8A" w:rsidP="00224F8A">
            <w:pPr>
              <w:jc w:val="center"/>
              <w:rPr>
                <w:lang w:val="en-US"/>
              </w:rPr>
            </w:pPr>
            <w:r>
              <w:rPr>
                <w:noProof/>
                <w:lang w:eastAsia="en-AU"/>
              </w:rPr>
              <w:drawing>
                <wp:inline distT="0" distB="0" distL="0" distR="0">
                  <wp:extent cx="1686878" cy="1503521"/>
                  <wp:effectExtent l="19050" t="0" r="8572" b="0"/>
                  <wp:docPr id="319"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56" cstate="screen"/>
                          <a:srcRect/>
                          <a:stretch>
                            <a:fillRect/>
                          </a:stretch>
                        </pic:blipFill>
                        <pic:spPr bwMode="auto">
                          <a:xfrm>
                            <a:off x="0" y="0"/>
                            <a:ext cx="1686878" cy="1503521"/>
                          </a:xfrm>
                          <a:prstGeom prst="rect">
                            <a:avLst/>
                          </a:prstGeom>
                          <a:noFill/>
                          <a:ln w="9525">
                            <a:noFill/>
                            <a:miter lim="800000"/>
                            <a:headEnd/>
                            <a:tailEnd/>
                          </a:ln>
                        </pic:spPr>
                      </pic:pic>
                    </a:graphicData>
                  </a:graphic>
                </wp:inline>
              </w:drawing>
            </w:r>
          </w:p>
        </w:tc>
        <w:tc>
          <w:tcPr>
            <w:tcW w:w="2769" w:type="dxa"/>
          </w:tcPr>
          <w:p w:rsidR="00224F8A" w:rsidRDefault="00224F8A" w:rsidP="00224F8A">
            <w:pPr>
              <w:jc w:val="center"/>
              <w:rPr>
                <w:lang w:val="en-US"/>
              </w:rPr>
            </w:pPr>
            <w:r>
              <w:rPr>
                <w:noProof/>
                <w:lang w:eastAsia="en-AU"/>
              </w:rPr>
              <w:drawing>
                <wp:inline distT="0" distB="0" distL="0" distR="0">
                  <wp:extent cx="1686878" cy="1503521"/>
                  <wp:effectExtent l="19050" t="0" r="8572" b="0"/>
                  <wp:docPr id="224"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57" cstate="screen"/>
                          <a:srcRect/>
                          <a:stretch>
                            <a:fillRect/>
                          </a:stretch>
                        </pic:blipFill>
                        <pic:spPr bwMode="auto">
                          <a:xfrm>
                            <a:off x="0" y="0"/>
                            <a:ext cx="1686878" cy="1503521"/>
                          </a:xfrm>
                          <a:prstGeom prst="rect">
                            <a:avLst/>
                          </a:prstGeom>
                          <a:noFill/>
                          <a:ln w="9525">
                            <a:noFill/>
                            <a:miter lim="800000"/>
                            <a:headEnd/>
                            <a:tailEnd/>
                          </a:ln>
                        </pic:spPr>
                      </pic:pic>
                    </a:graphicData>
                  </a:graphic>
                </wp:inline>
              </w:drawing>
            </w:r>
          </w:p>
        </w:tc>
        <w:tc>
          <w:tcPr>
            <w:tcW w:w="2769" w:type="dxa"/>
          </w:tcPr>
          <w:p w:rsidR="00224F8A" w:rsidRDefault="00224F8A" w:rsidP="00224F8A">
            <w:pPr>
              <w:jc w:val="center"/>
              <w:rPr>
                <w:lang w:val="en-US"/>
              </w:rPr>
            </w:pPr>
            <w:r>
              <w:rPr>
                <w:noProof/>
                <w:lang w:eastAsia="en-AU"/>
              </w:rPr>
              <w:drawing>
                <wp:inline distT="0" distB="0" distL="0" distR="0">
                  <wp:extent cx="1686878" cy="1503521"/>
                  <wp:effectExtent l="19050" t="0" r="8572" b="0"/>
                  <wp:docPr id="22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58" cstate="screen"/>
                          <a:srcRect/>
                          <a:stretch>
                            <a:fillRect/>
                          </a:stretch>
                        </pic:blipFill>
                        <pic:spPr bwMode="auto">
                          <a:xfrm>
                            <a:off x="0" y="0"/>
                            <a:ext cx="1686878" cy="1503521"/>
                          </a:xfrm>
                          <a:prstGeom prst="rect">
                            <a:avLst/>
                          </a:prstGeom>
                          <a:noFill/>
                          <a:ln w="9525">
                            <a:noFill/>
                            <a:miter lim="800000"/>
                            <a:headEnd/>
                            <a:tailEnd/>
                          </a:ln>
                        </pic:spPr>
                      </pic:pic>
                    </a:graphicData>
                  </a:graphic>
                </wp:inline>
              </w:drawing>
            </w:r>
          </w:p>
        </w:tc>
      </w:tr>
    </w:tbl>
    <w:p w:rsidR="00224F8A" w:rsidRDefault="00224F8A" w:rsidP="00224F8A">
      <w:pPr>
        <w:pStyle w:val="figurecaption"/>
        <w:rPr>
          <w:lang w:val="en-US"/>
        </w:rPr>
      </w:pPr>
      <w:r w:rsidRPr="0058756D">
        <w:rPr>
          <w:b/>
          <w:lang w:val="en-US"/>
        </w:rPr>
        <w:t xml:space="preserve">Figure </w:t>
      </w:r>
      <w:proofErr w:type="gramStart"/>
      <w:r w:rsidRPr="0058756D">
        <w:rPr>
          <w:b/>
          <w:lang w:val="en-US"/>
        </w:rPr>
        <w:t>3</w:t>
      </w:r>
      <w:r>
        <w:rPr>
          <w:lang w:val="en-US"/>
        </w:rPr>
        <w:t xml:space="preserve">  Organism</w:t>
      </w:r>
      <w:proofErr w:type="gramEnd"/>
      <w:r>
        <w:rPr>
          <w:lang w:val="en-US"/>
        </w:rPr>
        <w:t xml:space="preserve"> EMCLs (Bq kg</w:t>
      </w:r>
      <w:r w:rsidRPr="00571E32">
        <w:rPr>
          <w:snapToGrid w:val="0"/>
          <w:color w:val="000000"/>
          <w:position w:val="4"/>
          <w:sz w:val="12"/>
          <w:szCs w:val="0"/>
          <w:u w:color="000000"/>
          <w:lang w:val="en-US"/>
        </w:rPr>
        <w:t>-1</w:t>
      </w:r>
      <w:r>
        <w:rPr>
          <w:lang w:val="en-US"/>
        </w:rPr>
        <w:t xml:space="preserve">) for individual radionuclides and </w:t>
      </w:r>
      <w:r w:rsidRPr="00571E32">
        <w:rPr>
          <w:snapToGrid w:val="0"/>
          <w:color w:val="000000"/>
          <w:position w:val="4"/>
          <w:sz w:val="12"/>
          <w:szCs w:val="0"/>
          <w:u w:color="000000"/>
          <w:lang w:val="en-US"/>
        </w:rPr>
        <w:t>238</w:t>
      </w:r>
      <w:r>
        <w:rPr>
          <w:lang w:val="en-US"/>
        </w:rPr>
        <w:t>U series secular equilibrium mix (‘Mix’). The light grey part of each column indicates the proportion of the EMCL related to internal exposure and the dark grey part of each column indicates the proportion of the EMCL related to external exposure on a linear scale relative to the total height of the column.</w:t>
      </w:r>
    </w:p>
    <w:p w:rsidR="00224F8A" w:rsidRPr="00F776F2" w:rsidRDefault="00224F8A" w:rsidP="00092276">
      <w:pPr>
        <w:pStyle w:val="Heading3"/>
        <w:rPr>
          <w:lang w:val="en-US"/>
        </w:rPr>
      </w:pPr>
      <w:r w:rsidRPr="00F776F2">
        <w:rPr>
          <w:lang w:val="en-US"/>
        </w:rPr>
        <w:t xml:space="preserve">Steps </w:t>
      </w:r>
      <w:r w:rsidRPr="00224F8A">
        <w:t>for</w:t>
      </w:r>
      <w:r w:rsidRPr="00F776F2">
        <w:rPr>
          <w:lang w:val="en-US"/>
        </w:rPr>
        <w:t xml:space="preserve"> completion</w:t>
      </w:r>
    </w:p>
    <w:p w:rsidR="00224F8A" w:rsidRPr="00F776F2" w:rsidRDefault="00224F8A" w:rsidP="00224F8A">
      <w:pPr>
        <w:rPr>
          <w:lang w:val="en-US"/>
        </w:rPr>
      </w:pPr>
      <w:r w:rsidRPr="00F776F2">
        <w:rPr>
          <w:lang w:val="en-US"/>
        </w:rPr>
        <w:t>This calculation of EMCLs has not considered environmental exposures to wildlife from radon progeny in air, as the ERICA Tool is not capable of assessing such exposures. Therefore a step for the future is to investigate the magnitude of radon progeny exposures to wildlife and revise the EMCLs to include this pathway. The approach developed by Vives i Batlle et al</w:t>
      </w:r>
      <w:r w:rsidR="00244787">
        <w:rPr>
          <w:lang w:val="en-US"/>
        </w:rPr>
        <w:t>.</w:t>
      </w:r>
      <w:r w:rsidRPr="00F776F2">
        <w:rPr>
          <w:lang w:val="en-US"/>
        </w:rPr>
        <w:t xml:space="preserve"> (2012) is the most likely starting point to investigate the magnitude of radon progeny exposures.</w:t>
      </w:r>
    </w:p>
    <w:p w:rsidR="00224F8A" w:rsidRPr="00F776F2" w:rsidRDefault="00224F8A" w:rsidP="00224F8A">
      <w:pPr>
        <w:rPr>
          <w:lang w:val="en-US"/>
        </w:rPr>
      </w:pPr>
      <w:r w:rsidRPr="00F776F2">
        <w:rPr>
          <w:lang w:val="en-US"/>
        </w:rPr>
        <w:t xml:space="preserve">Additional samples are being processed and analysed by the </w:t>
      </w:r>
      <w:r w:rsidRPr="00244787">
        <w:rPr>
          <w:rFonts w:ascii="Times New Roman" w:hAnsi="Times New Roman"/>
          <w:b/>
          <w:i/>
          <w:sz w:val="26"/>
          <w:lang w:val="en-US"/>
        </w:rPr>
        <w:t>eriss</w:t>
      </w:r>
      <w:r w:rsidRPr="00244787">
        <w:rPr>
          <w:rFonts w:ascii="Times New Roman" w:hAnsi="Times New Roman"/>
          <w:lang w:val="en-US"/>
        </w:rPr>
        <w:t xml:space="preserve"> </w:t>
      </w:r>
      <w:r w:rsidRPr="00F776F2">
        <w:rPr>
          <w:lang w:val="en-US"/>
        </w:rPr>
        <w:t xml:space="preserve">Environmental Radioactivity </w:t>
      </w:r>
      <w:r w:rsidR="00E16AC4">
        <w:rPr>
          <w:lang w:val="en-US"/>
        </w:rPr>
        <w:t>programme</w:t>
      </w:r>
      <w:r w:rsidRPr="00F776F2">
        <w:rPr>
          <w:lang w:val="en-US"/>
        </w:rPr>
        <w:t xml:space="preserve"> to increase the base data from which organism-to-soil CRs can be derived. In particular, several </w:t>
      </w:r>
      <w:r>
        <w:rPr>
          <w:lang w:val="en-US"/>
        </w:rPr>
        <w:t>tissues</w:t>
      </w:r>
      <w:r w:rsidRPr="00F776F2">
        <w:rPr>
          <w:lang w:val="en-US"/>
        </w:rPr>
        <w:t xml:space="preserve"> of wallaby and goanna are currently being analysed for </w:t>
      </w:r>
      <w:r w:rsidRPr="00F776F2">
        <w:rPr>
          <w:snapToGrid w:val="0"/>
          <w:color w:val="000000"/>
          <w:position w:val="5"/>
          <w:sz w:val="15"/>
          <w:szCs w:val="0"/>
          <w:u w:color="000000"/>
          <w:lang w:val="en-US"/>
        </w:rPr>
        <w:t>226</w:t>
      </w:r>
      <w:r w:rsidRPr="00F776F2">
        <w:rPr>
          <w:lang w:val="en-US"/>
        </w:rPr>
        <w:t xml:space="preserve">Ra. It is expected that this analysis will enable the derivation of wholebody to tissue factors for these organisms for </w:t>
      </w:r>
      <w:r w:rsidRPr="00F776F2">
        <w:rPr>
          <w:snapToGrid w:val="0"/>
          <w:color w:val="000000"/>
          <w:position w:val="5"/>
          <w:sz w:val="15"/>
          <w:szCs w:val="0"/>
          <w:u w:color="000000"/>
          <w:lang w:val="en-US"/>
        </w:rPr>
        <w:t>226</w:t>
      </w:r>
      <w:r w:rsidRPr="00F776F2">
        <w:rPr>
          <w:lang w:val="en-US"/>
        </w:rPr>
        <w:t>Ra and thereby reduce reliance on the generic factors from Yankovich et al</w:t>
      </w:r>
      <w:r w:rsidR="00244787">
        <w:rPr>
          <w:lang w:val="en-US"/>
        </w:rPr>
        <w:t>.</w:t>
      </w:r>
      <w:r w:rsidRPr="00F776F2">
        <w:rPr>
          <w:lang w:val="en-US"/>
        </w:rPr>
        <w:t xml:space="preserve"> (2010).</w:t>
      </w:r>
    </w:p>
    <w:p w:rsidR="00224F8A" w:rsidRPr="00F776F2" w:rsidRDefault="00224F8A" w:rsidP="00224F8A">
      <w:pPr>
        <w:rPr>
          <w:lang w:val="en-US"/>
        </w:rPr>
      </w:pPr>
      <w:r w:rsidRPr="00F776F2">
        <w:rPr>
          <w:lang w:val="en-US"/>
        </w:rPr>
        <w:t>A sampling campaign to collect green ants and termites is planned for 2014–15 so that future EMCL calculations for these organisms can be based on local data. Figure 2 suggests that green ants and termites have the next lowest EMCLs after olive python and goanna. Local data for these organisms should provide a better indication of where they fit in the EMCL context for Ranger rehabilitation.</w:t>
      </w:r>
    </w:p>
    <w:p w:rsidR="00224F8A" w:rsidRDefault="00224F8A" w:rsidP="00224F8A">
      <w:pPr>
        <w:rPr>
          <w:snapToGrid w:val="0"/>
          <w:lang w:val="en-US"/>
        </w:rPr>
      </w:pPr>
      <w:r>
        <w:rPr>
          <w:lang w:val="en-US"/>
        </w:rPr>
        <w:t>Use</w:t>
      </w:r>
      <w:r w:rsidRPr="00F776F2">
        <w:rPr>
          <w:lang w:val="en-US"/>
        </w:rPr>
        <w:t xml:space="preserve"> of the 10 µGy h</w:t>
      </w:r>
      <w:r w:rsidRPr="00F776F2">
        <w:rPr>
          <w:snapToGrid w:val="0"/>
          <w:color w:val="000000"/>
          <w:position w:val="5"/>
          <w:sz w:val="15"/>
          <w:szCs w:val="0"/>
          <w:u w:color="000000"/>
          <w:lang w:val="en-US"/>
        </w:rPr>
        <w:t>-1</w:t>
      </w:r>
      <w:r w:rsidRPr="00F776F2">
        <w:rPr>
          <w:lang w:val="en-US"/>
        </w:rPr>
        <w:t xml:space="preserve"> screening dose rate </w:t>
      </w:r>
      <w:r>
        <w:rPr>
          <w:lang w:val="en-US"/>
        </w:rPr>
        <w:t xml:space="preserve">from the ERICA Tool </w:t>
      </w:r>
      <w:r w:rsidRPr="00F776F2">
        <w:rPr>
          <w:lang w:val="en-US"/>
        </w:rPr>
        <w:t xml:space="preserve">as the basis for deriving EMCLs needs </w:t>
      </w:r>
      <w:r>
        <w:rPr>
          <w:lang w:val="en-US"/>
        </w:rPr>
        <w:t xml:space="preserve">further </w:t>
      </w:r>
      <w:r w:rsidRPr="00F776F2">
        <w:rPr>
          <w:lang w:val="en-US"/>
        </w:rPr>
        <w:t xml:space="preserve">consideration. </w:t>
      </w:r>
      <w:r>
        <w:rPr>
          <w:lang w:val="en-US"/>
        </w:rPr>
        <w:t xml:space="preserve">The </w:t>
      </w:r>
      <w:r w:rsidRPr="00974604">
        <w:rPr>
          <w:lang w:val="en-US" w:eastAsia="en-AU"/>
        </w:rPr>
        <w:t>United Nations Scientific Committee on the Effects of Atomic Radiation</w:t>
      </w:r>
      <w:r>
        <w:rPr>
          <w:lang w:val="en-US"/>
        </w:rPr>
        <w:t xml:space="preserve"> (UNSCEAR 2011) has reviewed the effects data, including the outcomes of the ERICA project, and has concluded that for terrestrial organisms chronic dose rates of less than 100 </w:t>
      </w:r>
      <w:r w:rsidRPr="00F776F2">
        <w:rPr>
          <w:lang w:val="en-US"/>
        </w:rPr>
        <w:t>µGy h</w:t>
      </w:r>
      <w:r w:rsidRPr="00F776F2">
        <w:rPr>
          <w:snapToGrid w:val="0"/>
          <w:color w:val="000000"/>
          <w:position w:val="5"/>
          <w:sz w:val="15"/>
          <w:szCs w:val="0"/>
          <w:u w:color="000000"/>
          <w:lang w:val="en-US"/>
        </w:rPr>
        <w:t>-1</w:t>
      </w:r>
      <w:r w:rsidRPr="00F776F2">
        <w:rPr>
          <w:lang w:val="en-US"/>
        </w:rPr>
        <w:t xml:space="preserve"> </w:t>
      </w:r>
      <w:r>
        <w:rPr>
          <w:lang w:val="en-US"/>
        </w:rPr>
        <w:t xml:space="preserve">to the most exposed individuals in a population would be unlikely to have significant effects on most terrestrial organism populations. The </w:t>
      </w:r>
      <w:r w:rsidRPr="00D92BA7">
        <w:rPr>
          <w:snapToGrid w:val="0"/>
          <w:lang w:val="en-US"/>
        </w:rPr>
        <w:t xml:space="preserve">International Commission on </w:t>
      </w:r>
      <w:r w:rsidRPr="00D92BA7">
        <w:rPr>
          <w:lang w:val="en-US"/>
        </w:rPr>
        <w:t>Radiological</w:t>
      </w:r>
      <w:r w:rsidRPr="00D92BA7">
        <w:rPr>
          <w:rFonts w:ascii="Arial" w:hAnsi="Arial" w:cs="Arial"/>
          <w:sz w:val="20"/>
          <w:lang w:val="en-US" w:eastAsia="en-AU"/>
        </w:rPr>
        <w:t xml:space="preserve"> </w:t>
      </w:r>
      <w:r w:rsidRPr="00D92BA7">
        <w:rPr>
          <w:snapToGrid w:val="0"/>
          <w:lang w:val="en-US"/>
        </w:rPr>
        <w:t xml:space="preserve">Protection </w:t>
      </w:r>
      <w:r>
        <w:rPr>
          <w:snapToGrid w:val="0"/>
          <w:lang w:val="en-US"/>
        </w:rPr>
        <w:t xml:space="preserve">(ICRP 2008) has also reviewed the effects data and has suggested that for the most sensitive terrestrial </w:t>
      </w:r>
      <w:proofErr w:type="gramStart"/>
      <w:r>
        <w:rPr>
          <w:snapToGrid w:val="0"/>
          <w:lang w:val="en-US"/>
        </w:rPr>
        <w:t>organisms</w:t>
      </w:r>
      <w:proofErr w:type="gramEnd"/>
      <w:r>
        <w:rPr>
          <w:snapToGrid w:val="0"/>
          <w:lang w:val="en-US"/>
        </w:rPr>
        <w:t xml:space="preserve"> dose rates in the range from 4 to 40 </w:t>
      </w:r>
      <w:r w:rsidRPr="00F776F2">
        <w:rPr>
          <w:lang w:val="en-US"/>
        </w:rPr>
        <w:t>µGy h</w:t>
      </w:r>
      <w:r w:rsidRPr="00F776F2">
        <w:rPr>
          <w:snapToGrid w:val="0"/>
          <w:color w:val="000000"/>
          <w:position w:val="5"/>
          <w:sz w:val="15"/>
          <w:szCs w:val="0"/>
          <w:u w:color="000000"/>
          <w:lang w:val="en-US"/>
        </w:rPr>
        <w:t>-1</w:t>
      </w:r>
      <w:r w:rsidRPr="00F776F2">
        <w:rPr>
          <w:lang w:val="en-US"/>
        </w:rPr>
        <w:t xml:space="preserve"> </w:t>
      </w:r>
      <w:r>
        <w:rPr>
          <w:lang w:val="en-US"/>
        </w:rPr>
        <w:t>may cause effects to some exposed individuals, but are unlikely to impact</w:t>
      </w:r>
      <w:r>
        <w:rPr>
          <w:snapToGrid w:val="0"/>
          <w:lang w:val="en-US"/>
        </w:rPr>
        <w:t xml:space="preserve"> whole populations. The question for stakeholders to consider is which dose rate level to use as the basis for deriving soil EMCLs for wildlife-based protection in the Ranger rehabilitation context?</w:t>
      </w:r>
    </w:p>
    <w:p w:rsidR="00224F8A" w:rsidRPr="00F776F2" w:rsidRDefault="00224F8A" w:rsidP="00092276">
      <w:pPr>
        <w:pStyle w:val="Heading2"/>
      </w:pPr>
      <w:r w:rsidRPr="00F776F2">
        <w:t>References</w:t>
      </w:r>
    </w:p>
    <w:p w:rsidR="00224F8A" w:rsidRPr="00F776F2" w:rsidRDefault="00224F8A" w:rsidP="00224F8A">
      <w:pPr>
        <w:pStyle w:val="referencelist1"/>
      </w:pPr>
      <w:proofErr w:type="gramStart"/>
      <w:r w:rsidRPr="00F776F2">
        <w:t>Australian Radiation Protection and Nuclear Safety Agency (ARPANSA) 2014.</w:t>
      </w:r>
      <w:proofErr w:type="gramEnd"/>
      <w:r w:rsidRPr="00F776F2">
        <w:t xml:space="preserve"> </w:t>
      </w:r>
      <w:r w:rsidRPr="00F776F2">
        <w:rPr>
          <w:i/>
        </w:rPr>
        <w:t xml:space="preserve">Fundamentals for Protection </w:t>
      </w:r>
      <w:proofErr w:type="gramStart"/>
      <w:r w:rsidRPr="00F776F2">
        <w:rPr>
          <w:i/>
        </w:rPr>
        <w:t>Against</w:t>
      </w:r>
      <w:proofErr w:type="gramEnd"/>
      <w:r w:rsidRPr="00F776F2">
        <w:rPr>
          <w:i/>
        </w:rPr>
        <w:t xml:space="preserve"> Ionising Radiation</w:t>
      </w:r>
      <w:r w:rsidRPr="00F776F2">
        <w:t xml:space="preserve">. </w:t>
      </w:r>
      <w:proofErr w:type="gramStart"/>
      <w:r w:rsidRPr="00F776F2">
        <w:t>Radiation Protection Series F-1, ARPANSA, Yallambie.</w:t>
      </w:r>
      <w:proofErr w:type="gramEnd"/>
    </w:p>
    <w:p w:rsidR="00224F8A" w:rsidRPr="00F776F2" w:rsidRDefault="00224F8A" w:rsidP="00224F8A">
      <w:pPr>
        <w:pStyle w:val="referencelist1"/>
      </w:pPr>
      <w:r w:rsidRPr="00F776F2">
        <w:t xml:space="preserve">Beresford NA, Barnett CL, Howard BJ, Scott WA, Brown JE &amp; Copplestone D 2008. </w:t>
      </w:r>
      <w:proofErr w:type="gramStart"/>
      <w:r w:rsidRPr="00F776F2">
        <w:t>Derivation of transfer parameters for use within the ERICA Tool and the default concentration ratios for terrestrial biota.</w:t>
      </w:r>
      <w:proofErr w:type="gramEnd"/>
      <w:r w:rsidRPr="00F776F2">
        <w:t xml:space="preserve"> </w:t>
      </w:r>
      <w:r w:rsidRPr="00F776F2">
        <w:rPr>
          <w:i/>
        </w:rPr>
        <w:t>Journal of Environmental Radioactivity</w:t>
      </w:r>
      <w:r w:rsidRPr="00F776F2">
        <w:t xml:space="preserve"> 99, 1393–1407.</w:t>
      </w:r>
    </w:p>
    <w:p w:rsidR="00224F8A" w:rsidRPr="00F776F2" w:rsidRDefault="00224F8A" w:rsidP="00224F8A">
      <w:pPr>
        <w:pStyle w:val="referencelist1"/>
      </w:pPr>
      <w:r w:rsidRPr="00F776F2">
        <w:t xml:space="preserve">Brown JE, Alfonso B, Avila R, Beresford NA, Copplestone D, Pröhl G &amp; Ulanovsky A 2008. </w:t>
      </w:r>
      <w:proofErr w:type="gramStart"/>
      <w:r w:rsidRPr="00F776F2">
        <w:t>The ERICA Tool.</w:t>
      </w:r>
      <w:proofErr w:type="gramEnd"/>
      <w:r w:rsidRPr="00F776F2">
        <w:t xml:space="preserve"> </w:t>
      </w:r>
      <w:r w:rsidRPr="00F776F2">
        <w:rPr>
          <w:i/>
        </w:rPr>
        <w:t>Journal of Environmental Radioactivity</w:t>
      </w:r>
      <w:r w:rsidRPr="00F776F2">
        <w:t xml:space="preserve"> 99, 1371–1383.</w:t>
      </w:r>
    </w:p>
    <w:p w:rsidR="00224F8A" w:rsidRPr="00F776F2" w:rsidRDefault="00224F8A" w:rsidP="00224F8A">
      <w:pPr>
        <w:pStyle w:val="referencelist1"/>
      </w:pPr>
      <w:r w:rsidRPr="00F776F2">
        <w:t xml:space="preserve">Copplestone D, Beresford NA, Brown JE &amp; Yankovich T 2013. An international database of radionuclide concentration ratios for wildlife: development and uses. </w:t>
      </w:r>
      <w:r w:rsidRPr="00F776F2">
        <w:rPr>
          <w:i/>
        </w:rPr>
        <w:t>Journal of Environmental Radioactivity</w:t>
      </w:r>
      <w:r w:rsidRPr="00F776F2">
        <w:t xml:space="preserve"> 126, 288–298.</w:t>
      </w:r>
    </w:p>
    <w:p w:rsidR="00224F8A" w:rsidRPr="00F776F2" w:rsidRDefault="00224F8A" w:rsidP="00224F8A">
      <w:pPr>
        <w:pStyle w:val="referencelist1"/>
      </w:pPr>
      <w:proofErr w:type="gramStart"/>
      <w:r w:rsidRPr="00F776F2">
        <w:t>Doering, C 2013.</w:t>
      </w:r>
      <w:proofErr w:type="gramEnd"/>
      <w:r w:rsidRPr="00F776F2">
        <w:t xml:space="preserve"> </w:t>
      </w:r>
      <w:proofErr w:type="gramStart"/>
      <w:r w:rsidRPr="00F776F2">
        <w:t>The BRUCE tool.</w:t>
      </w:r>
      <w:proofErr w:type="gramEnd"/>
      <w:r w:rsidRPr="00F776F2">
        <w:t xml:space="preserve"> </w:t>
      </w:r>
      <w:proofErr w:type="gramStart"/>
      <w:r w:rsidRPr="00F776F2">
        <w:t>Internal report 619, Supervising Scientist Division, Canberra.</w:t>
      </w:r>
      <w:proofErr w:type="gramEnd"/>
      <w:r w:rsidRPr="00F776F2">
        <w:t xml:space="preserve"> </w:t>
      </w:r>
      <w:proofErr w:type="gramStart"/>
      <w:r w:rsidRPr="00F776F2">
        <w:t>Unpublished paper.</w:t>
      </w:r>
      <w:proofErr w:type="gramEnd"/>
    </w:p>
    <w:p w:rsidR="00224F8A" w:rsidRPr="00F776F2" w:rsidRDefault="00224F8A" w:rsidP="00224F8A">
      <w:pPr>
        <w:pStyle w:val="referencelist1"/>
      </w:pPr>
      <w:r w:rsidRPr="00F776F2">
        <w:t xml:space="preserve">Garnier-Laplace J, Copplestone D, Gilbin R, Alonzo F, Ciffroy P, Gilek M, Agüero A, Björk M, Oughton DH, Jaworska A, Larsson CM &amp; Hingston JL 2008. Issues and practices in the use of effects data from FREDERICA in the ERICA Integrated Approach. </w:t>
      </w:r>
      <w:r w:rsidRPr="00F776F2">
        <w:rPr>
          <w:i/>
        </w:rPr>
        <w:t>Journal of Environmental Radioactivity</w:t>
      </w:r>
      <w:r w:rsidRPr="00F776F2">
        <w:t xml:space="preserve"> 99, 1474–1483.</w:t>
      </w:r>
    </w:p>
    <w:p w:rsidR="00224F8A" w:rsidRPr="00F776F2" w:rsidRDefault="00224F8A" w:rsidP="00224F8A">
      <w:pPr>
        <w:pStyle w:val="referencelist1"/>
        <w:rPr>
          <w:snapToGrid w:val="0"/>
          <w:lang w:val="en-US"/>
        </w:rPr>
      </w:pPr>
      <w:proofErr w:type="gramStart"/>
      <w:r w:rsidRPr="00F776F2">
        <w:rPr>
          <w:snapToGrid w:val="0"/>
          <w:lang w:val="en-US"/>
        </w:rPr>
        <w:t xml:space="preserve">International Commission on </w:t>
      </w:r>
      <w:r w:rsidRPr="00F776F2">
        <w:t>Radiological</w:t>
      </w:r>
      <w:r w:rsidRPr="00F776F2">
        <w:rPr>
          <w:rFonts w:ascii="Arial" w:hAnsi="Arial" w:cs="Arial"/>
          <w:sz w:val="20"/>
          <w:lang w:eastAsia="en-AU"/>
        </w:rPr>
        <w:t xml:space="preserve"> </w:t>
      </w:r>
      <w:r w:rsidRPr="00F776F2">
        <w:rPr>
          <w:snapToGrid w:val="0"/>
          <w:lang w:val="en-US"/>
        </w:rPr>
        <w:t xml:space="preserve">Protection </w:t>
      </w:r>
      <w:r w:rsidRPr="00F776F2">
        <w:t>(ICRP) 2007.</w:t>
      </w:r>
      <w:proofErr w:type="gramEnd"/>
      <w:r w:rsidRPr="00F776F2">
        <w:t xml:space="preserve"> </w:t>
      </w:r>
      <w:r w:rsidRPr="00F776F2">
        <w:rPr>
          <w:i/>
        </w:rPr>
        <w:t xml:space="preserve">The 2007 recommendations of the </w:t>
      </w:r>
      <w:r w:rsidRPr="00F776F2">
        <w:rPr>
          <w:i/>
          <w:snapToGrid w:val="0"/>
          <w:lang w:val="en-US"/>
        </w:rPr>
        <w:t xml:space="preserve">International Commission on </w:t>
      </w:r>
      <w:r w:rsidRPr="00F776F2">
        <w:rPr>
          <w:i/>
        </w:rPr>
        <w:t>Radiological</w:t>
      </w:r>
      <w:r w:rsidRPr="00F776F2">
        <w:rPr>
          <w:rFonts w:ascii="Arial" w:hAnsi="Arial" w:cs="Arial"/>
          <w:i/>
          <w:sz w:val="20"/>
          <w:lang w:eastAsia="en-AU"/>
        </w:rPr>
        <w:t xml:space="preserve"> </w:t>
      </w:r>
      <w:r w:rsidRPr="00F776F2">
        <w:rPr>
          <w:i/>
          <w:snapToGrid w:val="0"/>
          <w:lang w:val="en-US"/>
        </w:rPr>
        <w:t>Protection</w:t>
      </w:r>
      <w:r w:rsidRPr="00F776F2">
        <w:rPr>
          <w:snapToGrid w:val="0"/>
          <w:lang w:val="en-US"/>
        </w:rPr>
        <w:t xml:space="preserve">. ICRP Publication 103, </w:t>
      </w:r>
      <w:r w:rsidRPr="00167FC0">
        <w:rPr>
          <w:i/>
          <w:snapToGrid w:val="0"/>
          <w:lang w:val="en-US"/>
        </w:rPr>
        <w:t xml:space="preserve">Annals of the ICRP </w:t>
      </w:r>
      <w:r w:rsidRPr="00F776F2">
        <w:rPr>
          <w:snapToGrid w:val="0"/>
          <w:lang w:val="en-US"/>
        </w:rPr>
        <w:t>37(2–4).</w:t>
      </w:r>
    </w:p>
    <w:p w:rsidR="00224F8A" w:rsidRPr="00F776F2" w:rsidRDefault="00224F8A" w:rsidP="00224F8A">
      <w:pPr>
        <w:pStyle w:val="referencelist1"/>
        <w:rPr>
          <w:snapToGrid w:val="0"/>
          <w:lang w:val="en-US"/>
        </w:rPr>
      </w:pPr>
      <w:proofErr w:type="gramStart"/>
      <w:r w:rsidRPr="00F776F2">
        <w:rPr>
          <w:snapToGrid w:val="0"/>
          <w:lang w:val="en-US"/>
        </w:rPr>
        <w:t>International Commission on Radiological</w:t>
      </w:r>
      <w:r w:rsidRPr="00F776F2">
        <w:rPr>
          <w:rFonts w:ascii="Arial" w:hAnsi="Arial" w:cs="Arial"/>
          <w:snapToGrid w:val="0"/>
          <w:sz w:val="20"/>
          <w:lang w:val="en-US" w:eastAsia="en-AU"/>
        </w:rPr>
        <w:t xml:space="preserve"> </w:t>
      </w:r>
      <w:r w:rsidRPr="00F776F2">
        <w:rPr>
          <w:snapToGrid w:val="0"/>
          <w:lang w:val="en-US"/>
        </w:rPr>
        <w:t>Protection (ICRP) 2008.</w:t>
      </w:r>
      <w:proofErr w:type="gramEnd"/>
      <w:r w:rsidRPr="00F776F2">
        <w:rPr>
          <w:snapToGrid w:val="0"/>
          <w:lang w:val="en-US"/>
        </w:rPr>
        <w:t xml:space="preserve"> </w:t>
      </w:r>
      <w:r w:rsidRPr="00F776F2">
        <w:rPr>
          <w:i/>
          <w:snapToGrid w:val="0"/>
          <w:lang w:val="en-US"/>
        </w:rPr>
        <w:t>Environmental protection: the concept and use of reference animals and plants</w:t>
      </w:r>
      <w:r w:rsidRPr="00F776F2">
        <w:rPr>
          <w:snapToGrid w:val="0"/>
          <w:lang w:val="en-US"/>
        </w:rPr>
        <w:t>. ICRP Publication 108, Ann</w:t>
      </w:r>
      <w:r w:rsidR="00D86CB8">
        <w:rPr>
          <w:snapToGrid w:val="0"/>
          <w:lang w:val="en-US"/>
        </w:rPr>
        <w:t>als of the ICRP 38, 4–6</w:t>
      </w:r>
      <w:r w:rsidRPr="00F776F2">
        <w:rPr>
          <w:snapToGrid w:val="0"/>
          <w:lang w:val="en-US"/>
        </w:rPr>
        <w:t>.</w:t>
      </w:r>
    </w:p>
    <w:p w:rsidR="00224F8A" w:rsidRPr="00F776F2" w:rsidRDefault="00224F8A" w:rsidP="00224F8A">
      <w:pPr>
        <w:pStyle w:val="referencelist1"/>
        <w:rPr>
          <w:snapToGrid w:val="0"/>
          <w:lang w:val="en-US"/>
        </w:rPr>
      </w:pPr>
      <w:proofErr w:type="gramStart"/>
      <w:r w:rsidRPr="00F776F2">
        <w:rPr>
          <w:snapToGrid w:val="0"/>
          <w:lang w:val="en-US"/>
        </w:rPr>
        <w:t xml:space="preserve">International Commission on </w:t>
      </w:r>
      <w:r w:rsidRPr="00F776F2">
        <w:t>Radiological</w:t>
      </w:r>
      <w:r w:rsidRPr="00F776F2">
        <w:rPr>
          <w:rFonts w:ascii="Arial" w:hAnsi="Arial" w:cs="Arial"/>
          <w:sz w:val="20"/>
          <w:lang w:eastAsia="en-AU"/>
        </w:rPr>
        <w:t xml:space="preserve"> </w:t>
      </w:r>
      <w:r w:rsidRPr="00F776F2">
        <w:rPr>
          <w:snapToGrid w:val="0"/>
          <w:lang w:val="en-US"/>
        </w:rPr>
        <w:t>Protection (ICRP) 2009.</w:t>
      </w:r>
      <w:proofErr w:type="gramEnd"/>
      <w:r w:rsidRPr="00F776F2">
        <w:rPr>
          <w:snapToGrid w:val="0"/>
          <w:lang w:val="en-US"/>
        </w:rPr>
        <w:t xml:space="preserve"> </w:t>
      </w:r>
      <w:r w:rsidRPr="00F776F2">
        <w:rPr>
          <w:i/>
          <w:snapToGrid w:val="0"/>
          <w:lang w:val="en-US"/>
        </w:rPr>
        <w:t>Environmental protection: transfer parameters for reference animals and plants</w:t>
      </w:r>
      <w:r w:rsidRPr="00F776F2">
        <w:rPr>
          <w:snapToGrid w:val="0"/>
          <w:lang w:val="en-US"/>
        </w:rPr>
        <w:t xml:space="preserve">. </w:t>
      </w:r>
      <w:proofErr w:type="gramStart"/>
      <w:r w:rsidRPr="00F776F2">
        <w:rPr>
          <w:snapToGrid w:val="0"/>
          <w:lang w:val="en-US"/>
        </w:rPr>
        <w:t xml:space="preserve">ICRP Publication 114, </w:t>
      </w:r>
      <w:r w:rsidRPr="00D86CB8">
        <w:rPr>
          <w:i/>
          <w:snapToGrid w:val="0"/>
          <w:lang w:val="en-US"/>
        </w:rPr>
        <w:t xml:space="preserve">Annals of the ICRP </w:t>
      </w:r>
      <w:r w:rsidRPr="00F776F2">
        <w:rPr>
          <w:snapToGrid w:val="0"/>
          <w:lang w:val="en-US"/>
        </w:rPr>
        <w:t>39(6).</w:t>
      </w:r>
      <w:proofErr w:type="gramEnd"/>
    </w:p>
    <w:p w:rsidR="00224F8A" w:rsidRDefault="00224F8A" w:rsidP="00224F8A">
      <w:pPr>
        <w:pStyle w:val="referencelist1"/>
        <w:rPr>
          <w:snapToGrid w:val="0"/>
          <w:lang w:val="en-US"/>
        </w:rPr>
      </w:pPr>
      <w:proofErr w:type="gramStart"/>
      <w:r w:rsidRPr="00F776F2">
        <w:rPr>
          <w:snapToGrid w:val="0"/>
          <w:lang w:val="en-US"/>
        </w:rPr>
        <w:t>International Commission on Radiological</w:t>
      </w:r>
      <w:r w:rsidRPr="00F776F2">
        <w:rPr>
          <w:rFonts w:ascii="Arial" w:hAnsi="Arial" w:cs="Arial"/>
          <w:snapToGrid w:val="0"/>
          <w:sz w:val="20"/>
          <w:lang w:val="en-US" w:eastAsia="en-AU"/>
        </w:rPr>
        <w:t xml:space="preserve"> </w:t>
      </w:r>
      <w:r w:rsidRPr="00F776F2">
        <w:rPr>
          <w:snapToGrid w:val="0"/>
          <w:lang w:val="en-US"/>
        </w:rPr>
        <w:t>Protection (ICRP) 2014.</w:t>
      </w:r>
      <w:proofErr w:type="gramEnd"/>
      <w:r w:rsidRPr="00F776F2">
        <w:rPr>
          <w:snapToGrid w:val="0"/>
          <w:lang w:val="en-US"/>
        </w:rPr>
        <w:t xml:space="preserve"> </w:t>
      </w:r>
      <w:proofErr w:type="gramStart"/>
      <w:r w:rsidRPr="00F776F2">
        <w:rPr>
          <w:i/>
          <w:snapToGrid w:val="0"/>
          <w:lang w:val="en-US"/>
        </w:rPr>
        <w:t>Protection of the environment under different exposure situations</w:t>
      </w:r>
      <w:r w:rsidRPr="00F776F2">
        <w:rPr>
          <w:snapToGrid w:val="0"/>
          <w:lang w:val="en-US"/>
        </w:rPr>
        <w:t>.</w:t>
      </w:r>
      <w:proofErr w:type="gramEnd"/>
      <w:r w:rsidRPr="00F776F2">
        <w:rPr>
          <w:snapToGrid w:val="0"/>
          <w:lang w:val="en-US"/>
        </w:rPr>
        <w:t xml:space="preserve"> </w:t>
      </w:r>
      <w:proofErr w:type="gramStart"/>
      <w:r w:rsidRPr="00F776F2">
        <w:rPr>
          <w:snapToGrid w:val="0"/>
          <w:lang w:val="en-US"/>
        </w:rPr>
        <w:t>ICRP Publication 124, Annals of the ICRP 43(1).</w:t>
      </w:r>
      <w:proofErr w:type="gramEnd"/>
    </w:p>
    <w:p w:rsidR="00224F8A" w:rsidRDefault="00224F8A" w:rsidP="00224F8A">
      <w:pPr>
        <w:pStyle w:val="referencelist1"/>
        <w:rPr>
          <w:snapToGrid w:val="0"/>
          <w:lang w:val="en-US"/>
        </w:rPr>
      </w:pPr>
      <w:proofErr w:type="gramStart"/>
      <w:r>
        <w:rPr>
          <w:snapToGrid w:val="0"/>
          <w:lang w:val="en-US"/>
        </w:rPr>
        <w:t>Ulanovsky A, Pröhl G &amp; Gómez-Ros JM 2008.</w:t>
      </w:r>
      <w:proofErr w:type="gramEnd"/>
      <w:r>
        <w:rPr>
          <w:snapToGrid w:val="0"/>
          <w:lang w:val="en-US"/>
        </w:rPr>
        <w:t xml:space="preserve"> Methods for calculating dose conversion coefficients for terrestrial and aquatic biota. </w:t>
      </w:r>
      <w:r w:rsidRPr="00F523D8">
        <w:rPr>
          <w:i/>
          <w:snapToGrid w:val="0"/>
          <w:lang w:val="en-US"/>
        </w:rPr>
        <w:t>Journal of Environmental Radioactivity</w:t>
      </w:r>
      <w:r>
        <w:rPr>
          <w:snapToGrid w:val="0"/>
          <w:lang w:val="en-US"/>
        </w:rPr>
        <w:t xml:space="preserve"> 99, 1440–1448.</w:t>
      </w:r>
    </w:p>
    <w:p w:rsidR="00224F8A" w:rsidRPr="007965D4" w:rsidRDefault="00224F8A" w:rsidP="00224F8A">
      <w:pPr>
        <w:pStyle w:val="referencelist1"/>
        <w:rPr>
          <w:snapToGrid w:val="0"/>
          <w:lang w:val="en-US"/>
        </w:rPr>
      </w:pPr>
      <w:proofErr w:type="gramStart"/>
      <w:r w:rsidRPr="007965D4">
        <w:rPr>
          <w:snapToGrid w:val="0"/>
          <w:lang w:val="en-US" w:eastAsia="en-AU"/>
        </w:rPr>
        <w:t>United Nations Scientific Committee on the Effects of Atomic Radiation</w:t>
      </w:r>
      <w:r>
        <w:rPr>
          <w:snapToGrid w:val="0"/>
          <w:lang w:val="en-US"/>
        </w:rPr>
        <w:t xml:space="preserve"> (UNSCEAR) 2011.</w:t>
      </w:r>
      <w:proofErr w:type="gramEnd"/>
      <w:r>
        <w:rPr>
          <w:snapToGrid w:val="0"/>
          <w:lang w:val="en-US"/>
        </w:rPr>
        <w:t xml:space="preserve"> </w:t>
      </w:r>
      <w:proofErr w:type="gramStart"/>
      <w:r>
        <w:rPr>
          <w:i/>
          <w:snapToGrid w:val="0"/>
          <w:lang w:val="en-US"/>
        </w:rPr>
        <w:t>Sources and effects of ionizing radiation</w:t>
      </w:r>
      <w:r>
        <w:rPr>
          <w:snapToGrid w:val="0"/>
          <w:lang w:val="en-US"/>
        </w:rPr>
        <w:t>.</w:t>
      </w:r>
      <w:proofErr w:type="gramEnd"/>
      <w:r>
        <w:rPr>
          <w:snapToGrid w:val="0"/>
          <w:lang w:val="en-US"/>
        </w:rPr>
        <w:t xml:space="preserve"> UNSCEAR 2008 Report to the General Assembly with Scientific Annexes, Annex E Effects of ionizing radiation on non-human biota. United Nations, New York.</w:t>
      </w:r>
    </w:p>
    <w:p w:rsidR="00224F8A" w:rsidRPr="00F776F2" w:rsidRDefault="00224F8A" w:rsidP="00224F8A">
      <w:pPr>
        <w:pStyle w:val="referencelist1"/>
        <w:rPr>
          <w:snapToGrid w:val="0"/>
          <w:lang w:val="en-US"/>
        </w:rPr>
      </w:pPr>
      <w:proofErr w:type="gramStart"/>
      <w:r w:rsidRPr="00F776F2">
        <w:rPr>
          <w:snapToGrid w:val="0"/>
          <w:lang w:val="en-US"/>
        </w:rPr>
        <w:t>Vives i Batlle J, Copplestone D &amp; Jones SR 2012.</w:t>
      </w:r>
      <w:proofErr w:type="gramEnd"/>
      <w:r w:rsidRPr="00F776F2">
        <w:rPr>
          <w:snapToGrid w:val="0"/>
          <w:lang w:val="en-US"/>
        </w:rPr>
        <w:t xml:space="preserve"> </w:t>
      </w:r>
      <w:proofErr w:type="gramStart"/>
      <w:r w:rsidRPr="00F776F2">
        <w:rPr>
          <w:snapToGrid w:val="0"/>
          <w:lang w:val="en-US"/>
        </w:rPr>
        <w:t>Allometric methodology for the assessment of radon exposures to terrestrial wildlife.</w:t>
      </w:r>
      <w:proofErr w:type="gramEnd"/>
      <w:r w:rsidRPr="00D86CB8">
        <w:rPr>
          <w:i/>
          <w:snapToGrid w:val="0"/>
          <w:lang w:val="en-US"/>
        </w:rPr>
        <w:t xml:space="preserve"> Science of the Total Environment </w:t>
      </w:r>
      <w:r w:rsidRPr="00F776F2">
        <w:rPr>
          <w:snapToGrid w:val="0"/>
          <w:lang w:val="en-US"/>
        </w:rPr>
        <w:t>427–428, 50–59.</w:t>
      </w:r>
    </w:p>
    <w:p w:rsidR="007D150B" w:rsidRDefault="00224F8A" w:rsidP="00224F8A">
      <w:pPr>
        <w:pStyle w:val="referencelist1"/>
        <w:rPr>
          <w:snapToGrid w:val="0"/>
          <w:lang w:val="en-US"/>
        </w:rPr>
        <w:sectPr w:rsidR="007D150B" w:rsidSect="00D444BD">
          <w:pgSz w:w="11906" w:h="16838" w:code="9"/>
          <w:pgMar w:top="1440" w:right="1800" w:bottom="1440" w:left="1800" w:header="1080" w:footer="835" w:gutter="0"/>
          <w:cols w:space="360"/>
          <w:noEndnote/>
        </w:sectPr>
      </w:pPr>
      <w:r w:rsidRPr="00F776F2">
        <w:rPr>
          <w:snapToGrid w:val="0"/>
          <w:lang w:val="en-US"/>
        </w:rPr>
        <w:t xml:space="preserve">Yankovich TL, Beresford NA, Wood MD, Aono T, Andersson P, Barnett CL, Bennett P, Brown JE, Fesenko S, Fesenko J, Hosseini A, Howard BJ, Johansen MP, Phaneuf MM, Tagami K, Takata H, Twining JR &amp; Uchida S 2010. </w:t>
      </w:r>
      <w:proofErr w:type="gramStart"/>
      <w:r w:rsidRPr="00F776F2">
        <w:rPr>
          <w:snapToGrid w:val="0"/>
          <w:lang w:val="en-US"/>
        </w:rPr>
        <w:t>Whole-body to tissue concentration ratios for use in biota dose assessments for animals.</w:t>
      </w:r>
      <w:proofErr w:type="gramEnd"/>
      <w:r w:rsidRPr="00F776F2">
        <w:rPr>
          <w:snapToGrid w:val="0"/>
          <w:lang w:val="en-US"/>
        </w:rPr>
        <w:t xml:space="preserve"> </w:t>
      </w:r>
      <w:r w:rsidRPr="00F776F2">
        <w:rPr>
          <w:i/>
          <w:snapToGrid w:val="0"/>
          <w:lang w:val="en-US"/>
        </w:rPr>
        <w:t>Radiation and Environmental Biophysics</w:t>
      </w:r>
      <w:r w:rsidRPr="00F776F2">
        <w:rPr>
          <w:snapToGrid w:val="0"/>
          <w:lang w:val="en-US"/>
        </w:rPr>
        <w:t xml:space="preserve"> 49, 549–565.</w:t>
      </w:r>
    </w:p>
    <w:p w:rsidR="00224F8A" w:rsidRDefault="00224F8A" w:rsidP="00224F8A">
      <w:pPr>
        <w:pStyle w:val="referencelist1"/>
        <w:rPr>
          <w:snapToGrid w:val="0"/>
          <w:lang w:val="en-US"/>
        </w:rPr>
      </w:pPr>
    </w:p>
    <w:p w:rsidR="007D150B" w:rsidRDefault="007D150B" w:rsidP="007D150B">
      <w:pPr>
        <w:pStyle w:val="Heading1"/>
        <w:rPr>
          <w:snapToGrid w:val="0"/>
          <w:lang w:val="en-US"/>
        </w:rPr>
      </w:pPr>
    </w:p>
    <w:p w:rsidR="007D150B" w:rsidRDefault="007D150B" w:rsidP="007D150B">
      <w:pPr>
        <w:pStyle w:val="Heading1"/>
        <w:rPr>
          <w:snapToGrid w:val="0"/>
          <w:lang w:val="en-US"/>
        </w:rPr>
      </w:pPr>
    </w:p>
    <w:p w:rsidR="007D150B" w:rsidRDefault="007D150B" w:rsidP="007D150B">
      <w:pPr>
        <w:pStyle w:val="Heading1"/>
        <w:rPr>
          <w:snapToGrid w:val="0"/>
          <w:lang w:val="en-US"/>
        </w:rPr>
      </w:pPr>
    </w:p>
    <w:p w:rsidR="007D150B" w:rsidRDefault="007D150B" w:rsidP="007D150B">
      <w:pPr>
        <w:pStyle w:val="Heading1"/>
        <w:rPr>
          <w:snapToGrid w:val="0"/>
          <w:lang w:val="en-US"/>
        </w:rPr>
      </w:pPr>
    </w:p>
    <w:p w:rsidR="007D150B" w:rsidRDefault="007D150B" w:rsidP="007D150B">
      <w:pPr>
        <w:pStyle w:val="Heading1"/>
        <w:rPr>
          <w:snapToGrid w:val="0"/>
          <w:lang w:val="en-US"/>
        </w:rPr>
      </w:pPr>
    </w:p>
    <w:p w:rsidR="007D150B" w:rsidRDefault="0042639C" w:rsidP="007D150B">
      <w:pPr>
        <w:pStyle w:val="Heading1"/>
      </w:pPr>
      <w:bookmarkStart w:id="265" w:name="_Toc409772830"/>
      <w:bookmarkStart w:id="266" w:name="_Toc418172726"/>
      <w:r>
        <w:t>Key Knowledge Need 2.6:</w:t>
      </w:r>
      <w:r w:rsidR="007D150B">
        <w:t xml:space="preserve"> </w:t>
      </w:r>
      <w:bookmarkEnd w:id="265"/>
      <w:r>
        <w:t>Monitoring</w:t>
      </w:r>
      <w:bookmarkEnd w:id="266"/>
    </w:p>
    <w:p w:rsidR="00224F8A" w:rsidRDefault="00224F8A" w:rsidP="00224F8A">
      <w:pPr>
        <w:pStyle w:val="referencelist1"/>
      </w:pPr>
    </w:p>
    <w:p w:rsidR="00361D80" w:rsidRDefault="00361D80" w:rsidP="00224F8A">
      <w:pPr>
        <w:pStyle w:val="referencelist1"/>
      </w:pPr>
    </w:p>
    <w:p w:rsidR="00361D80" w:rsidRDefault="00361D80" w:rsidP="00361D80">
      <w:pPr>
        <w:pStyle w:val="referencelist1"/>
        <w:ind w:left="0" w:firstLine="0"/>
        <w:sectPr w:rsidR="00361D80" w:rsidSect="00D444BD">
          <w:headerReference w:type="default" r:id="rId259"/>
          <w:pgSz w:w="11906" w:h="16838" w:code="9"/>
          <w:pgMar w:top="1440" w:right="1800" w:bottom="1440" w:left="1800" w:header="1080" w:footer="835" w:gutter="0"/>
          <w:cols w:space="360"/>
          <w:noEndnote/>
        </w:sectPr>
      </w:pPr>
    </w:p>
    <w:p w:rsidR="001A1870" w:rsidRDefault="001A1870" w:rsidP="001A1870">
      <w:pPr>
        <w:pStyle w:val="Heading1"/>
      </w:pPr>
      <w:bookmarkStart w:id="267" w:name="_Toc401910212"/>
      <w:bookmarkStart w:id="268" w:name="_Toc409772836"/>
      <w:bookmarkStart w:id="269" w:name="_Toc418172727"/>
      <w:r w:rsidRPr="002C3C23">
        <w:t>Developing monitoring methods using an Unmanned Aerial System (UAS): Jabiluka revegetation</w:t>
      </w:r>
      <w:bookmarkEnd w:id="267"/>
      <w:bookmarkEnd w:id="268"/>
      <w:bookmarkEnd w:id="269"/>
    </w:p>
    <w:p w:rsidR="001A1870" w:rsidRPr="00A732C6" w:rsidRDefault="001A1870" w:rsidP="001A1870">
      <w:pPr>
        <w:pStyle w:val="Heading3"/>
        <w:spacing w:after="480"/>
        <w:jc w:val="center"/>
      </w:pPr>
      <w:r>
        <w:t>T Whiteside, R Bartolo &amp; S Grant</w:t>
      </w:r>
    </w:p>
    <w:p w:rsidR="001A1870" w:rsidRDefault="001A1870" w:rsidP="001A1870">
      <w:pPr>
        <w:pStyle w:val="Heading2"/>
      </w:pPr>
      <w:r>
        <w:t>Introduction</w:t>
      </w:r>
    </w:p>
    <w:p w:rsidR="001A1870" w:rsidRDefault="001A1870" w:rsidP="001A1870">
      <w:r>
        <w:t>T</w:t>
      </w:r>
      <w:r w:rsidRPr="000C75FA">
        <w:t xml:space="preserve">he Revegetation and Landscape Ecology </w:t>
      </w:r>
      <w:r>
        <w:t>(RLE) group</w:t>
      </w:r>
      <w:r w:rsidRPr="000C75FA">
        <w:t xml:space="preserve"> in </w:t>
      </w:r>
      <w:r w:rsidR="004A3C4C" w:rsidRPr="004A3C4C">
        <w:rPr>
          <w:b/>
          <w:i/>
          <w:sz w:val="26"/>
          <w:szCs w:val="26"/>
        </w:rPr>
        <w:t>eriss</w:t>
      </w:r>
      <w:r w:rsidR="004A3C4C" w:rsidRPr="000C75FA">
        <w:t xml:space="preserve"> </w:t>
      </w:r>
      <w:r>
        <w:t>is</w:t>
      </w:r>
      <w:r w:rsidRPr="000C75FA">
        <w:t xml:space="preserve"> designing and establishing monitoring program</w:t>
      </w:r>
      <w:r>
        <w:t>me</w:t>
      </w:r>
      <w:r w:rsidRPr="000C75FA">
        <w:t>s for the impending closure of the Ranger minesite.</w:t>
      </w:r>
      <w:r w:rsidRPr="002C4DA5">
        <w:t xml:space="preserve"> </w:t>
      </w:r>
      <w:r w:rsidRPr="000C75FA">
        <w:t>Monitoring requires the assessment of numerous biophysical indicators within the landscape</w:t>
      </w:r>
      <w:r w:rsidR="006B5A61">
        <w:fldChar w:fldCharType="begin"/>
      </w:r>
      <w:r>
        <w:instrText xml:space="preserve"> ADDIN EN.CITE &lt;EndNote&gt;&lt;Cite&gt;&lt;Author&gt;Ruiz</w:instrText>
      </w:r>
      <w:r>
        <w:rPr>
          <w:rFonts w:ascii="Cambria Math" w:hAnsi="Cambria Math" w:cs="Cambria Math"/>
        </w:rPr>
        <w:instrText>‐</w:instrText>
      </w:r>
      <w:r>
        <w:rPr>
          <w:rFonts w:cs="Garamond"/>
        </w:rPr>
        <w:instrText>Jaen&lt;/Author&gt;&lt;Year&gt;2005&lt;/Year&gt;&lt;RecNum&gt;22&lt;/RecNum&gt;&lt;DisplayText&gt; (Ruiz</w:instrText>
      </w:r>
      <w:r>
        <w:rPr>
          <w:rFonts w:ascii="Cambria Math" w:hAnsi="Cambria Math" w:cs="Cambria Math"/>
        </w:rPr>
        <w:instrText>‐</w:instrText>
      </w:r>
      <w:r>
        <w:rPr>
          <w:rFonts w:cs="Garamond"/>
        </w:rPr>
        <w:instrText>Jaen &amp;amp; Mitchell Aide 2005)&lt;/DisplayText&gt;&lt;record&gt;&lt;rec-number&gt;22&lt;/rec-number&gt;&lt;foreign-keys&gt;&lt;key app="EN" db-id="pwd50zdsoxr</w:instrText>
      </w:r>
      <w:r>
        <w:instrText>dw5ewd29vsrt0exrx20a0w9tr"&gt;22&lt;/key&gt;&lt;/foreign-keys&gt;&lt;ref-type name="Journal Article"&gt;17&lt;/ref-type&gt;&lt;contributors&gt;&lt;authors&gt;&lt;author&gt;Ruiz</w:instrText>
      </w:r>
      <w:r>
        <w:rPr>
          <w:rFonts w:ascii="Cambria Math" w:hAnsi="Cambria Math" w:cs="Cambria Math"/>
        </w:rPr>
        <w:instrText>‐</w:instrText>
      </w:r>
      <w:r>
        <w:rPr>
          <w:rFonts w:cs="Garamond"/>
        </w:rPr>
        <w:instrText>Jaen, Maria C&lt;/author&gt;&lt;author&gt;Mitchell Aide, T&lt;/author&gt;&lt;/authors&gt;&lt;/contributors&gt;&lt;titles&gt;&lt;title&gt;Restoration success: how is i</w:instrText>
      </w:r>
      <w:r>
        <w:instrText>t being measured?&lt;/title&gt;&lt;secondary-title&gt;Restoration Ecology&lt;/secondary-title&gt;&lt;/titles&gt;&lt;periodical&gt;&lt;full-title&gt;Restoration Ecology&lt;/full-title&gt;&lt;/periodical&gt;&lt;pages&gt;569-577&lt;/pages&gt;&lt;volume&gt;13&lt;/volume&gt;&lt;number&gt;3&lt;/number&gt;&lt;dates&gt;&lt;year&gt;2005&lt;/year&gt;&lt;/dates&gt;&lt;isbn&gt;1526-100X&lt;/isbn&gt;&lt;urls&gt;&lt;/urls&gt;&lt;/record&gt;&lt;/Cite&gt;&lt;/EndNote&gt;</w:instrText>
      </w:r>
      <w:r w:rsidR="006B5A61">
        <w:fldChar w:fldCharType="separate"/>
      </w:r>
      <w:r>
        <w:rPr>
          <w:noProof/>
        </w:rPr>
        <w:t> (</w:t>
      </w:r>
      <w:hyperlink w:anchor="_ENREF_4" w:tooltip="Ruiz‐Jaen, 2005 #22" w:history="1">
        <w:r>
          <w:rPr>
            <w:noProof/>
          </w:rPr>
          <w:t>Ruiz</w:t>
        </w:r>
        <w:r>
          <w:rPr>
            <w:rFonts w:ascii="Cambria Math" w:hAnsi="Cambria Math" w:cs="Cambria Math"/>
            <w:noProof/>
          </w:rPr>
          <w:t>‐</w:t>
        </w:r>
        <w:r>
          <w:rPr>
            <w:rFonts w:cs="Garamond"/>
            <w:noProof/>
          </w:rPr>
          <w:t>Jaen &amp; Mitc</w:t>
        </w:r>
        <w:r>
          <w:rPr>
            <w:noProof/>
          </w:rPr>
          <w:t>hell Aide 2005</w:t>
        </w:r>
      </w:hyperlink>
      <w:r>
        <w:rPr>
          <w:noProof/>
        </w:rPr>
        <w:t>)</w:t>
      </w:r>
      <w:r w:rsidR="006B5A61">
        <w:fldChar w:fldCharType="end"/>
      </w:r>
      <w:r>
        <w:t xml:space="preserve"> and may include parameters such as: tree</w:t>
      </w:r>
      <w:r w:rsidRPr="000C75FA">
        <w:t xml:space="preserve"> and canopy density; ground cover (vegetative and bare ground); tree height; vegetation rigour and health; hydrological change; and erosion. The impact of landscape disturbances such as fire, weeds and cyclones may also need to be measured </w:t>
      </w:r>
      <w:r>
        <w:t>and accounted for</w:t>
      </w:r>
      <w:r w:rsidRPr="000C75FA">
        <w:t xml:space="preserve">. </w:t>
      </w:r>
      <w:r>
        <w:t>The biophysical indicators that will be monitored will be selected by the Flora and Fauna and the Landform Technical Working Groups of the Closure Criteria Working Group. For effective monitoring, d</w:t>
      </w:r>
      <w:r w:rsidRPr="000C75FA">
        <w:t xml:space="preserve">ata and information on these indicators </w:t>
      </w:r>
      <w:r>
        <w:t>are</w:t>
      </w:r>
      <w:r w:rsidRPr="000C75FA">
        <w:t xml:space="preserve"> required at suitable temporal scales (frequency) and within an appropriate spatial </w:t>
      </w:r>
      <w:r>
        <w:t xml:space="preserve">sampling resolution and design. </w:t>
      </w:r>
      <w:r w:rsidRPr="000C75FA">
        <w:t>Frequent monitoring is particularly critical in the early stages of revegetation</w:t>
      </w:r>
      <w:r>
        <w:t>,</w:t>
      </w:r>
      <w:r w:rsidRPr="000C75FA">
        <w:t xml:space="preserve"> where an understanding of the dynamics of survivability </w:t>
      </w:r>
      <w:r>
        <w:t xml:space="preserve">of sensitive life stages </w:t>
      </w:r>
      <w:r w:rsidRPr="000C75FA">
        <w:t>may be required</w:t>
      </w:r>
      <w:r>
        <w:t xml:space="preserve"> by i</w:t>
      </w:r>
      <w:r w:rsidRPr="000C75FA">
        <w:t>dentifying the condition of</w:t>
      </w:r>
      <w:r>
        <w:t xml:space="preserve"> </w:t>
      </w:r>
      <w:r w:rsidRPr="000C75FA">
        <w:t>individual plantings</w:t>
      </w:r>
      <w:r w:rsidRPr="003246BB">
        <w:t>.</w:t>
      </w:r>
      <w:r w:rsidRPr="00347795">
        <w:t xml:space="preserve"> </w:t>
      </w:r>
      <w:r w:rsidRPr="003246BB">
        <w:t>Recent technological advances have led to UAS</w:t>
      </w:r>
      <w:r>
        <w:t xml:space="preserve"> </w:t>
      </w:r>
      <w:r w:rsidRPr="001317A2">
        <w:rPr>
          <w:szCs w:val="22"/>
        </w:rPr>
        <w:t>(unmanned aerial system</w:t>
      </w:r>
      <w:r>
        <w:rPr>
          <w:szCs w:val="22"/>
        </w:rPr>
        <w:t>s</w:t>
      </w:r>
      <w:r w:rsidRPr="001317A2">
        <w:rPr>
          <w:szCs w:val="22"/>
        </w:rPr>
        <w:t>)</w:t>
      </w:r>
      <w:r w:rsidRPr="003246BB">
        <w:t xml:space="preserve"> having lower costs and increased reliability.</w:t>
      </w:r>
      <w:r w:rsidRPr="000E3BC6">
        <w:rPr>
          <w:szCs w:val="22"/>
        </w:rPr>
        <w:t xml:space="preserve"> </w:t>
      </w:r>
      <w:r w:rsidRPr="001317A2">
        <w:rPr>
          <w:szCs w:val="22"/>
        </w:rPr>
        <w:t>Sensors onboard UAS capture very high spatial resolution data that not only include imagery of sub-decimetre (&lt; 5 cm) ground sample distance (GSD) but are also the basis for very high resolution, photogrammetric products including 3D point cloud data, digital surface models (DSMs) and d</w:t>
      </w:r>
      <w:r>
        <w:rPr>
          <w:szCs w:val="22"/>
        </w:rPr>
        <w:t>igital elevation models (DEMs).</w:t>
      </w:r>
      <w:r w:rsidRPr="003246BB">
        <w:t xml:space="preserve"> Advances in photogrammetric image processing</w:t>
      </w:r>
      <w:r>
        <w:t>,</w:t>
      </w:r>
      <w:r w:rsidRPr="003246BB">
        <w:t xml:space="preserve"> using multi-view stereopsis</w:t>
      </w:r>
      <w:r w:rsidR="006B5A61" w:rsidRPr="003246BB">
        <w:fldChar w:fldCharType="begin"/>
      </w:r>
      <w:r w:rsidRPr="003246BB">
        <w:instrText xml:space="preserve"> ADDIN EN.CITE &lt;EndNote&gt;&lt;Cite&gt;&lt;Author&gt;Harwin&lt;/Author&gt;&lt;Year&gt;2012&lt;/Year&gt;&lt;RecNum&gt;73&lt;/RecNum&gt;&lt;DisplayText&gt; (Harwin &amp;amp; Lucieer 2012)&lt;/DisplayText&gt;&lt;record&gt;&lt;rec-number&gt;73&lt;/rec-number&gt;&lt;foreign-keys&gt;&lt;key app="EN" db-id="a0xfrvee30ea2serwrqvd9vzt0rpxx25vsx5"&gt;73&lt;/key&gt;&lt;/foreign-keys&gt;&lt;ref-type name="Journal Article"&gt;17&lt;/ref-type&gt;&lt;contributors&gt;&lt;authors&gt;&lt;author&gt;Harwin, Steve&lt;/author&gt;&lt;author&gt;Lucieer, Arko&lt;/author&gt;&lt;/authors&gt;&lt;/contributors&gt;&lt;titles&gt;&lt;title&gt;Assessing the Accuracy of Georeferenced Point Clouds Produced via Multi-View Stereopsis from Unmanned Aerial Vehicle (UAV) Imagery&lt;/title&gt;&lt;secondary-title&gt;Remote Sensing&lt;/secondary-title&gt;&lt;/titles&gt;&lt;periodical&gt;&lt;full-title&gt;Remote Sensing&lt;/full-title&gt;&lt;/periodical&gt;&lt;pages&gt;1573-1599&lt;/pages&gt;&lt;volume&gt;4&lt;/volume&gt;&lt;number&gt;6&lt;/number&gt;&lt;dates&gt;&lt;year&gt;2012&lt;/year&gt;&lt;/dates&gt;&lt;isbn&gt;2072-4292&lt;/isbn&gt;&lt;accession-num&gt;doi:10.3390/rs4061573&lt;/accession-num&gt;&lt;urls&gt;&lt;related-urls&gt;&lt;url&gt;http://www.mdpi.com/2072-4292/4/6/1573&lt;/url&gt;&lt;/related-urls&gt;&lt;/urls&gt;&lt;/record&gt;&lt;/Cite&gt;&lt;/EndNote&gt;</w:instrText>
      </w:r>
      <w:r w:rsidR="006B5A61" w:rsidRPr="003246BB">
        <w:fldChar w:fldCharType="separate"/>
      </w:r>
      <w:r w:rsidRPr="003246BB">
        <w:rPr>
          <w:noProof/>
        </w:rPr>
        <w:t> (</w:t>
      </w:r>
      <w:hyperlink w:anchor="_ENREF_2" w:tooltip="Harwin, 2012 #73" w:history="1">
        <w:r w:rsidRPr="003246BB">
          <w:rPr>
            <w:noProof/>
          </w:rPr>
          <w:t>Harwin &amp; Lucieer 2012</w:t>
        </w:r>
      </w:hyperlink>
      <w:r w:rsidRPr="003246BB">
        <w:rPr>
          <w:noProof/>
        </w:rPr>
        <w:t>)</w:t>
      </w:r>
      <w:r w:rsidR="006B5A61" w:rsidRPr="003246BB">
        <w:fldChar w:fldCharType="end"/>
      </w:r>
      <w:r w:rsidRPr="003246BB">
        <w:t>, have also meant that low cost</w:t>
      </w:r>
      <w:r>
        <w:t>,</w:t>
      </w:r>
      <w:r w:rsidRPr="003246BB">
        <w:t xml:space="preserve"> lightweight cameras can now produce </w:t>
      </w:r>
      <w:r>
        <w:t>imagery of a comparable quality</w:t>
      </w:r>
      <w:r w:rsidRPr="003246BB">
        <w:t xml:space="preserve"> as traditional aerial photography.</w:t>
      </w:r>
      <w:r w:rsidRPr="00347795">
        <w:rPr>
          <w:szCs w:val="22"/>
        </w:rPr>
        <w:t xml:space="preserve"> </w:t>
      </w:r>
      <w:r w:rsidRPr="001317A2">
        <w:rPr>
          <w:szCs w:val="22"/>
        </w:rPr>
        <w:t>Data of this spatial scale will greatly assist the monitoring of mine closure activities. Advantages over field-based data collection</w:t>
      </w:r>
      <w:r>
        <w:rPr>
          <w:szCs w:val="22"/>
        </w:rPr>
        <w:t xml:space="preserve"> </w:t>
      </w:r>
      <w:r w:rsidRPr="001317A2">
        <w:rPr>
          <w:szCs w:val="22"/>
        </w:rPr>
        <w:t>are the availability of complete data coverage in a much shorter amount of time. Advantages over satellite imagery and traditional aerial photography include the higher spatial resolution, lower costs for high temporal resolution sensing and the ability to operate below cloud. UAS have the added flexibility to fly when required with short deployment and data capture times, enabling rapid response to events. In addition, data products can be produced almost immediately after capture. In a minesite rehabilitation context, data captured by UAS for monitoring will be of a relevant spatial and temporal scale, with particular emphasis on monitoring surface conditions, landform changes and vegetation growth.</w:t>
      </w:r>
    </w:p>
    <w:p w:rsidR="001A1870" w:rsidRDefault="001A1870" w:rsidP="009A0A84">
      <w:pPr>
        <w:spacing w:after="0" w:line="240" w:lineRule="auto"/>
        <w:rPr>
          <w:szCs w:val="22"/>
        </w:rPr>
      </w:pPr>
      <w:r w:rsidRPr="000C75FA">
        <w:t>Rehabilitation work on the Jabiluka minesite has been undertaken by ERA</w:t>
      </w:r>
      <w:r>
        <w:t>,</w:t>
      </w:r>
      <w:r w:rsidRPr="000C75FA">
        <w:t xml:space="preserve"> including the planting of over 3500 trees and s</w:t>
      </w:r>
      <w:r>
        <w:t>hrubs in October 2013. T</w:t>
      </w:r>
      <w:r w:rsidRPr="000C75FA">
        <w:t xml:space="preserve">he </w:t>
      </w:r>
      <w:r>
        <w:t xml:space="preserve">newly-planted </w:t>
      </w:r>
      <w:r w:rsidRPr="000C75FA">
        <w:t>site now provides an ideal base for conducting research and testing methodologies</w:t>
      </w:r>
      <w:r>
        <w:t xml:space="preserve"> for UAS based monitoring.</w:t>
      </w:r>
      <w:r>
        <w:rPr>
          <w:szCs w:val="22"/>
        </w:rPr>
        <w:t xml:space="preserve"> </w:t>
      </w:r>
      <w:r w:rsidRPr="001317A2">
        <w:rPr>
          <w:szCs w:val="22"/>
        </w:rPr>
        <w:t xml:space="preserve">The main aim of this project is to develop effective techniques for monitoring the rehabilitation and revegetation of minesites, in particular the Jabiluka mine area, using UAS technology. The data from the UAS will be used to measure the success of the early stages of revegetation of the site. </w:t>
      </w:r>
    </w:p>
    <w:p w:rsidR="001A1870" w:rsidRPr="001317A2" w:rsidRDefault="001A1870" w:rsidP="001A1870">
      <w:pPr>
        <w:rPr>
          <w:szCs w:val="22"/>
        </w:rPr>
      </w:pPr>
      <w:r w:rsidRPr="001317A2">
        <w:rPr>
          <w:szCs w:val="22"/>
        </w:rPr>
        <w:t>The aims of the project are to:</w:t>
      </w:r>
    </w:p>
    <w:p w:rsidR="001A1870" w:rsidRPr="001317A2" w:rsidRDefault="001A1870" w:rsidP="001A1870">
      <w:pPr>
        <w:pStyle w:val="ListParagraph"/>
        <w:numPr>
          <w:ilvl w:val="0"/>
          <w:numId w:val="20"/>
        </w:numPr>
        <w:ind w:left="426" w:hanging="426"/>
        <w:rPr>
          <w:szCs w:val="22"/>
        </w:rPr>
      </w:pPr>
      <w:r w:rsidRPr="001317A2">
        <w:rPr>
          <w:szCs w:val="22"/>
        </w:rPr>
        <w:t>Capture data over the Jabiluka site at approximately monthly intervals.</w:t>
      </w:r>
    </w:p>
    <w:p w:rsidR="001A1870" w:rsidRDefault="001A1870" w:rsidP="001A1870">
      <w:pPr>
        <w:pStyle w:val="ListParagraph"/>
        <w:numPr>
          <w:ilvl w:val="0"/>
          <w:numId w:val="20"/>
        </w:numPr>
        <w:ind w:left="426" w:hanging="426"/>
        <w:rPr>
          <w:szCs w:val="22"/>
        </w:rPr>
      </w:pPr>
      <w:r w:rsidRPr="001317A2">
        <w:rPr>
          <w:szCs w:val="22"/>
        </w:rPr>
        <w:t xml:space="preserve">Establish </w:t>
      </w:r>
      <w:r>
        <w:rPr>
          <w:szCs w:val="22"/>
        </w:rPr>
        <w:t xml:space="preserve">and document formalised </w:t>
      </w:r>
      <w:r w:rsidRPr="001317A2">
        <w:rPr>
          <w:szCs w:val="22"/>
        </w:rPr>
        <w:t xml:space="preserve">procedures </w:t>
      </w:r>
      <w:r>
        <w:rPr>
          <w:szCs w:val="22"/>
        </w:rPr>
        <w:t>for data</w:t>
      </w:r>
      <w:r w:rsidRPr="001317A2">
        <w:rPr>
          <w:szCs w:val="22"/>
        </w:rPr>
        <w:t xml:space="preserve"> process</w:t>
      </w:r>
      <w:r>
        <w:rPr>
          <w:szCs w:val="22"/>
        </w:rPr>
        <w:t>ing</w:t>
      </w:r>
      <w:r w:rsidRPr="001317A2">
        <w:rPr>
          <w:szCs w:val="22"/>
        </w:rPr>
        <w:t xml:space="preserve"> and analys</w:t>
      </w:r>
      <w:r>
        <w:rPr>
          <w:szCs w:val="22"/>
        </w:rPr>
        <w:t>is</w:t>
      </w:r>
      <w:r w:rsidRPr="001317A2">
        <w:rPr>
          <w:szCs w:val="22"/>
        </w:rPr>
        <w:t xml:space="preserve"> </w:t>
      </w:r>
      <w:r>
        <w:rPr>
          <w:szCs w:val="22"/>
        </w:rPr>
        <w:t>including</w:t>
      </w:r>
      <w:r w:rsidRPr="001317A2">
        <w:rPr>
          <w:szCs w:val="22"/>
        </w:rPr>
        <w:t xml:space="preserve"> </w:t>
      </w:r>
      <w:r>
        <w:rPr>
          <w:szCs w:val="22"/>
        </w:rPr>
        <w:t xml:space="preserve">the </w:t>
      </w:r>
      <w:r w:rsidRPr="001317A2">
        <w:rPr>
          <w:szCs w:val="22"/>
        </w:rPr>
        <w:t>extract</w:t>
      </w:r>
      <w:r>
        <w:rPr>
          <w:szCs w:val="22"/>
        </w:rPr>
        <w:t>ion of</w:t>
      </w:r>
      <w:r w:rsidRPr="001317A2">
        <w:rPr>
          <w:szCs w:val="22"/>
        </w:rPr>
        <w:t xml:space="preserve"> relevant information, </w:t>
      </w:r>
      <w:r>
        <w:rPr>
          <w:szCs w:val="22"/>
        </w:rPr>
        <w:t>such as</w:t>
      </w:r>
      <w:r w:rsidRPr="001317A2">
        <w:rPr>
          <w:szCs w:val="22"/>
        </w:rPr>
        <w:t xml:space="preserve"> landscape metrics, for monitoring rehabilitation.</w:t>
      </w:r>
    </w:p>
    <w:p w:rsidR="001A1870" w:rsidRPr="001317A2" w:rsidRDefault="001A1870" w:rsidP="001A1870">
      <w:pPr>
        <w:pStyle w:val="ListParagraph"/>
        <w:numPr>
          <w:ilvl w:val="0"/>
          <w:numId w:val="20"/>
        </w:numPr>
        <w:ind w:left="426" w:hanging="426"/>
        <w:rPr>
          <w:szCs w:val="22"/>
        </w:rPr>
      </w:pPr>
      <w:r w:rsidRPr="001317A2">
        <w:rPr>
          <w:szCs w:val="22"/>
        </w:rPr>
        <w:t>Use UAS data to quantify over time, the revegetation success of the planting areas, revegetation success of species planted and the dominant volunteer species on the site.</w:t>
      </w:r>
    </w:p>
    <w:p w:rsidR="001A1870" w:rsidRPr="001317A2" w:rsidRDefault="001A1870" w:rsidP="001A1870">
      <w:pPr>
        <w:pStyle w:val="ListParagraph"/>
        <w:numPr>
          <w:ilvl w:val="0"/>
          <w:numId w:val="20"/>
        </w:numPr>
        <w:ind w:left="426" w:hanging="426"/>
        <w:rPr>
          <w:szCs w:val="22"/>
        </w:rPr>
      </w:pPr>
      <w:r w:rsidRPr="001317A2">
        <w:rPr>
          <w:szCs w:val="22"/>
        </w:rPr>
        <w:t>Report on the findings relating to the success of revegetat</w:t>
      </w:r>
      <w:r>
        <w:rPr>
          <w:szCs w:val="22"/>
        </w:rPr>
        <w:t>ion in the first 12–</w:t>
      </w:r>
      <w:r w:rsidRPr="001317A2">
        <w:rPr>
          <w:szCs w:val="22"/>
        </w:rPr>
        <w:t>18 months of revegetation.</w:t>
      </w:r>
    </w:p>
    <w:p w:rsidR="001A1870" w:rsidRPr="001317A2" w:rsidRDefault="001A1870" w:rsidP="001A1870">
      <w:pPr>
        <w:rPr>
          <w:szCs w:val="22"/>
        </w:rPr>
      </w:pPr>
      <w:r w:rsidRPr="001317A2">
        <w:rPr>
          <w:szCs w:val="22"/>
        </w:rPr>
        <w:t>This paper reports on the initial data captures and preliminary data processing and analysis.</w:t>
      </w:r>
    </w:p>
    <w:p w:rsidR="001A1870" w:rsidRDefault="001A1870" w:rsidP="001A1870">
      <w:pPr>
        <w:pStyle w:val="Heading2"/>
      </w:pPr>
      <w:r>
        <w:t>Methodology</w:t>
      </w:r>
    </w:p>
    <w:p w:rsidR="001A1870" w:rsidRPr="003C7E86" w:rsidRDefault="001A1870" w:rsidP="001A1870">
      <w:r w:rsidRPr="003246BB">
        <w:t xml:space="preserve">We have been conducting periodic flights of the rehabilitated Jabiluka site using </w:t>
      </w:r>
      <w:r>
        <w:t xml:space="preserve">the </w:t>
      </w:r>
      <w:r w:rsidRPr="003246BB">
        <w:t>Swampfox UAS. The platform is a remotely-piloted</w:t>
      </w:r>
      <w:r>
        <w:t>,</w:t>
      </w:r>
      <w:r w:rsidRPr="003246BB">
        <w:t xml:space="preserve"> fixed-wing aircraft propelled by an electric motor capable of autonomous flight and controlled via a ground control station (</w:t>
      </w:r>
      <w:r>
        <w:t>Figure 1</w:t>
      </w:r>
      <w:r w:rsidRPr="003246BB">
        <w:t>a). The main payload for the Swampfox is a dual DSLR camera setup: one camera captures standard colour imagery (Red, Green and Blue bands: RGB) while the other is converted to capture near infrared (NIR) imagery (</w:t>
      </w:r>
      <w:r>
        <w:t>Figure 1</w:t>
      </w:r>
      <w:r w:rsidRPr="003246BB">
        <w:t>b). The NIR imagery (&gt; 720 nm) is important for assisting with the monitoring of plant vigour.</w:t>
      </w:r>
    </w:p>
    <w:tbl>
      <w:tblPr>
        <w:tblW w:w="0" w:type="auto"/>
        <w:jc w:val="center"/>
        <w:tblLook w:val="04A0"/>
      </w:tblPr>
      <w:tblGrid>
        <w:gridCol w:w="5070"/>
        <w:gridCol w:w="2591"/>
      </w:tblGrid>
      <w:tr w:rsidR="001A1870" w:rsidTr="001A1870">
        <w:trPr>
          <w:jc w:val="center"/>
        </w:trPr>
        <w:tc>
          <w:tcPr>
            <w:tcW w:w="5070" w:type="dxa"/>
          </w:tcPr>
          <w:p w:rsidR="001A1870" w:rsidRDefault="001A1870" w:rsidP="001A1870">
            <w:pPr>
              <w:jc w:val="center"/>
            </w:pPr>
            <w:r w:rsidRPr="00072E6C">
              <w:rPr>
                <w:noProof/>
                <w:lang w:eastAsia="en-AU"/>
              </w:rPr>
              <w:drawing>
                <wp:inline distT="0" distB="0" distL="0" distR="0">
                  <wp:extent cx="2925187" cy="1800000"/>
                  <wp:effectExtent l="19050" t="0" r="8513" b="0"/>
                  <wp:docPr id="10129" name="Picture 1" descr="\\PVNT01FLPR01\user$\A15585\Documents\My Pictures\Picture1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VNT01FLPR01\user$\A15585\Documents\My Pictures\Picture1x.jpg"/>
                          <pic:cNvPicPr>
                            <a:picLocks noChangeAspect="1" noChangeArrowheads="1"/>
                          </pic:cNvPicPr>
                        </pic:nvPicPr>
                        <pic:blipFill>
                          <a:blip r:embed="rId260" cstate="screen"/>
                          <a:srcRect/>
                          <a:stretch>
                            <a:fillRect/>
                          </a:stretch>
                        </pic:blipFill>
                        <pic:spPr bwMode="auto">
                          <a:xfrm>
                            <a:off x="0" y="0"/>
                            <a:ext cx="2925187" cy="1800000"/>
                          </a:xfrm>
                          <a:prstGeom prst="rect">
                            <a:avLst/>
                          </a:prstGeom>
                          <a:noFill/>
                          <a:ln w="9525">
                            <a:noFill/>
                            <a:miter lim="800000"/>
                            <a:headEnd/>
                            <a:tailEnd/>
                          </a:ln>
                        </pic:spPr>
                      </pic:pic>
                    </a:graphicData>
                  </a:graphic>
                </wp:inline>
              </w:drawing>
            </w:r>
          </w:p>
        </w:tc>
        <w:tc>
          <w:tcPr>
            <w:tcW w:w="2591" w:type="dxa"/>
          </w:tcPr>
          <w:p w:rsidR="001A1870" w:rsidRDefault="001A1870" w:rsidP="001A1870">
            <w:pPr>
              <w:jc w:val="center"/>
            </w:pPr>
            <w:r w:rsidRPr="00072E6C">
              <w:rPr>
                <w:noProof/>
                <w:lang w:eastAsia="en-AU"/>
              </w:rPr>
              <w:drawing>
                <wp:inline distT="0" distB="0" distL="0" distR="0">
                  <wp:extent cx="1452440" cy="1800000"/>
                  <wp:effectExtent l="19050" t="0" r="0" b="0"/>
                  <wp:docPr id="10130" name="Picture 2" descr="Z:\UAV_demo_project\UAV_Demo_Photos\20131008_UAV_Demo\D7R_54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UAV_demo_project\UAV_Demo_Photos\20131008_UAV_Demo\D7R_5442.JPG"/>
                          <pic:cNvPicPr>
                            <a:picLocks noChangeAspect="1" noChangeArrowheads="1"/>
                          </pic:cNvPicPr>
                        </pic:nvPicPr>
                        <pic:blipFill>
                          <a:blip r:embed="rId261" cstate="screen"/>
                          <a:srcRect/>
                          <a:stretch>
                            <a:fillRect/>
                          </a:stretch>
                        </pic:blipFill>
                        <pic:spPr bwMode="auto">
                          <a:xfrm>
                            <a:off x="0" y="0"/>
                            <a:ext cx="1452440" cy="1800000"/>
                          </a:xfrm>
                          <a:prstGeom prst="rect">
                            <a:avLst/>
                          </a:prstGeom>
                          <a:noFill/>
                          <a:ln w="9525">
                            <a:noFill/>
                            <a:miter lim="800000"/>
                            <a:headEnd/>
                            <a:tailEnd/>
                          </a:ln>
                        </pic:spPr>
                      </pic:pic>
                    </a:graphicData>
                  </a:graphic>
                </wp:inline>
              </w:drawing>
            </w:r>
          </w:p>
        </w:tc>
      </w:tr>
      <w:tr w:rsidR="001A1870" w:rsidTr="001A1870">
        <w:trPr>
          <w:jc w:val="center"/>
        </w:trPr>
        <w:tc>
          <w:tcPr>
            <w:tcW w:w="5070" w:type="dxa"/>
          </w:tcPr>
          <w:p w:rsidR="001A1870" w:rsidRPr="006D7E38" w:rsidRDefault="001A1870" w:rsidP="001A1870">
            <w:pPr>
              <w:jc w:val="center"/>
              <w:rPr>
                <w:rFonts w:ascii="Arial" w:hAnsi="Arial" w:cs="Arial"/>
                <w:sz w:val="20"/>
              </w:rPr>
            </w:pPr>
            <w:r w:rsidRPr="006D7E38">
              <w:rPr>
                <w:rFonts w:ascii="Arial" w:hAnsi="Arial" w:cs="Arial"/>
                <w:sz w:val="20"/>
              </w:rPr>
              <w:t>(a)</w:t>
            </w:r>
          </w:p>
        </w:tc>
        <w:tc>
          <w:tcPr>
            <w:tcW w:w="2591" w:type="dxa"/>
          </w:tcPr>
          <w:p w:rsidR="001A1870" w:rsidRPr="006D7E38" w:rsidRDefault="001A1870" w:rsidP="001A1870">
            <w:pPr>
              <w:jc w:val="center"/>
              <w:rPr>
                <w:rFonts w:ascii="Arial" w:hAnsi="Arial" w:cs="Arial"/>
                <w:sz w:val="20"/>
              </w:rPr>
            </w:pPr>
            <w:r w:rsidRPr="006D7E38">
              <w:rPr>
                <w:rFonts w:ascii="Arial" w:hAnsi="Arial" w:cs="Arial"/>
                <w:sz w:val="20"/>
              </w:rPr>
              <w:t>(b)</w:t>
            </w:r>
          </w:p>
        </w:tc>
      </w:tr>
    </w:tbl>
    <w:p w:rsidR="001A1870" w:rsidRDefault="001A1870" w:rsidP="001A1870">
      <w:pPr>
        <w:pStyle w:val="figurecaption"/>
      </w:pPr>
      <w:bookmarkStart w:id="270" w:name="_Ref400542758"/>
      <w:r w:rsidRPr="00E150B9">
        <w:rPr>
          <w:b/>
        </w:rPr>
        <w:t xml:space="preserve">Figure </w:t>
      </w:r>
      <w:bookmarkEnd w:id="270"/>
      <w:r>
        <w:rPr>
          <w:b/>
        </w:rPr>
        <w:t xml:space="preserve">1 </w:t>
      </w:r>
      <w:r>
        <w:t>The Swampfox UAS (a) and dual camera payload with modified NIR camera at the top (b).</w:t>
      </w:r>
    </w:p>
    <w:p w:rsidR="001A1870" w:rsidRPr="003C7E86" w:rsidRDefault="001A1870" w:rsidP="001A1870">
      <w:r w:rsidRPr="000C75FA">
        <w:t xml:space="preserve">Flights are conducted at a height of approximately 120 m above the surface, and in adjacent and overlapping transects over the study area to ensure at least </w:t>
      </w:r>
      <w:r>
        <w:t>60</w:t>
      </w:r>
      <w:r w:rsidRPr="000C75FA">
        <w:t xml:space="preserve">% side overlap and </w:t>
      </w:r>
      <w:r>
        <w:t>90</w:t>
      </w:r>
      <w:r w:rsidRPr="000C75FA">
        <w:t>% forward overlap between photos to enable photogrammetric processing. The cameras are triggered automatically</w:t>
      </w:r>
      <w:r>
        <w:t>, capturing an image every 1.5</w:t>
      </w:r>
      <w:r w:rsidRPr="000C75FA">
        <w:t xml:space="preserve"> seconds.</w:t>
      </w:r>
    </w:p>
    <w:p w:rsidR="001A1870" w:rsidRPr="003C7E86" w:rsidRDefault="001A1870" w:rsidP="001A1870">
      <w:r w:rsidRPr="000C75FA">
        <w:t>To date</w:t>
      </w:r>
      <w:r>
        <w:t>,</w:t>
      </w:r>
      <w:r w:rsidRPr="000C75FA">
        <w:t xml:space="preserve"> imagery has been captured over the Jabiluka site for three dates: 28 April, 13 June and 23 September 2014. Ground control points (GCPs) were placed on the site in June using a differential GPS (Global Positioning System) receiver to facilitate accurate geometric correction of the imagery. The accurate alignment of imagery is necessary for fine</w:t>
      </w:r>
      <w:r>
        <w:t>-</w:t>
      </w:r>
      <w:r w:rsidRPr="000C75FA">
        <w:t>scale change analysis. A</w:t>
      </w:r>
      <w:r>
        <w:t xml:space="preserve">n on-ground survey along </w:t>
      </w:r>
      <w:proofErr w:type="gramStart"/>
      <w:r>
        <w:t>a</w:t>
      </w:r>
      <w:r w:rsidRPr="000C75FA">
        <w:t xml:space="preserve"> transect</w:t>
      </w:r>
      <w:proofErr w:type="gramEnd"/>
      <w:r w:rsidRPr="000C75FA">
        <w:t xml:space="preserve"> </w:t>
      </w:r>
      <w:r>
        <w:t xml:space="preserve">placed </w:t>
      </w:r>
      <w:r w:rsidRPr="000C75FA">
        <w:t>across the study site was undertaken in September</w:t>
      </w:r>
      <w:r>
        <w:t>,</w:t>
      </w:r>
      <w:r w:rsidRPr="000C75FA">
        <w:t xml:space="preserve"> recording species and life state </w:t>
      </w:r>
      <w:r>
        <w:t xml:space="preserve">(alive or dead) </w:t>
      </w:r>
      <w:r w:rsidRPr="000C75FA">
        <w:t>to assist in validation of the image analysis.</w:t>
      </w:r>
    </w:p>
    <w:p w:rsidR="001A1870" w:rsidRPr="003246BB" w:rsidRDefault="001A1870" w:rsidP="001A1870">
      <w:r w:rsidRPr="000C75FA">
        <w:t>The hundreds of images captured each flight are processed using photogrammetry software (Pi</w:t>
      </w:r>
      <w:r>
        <w:t>x4D Mapper) using the GCPs, the</w:t>
      </w:r>
      <w:r w:rsidRPr="000C75FA">
        <w:t xml:space="preserve"> GPS and attitude data from the </w:t>
      </w:r>
      <w:r>
        <w:t xml:space="preserve">UAS </w:t>
      </w:r>
      <w:r w:rsidRPr="000C75FA">
        <w:t xml:space="preserve">flight log, </w:t>
      </w:r>
      <w:r>
        <w:t>together with</w:t>
      </w:r>
      <w:r w:rsidRPr="000C75FA">
        <w:t xml:space="preserve"> the overlapping photos</w:t>
      </w:r>
      <w:r>
        <w:t>,</w:t>
      </w:r>
      <w:r w:rsidRPr="000C75FA">
        <w:t xml:space="preserve"> to create geo</w:t>
      </w:r>
      <w:r>
        <w:t>-</w:t>
      </w:r>
      <w:r w:rsidRPr="000C75FA">
        <w:t xml:space="preserve">referenced orthomosaics in true colour RGB and NIR, 3D point </w:t>
      </w:r>
      <w:r w:rsidRPr="003246BB">
        <w:t>clouds and digital surface models .</w:t>
      </w:r>
    </w:p>
    <w:p w:rsidR="001A1870" w:rsidRPr="003C7E86" w:rsidRDefault="001A1870" w:rsidP="001A1870">
      <w:r w:rsidRPr="000C75FA">
        <w:t>For each date, the NIR mosaic was merged with the RGB mosaic to create a 4</w:t>
      </w:r>
      <w:r>
        <w:t>-</w:t>
      </w:r>
      <w:r w:rsidRPr="000C75FA">
        <w:t>band multispectral image</w:t>
      </w:r>
      <w:r w:rsidRPr="00833F4E">
        <w:t xml:space="preserve">. </w:t>
      </w:r>
      <w:r>
        <w:t>To assess</w:t>
      </w:r>
      <w:r w:rsidRPr="00833F4E">
        <w:t xml:space="preserve"> information </w:t>
      </w:r>
      <w:r>
        <w:t xml:space="preserve">potentially </w:t>
      </w:r>
      <w:r w:rsidRPr="00833F4E">
        <w:t xml:space="preserve">useful </w:t>
      </w:r>
      <w:r>
        <w:t>for</w:t>
      </w:r>
      <w:r w:rsidRPr="00833F4E">
        <w:t xml:space="preserve"> monitor</w:t>
      </w:r>
      <w:r>
        <w:t>ing</w:t>
      </w:r>
      <w:r w:rsidRPr="00833F4E">
        <w:t xml:space="preserve"> vegetation condition</w:t>
      </w:r>
      <w:r>
        <w:t>, t</w:t>
      </w:r>
      <w:r w:rsidRPr="000C75FA">
        <w:t xml:space="preserve">he Normalised Difference Vegetation Index </w:t>
      </w:r>
      <w:r w:rsidR="006B5A61" w:rsidRPr="000C75FA">
        <w:fldChar w:fldCharType="begin"/>
      </w:r>
      <w:r w:rsidRPr="000C75FA">
        <w:instrText xml:space="preserve"> ADDIN EN.CITE &lt;EndNote&gt;&lt;Cite&gt;&lt;Author&gt;Rouse&lt;/Author&gt;&lt;Year&gt;1973&lt;/Year&gt;&lt;RecNum&gt;54&lt;/RecNum&gt;&lt;Prefix&gt;NDVI`; &lt;/Prefix&gt;&lt;DisplayText&gt; (NDVI; Rouse et al 1973)&lt;/DisplayText&gt;&lt;record&gt;&lt;rec-number&gt;54&lt;/rec-number&gt;&lt;foreign-keys&gt;&lt;key app="EN" db-id="redtarxe7wz0sretpfp5xpxtepx2ft5e99pf"&gt;54&lt;/key&gt;&lt;/foreign-keys&gt;&lt;ref-type name="Conference Proceedings"&gt;10&lt;/ref-type&gt;&lt;contributors&gt;&lt;authors&gt;&lt;author&gt;Rouse, J.W.&lt;/author&gt;&lt;author&gt;Haas, R.H.&lt;/author&gt;&lt;author&gt;Schell, J.A.&lt;/author&gt;&lt;author&gt;D.W. Deering&lt;/author&gt;&lt;/authors&gt;&lt;/contributors&gt;&lt;titles&gt;&lt;title&gt;Monitoring vegetation systems in the Great Plains with ERTS&lt;/title&gt;&lt;secondary-title&gt;Proceedings of the 3rd ERTS Symposium&lt;/secondary-title&gt;&lt;/titles&gt;&lt;pages&gt;309-317&lt;/pages&gt;&lt;dates&gt;&lt;year&gt;1973&lt;/year&gt;&lt;/dates&gt;&lt;pub-location&gt;NASA, Washington&lt;/pub-location&gt;&lt;urls&gt;&lt;/urls&gt;&lt;custom2&gt;1973&lt;/custom2&gt;&lt;/record&gt;&lt;/Cite&gt;&lt;/EndNote&gt;</w:instrText>
      </w:r>
      <w:r w:rsidR="006B5A61" w:rsidRPr="000C75FA">
        <w:fldChar w:fldCharType="separate"/>
      </w:r>
      <w:r w:rsidRPr="000C75FA">
        <w:rPr>
          <w:noProof/>
        </w:rPr>
        <w:t> (</w:t>
      </w:r>
      <w:hyperlink w:anchor="_ENREF_3" w:tooltip="Rouse, 1973 #54" w:history="1">
        <w:r w:rsidRPr="000C75FA">
          <w:rPr>
            <w:noProof/>
          </w:rPr>
          <w:t>NDVI; Rouse et al</w:t>
        </w:r>
        <w:r>
          <w:rPr>
            <w:noProof/>
          </w:rPr>
          <w:t>.</w:t>
        </w:r>
        <w:r w:rsidRPr="000C75FA">
          <w:rPr>
            <w:noProof/>
          </w:rPr>
          <w:t xml:space="preserve"> 1973</w:t>
        </w:r>
      </w:hyperlink>
      <w:r w:rsidRPr="000C75FA">
        <w:rPr>
          <w:noProof/>
        </w:rPr>
        <w:t>)</w:t>
      </w:r>
      <w:r w:rsidR="006B5A61" w:rsidRPr="000C75FA">
        <w:fldChar w:fldCharType="end"/>
      </w:r>
      <w:r w:rsidRPr="000C75FA">
        <w:t xml:space="preserve"> was then calculated for each image. </w:t>
      </w:r>
      <w:r>
        <w:t xml:space="preserve">The </w:t>
      </w:r>
      <w:r w:rsidRPr="000C75FA">
        <w:t xml:space="preserve">NDVI is the normalised ratio between the NIR and Red bands of the imagery (equation 1). </w:t>
      </w:r>
      <w:r>
        <w:t xml:space="preserve">The </w:t>
      </w:r>
      <w:r w:rsidRPr="000C75FA">
        <w:t>NDVI is a</w:t>
      </w:r>
      <w:r>
        <w:t xml:space="preserve"> well-recognised</w:t>
      </w:r>
      <w:r w:rsidRPr="000C75FA">
        <w:t xml:space="preserve"> indicator of canopy biophysical properties such as vegetation fraction, leaf area index, fraction of absorbed</w:t>
      </w:r>
      <w:r>
        <w:t>,</w:t>
      </w:r>
      <w:r w:rsidRPr="000C75FA">
        <w:t xml:space="preserve"> photosynthetically</w:t>
      </w:r>
      <w:r>
        <w:t>-</w:t>
      </w:r>
      <w:r w:rsidRPr="000C75FA">
        <w:t xml:space="preserve">active radiation, and net primary production </w:t>
      </w:r>
      <w:r w:rsidR="006B5A61" w:rsidRPr="000C75FA">
        <w:fldChar w:fldCharType="begin"/>
      </w:r>
      <w:r w:rsidRPr="000C75FA">
        <w:instrText xml:space="preserve"> ADDIN EN.CITE &lt;EndNote&gt;&lt;Cite&gt;&lt;Author&gt;Gitelson&lt;/Author&gt;&lt;Year&gt;2004&lt;/Year&gt;&lt;RecNum&gt;13&lt;/RecNum&gt;&lt;DisplayText&gt; (Gitelson 2004)&lt;/DisplayText&gt;&lt;record&gt;&lt;rec-number&gt;13&lt;/rec-number&gt;&lt;foreign-keys&gt;&lt;key app="EN" db-id="redtarxe7wz0sretpfp5xpxtepx2ft5e99pf"&gt;13&lt;/key&gt;&lt;/foreign-keys&gt;&lt;ref-type name="Journal Article"&gt;17&lt;/ref-type&gt;&lt;contributors&gt;&lt;authors&gt;&lt;author&gt;Gitelson, Anatoly A.&lt;/author&gt;&lt;/authors&gt;&lt;/contributors&gt;&lt;titles&gt;&lt;title&gt;Wide Dynamic Range Vegetation Index for remote quantification of biophysical characteristics of vegetation&lt;/title&gt;&lt;secondary-title&gt;Journal of Plant Physiology&lt;/secondary-title&gt;&lt;/titles&gt;&lt;periodical&gt;&lt;full-title&gt;Journal of Plant Physiology&lt;/full-title&gt;&lt;abbr-1&gt;J Plant Physiol&lt;/abbr-1&gt;&lt;/periodical&gt;&lt;pages&gt;165-173&lt;/pages&gt;&lt;volume&gt;161&lt;/volume&gt;&lt;number&gt;2&lt;/number&gt;&lt;keywords&gt;&lt;keyword&gt;leaf area index&lt;/keyword&gt;&lt;keyword&gt;reflectance&lt;/keyword&gt;&lt;keyword&gt;remote estimation&lt;/keyword&gt;&lt;keyword&gt;vegetation fraction&lt;/keyword&gt;&lt;keyword&gt;vegetation index&lt;/keyword&gt;&lt;/keywords&gt;&lt;dates&gt;&lt;year&gt;2004&lt;/year&gt;&lt;/dates&gt;&lt;urls&gt;&lt;related-urls&gt;&lt;url&gt;http://www.sciencedirect.com/science/article/B7GJ7-4DPXGJY-HR/2/8f86eef9fc16421fbdcd92c600c05e39&lt;/url&gt;&lt;/related-urls&gt;&lt;/urls&gt;&lt;/record&gt;&lt;/Cite&gt;&lt;/EndNote&gt;</w:instrText>
      </w:r>
      <w:r w:rsidR="006B5A61" w:rsidRPr="000C75FA">
        <w:fldChar w:fldCharType="separate"/>
      </w:r>
      <w:r w:rsidRPr="000C75FA">
        <w:rPr>
          <w:noProof/>
        </w:rPr>
        <w:t> (</w:t>
      </w:r>
      <w:hyperlink w:anchor="_ENREF_1" w:tooltip="Gitelson, 2004 #13" w:history="1">
        <w:r w:rsidRPr="000C75FA">
          <w:rPr>
            <w:noProof/>
          </w:rPr>
          <w:t>Gitelson 2004</w:t>
        </w:r>
      </w:hyperlink>
      <w:r w:rsidRPr="000C75FA">
        <w:rPr>
          <w:noProof/>
        </w:rPr>
        <w:t>)</w:t>
      </w:r>
      <w:r w:rsidR="006B5A61" w:rsidRPr="000C75FA">
        <w:fldChar w:fldCharType="end"/>
      </w:r>
      <w:r w:rsidRPr="000C75FA">
        <w:t xml:space="preserve">. </w:t>
      </w:r>
    </w:p>
    <w:tbl>
      <w:tblPr>
        <w:tblW w:w="0" w:type="auto"/>
        <w:tblLook w:val="04A0"/>
      </w:tblPr>
      <w:tblGrid>
        <w:gridCol w:w="675"/>
        <w:gridCol w:w="7230"/>
        <w:gridCol w:w="617"/>
      </w:tblGrid>
      <w:tr w:rsidR="001A1870" w:rsidRPr="006D7E38" w:rsidTr="001A1870">
        <w:trPr>
          <w:trHeight w:val="736"/>
        </w:trPr>
        <w:tc>
          <w:tcPr>
            <w:tcW w:w="675" w:type="dxa"/>
          </w:tcPr>
          <w:p w:rsidR="001A1870" w:rsidRDefault="001A1870" w:rsidP="001A1870"/>
        </w:tc>
        <w:tc>
          <w:tcPr>
            <w:tcW w:w="7230" w:type="dxa"/>
            <w:vAlign w:val="center"/>
          </w:tcPr>
          <w:p w:rsidR="001A1870" w:rsidRPr="006D7E38" w:rsidRDefault="001A1870" w:rsidP="001A1870">
            <w:pPr>
              <w:rPr>
                <w:rFonts w:ascii="Cambria Math" w:hAnsi="Cambria Math"/>
              </w:rPr>
            </w:pPr>
            <m:oMathPara>
              <m:oMath>
                <m:r>
                  <w:rPr>
                    <w:rFonts w:ascii="Cambria Math" w:hAnsi="Cambria Math"/>
                  </w:rPr>
                  <m:t xml:space="preserve">NDVI= </m:t>
                </m:r>
                <m:f>
                  <m:fPr>
                    <m:type m:val="skw"/>
                    <m:ctrlPr>
                      <w:rPr>
                        <w:rFonts w:ascii="Cambria Math" w:hAnsi="Cambria Math"/>
                      </w:rPr>
                    </m:ctrlPr>
                  </m:fPr>
                  <m:num>
                    <m:r>
                      <w:rPr>
                        <w:rFonts w:ascii="Cambria Math" w:hAnsi="Cambria Math"/>
                      </w:rPr>
                      <m:t>NIR-Red</m:t>
                    </m:r>
                  </m:num>
                  <m:den>
                    <m:r>
                      <w:rPr>
                        <w:rFonts w:ascii="Cambria Math" w:hAnsi="Cambria Math"/>
                      </w:rPr>
                      <m:t>NIR+Red</m:t>
                    </m:r>
                  </m:den>
                </m:f>
              </m:oMath>
            </m:oMathPara>
          </w:p>
        </w:tc>
        <w:tc>
          <w:tcPr>
            <w:tcW w:w="617" w:type="dxa"/>
            <w:vAlign w:val="center"/>
          </w:tcPr>
          <w:p w:rsidR="001A1870" w:rsidRPr="006D7E38" w:rsidRDefault="001A1870" w:rsidP="001A1870">
            <w:pPr>
              <w:rPr>
                <w:rFonts w:ascii="Cambria Math" w:hAnsi="Cambria Math"/>
              </w:rPr>
            </w:pPr>
            <w:r w:rsidRPr="006D7E38">
              <w:rPr>
                <w:rFonts w:ascii="Cambria Math" w:hAnsi="Cambria Math"/>
              </w:rPr>
              <w:t>(1)</w:t>
            </w:r>
          </w:p>
        </w:tc>
      </w:tr>
    </w:tbl>
    <w:p w:rsidR="001A1870" w:rsidRPr="003C7E86" w:rsidRDefault="001A1870" w:rsidP="001A1870">
      <w:r w:rsidRPr="000C75FA">
        <w:t xml:space="preserve">Using a subsection of the </w:t>
      </w:r>
      <w:r>
        <w:t>Jabiluka</w:t>
      </w:r>
      <w:r w:rsidRPr="000C75FA">
        <w:t xml:space="preserve"> planting </w:t>
      </w:r>
      <w:r>
        <w:t xml:space="preserve">designated as </w:t>
      </w:r>
      <w:r w:rsidRPr="000C75FA">
        <w:t xml:space="preserve">area </w:t>
      </w:r>
      <w:r>
        <w:t xml:space="preserve">D </w:t>
      </w:r>
      <w:r w:rsidRPr="000C75FA">
        <w:t xml:space="preserve">as a test site, binary classification </w:t>
      </w:r>
      <w:r>
        <w:t xml:space="preserve">(i.e. two classes: above or below a NDVI threshold) </w:t>
      </w:r>
      <w:r w:rsidRPr="000C75FA">
        <w:t xml:space="preserve">of the NDVI imagery was undertaken for each date to look at the effectiveness of the measure at discriminating </w:t>
      </w:r>
      <w:r w:rsidRPr="00441A21">
        <w:t>live</w:t>
      </w:r>
      <w:r w:rsidRPr="000C75FA">
        <w:t xml:space="preserve"> plants. </w:t>
      </w:r>
    </w:p>
    <w:p w:rsidR="001A1870" w:rsidRPr="003C7E86" w:rsidRDefault="001A1870" w:rsidP="001A1870">
      <w:r w:rsidRPr="000C75FA">
        <w:t xml:space="preserve">As a validation measure, a visual assessment of the plants (live or dead) was undertaken </w:t>
      </w:r>
      <w:r>
        <w:t>using the</w:t>
      </w:r>
      <w:r w:rsidRPr="000C75FA">
        <w:t xml:space="preserve"> </w:t>
      </w:r>
      <w:r>
        <w:t xml:space="preserve">imagery from </w:t>
      </w:r>
      <w:r w:rsidRPr="000C75FA">
        <w:t xml:space="preserve">each date. Within a GIS, </w:t>
      </w:r>
      <w:r w:rsidRPr="00441A21">
        <w:t>each image</w:t>
      </w:r>
      <w:r w:rsidRPr="000C75FA">
        <w:t xml:space="preserve"> was visually assessed and the location of plantings was </w:t>
      </w:r>
      <w:r>
        <w:t xml:space="preserve">manually </w:t>
      </w:r>
      <w:r w:rsidRPr="000C75FA">
        <w:t xml:space="preserve">determined. </w:t>
      </w:r>
      <w:r>
        <w:t xml:space="preserve">From the imagery, the locations of some </w:t>
      </w:r>
      <w:r w:rsidRPr="000C75FA">
        <w:t xml:space="preserve">plantings were </w:t>
      </w:r>
      <w:r>
        <w:t xml:space="preserve">unable to be located </w:t>
      </w:r>
      <w:r w:rsidRPr="000C75FA">
        <w:t xml:space="preserve">due to the movement of sand downslope since planting, with some sites being eroded and some sites being </w:t>
      </w:r>
      <w:r>
        <w:t>covered. The plant state (alive or dead) was recorded at each planting location visible for each date. Volunteers (plants growing on site that were not planted) were also recorded. These validation data were then compared to the NDVI classifications and accuracy assessed.</w:t>
      </w:r>
    </w:p>
    <w:p w:rsidR="001A1870" w:rsidRDefault="001A1870" w:rsidP="001A1870">
      <w:pPr>
        <w:pStyle w:val="Heading2"/>
      </w:pPr>
      <w:r>
        <w:t>Results and Progress to date</w:t>
      </w:r>
    </w:p>
    <w:p w:rsidR="001A1870" w:rsidRPr="00F247BC" w:rsidRDefault="001A1870" w:rsidP="001A1870">
      <w:r w:rsidRPr="000C75FA">
        <w:t xml:space="preserve">The initial results </w:t>
      </w:r>
      <w:r>
        <w:t xml:space="preserve">from this preliminary data processing show considerable potential of UAS in assessing revegetation efforts. </w:t>
      </w:r>
      <w:r w:rsidRPr="00F96DF0">
        <w:rPr>
          <w:szCs w:val="22"/>
        </w:rPr>
        <w:t>From</w:t>
      </w:r>
      <w:r>
        <w:rPr>
          <w:szCs w:val="22"/>
        </w:rPr>
        <w:t xml:space="preserve"> </w:t>
      </w:r>
      <w:r>
        <w:t>Figure 2</w:t>
      </w:r>
      <w:r w:rsidRPr="00F96DF0">
        <w:rPr>
          <w:rStyle w:val="CommentReference"/>
          <w:sz w:val="22"/>
          <w:szCs w:val="22"/>
        </w:rPr>
        <w:t>, the</w:t>
      </w:r>
      <w:r w:rsidRPr="00F96DF0">
        <w:rPr>
          <w:szCs w:val="22"/>
        </w:rPr>
        <w:t xml:space="preserve"> drying out of the area can be readily observed over the three dates</w:t>
      </w:r>
      <w:r>
        <w:rPr>
          <w:szCs w:val="22"/>
        </w:rPr>
        <w:t xml:space="preserve"> that span late wet to mid dry season</w:t>
      </w:r>
      <w:r w:rsidRPr="00F96DF0">
        <w:rPr>
          <w:szCs w:val="22"/>
        </w:rPr>
        <w:t>.</w:t>
      </w:r>
      <w:r>
        <w:t xml:space="preserve"> </w:t>
      </w:r>
      <w:r w:rsidRPr="000C75FA">
        <w:t>After an analysis of the NDVI imagery, it was observed that pixels with a value greater than 0.25</w:t>
      </w:r>
      <w:r>
        <w:t xml:space="preserve"> belonged to </w:t>
      </w:r>
      <w:r w:rsidRPr="000C75FA">
        <w:t>actively photosynthesising</w:t>
      </w:r>
      <w:r w:rsidRPr="00B43481">
        <w:t xml:space="preserve"> </w:t>
      </w:r>
      <w:r w:rsidRPr="000C75FA">
        <w:t>vegetation</w:t>
      </w:r>
      <w:r>
        <w:t xml:space="preserve"> </w:t>
      </w:r>
      <w:r w:rsidRPr="000C75FA">
        <w:t xml:space="preserve">across the three dates. The classification based on this threshold was able to show changes in plant cover on the site </w:t>
      </w:r>
      <w:r>
        <w:t xml:space="preserve">for each </w:t>
      </w:r>
      <w:r w:rsidRPr="000C75FA">
        <w:t>of the three dates (</w:t>
      </w:r>
      <w:r>
        <w:t>Figure 3</w:t>
      </w:r>
      <w:r w:rsidRPr="000C75FA">
        <w:t>d-f)</w:t>
      </w:r>
      <w:r>
        <w:t>, clearly distinguishing</w:t>
      </w:r>
      <w:r w:rsidRPr="000C75FA">
        <w:t xml:space="preserve"> tree mortality and </w:t>
      </w:r>
      <w:r>
        <w:t>volunteers</w:t>
      </w:r>
      <w:r w:rsidRPr="000C75FA">
        <w:t>. By comparing this classification across the dates</w:t>
      </w:r>
      <w:r>
        <w:t>,</w:t>
      </w:r>
      <w:r w:rsidRPr="000C75FA">
        <w:t xml:space="preserve"> survivability of the plantings can be estimated by determining NDVI persistence </w:t>
      </w:r>
      <w:r>
        <w:t xml:space="preserve">or </w:t>
      </w:r>
      <w:r w:rsidRPr="000C75FA">
        <w:t>reduction through time. In addition, the number of</w:t>
      </w:r>
      <w:r>
        <w:t xml:space="preserve"> new</w:t>
      </w:r>
      <w:r w:rsidRPr="000C75FA">
        <w:t xml:space="preserve"> </w:t>
      </w:r>
      <w:r>
        <w:t>volunteer</w:t>
      </w:r>
      <w:r w:rsidRPr="000C75FA">
        <w:t>s between dates can be estimated by looking at new areas of high NDVI that appear</w:t>
      </w:r>
      <w:r>
        <w:t xml:space="preserve"> at consecutive sampling occasions</w:t>
      </w:r>
      <w:r w:rsidRPr="000C75FA">
        <w:t xml:space="preserve">. This is verified by the </w:t>
      </w:r>
      <w:r>
        <w:t>validation</w:t>
      </w:r>
      <w:r w:rsidRPr="000C75FA">
        <w:t xml:space="preserve"> assessment (</w:t>
      </w:r>
      <w:r>
        <w:t>Figure 3</w:t>
      </w:r>
      <w:r w:rsidRPr="000C75FA">
        <w:t>g-i) where</w:t>
      </w:r>
      <w:r>
        <w:t>,</w:t>
      </w:r>
      <w:r w:rsidRPr="000C75FA">
        <w:t xml:space="preserve"> for April</w:t>
      </w:r>
      <w:r>
        <w:t>,</w:t>
      </w:r>
      <w:r w:rsidRPr="000C75FA">
        <w:t xml:space="preserve"> there was 96.3% accuracy between live plants visually observed and an NDVI value &gt; 0.25. For June</w:t>
      </w:r>
      <w:r>
        <w:t>,</w:t>
      </w:r>
      <w:r w:rsidRPr="000C75FA">
        <w:t xml:space="preserve"> there was a 94.9% accuracy and for September 89.4%. Within the subsection (</w:t>
      </w:r>
      <w:r>
        <w:t>Figure 3</w:t>
      </w:r>
      <w:r w:rsidRPr="000C75FA">
        <w:t xml:space="preserve">), </w:t>
      </w:r>
      <w:r w:rsidRPr="000C75FA">
        <w:rPr>
          <w:noProof/>
          <w:lang w:eastAsia="en-AU"/>
        </w:rPr>
        <w:t xml:space="preserve">109 plants were identified as being alive in April. Of these, 39 had died by June. </w:t>
      </w:r>
      <w:r>
        <w:rPr>
          <w:noProof/>
          <w:lang w:eastAsia="en-AU"/>
        </w:rPr>
        <w:t>Conversely, b</w:t>
      </w:r>
      <w:r w:rsidRPr="000C75FA">
        <w:rPr>
          <w:noProof/>
          <w:lang w:eastAsia="en-AU"/>
        </w:rPr>
        <w:t xml:space="preserve">etween April and June, 8 </w:t>
      </w:r>
      <w:r>
        <w:rPr>
          <w:noProof/>
          <w:lang w:eastAsia="en-AU"/>
        </w:rPr>
        <w:t xml:space="preserve">volunteer </w:t>
      </w:r>
      <w:r w:rsidRPr="000C75FA">
        <w:rPr>
          <w:noProof/>
          <w:lang w:eastAsia="en-AU"/>
        </w:rPr>
        <w:t xml:space="preserve">plants </w:t>
      </w:r>
      <w:r>
        <w:rPr>
          <w:noProof/>
          <w:lang w:eastAsia="en-AU"/>
        </w:rPr>
        <w:t>were detected in the subsection</w:t>
      </w:r>
      <w:r w:rsidRPr="000C75FA">
        <w:rPr>
          <w:noProof/>
          <w:lang w:eastAsia="en-AU"/>
        </w:rPr>
        <w:t>. Between June and September, 26 plants were observed to have died</w:t>
      </w:r>
      <w:r>
        <w:rPr>
          <w:noProof/>
          <w:lang w:eastAsia="en-AU"/>
        </w:rPr>
        <w:t xml:space="preserve"> while a further </w:t>
      </w:r>
      <w:r w:rsidRPr="000C75FA">
        <w:rPr>
          <w:noProof/>
          <w:lang w:eastAsia="en-AU"/>
        </w:rPr>
        <w:t xml:space="preserve">14 </w:t>
      </w:r>
      <w:r>
        <w:rPr>
          <w:noProof/>
          <w:lang w:eastAsia="en-AU"/>
        </w:rPr>
        <w:t xml:space="preserve">volunteer </w:t>
      </w:r>
      <w:r w:rsidRPr="000C75FA">
        <w:rPr>
          <w:noProof/>
          <w:lang w:eastAsia="en-AU"/>
        </w:rPr>
        <w:t xml:space="preserve">plants </w:t>
      </w:r>
      <w:r>
        <w:rPr>
          <w:noProof/>
          <w:lang w:eastAsia="en-AU"/>
        </w:rPr>
        <w:t>appeared</w:t>
      </w:r>
      <w:r w:rsidRPr="000C75FA">
        <w:rPr>
          <w:noProof/>
          <w:lang w:eastAsia="en-AU"/>
        </w:rPr>
        <w:t>.</w:t>
      </w:r>
      <w:r w:rsidRPr="000C75FA">
        <w:t xml:space="preserve"> This </w:t>
      </w:r>
      <w:r>
        <w:t>was</w:t>
      </w:r>
      <w:r w:rsidRPr="000C75FA">
        <w:t xml:space="preserve"> </w:t>
      </w:r>
      <w:r>
        <w:t>substantiated</w:t>
      </w:r>
      <w:r w:rsidRPr="000C75FA">
        <w:t xml:space="preserve"> by the field-based transect data collected in September. The transect data showed </w:t>
      </w:r>
      <w:r>
        <w:t xml:space="preserve">that </w:t>
      </w:r>
      <w:r w:rsidRPr="000C75FA">
        <w:t xml:space="preserve">most of the </w:t>
      </w:r>
      <w:r>
        <w:t>volunteers</w:t>
      </w:r>
      <w:r w:rsidRPr="000C75FA">
        <w:t xml:space="preserve"> to the site </w:t>
      </w:r>
      <w:r>
        <w:t>comprised</w:t>
      </w:r>
      <w:r w:rsidRPr="000C75FA">
        <w:t xml:space="preserve"> </w:t>
      </w:r>
      <w:r w:rsidRPr="000C75FA">
        <w:rPr>
          <w:i/>
        </w:rPr>
        <w:t>Acacia</w:t>
      </w:r>
      <w:r w:rsidRPr="000C75FA">
        <w:t xml:space="preserve"> spp.</w:t>
      </w:r>
    </w:p>
    <w:tbl>
      <w:tblPr>
        <w:tblW w:w="0" w:type="auto"/>
        <w:jc w:val="center"/>
        <w:tblLayout w:type="fixed"/>
        <w:tblLook w:val="04A0"/>
      </w:tblPr>
      <w:tblGrid>
        <w:gridCol w:w="1242"/>
        <w:gridCol w:w="7280"/>
      </w:tblGrid>
      <w:tr w:rsidR="001A1870" w:rsidTr="001A1870">
        <w:trPr>
          <w:trHeight w:val="3544"/>
          <w:jc w:val="center"/>
        </w:trPr>
        <w:tc>
          <w:tcPr>
            <w:tcW w:w="1242" w:type="dxa"/>
          </w:tcPr>
          <w:p w:rsidR="001A1870" w:rsidRPr="00C70B0B" w:rsidRDefault="001A1870" w:rsidP="001A1870">
            <w:pPr>
              <w:jc w:val="right"/>
              <w:rPr>
                <w:sz w:val="22"/>
                <w:szCs w:val="22"/>
              </w:rPr>
            </w:pPr>
          </w:p>
          <w:p w:rsidR="001A1870" w:rsidRPr="00C70B0B" w:rsidRDefault="001A1870" w:rsidP="001A1870">
            <w:pPr>
              <w:jc w:val="right"/>
              <w:rPr>
                <w:sz w:val="22"/>
                <w:szCs w:val="22"/>
              </w:rPr>
            </w:pPr>
            <w:r w:rsidRPr="00C70B0B">
              <w:rPr>
                <w:sz w:val="22"/>
                <w:szCs w:val="22"/>
              </w:rPr>
              <w:t>(a)</w:t>
            </w:r>
          </w:p>
          <w:p w:rsidR="001A1870" w:rsidRPr="00C70B0B" w:rsidRDefault="001A1870" w:rsidP="001A1870">
            <w:pPr>
              <w:jc w:val="right"/>
              <w:rPr>
                <w:sz w:val="22"/>
                <w:szCs w:val="22"/>
              </w:rPr>
            </w:pPr>
            <w:r w:rsidRPr="00C70B0B">
              <w:rPr>
                <w:sz w:val="22"/>
                <w:szCs w:val="22"/>
              </w:rPr>
              <w:t>April</w:t>
            </w:r>
          </w:p>
        </w:tc>
        <w:tc>
          <w:tcPr>
            <w:tcW w:w="7280" w:type="dxa"/>
            <w:vMerge w:val="restart"/>
          </w:tcPr>
          <w:p w:rsidR="001A1870" w:rsidRPr="00C70B0B" w:rsidRDefault="001A1870" w:rsidP="001A1870">
            <w:pPr>
              <w:jc w:val="center"/>
              <w:rPr>
                <w:sz w:val="22"/>
                <w:szCs w:val="22"/>
              </w:rPr>
            </w:pPr>
            <w:r w:rsidRPr="00C70B0B">
              <w:rPr>
                <w:noProof/>
                <w:sz w:val="22"/>
                <w:szCs w:val="22"/>
                <w:lang w:eastAsia="en-AU"/>
              </w:rPr>
              <w:drawing>
                <wp:inline distT="0" distB="0" distL="0" distR="0">
                  <wp:extent cx="4320000" cy="7648337"/>
                  <wp:effectExtent l="0" t="0" r="4350" b="0"/>
                  <wp:docPr id="101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2" cstate="screen"/>
                          <a:srcRect l="15010" t="3851" r="11111" b="3851"/>
                          <a:stretch>
                            <a:fillRect/>
                          </a:stretch>
                        </pic:blipFill>
                        <pic:spPr bwMode="auto">
                          <a:xfrm>
                            <a:off x="0" y="0"/>
                            <a:ext cx="4320000" cy="7648337"/>
                          </a:xfrm>
                          <a:prstGeom prst="rect">
                            <a:avLst/>
                          </a:prstGeom>
                          <a:noFill/>
                          <a:ln w="9525">
                            <a:noFill/>
                            <a:miter lim="800000"/>
                            <a:headEnd/>
                            <a:tailEnd/>
                          </a:ln>
                        </pic:spPr>
                      </pic:pic>
                    </a:graphicData>
                  </a:graphic>
                </wp:inline>
              </w:drawing>
            </w:r>
          </w:p>
        </w:tc>
      </w:tr>
      <w:tr w:rsidR="001A1870" w:rsidTr="001A1870">
        <w:trPr>
          <w:trHeight w:val="3679"/>
          <w:jc w:val="center"/>
        </w:trPr>
        <w:tc>
          <w:tcPr>
            <w:tcW w:w="1242" w:type="dxa"/>
          </w:tcPr>
          <w:p w:rsidR="001A1870" w:rsidRPr="00C70B0B" w:rsidRDefault="001A1870" w:rsidP="001A1870">
            <w:pPr>
              <w:jc w:val="right"/>
            </w:pPr>
          </w:p>
          <w:p w:rsidR="001A1870" w:rsidRPr="00C70B0B" w:rsidRDefault="001A1870" w:rsidP="001A1870">
            <w:pPr>
              <w:jc w:val="right"/>
              <w:rPr>
                <w:sz w:val="22"/>
                <w:szCs w:val="22"/>
              </w:rPr>
            </w:pPr>
            <w:r w:rsidRPr="00C70B0B">
              <w:rPr>
                <w:sz w:val="22"/>
                <w:szCs w:val="22"/>
              </w:rPr>
              <w:t>(b)</w:t>
            </w:r>
          </w:p>
          <w:p w:rsidR="001A1870" w:rsidRPr="00C70B0B" w:rsidRDefault="001A1870" w:rsidP="001A1870">
            <w:pPr>
              <w:jc w:val="right"/>
            </w:pPr>
            <w:r w:rsidRPr="00C70B0B">
              <w:rPr>
                <w:sz w:val="22"/>
                <w:szCs w:val="22"/>
              </w:rPr>
              <w:t>June</w:t>
            </w:r>
          </w:p>
        </w:tc>
        <w:tc>
          <w:tcPr>
            <w:tcW w:w="7280" w:type="dxa"/>
            <w:vMerge/>
          </w:tcPr>
          <w:p w:rsidR="001A1870" w:rsidRPr="00C70B0B" w:rsidRDefault="001A1870" w:rsidP="001A1870">
            <w:pPr>
              <w:jc w:val="center"/>
            </w:pPr>
          </w:p>
        </w:tc>
      </w:tr>
      <w:tr w:rsidR="001A1870" w:rsidTr="001A1870">
        <w:trPr>
          <w:jc w:val="center"/>
        </w:trPr>
        <w:tc>
          <w:tcPr>
            <w:tcW w:w="1242" w:type="dxa"/>
          </w:tcPr>
          <w:p w:rsidR="001A1870" w:rsidRDefault="001A1870" w:rsidP="001A1870">
            <w:pPr>
              <w:jc w:val="right"/>
            </w:pPr>
          </w:p>
          <w:p w:rsidR="001A1870" w:rsidRPr="00C70B0B" w:rsidRDefault="001A1870" w:rsidP="001A1870">
            <w:pPr>
              <w:jc w:val="right"/>
              <w:rPr>
                <w:sz w:val="22"/>
              </w:rPr>
            </w:pPr>
            <w:r w:rsidRPr="00C70B0B">
              <w:rPr>
                <w:sz w:val="22"/>
              </w:rPr>
              <w:t>(c)</w:t>
            </w:r>
          </w:p>
          <w:p w:rsidR="001A1870" w:rsidRDefault="001A1870" w:rsidP="001A1870">
            <w:pPr>
              <w:jc w:val="right"/>
            </w:pPr>
            <w:r w:rsidRPr="00C70B0B">
              <w:rPr>
                <w:sz w:val="22"/>
              </w:rPr>
              <w:t>September</w:t>
            </w:r>
          </w:p>
        </w:tc>
        <w:tc>
          <w:tcPr>
            <w:tcW w:w="7280" w:type="dxa"/>
            <w:vMerge/>
          </w:tcPr>
          <w:p w:rsidR="001A1870" w:rsidRDefault="001A1870" w:rsidP="001A1870">
            <w:pPr>
              <w:jc w:val="center"/>
            </w:pPr>
          </w:p>
        </w:tc>
      </w:tr>
    </w:tbl>
    <w:p w:rsidR="001A1870" w:rsidRDefault="001A1870" w:rsidP="001A1870">
      <w:pPr>
        <w:pStyle w:val="figurecaption"/>
      </w:pPr>
      <w:bookmarkStart w:id="271" w:name="_Ref400542843"/>
      <w:r w:rsidRPr="00E150B9">
        <w:rPr>
          <w:b/>
        </w:rPr>
        <w:t xml:space="preserve">Figure </w:t>
      </w:r>
      <w:bookmarkEnd w:id="271"/>
      <w:r>
        <w:rPr>
          <w:b/>
        </w:rPr>
        <w:t xml:space="preserve">2 </w:t>
      </w:r>
      <w:r>
        <w:t>RGB mosaics over Jabiluka for each date: (a) 28 April 2014, (b) 13 June 2014, and (c) 23 September 2014. Red polygons in image (a) are ERA planting areas. The yellow polygon is the subsection for this study. The yellow points in image (c) are records along the field transect undertaken in September.</w:t>
      </w:r>
    </w:p>
    <w:p w:rsidR="001A1870" w:rsidRDefault="001A1870" w:rsidP="001A1870"/>
    <w:p w:rsidR="001A1870" w:rsidRPr="003D2FA5" w:rsidRDefault="001A1870" w:rsidP="001A1870"/>
    <w:tbl>
      <w:tblPr>
        <w:tblW w:w="9421" w:type="dxa"/>
        <w:jc w:val="center"/>
        <w:tblInd w:w="-885" w:type="dxa"/>
        <w:tblLook w:val="04A0"/>
      </w:tblPr>
      <w:tblGrid>
        <w:gridCol w:w="3043"/>
        <w:gridCol w:w="3151"/>
        <w:gridCol w:w="3227"/>
      </w:tblGrid>
      <w:tr w:rsidR="001A1870" w:rsidRPr="00C70B0B" w:rsidTr="001A1870">
        <w:trPr>
          <w:cantSplit/>
          <w:trHeight w:val="1134"/>
          <w:jc w:val="center"/>
        </w:trPr>
        <w:tc>
          <w:tcPr>
            <w:tcW w:w="3043" w:type="dxa"/>
            <w:tcBorders>
              <w:top w:val="nil"/>
              <w:left w:val="nil"/>
              <w:bottom w:val="nil"/>
              <w:right w:val="nil"/>
            </w:tcBorders>
          </w:tcPr>
          <w:p w:rsidR="001A1870" w:rsidRPr="00C70B0B" w:rsidRDefault="006B5A61" w:rsidP="001A1870">
            <w:pPr>
              <w:ind w:left="-323"/>
              <w:rPr>
                <w:sz w:val="22"/>
                <w:szCs w:val="22"/>
              </w:rPr>
            </w:pPr>
            <w:r>
              <w:rPr>
                <w:noProof/>
                <w:sz w:val="22"/>
                <w:szCs w:val="22"/>
                <w:lang w:eastAsia="en-AU"/>
              </w:rPr>
              <w:pict>
                <v:rect id="_x0000_s1367" style="position:absolute;left:0;text-align:left;margin-left:55.75pt;margin-top:36.45pt;width:50.55pt;height:40.4pt;z-index:251679744" filled="f" strokecolor="red" strokeweight="1.5pt"/>
              </w:pict>
            </w:r>
            <w:r w:rsidR="001A1870" w:rsidRPr="00C70B0B">
              <w:rPr>
                <w:noProof/>
                <w:sz w:val="22"/>
                <w:szCs w:val="22"/>
                <w:lang w:eastAsia="en-AU"/>
              </w:rPr>
              <w:drawing>
                <wp:inline distT="0" distB="0" distL="0" distR="0">
                  <wp:extent cx="1980000" cy="2280131"/>
                  <wp:effectExtent l="19050" t="0" r="1200" b="0"/>
                  <wp:docPr id="10132" name="Picture 1" descr="April_sample_rg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ril_sample_rgb.png"/>
                          <pic:cNvPicPr/>
                        </pic:nvPicPr>
                        <pic:blipFill>
                          <a:blip r:embed="rId263" cstate="screen"/>
                          <a:srcRect/>
                          <a:stretch>
                            <a:fillRect/>
                          </a:stretch>
                        </pic:blipFill>
                        <pic:spPr>
                          <a:xfrm>
                            <a:off x="0" y="0"/>
                            <a:ext cx="1980000" cy="2280131"/>
                          </a:xfrm>
                          <a:prstGeom prst="rect">
                            <a:avLst/>
                          </a:prstGeom>
                        </pic:spPr>
                      </pic:pic>
                    </a:graphicData>
                  </a:graphic>
                </wp:inline>
              </w:drawing>
            </w:r>
          </w:p>
          <w:p w:rsidR="001A1870" w:rsidRPr="00C70B0B" w:rsidRDefault="001A1870" w:rsidP="001A1870">
            <w:pPr>
              <w:ind w:left="-323"/>
              <w:jc w:val="center"/>
              <w:rPr>
                <w:sz w:val="22"/>
                <w:szCs w:val="22"/>
              </w:rPr>
            </w:pPr>
            <w:r w:rsidRPr="00C70B0B">
              <w:rPr>
                <w:sz w:val="22"/>
                <w:szCs w:val="22"/>
              </w:rPr>
              <w:t>(a)</w:t>
            </w:r>
          </w:p>
        </w:tc>
        <w:tc>
          <w:tcPr>
            <w:tcW w:w="3151" w:type="dxa"/>
            <w:tcBorders>
              <w:top w:val="nil"/>
              <w:left w:val="nil"/>
              <w:bottom w:val="nil"/>
              <w:right w:val="nil"/>
            </w:tcBorders>
          </w:tcPr>
          <w:p w:rsidR="001A1870" w:rsidRPr="00C70B0B" w:rsidRDefault="001A1870" w:rsidP="001A1870">
            <w:pPr>
              <w:ind w:left="-215"/>
              <w:jc w:val="center"/>
              <w:rPr>
                <w:sz w:val="22"/>
                <w:szCs w:val="22"/>
              </w:rPr>
            </w:pPr>
            <w:r w:rsidRPr="00C70B0B">
              <w:rPr>
                <w:noProof/>
                <w:sz w:val="22"/>
                <w:szCs w:val="22"/>
                <w:lang w:eastAsia="en-AU"/>
              </w:rPr>
              <w:drawing>
                <wp:inline distT="0" distB="0" distL="0" distR="0">
                  <wp:extent cx="1980000" cy="1978626"/>
                  <wp:effectExtent l="19050" t="0" r="1200" b="0"/>
                  <wp:docPr id="10133"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64" cstate="screen"/>
                          <a:srcRect/>
                          <a:stretch>
                            <a:fillRect/>
                          </a:stretch>
                        </pic:blipFill>
                        <pic:spPr bwMode="auto">
                          <a:xfrm>
                            <a:off x="0" y="0"/>
                            <a:ext cx="1980000" cy="1978626"/>
                          </a:xfrm>
                          <a:prstGeom prst="rect">
                            <a:avLst/>
                          </a:prstGeom>
                          <a:noFill/>
                          <a:ln w="9525">
                            <a:noFill/>
                            <a:miter lim="800000"/>
                            <a:headEnd/>
                            <a:tailEnd/>
                          </a:ln>
                        </pic:spPr>
                      </pic:pic>
                    </a:graphicData>
                  </a:graphic>
                </wp:inline>
              </w:drawing>
            </w:r>
          </w:p>
          <w:p w:rsidR="001A1870" w:rsidRPr="00C70B0B" w:rsidRDefault="001A1870" w:rsidP="001A1870">
            <w:pPr>
              <w:ind w:left="-215"/>
              <w:jc w:val="center"/>
              <w:rPr>
                <w:sz w:val="22"/>
                <w:szCs w:val="22"/>
              </w:rPr>
            </w:pPr>
          </w:p>
          <w:p w:rsidR="001A1870" w:rsidRPr="00C70B0B" w:rsidRDefault="001A1870" w:rsidP="001A1870">
            <w:pPr>
              <w:ind w:left="-215"/>
              <w:jc w:val="center"/>
              <w:rPr>
                <w:sz w:val="22"/>
                <w:szCs w:val="22"/>
              </w:rPr>
            </w:pPr>
            <w:r w:rsidRPr="00C70B0B">
              <w:rPr>
                <w:sz w:val="22"/>
                <w:szCs w:val="22"/>
              </w:rPr>
              <w:t>(d)</w:t>
            </w:r>
          </w:p>
        </w:tc>
        <w:tc>
          <w:tcPr>
            <w:tcW w:w="3227" w:type="dxa"/>
            <w:tcBorders>
              <w:top w:val="nil"/>
              <w:left w:val="nil"/>
              <w:bottom w:val="nil"/>
              <w:right w:val="nil"/>
            </w:tcBorders>
          </w:tcPr>
          <w:p w:rsidR="001A1870" w:rsidRPr="00C70B0B" w:rsidRDefault="001A1870" w:rsidP="001A1870">
            <w:pPr>
              <w:ind w:left="-108"/>
              <w:jc w:val="center"/>
              <w:rPr>
                <w:sz w:val="22"/>
                <w:szCs w:val="22"/>
              </w:rPr>
            </w:pPr>
            <w:r w:rsidRPr="00C70B0B">
              <w:rPr>
                <w:noProof/>
                <w:sz w:val="22"/>
                <w:szCs w:val="22"/>
                <w:lang w:eastAsia="en-AU"/>
              </w:rPr>
              <w:drawing>
                <wp:inline distT="0" distB="0" distL="0" distR="0">
                  <wp:extent cx="1980000" cy="1980000"/>
                  <wp:effectExtent l="0" t="0" r="0" b="0"/>
                  <wp:docPr id="10134"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65" cstate="screen"/>
                          <a:srcRect/>
                          <a:stretch>
                            <a:fillRect/>
                          </a:stretch>
                        </pic:blipFill>
                        <pic:spPr bwMode="auto">
                          <a:xfrm>
                            <a:off x="0" y="0"/>
                            <a:ext cx="1980000" cy="1980000"/>
                          </a:xfrm>
                          <a:prstGeom prst="rect">
                            <a:avLst/>
                          </a:prstGeom>
                          <a:noFill/>
                          <a:ln w="9525">
                            <a:noFill/>
                            <a:miter lim="800000"/>
                            <a:headEnd/>
                            <a:tailEnd/>
                          </a:ln>
                        </pic:spPr>
                      </pic:pic>
                    </a:graphicData>
                  </a:graphic>
                </wp:inline>
              </w:drawing>
            </w:r>
          </w:p>
          <w:p w:rsidR="001A1870" w:rsidRPr="00C70B0B" w:rsidRDefault="001A1870" w:rsidP="001A1870">
            <w:pPr>
              <w:ind w:left="-108"/>
              <w:jc w:val="center"/>
              <w:rPr>
                <w:sz w:val="22"/>
                <w:szCs w:val="22"/>
              </w:rPr>
            </w:pPr>
          </w:p>
          <w:p w:rsidR="001A1870" w:rsidRPr="00C70B0B" w:rsidRDefault="001A1870" w:rsidP="001A1870">
            <w:pPr>
              <w:ind w:left="-436"/>
              <w:jc w:val="center"/>
              <w:rPr>
                <w:sz w:val="22"/>
                <w:szCs w:val="22"/>
              </w:rPr>
            </w:pPr>
            <w:r w:rsidRPr="00C70B0B">
              <w:rPr>
                <w:sz w:val="22"/>
                <w:szCs w:val="22"/>
              </w:rPr>
              <w:t>(g)</w:t>
            </w:r>
          </w:p>
        </w:tc>
      </w:tr>
      <w:tr w:rsidR="001A1870" w:rsidRPr="00C70B0B" w:rsidTr="001A1870">
        <w:trPr>
          <w:cantSplit/>
          <w:trHeight w:val="1134"/>
          <w:jc w:val="center"/>
        </w:trPr>
        <w:tc>
          <w:tcPr>
            <w:tcW w:w="3043" w:type="dxa"/>
            <w:tcBorders>
              <w:top w:val="nil"/>
              <w:left w:val="nil"/>
              <w:bottom w:val="nil"/>
              <w:right w:val="nil"/>
            </w:tcBorders>
          </w:tcPr>
          <w:p w:rsidR="001A1870" w:rsidRPr="00C70B0B" w:rsidRDefault="001A1870" w:rsidP="001A1870">
            <w:pPr>
              <w:ind w:left="-323"/>
              <w:rPr>
                <w:sz w:val="22"/>
                <w:szCs w:val="22"/>
              </w:rPr>
            </w:pPr>
            <w:r w:rsidRPr="00C70B0B">
              <w:rPr>
                <w:noProof/>
                <w:sz w:val="22"/>
                <w:szCs w:val="22"/>
                <w:lang w:eastAsia="en-AU"/>
              </w:rPr>
              <w:drawing>
                <wp:inline distT="0" distB="0" distL="0" distR="0">
                  <wp:extent cx="1980000" cy="2006893"/>
                  <wp:effectExtent l="19050" t="0" r="1200" b="0"/>
                  <wp:docPr id="10135" name="Picture 4" descr="June_sample_rg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une_sample_rgb.png"/>
                          <pic:cNvPicPr/>
                        </pic:nvPicPr>
                        <pic:blipFill>
                          <a:blip r:embed="rId266" cstate="screen"/>
                          <a:srcRect/>
                          <a:stretch>
                            <a:fillRect/>
                          </a:stretch>
                        </pic:blipFill>
                        <pic:spPr>
                          <a:xfrm>
                            <a:off x="0" y="0"/>
                            <a:ext cx="1980000" cy="2006893"/>
                          </a:xfrm>
                          <a:prstGeom prst="rect">
                            <a:avLst/>
                          </a:prstGeom>
                        </pic:spPr>
                      </pic:pic>
                    </a:graphicData>
                  </a:graphic>
                </wp:inline>
              </w:drawing>
            </w:r>
          </w:p>
          <w:p w:rsidR="001A1870" w:rsidRPr="00C70B0B" w:rsidRDefault="001A1870" w:rsidP="001A1870">
            <w:pPr>
              <w:ind w:left="-323"/>
              <w:jc w:val="center"/>
              <w:rPr>
                <w:sz w:val="22"/>
                <w:szCs w:val="22"/>
              </w:rPr>
            </w:pPr>
            <w:r w:rsidRPr="00C70B0B">
              <w:rPr>
                <w:sz w:val="22"/>
                <w:szCs w:val="22"/>
              </w:rPr>
              <w:t>(b)</w:t>
            </w:r>
          </w:p>
        </w:tc>
        <w:tc>
          <w:tcPr>
            <w:tcW w:w="3151" w:type="dxa"/>
            <w:tcBorders>
              <w:top w:val="nil"/>
              <w:left w:val="nil"/>
              <w:bottom w:val="nil"/>
              <w:right w:val="nil"/>
            </w:tcBorders>
          </w:tcPr>
          <w:p w:rsidR="001A1870" w:rsidRPr="00C70B0B" w:rsidRDefault="001A1870" w:rsidP="001A1870">
            <w:pPr>
              <w:ind w:left="-215"/>
              <w:jc w:val="center"/>
              <w:rPr>
                <w:sz w:val="22"/>
                <w:szCs w:val="22"/>
              </w:rPr>
            </w:pPr>
            <w:r w:rsidRPr="00C70B0B">
              <w:rPr>
                <w:noProof/>
                <w:sz w:val="22"/>
                <w:szCs w:val="22"/>
                <w:lang w:eastAsia="en-AU"/>
              </w:rPr>
              <w:drawing>
                <wp:inline distT="0" distB="0" distL="0" distR="0">
                  <wp:extent cx="1980000" cy="1996473"/>
                  <wp:effectExtent l="19050" t="0" r="1200" b="0"/>
                  <wp:docPr id="101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7" cstate="screen"/>
                          <a:srcRect/>
                          <a:stretch>
                            <a:fillRect/>
                          </a:stretch>
                        </pic:blipFill>
                        <pic:spPr bwMode="auto">
                          <a:xfrm>
                            <a:off x="0" y="0"/>
                            <a:ext cx="1980000" cy="1996473"/>
                          </a:xfrm>
                          <a:prstGeom prst="rect">
                            <a:avLst/>
                          </a:prstGeom>
                          <a:noFill/>
                          <a:ln w="9525">
                            <a:noFill/>
                            <a:miter lim="800000"/>
                            <a:headEnd/>
                            <a:tailEnd/>
                          </a:ln>
                        </pic:spPr>
                      </pic:pic>
                    </a:graphicData>
                  </a:graphic>
                </wp:inline>
              </w:drawing>
            </w:r>
          </w:p>
          <w:p w:rsidR="001A1870" w:rsidRPr="00C70B0B" w:rsidRDefault="001A1870" w:rsidP="001A1870">
            <w:pPr>
              <w:ind w:left="-215"/>
              <w:jc w:val="center"/>
              <w:rPr>
                <w:sz w:val="22"/>
                <w:szCs w:val="22"/>
              </w:rPr>
            </w:pPr>
            <w:r w:rsidRPr="00C70B0B">
              <w:rPr>
                <w:sz w:val="22"/>
                <w:szCs w:val="22"/>
              </w:rPr>
              <w:t>(e)</w:t>
            </w:r>
          </w:p>
        </w:tc>
        <w:tc>
          <w:tcPr>
            <w:tcW w:w="3227" w:type="dxa"/>
            <w:tcBorders>
              <w:top w:val="nil"/>
              <w:left w:val="nil"/>
              <w:bottom w:val="nil"/>
              <w:right w:val="nil"/>
            </w:tcBorders>
          </w:tcPr>
          <w:p w:rsidR="001A1870" w:rsidRPr="00C70B0B" w:rsidRDefault="001A1870" w:rsidP="001A1870">
            <w:pPr>
              <w:ind w:left="-436"/>
              <w:jc w:val="center"/>
              <w:rPr>
                <w:sz w:val="22"/>
                <w:szCs w:val="22"/>
              </w:rPr>
            </w:pPr>
            <w:r w:rsidRPr="00C70B0B">
              <w:rPr>
                <w:noProof/>
                <w:sz w:val="22"/>
                <w:szCs w:val="22"/>
                <w:lang w:eastAsia="en-AU"/>
              </w:rPr>
              <w:drawing>
                <wp:inline distT="0" distB="0" distL="0" distR="0">
                  <wp:extent cx="1962258" cy="1980000"/>
                  <wp:effectExtent l="0" t="0" r="0" b="0"/>
                  <wp:docPr id="1013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8" cstate="screen"/>
                          <a:srcRect/>
                          <a:stretch>
                            <a:fillRect/>
                          </a:stretch>
                        </pic:blipFill>
                        <pic:spPr bwMode="auto">
                          <a:xfrm>
                            <a:off x="0" y="0"/>
                            <a:ext cx="1962258" cy="1980000"/>
                          </a:xfrm>
                          <a:prstGeom prst="rect">
                            <a:avLst/>
                          </a:prstGeom>
                          <a:noFill/>
                          <a:ln w="9525">
                            <a:noFill/>
                            <a:miter lim="800000"/>
                            <a:headEnd/>
                            <a:tailEnd/>
                          </a:ln>
                        </pic:spPr>
                      </pic:pic>
                    </a:graphicData>
                  </a:graphic>
                </wp:inline>
              </w:drawing>
            </w:r>
          </w:p>
          <w:p w:rsidR="001A1870" w:rsidRPr="00C70B0B" w:rsidRDefault="001A1870" w:rsidP="001A1870">
            <w:pPr>
              <w:ind w:left="-436"/>
              <w:jc w:val="center"/>
              <w:rPr>
                <w:sz w:val="22"/>
                <w:szCs w:val="22"/>
              </w:rPr>
            </w:pPr>
            <w:r w:rsidRPr="00C70B0B">
              <w:rPr>
                <w:sz w:val="22"/>
                <w:szCs w:val="22"/>
              </w:rPr>
              <w:t>(h)</w:t>
            </w:r>
          </w:p>
        </w:tc>
      </w:tr>
      <w:tr w:rsidR="001A1870" w:rsidRPr="00C70B0B" w:rsidTr="001A1870">
        <w:trPr>
          <w:cantSplit/>
          <w:trHeight w:val="1134"/>
          <w:jc w:val="center"/>
        </w:trPr>
        <w:tc>
          <w:tcPr>
            <w:tcW w:w="3043" w:type="dxa"/>
            <w:tcBorders>
              <w:top w:val="nil"/>
              <w:left w:val="nil"/>
              <w:bottom w:val="nil"/>
              <w:right w:val="nil"/>
            </w:tcBorders>
          </w:tcPr>
          <w:p w:rsidR="001A1870" w:rsidRPr="00C70B0B" w:rsidRDefault="001A1870" w:rsidP="001A1870">
            <w:pPr>
              <w:ind w:left="-323"/>
              <w:rPr>
                <w:sz w:val="22"/>
                <w:szCs w:val="22"/>
              </w:rPr>
            </w:pPr>
            <w:r w:rsidRPr="00C70B0B">
              <w:rPr>
                <w:noProof/>
                <w:sz w:val="22"/>
                <w:szCs w:val="22"/>
                <w:lang w:eastAsia="en-AU"/>
              </w:rPr>
              <w:drawing>
                <wp:inline distT="0" distB="0" distL="0" distR="0">
                  <wp:extent cx="1980000" cy="2016315"/>
                  <wp:effectExtent l="19050" t="0" r="1200" b="0"/>
                  <wp:docPr id="10138" name="Picture 5" descr="Sept_sample_rg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pt_sample_rgb.png"/>
                          <pic:cNvPicPr/>
                        </pic:nvPicPr>
                        <pic:blipFill>
                          <a:blip r:embed="rId269" cstate="screen"/>
                          <a:srcRect/>
                          <a:stretch>
                            <a:fillRect/>
                          </a:stretch>
                        </pic:blipFill>
                        <pic:spPr>
                          <a:xfrm>
                            <a:off x="0" y="0"/>
                            <a:ext cx="1980000" cy="2016315"/>
                          </a:xfrm>
                          <a:prstGeom prst="rect">
                            <a:avLst/>
                          </a:prstGeom>
                        </pic:spPr>
                      </pic:pic>
                    </a:graphicData>
                  </a:graphic>
                </wp:inline>
              </w:drawing>
            </w:r>
          </w:p>
          <w:p w:rsidR="001A1870" w:rsidRPr="00C70B0B" w:rsidRDefault="001A1870" w:rsidP="001A1870">
            <w:pPr>
              <w:ind w:left="-323"/>
              <w:jc w:val="center"/>
              <w:rPr>
                <w:sz w:val="22"/>
                <w:szCs w:val="22"/>
              </w:rPr>
            </w:pPr>
            <w:r w:rsidRPr="00C70B0B">
              <w:rPr>
                <w:sz w:val="22"/>
                <w:szCs w:val="22"/>
              </w:rPr>
              <w:t>(c)</w:t>
            </w:r>
          </w:p>
        </w:tc>
        <w:tc>
          <w:tcPr>
            <w:tcW w:w="3151" w:type="dxa"/>
            <w:tcBorders>
              <w:top w:val="nil"/>
              <w:left w:val="nil"/>
              <w:bottom w:val="nil"/>
              <w:right w:val="nil"/>
            </w:tcBorders>
          </w:tcPr>
          <w:p w:rsidR="001A1870" w:rsidRPr="00C70B0B" w:rsidRDefault="001A1870" w:rsidP="001A1870">
            <w:pPr>
              <w:ind w:left="-215"/>
              <w:jc w:val="center"/>
              <w:rPr>
                <w:sz w:val="22"/>
                <w:szCs w:val="22"/>
              </w:rPr>
            </w:pPr>
            <w:r w:rsidRPr="00C70B0B">
              <w:rPr>
                <w:noProof/>
                <w:sz w:val="22"/>
                <w:szCs w:val="22"/>
                <w:lang w:eastAsia="en-AU"/>
              </w:rPr>
              <w:drawing>
                <wp:inline distT="0" distB="0" distL="0" distR="0">
                  <wp:extent cx="1980000" cy="1996473"/>
                  <wp:effectExtent l="19050" t="0" r="1200" b="0"/>
                  <wp:docPr id="1013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0" cstate="screen"/>
                          <a:srcRect/>
                          <a:stretch>
                            <a:fillRect/>
                          </a:stretch>
                        </pic:blipFill>
                        <pic:spPr bwMode="auto">
                          <a:xfrm>
                            <a:off x="0" y="0"/>
                            <a:ext cx="1980000" cy="1996473"/>
                          </a:xfrm>
                          <a:prstGeom prst="rect">
                            <a:avLst/>
                          </a:prstGeom>
                          <a:noFill/>
                          <a:ln w="9525">
                            <a:noFill/>
                            <a:miter lim="800000"/>
                            <a:headEnd/>
                            <a:tailEnd/>
                          </a:ln>
                        </pic:spPr>
                      </pic:pic>
                    </a:graphicData>
                  </a:graphic>
                </wp:inline>
              </w:drawing>
            </w:r>
          </w:p>
          <w:p w:rsidR="001A1870" w:rsidRPr="00C70B0B" w:rsidRDefault="001A1870" w:rsidP="001A1870">
            <w:pPr>
              <w:ind w:left="-215"/>
              <w:jc w:val="center"/>
              <w:rPr>
                <w:sz w:val="22"/>
                <w:szCs w:val="22"/>
              </w:rPr>
            </w:pPr>
            <w:r w:rsidRPr="00C70B0B">
              <w:rPr>
                <w:sz w:val="22"/>
                <w:szCs w:val="22"/>
              </w:rPr>
              <w:t>(f)</w:t>
            </w:r>
          </w:p>
        </w:tc>
        <w:tc>
          <w:tcPr>
            <w:tcW w:w="3227" w:type="dxa"/>
            <w:tcBorders>
              <w:top w:val="nil"/>
              <w:left w:val="nil"/>
              <w:bottom w:val="nil"/>
              <w:right w:val="nil"/>
            </w:tcBorders>
          </w:tcPr>
          <w:p w:rsidR="001A1870" w:rsidRPr="00C70B0B" w:rsidRDefault="001A1870" w:rsidP="001A1870">
            <w:pPr>
              <w:ind w:left="-436"/>
              <w:jc w:val="center"/>
              <w:rPr>
                <w:sz w:val="22"/>
                <w:szCs w:val="22"/>
              </w:rPr>
            </w:pPr>
            <w:r w:rsidRPr="00C70B0B">
              <w:rPr>
                <w:noProof/>
                <w:sz w:val="22"/>
                <w:szCs w:val="22"/>
                <w:lang w:eastAsia="en-AU"/>
              </w:rPr>
              <w:drawing>
                <wp:inline distT="0" distB="0" distL="0" distR="0">
                  <wp:extent cx="1980000" cy="1997902"/>
                  <wp:effectExtent l="0" t="0" r="0" b="0"/>
                  <wp:docPr id="1014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1" cstate="screen"/>
                          <a:srcRect/>
                          <a:stretch>
                            <a:fillRect/>
                          </a:stretch>
                        </pic:blipFill>
                        <pic:spPr bwMode="auto">
                          <a:xfrm>
                            <a:off x="0" y="0"/>
                            <a:ext cx="1980000" cy="1997902"/>
                          </a:xfrm>
                          <a:prstGeom prst="rect">
                            <a:avLst/>
                          </a:prstGeom>
                          <a:noFill/>
                          <a:ln w="9525">
                            <a:noFill/>
                            <a:miter lim="800000"/>
                            <a:headEnd/>
                            <a:tailEnd/>
                          </a:ln>
                        </pic:spPr>
                      </pic:pic>
                    </a:graphicData>
                  </a:graphic>
                </wp:inline>
              </w:drawing>
            </w:r>
          </w:p>
          <w:p w:rsidR="001A1870" w:rsidRPr="00C70B0B" w:rsidRDefault="001A1870" w:rsidP="001A1870">
            <w:pPr>
              <w:ind w:left="-436"/>
              <w:jc w:val="center"/>
              <w:rPr>
                <w:sz w:val="22"/>
                <w:szCs w:val="22"/>
              </w:rPr>
            </w:pPr>
            <w:r w:rsidRPr="00C70B0B">
              <w:rPr>
                <w:sz w:val="22"/>
                <w:szCs w:val="22"/>
              </w:rPr>
              <w:t>(i)</w:t>
            </w:r>
          </w:p>
        </w:tc>
      </w:tr>
    </w:tbl>
    <w:p w:rsidR="001A1870" w:rsidRDefault="001A1870" w:rsidP="001A1870">
      <w:pPr>
        <w:pStyle w:val="figurecaption"/>
      </w:pPr>
      <w:bookmarkStart w:id="272" w:name="_Ref400974532"/>
      <w:r w:rsidRPr="00AB19C3">
        <w:rPr>
          <w:b/>
        </w:rPr>
        <w:t xml:space="preserve">Figure </w:t>
      </w:r>
      <w:bookmarkEnd w:id="272"/>
      <w:r>
        <w:rPr>
          <w:b/>
        </w:rPr>
        <w:t>3</w:t>
      </w:r>
      <w:r>
        <w:t xml:space="preserve"> Subsection of the Jabiluka site. Images in the left hand column are the RGB subsets for April (a), June (b) and September (c).The middle column shows classified NDVI (bright areas are over 0.25) for April (d), June (e) and September (f). The right column is the manual delineation of plants for April (g), June (h) and September (i). Red circles indicate volunteer plants not present in the image from the previous date. The red rectangle in image (a) is a zoom-in section for Figure 4.</w:t>
      </w:r>
    </w:p>
    <w:p w:rsidR="001A1870" w:rsidRPr="007D28A3" w:rsidRDefault="001A1870" w:rsidP="001A1870"/>
    <w:tbl>
      <w:tblPr>
        <w:tblW w:w="0" w:type="auto"/>
        <w:tblInd w:w="1101" w:type="dxa"/>
        <w:tblLook w:val="04A0"/>
      </w:tblPr>
      <w:tblGrid>
        <w:gridCol w:w="1181"/>
        <w:gridCol w:w="4215"/>
      </w:tblGrid>
      <w:tr w:rsidR="001A1870" w:rsidRPr="00C70B0B" w:rsidTr="001A1870">
        <w:tc>
          <w:tcPr>
            <w:tcW w:w="1181" w:type="dxa"/>
          </w:tcPr>
          <w:p w:rsidR="001A1870" w:rsidRPr="00C70B0B" w:rsidRDefault="001A1870" w:rsidP="001A1870">
            <w:pPr>
              <w:jc w:val="right"/>
              <w:rPr>
                <w:sz w:val="22"/>
                <w:szCs w:val="22"/>
              </w:rPr>
            </w:pPr>
          </w:p>
          <w:p w:rsidR="001A1870" w:rsidRPr="00C70B0B" w:rsidRDefault="001A1870" w:rsidP="001A1870">
            <w:pPr>
              <w:jc w:val="right"/>
              <w:rPr>
                <w:sz w:val="22"/>
                <w:szCs w:val="22"/>
              </w:rPr>
            </w:pPr>
            <w:r w:rsidRPr="00C70B0B">
              <w:rPr>
                <w:sz w:val="22"/>
                <w:szCs w:val="22"/>
              </w:rPr>
              <w:t>(a)</w:t>
            </w:r>
          </w:p>
          <w:p w:rsidR="001A1870" w:rsidRPr="00C70B0B" w:rsidRDefault="001A1870" w:rsidP="001A1870">
            <w:pPr>
              <w:jc w:val="right"/>
              <w:rPr>
                <w:sz w:val="22"/>
                <w:szCs w:val="22"/>
              </w:rPr>
            </w:pPr>
            <w:r w:rsidRPr="00C70B0B">
              <w:rPr>
                <w:sz w:val="22"/>
                <w:szCs w:val="22"/>
              </w:rPr>
              <w:t>April</w:t>
            </w:r>
          </w:p>
        </w:tc>
        <w:tc>
          <w:tcPr>
            <w:tcW w:w="4215" w:type="dxa"/>
          </w:tcPr>
          <w:p w:rsidR="001A1870" w:rsidRPr="00C70B0B" w:rsidRDefault="001A1870" w:rsidP="001A1870">
            <w:pPr>
              <w:rPr>
                <w:sz w:val="22"/>
                <w:szCs w:val="22"/>
              </w:rPr>
            </w:pPr>
            <w:r w:rsidRPr="00C70B0B">
              <w:rPr>
                <w:noProof/>
                <w:sz w:val="22"/>
                <w:szCs w:val="22"/>
                <w:lang w:eastAsia="en-AU"/>
              </w:rPr>
              <w:drawing>
                <wp:inline distT="0" distB="0" distL="0" distR="0">
                  <wp:extent cx="2518666" cy="2512320"/>
                  <wp:effectExtent l="19050" t="0" r="0" b="0"/>
                  <wp:docPr id="1014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72" cstate="screen"/>
                          <a:srcRect l="4624" t="5383" r="44747" b="23424"/>
                          <a:stretch>
                            <a:fillRect/>
                          </a:stretch>
                        </pic:blipFill>
                        <pic:spPr bwMode="auto">
                          <a:xfrm>
                            <a:off x="0" y="0"/>
                            <a:ext cx="2518666" cy="2512320"/>
                          </a:xfrm>
                          <a:prstGeom prst="rect">
                            <a:avLst/>
                          </a:prstGeom>
                          <a:noFill/>
                          <a:ln w="9525">
                            <a:noFill/>
                            <a:miter lim="800000"/>
                            <a:headEnd/>
                            <a:tailEnd/>
                          </a:ln>
                        </pic:spPr>
                      </pic:pic>
                    </a:graphicData>
                  </a:graphic>
                </wp:inline>
              </w:drawing>
            </w:r>
          </w:p>
        </w:tc>
      </w:tr>
      <w:tr w:rsidR="001A1870" w:rsidRPr="00C70B0B" w:rsidTr="001A1870">
        <w:tc>
          <w:tcPr>
            <w:tcW w:w="1181" w:type="dxa"/>
          </w:tcPr>
          <w:p w:rsidR="001A1870" w:rsidRPr="00C70B0B" w:rsidRDefault="001A1870" w:rsidP="001A1870">
            <w:pPr>
              <w:jc w:val="right"/>
              <w:rPr>
                <w:sz w:val="22"/>
                <w:szCs w:val="22"/>
              </w:rPr>
            </w:pPr>
          </w:p>
          <w:p w:rsidR="001A1870" w:rsidRPr="00C70B0B" w:rsidRDefault="001A1870" w:rsidP="001A1870">
            <w:pPr>
              <w:jc w:val="right"/>
              <w:rPr>
                <w:sz w:val="22"/>
                <w:szCs w:val="22"/>
              </w:rPr>
            </w:pPr>
            <w:r w:rsidRPr="00C70B0B">
              <w:rPr>
                <w:sz w:val="22"/>
                <w:szCs w:val="22"/>
              </w:rPr>
              <w:t>(b)</w:t>
            </w:r>
          </w:p>
          <w:p w:rsidR="001A1870" w:rsidRPr="00C70B0B" w:rsidRDefault="001A1870" w:rsidP="001A1870">
            <w:pPr>
              <w:jc w:val="right"/>
              <w:rPr>
                <w:sz w:val="22"/>
                <w:szCs w:val="22"/>
              </w:rPr>
            </w:pPr>
            <w:r w:rsidRPr="00C70B0B">
              <w:rPr>
                <w:sz w:val="22"/>
                <w:szCs w:val="22"/>
              </w:rPr>
              <w:t>June</w:t>
            </w:r>
          </w:p>
        </w:tc>
        <w:tc>
          <w:tcPr>
            <w:tcW w:w="4215" w:type="dxa"/>
          </w:tcPr>
          <w:p w:rsidR="001A1870" w:rsidRPr="00C70B0B" w:rsidRDefault="001A1870" w:rsidP="001A1870">
            <w:pPr>
              <w:rPr>
                <w:sz w:val="22"/>
                <w:szCs w:val="22"/>
              </w:rPr>
            </w:pPr>
            <w:r w:rsidRPr="00C70B0B">
              <w:rPr>
                <w:noProof/>
                <w:sz w:val="22"/>
                <w:szCs w:val="22"/>
                <w:lang w:eastAsia="en-AU"/>
              </w:rPr>
              <w:drawing>
                <wp:inline distT="0" distB="0" distL="0" distR="0">
                  <wp:extent cx="2520000" cy="2523345"/>
                  <wp:effectExtent l="19050" t="0" r="0" b="0"/>
                  <wp:docPr id="1014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73" cstate="screen"/>
                          <a:srcRect/>
                          <a:stretch>
                            <a:fillRect/>
                          </a:stretch>
                        </pic:blipFill>
                        <pic:spPr bwMode="auto">
                          <a:xfrm>
                            <a:off x="0" y="0"/>
                            <a:ext cx="2520000" cy="2523345"/>
                          </a:xfrm>
                          <a:prstGeom prst="rect">
                            <a:avLst/>
                          </a:prstGeom>
                          <a:noFill/>
                          <a:ln w="9525">
                            <a:noFill/>
                            <a:miter lim="800000"/>
                            <a:headEnd/>
                            <a:tailEnd/>
                          </a:ln>
                        </pic:spPr>
                      </pic:pic>
                    </a:graphicData>
                  </a:graphic>
                </wp:inline>
              </w:drawing>
            </w:r>
          </w:p>
        </w:tc>
      </w:tr>
      <w:tr w:rsidR="001A1870" w:rsidRPr="00C70B0B" w:rsidTr="001A1870">
        <w:tc>
          <w:tcPr>
            <w:tcW w:w="1181" w:type="dxa"/>
          </w:tcPr>
          <w:p w:rsidR="001A1870" w:rsidRPr="00C70B0B" w:rsidRDefault="001A1870" w:rsidP="001A1870">
            <w:pPr>
              <w:jc w:val="right"/>
              <w:rPr>
                <w:sz w:val="22"/>
                <w:szCs w:val="22"/>
              </w:rPr>
            </w:pPr>
          </w:p>
          <w:p w:rsidR="001A1870" w:rsidRPr="00C70B0B" w:rsidRDefault="001A1870" w:rsidP="001A1870">
            <w:pPr>
              <w:jc w:val="right"/>
              <w:rPr>
                <w:sz w:val="22"/>
                <w:szCs w:val="22"/>
              </w:rPr>
            </w:pPr>
            <w:r w:rsidRPr="00C70B0B">
              <w:rPr>
                <w:sz w:val="22"/>
                <w:szCs w:val="22"/>
              </w:rPr>
              <w:t>(c)</w:t>
            </w:r>
          </w:p>
          <w:p w:rsidR="001A1870" w:rsidRPr="00C70B0B" w:rsidRDefault="001A1870" w:rsidP="001A1870">
            <w:pPr>
              <w:jc w:val="right"/>
              <w:rPr>
                <w:sz w:val="22"/>
                <w:szCs w:val="22"/>
              </w:rPr>
            </w:pPr>
            <w:r w:rsidRPr="00C70B0B">
              <w:rPr>
                <w:sz w:val="22"/>
                <w:szCs w:val="22"/>
              </w:rPr>
              <w:t>September</w:t>
            </w:r>
          </w:p>
        </w:tc>
        <w:tc>
          <w:tcPr>
            <w:tcW w:w="4215" w:type="dxa"/>
          </w:tcPr>
          <w:p w:rsidR="001A1870" w:rsidRPr="00C70B0B" w:rsidRDefault="001A1870" w:rsidP="001A1870">
            <w:pPr>
              <w:rPr>
                <w:sz w:val="22"/>
                <w:szCs w:val="22"/>
              </w:rPr>
            </w:pPr>
            <w:r w:rsidRPr="00C70B0B">
              <w:rPr>
                <w:noProof/>
                <w:sz w:val="22"/>
                <w:szCs w:val="22"/>
                <w:lang w:eastAsia="en-AU"/>
              </w:rPr>
              <w:drawing>
                <wp:inline distT="0" distB="0" distL="0" distR="0">
                  <wp:extent cx="2520000" cy="2935123"/>
                  <wp:effectExtent l="19050" t="0" r="0" b="0"/>
                  <wp:docPr id="10143"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74" cstate="screen"/>
                          <a:srcRect l="4478" t="5495" r="44834" b="11264"/>
                          <a:stretch>
                            <a:fillRect/>
                          </a:stretch>
                        </pic:blipFill>
                        <pic:spPr bwMode="auto">
                          <a:xfrm>
                            <a:off x="0" y="0"/>
                            <a:ext cx="2520000" cy="2935123"/>
                          </a:xfrm>
                          <a:prstGeom prst="rect">
                            <a:avLst/>
                          </a:prstGeom>
                          <a:noFill/>
                          <a:ln w="9525">
                            <a:noFill/>
                            <a:miter lim="800000"/>
                            <a:headEnd/>
                            <a:tailEnd/>
                          </a:ln>
                        </pic:spPr>
                      </pic:pic>
                    </a:graphicData>
                  </a:graphic>
                </wp:inline>
              </w:drawing>
            </w:r>
          </w:p>
        </w:tc>
      </w:tr>
    </w:tbl>
    <w:p w:rsidR="001A1870" w:rsidRDefault="001A1870" w:rsidP="001A1870">
      <w:pPr>
        <w:pStyle w:val="figurecaption"/>
      </w:pPr>
      <w:bookmarkStart w:id="273" w:name="_Ref400965427"/>
      <w:r w:rsidRPr="00B66406">
        <w:rPr>
          <w:b/>
        </w:rPr>
        <w:t xml:space="preserve">Figure </w:t>
      </w:r>
      <w:bookmarkEnd w:id="273"/>
      <w:r>
        <w:rPr>
          <w:b/>
        </w:rPr>
        <w:t>4</w:t>
      </w:r>
      <w:r>
        <w:t xml:space="preserve"> ‘Zoomed in’ area of the red rectangle shown in Figure 3. </w:t>
      </w:r>
      <w:proofErr w:type="gramStart"/>
      <w:r>
        <w:t>(a) April, (b) June and (c) September.</w:t>
      </w:r>
      <w:proofErr w:type="gramEnd"/>
      <w:r>
        <w:t xml:space="preserve"> Yellow points in image (c) show the plant status along the field transect.</w:t>
      </w:r>
    </w:p>
    <w:p w:rsidR="001A1870" w:rsidRPr="00E70473" w:rsidRDefault="001A1870" w:rsidP="001A1870">
      <w:pPr>
        <w:rPr>
          <w:noProof/>
          <w:lang w:eastAsia="en-AU"/>
        </w:rPr>
      </w:pPr>
      <w:r>
        <w:t xml:space="preserve">Figure 4 </w:t>
      </w:r>
      <w:r w:rsidRPr="000C75FA">
        <w:rPr>
          <w:noProof/>
          <w:lang w:eastAsia="en-AU"/>
        </w:rPr>
        <w:t xml:space="preserve">shows the fate of four </w:t>
      </w:r>
      <w:r w:rsidRPr="000C75FA">
        <w:rPr>
          <w:i/>
          <w:noProof/>
          <w:lang w:eastAsia="en-AU"/>
        </w:rPr>
        <w:t>Grevillea pteridifolia</w:t>
      </w:r>
      <w:r w:rsidRPr="000C75FA">
        <w:rPr>
          <w:noProof/>
          <w:lang w:eastAsia="en-AU"/>
        </w:rPr>
        <w:t xml:space="preserve"> plantings within the subsection. In the April image (</w:t>
      </w:r>
      <w:r>
        <w:t>Figure 4</w:t>
      </w:r>
      <w:r w:rsidRPr="000C75FA">
        <w:rPr>
          <w:noProof/>
          <w:lang w:eastAsia="en-AU"/>
        </w:rPr>
        <w:t>a), all four are alive. In the June image (</w:t>
      </w:r>
      <w:r>
        <w:t>Figure 4</w:t>
      </w:r>
      <w:r w:rsidRPr="000C75FA">
        <w:rPr>
          <w:noProof/>
          <w:lang w:eastAsia="en-AU"/>
        </w:rPr>
        <w:t>b), it can be observed that the bottom left plant has died, while in the September image (</w:t>
      </w:r>
      <w:r w:rsidR="00672FCB">
        <w:t>Figure</w:t>
      </w:r>
      <w:r>
        <w:t xml:space="preserve"> 4</w:t>
      </w:r>
      <w:r w:rsidRPr="000C75FA">
        <w:rPr>
          <w:noProof/>
          <w:lang w:eastAsia="en-AU"/>
        </w:rPr>
        <w:t xml:space="preserve">c) only the top left plant </w:t>
      </w:r>
      <w:r>
        <w:rPr>
          <w:noProof/>
          <w:lang w:eastAsia="en-AU"/>
        </w:rPr>
        <w:t xml:space="preserve">has </w:t>
      </w:r>
      <w:r w:rsidRPr="000C75FA">
        <w:rPr>
          <w:noProof/>
          <w:lang w:eastAsia="en-AU"/>
        </w:rPr>
        <w:t>survive</w:t>
      </w:r>
      <w:r>
        <w:rPr>
          <w:noProof/>
          <w:lang w:eastAsia="en-AU"/>
        </w:rPr>
        <w:t>d</w:t>
      </w:r>
      <w:r w:rsidRPr="000C75FA">
        <w:rPr>
          <w:noProof/>
          <w:lang w:eastAsia="en-AU"/>
        </w:rPr>
        <w:t xml:space="preserve">. The transect data confirm </w:t>
      </w:r>
      <w:r>
        <w:rPr>
          <w:noProof/>
          <w:lang w:eastAsia="en-AU"/>
        </w:rPr>
        <w:t xml:space="preserve">two of the </w:t>
      </w:r>
      <w:r w:rsidRPr="000C75FA">
        <w:rPr>
          <w:noProof/>
          <w:lang w:eastAsia="en-AU"/>
        </w:rPr>
        <w:t>plants’ death. A</w:t>
      </w:r>
      <w:r>
        <w:rPr>
          <w:noProof/>
          <w:lang w:eastAsia="en-AU"/>
        </w:rPr>
        <w:t>lso, a</w:t>
      </w:r>
      <w:r w:rsidRPr="000C75FA">
        <w:rPr>
          <w:noProof/>
          <w:lang w:eastAsia="en-AU"/>
        </w:rPr>
        <w:t xml:space="preserve"> number of </w:t>
      </w:r>
      <w:r>
        <w:rPr>
          <w:noProof/>
          <w:lang w:eastAsia="en-AU"/>
        </w:rPr>
        <w:t>volunteers</w:t>
      </w:r>
      <w:r w:rsidRPr="000C75FA">
        <w:rPr>
          <w:noProof/>
          <w:lang w:eastAsia="en-AU"/>
        </w:rPr>
        <w:t xml:space="preserve"> can clearly be seen along the right hand edge of the September image.</w:t>
      </w:r>
    </w:p>
    <w:p w:rsidR="001A1870" w:rsidRDefault="001A1870" w:rsidP="001A1870">
      <w:pPr>
        <w:pStyle w:val="Heading3"/>
      </w:pPr>
      <w:r>
        <w:t>Steps for completion</w:t>
      </w:r>
    </w:p>
    <w:p w:rsidR="001A1870" w:rsidRPr="00E70473" w:rsidRDefault="001A1870" w:rsidP="001A1870">
      <w:r w:rsidRPr="003246BB">
        <w:t xml:space="preserve">An immediate priority will be to compare survivability data collected </w:t>
      </w:r>
      <w:r>
        <w:t xml:space="preserve">on the ground </w:t>
      </w:r>
      <w:r w:rsidRPr="003246BB">
        <w:t xml:space="preserve">by ERA in June with an analysis of UAS imagery also captured in June. Routine flights will continue to be undertaken over the wet season in order to quantify the impacts of wet season run-off on revegetation success. Flights will also be undertaken on a monthly basis during the 2015 dry season. </w:t>
      </w:r>
      <w:r>
        <w:t xml:space="preserve">Methods of species identification will also be investigated using spectral, textural and structural information. </w:t>
      </w:r>
      <w:r w:rsidRPr="003246BB">
        <w:t>Methods for quantitative analysis and scales for reporting results will be assessed before a recommendation is made on sampling frequency beyond the 2015 dry season and how results for revegetation should be reported. A component of the quantitative analysis will be to investigate the utility of information from the UAS imagery</w:t>
      </w:r>
      <w:r>
        <w:t>-derived</w:t>
      </w:r>
      <w:r w:rsidRPr="003246BB">
        <w:t xml:space="preserve"> DSM for plants </w:t>
      </w:r>
      <w:r>
        <w:t>identifying plant</w:t>
      </w:r>
      <w:r w:rsidRPr="000C4C57">
        <w:t xml:space="preserve"> </w:t>
      </w:r>
      <w:r w:rsidRPr="003246BB">
        <w:t xml:space="preserve">height </w:t>
      </w:r>
      <w:r>
        <w:t>and structure</w:t>
      </w:r>
      <w:r w:rsidRPr="003246BB">
        <w:t>.</w:t>
      </w:r>
    </w:p>
    <w:p w:rsidR="001A1870" w:rsidRPr="009C5307" w:rsidRDefault="001A1870" w:rsidP="001A1870">
      <w:pPr>
        <w:pStyle w:val="Heading2"/>
      </w:pPr>
      <w:r>
        <w:t>References</w:t>
      </w:r>
    </w:p>
    <w:p w:rsidR="001A1870" w:rsidRPr="009C5307" w:rsidRDefault="001A1870" w:rsidP="001A1870">
      <w:pPr>
        <w:pStyle w:val="referencelist1"/>
      </w:pPr>
      <w:proofErr w:type="gramStart"/>
      <w:r w:rsidRPr="009C5307">
        <w:t>Gitelson AA 2004.</w:t>
      </w:r>
      <w:proofErr w:type="gramEnd"/>
      <w:r w:rsidRPr="009C5307">
        <w:t xml:space="preserve"> Wide Dynamic Range Vegetation Index for remote quantification of biophysical characteristics of vegetation.</w:t>
      </w:r>
      <w:r w:rsidRPr="00BB508B">
        <w:rPr>
          <w:i/>
        </w:rPr>
        <w:t xml:space="preserve"> Journal of Plant Physiology </w:t>
      </w:r>
      <w:r w:rsidRPr="009C5307">
        <w:t>161(2), 165–173.</w:t>
      </w:r>
    </w:p>
    <w:p w:rsidR="001A1870" w:rsidRPr="009C5307" w:rsidRDefault="001A1870" w:rsidP="001A1870">
      <w:pPr>
        <w:pStyle w:val="referencelist1"/>
      </w:pPr>
      <w:proofErr w:type="gramStart"/>
      <w:r w:rsidRPr="009C5307">
        <w:t>Harwin S &amp; Lucieer A 2012.</w:t>
      </w:r>
      <w:proofErr w:type="gramEnd"/>
      <w:r w:rsidRPr="009C5307">
        <w:t xml:space="preserve"> Assessing the accuracy of georeferenced point clouds produced via multi-view stereopsis from unmanned aerial vehicle (UAV) Imagery. </w:t>
      </w:r>
      <w:r w:rsidRPr="00BB508B">
        <w:rPr>
          <w:i/>
        </w:rPr>
        <w:t>Remote Sensing</w:t>
      </w:r>
      <w:r w:rsidRPr="009C5307">
        <w:t xml:space="preserve"> 4(6), 1573–1599.</w:t>
      </w:r>
    </w:p>
    <w:p w:rsidR="001A1870" w:rsidRPr="009C5307" w:rsidRDefault="001A1870" w:rsidP="001A1870">
      <w:pPr>
        <w:pStyle w:val="referencelist1"/>
      </w:pPr>
      <w:r w:rsidRPr="009C5307">
        <w:t xml:space="preserve">Rouse JW, Haas RH, Schell JA &amp; Deering DW 1973. </w:t>
      </w:r>
      <w:proofErr w:type="gramStart"/>
      <w:r w:rsidRPr="009C5307">
        <w:t>Monitoring vegetation systems in the Great Plains with ERTS.</w:t>
      </w:r>
      <w:proofErr w:type="gramEnd"/>
      <w:r w:rsidRPr="009C5307">
        <w:t xml:space="preserve"> </w:t>
      </w:r>
      <w:proofErr w:type="gramStart"/>
      <w:r w:rsidRPr="009C5307">
        <w:t>In Proceedings of the 3rd ERTS Symposium.</w:t>
      </w:r>
      <w:proofErr w:type="gramEnd"/>
      <w:r w:rsidRPr="009C5307">
        <w:t xml:space="preserve"> NASA, Washington, 309–317.</w:t>
      </w:r>
    </w:p>
    <w:p w:rsidR="001A1870" w:rsidRPr="009C5307" w:rsidRDefault="001A1870" w:rsidP="001A1870">
      <w:pPr>
        <w:pStyle w:val="referencelist1"/>
      </w:pPr>
      <w:proofErr w:type="gramStart"/>
      <w:r w:rsidRPr="009C5307">
        <w:t>Ruiz</w:t>
      </w:r>
      <w:r w:rsidRPr="009C5307">
        <w:rPr>
          <w:rFonts w:ascii="Cambria Math" w:hAnsi="Cambria Math" w:cs="Cambria Math"/>
        </w:rPr>
        <w:t>‐</w:t>
      </w:r>
      <w:r w:rsidRPr="009C5307">
        <w:rPr>
          <w:rFonts w:cs="Garamond"/>
        </w:rPr>
        <w:t>Jaen MC &amp; Mitchell Aide T 2005.</w:t>
      </w:r>
      <w:proofErr w:type="gramEnd"/>
      <w:r w:rsidRPr="009C5307">
        <w:rPr>
          <w:rFonts w:cs="Garamond"/>
        </w:rPr>
        <w:t xml:space="preserve"> Restoration success: how </w:t>
      </w:r>
      <w:r w:rsidRPr="009C5307">
        <w:t xml:space="preserve">is it being measured? </w:t>
      </w:r>
      <w:r w:rsidRPr="00BB508B">
        <w:rPr>
          <w:i/>
        </w:rPr>
        <w:t>Restoration Ecology</w:t>
      </w:r>
      <w:r w:rsidRPr="009C5307">
        <w:t xml:space="preserve"> 13(3), 569–577.</w:t>
      </w:r>
    </w:p>
    <w:p w:rsidR="001A1870" w:rsidRDefault="001A1870" w:rsidP="001A1870">
      <w:pPr>
        <w:pStyle w:val="referencelist1"/>
        <w:rPr>
          <w:noProof/>
        </w:rPr>
      </w:pPr>
    </w:p>
    <w:p w:rsidR="00DD3DAE" w:rsidRDefault="00DD3DAE" w:rsidP="001A1870">
      <w:pPr>
        <w:pStyle w:val="referencelist1"/>
        <w:sectPr w:rsidR="00DD3DAE" w:rsidSect="00D444BD">
          <w:headerReference w:type="default" r:id="rId275"/>
          <w:pgSz w:w="11906" w:h="16838" w:code="9"/>
          <w:pgMar w:top="1440" w:right="1800" w:bottom="1440" w:left="1800" w:header="1080" w:footer="835" w:gutter="0"/>
          <w:cols w:space="360"/>
          <w:noEndnote/>
        </w:sectPr>
      </w:pPr>
    </w:p>
    <w:p w:rsidR="00224F8A" w:rsidRDefault="00224F8A" w:rsidP="00A732C6">
      <w:pPr>
        <w:pStyle w:val="Heading1"/>
      </w:pPr>
      <w:bookmarkStart w:id="274" w:name="_Toc401910208"/>
      <w:bookmarkStart w:id="275" w:name="_Toc409772833"/>
      <w:bookmarkStart w:id="276" w:name="_Toc418172728"/>
      <w:r>
        <w:t>Remote sensing analysis of the inter-annual variation of Magela Cr</w:t>
      </w:r>
      <w:r w:rsidR="00AC7D31">
        <w:t>eek floodplain vegetation: 2010–</w:t>
      </w:r>
      <w:r>
        <w:t>2013</w:t>
      </w:r>
      <w:bookmarkEnd w:id="274"/>
      <w:bookmarkEnd w:id="275"/>
      <w:bookmarkEnd w:id="276"/>
    </w:p>
    <w:p w:rsidR="00A732C6" w:rsidRPr="00A732C6" w:rsidRDefault="0080330B" w:rsidP="004F7B10">
      <w:pPr>
        <w:pStyle w:val="Heading3"/>
        <w:spacing w:after="480"/>
        <w:jc w:val="center"/>
      </w:pPr>
      <w:r>
        <w:t>T Whiteside &amp; R Bartolo</w:t>
      </w:r>
    </w:p>
    <w:p w:rsidR="00224F8A" w:rsidRDefault="00AC7D31" w:rsidP="005873E1">
      <w:pPr>
        <w:pStyle w:val="Heading2"/>
        <w:rPr>
          <w:lang w:val="en-US"/>
        </w:rPr>
      </w:pPr>
      <w:r>
        <w:rPr>
          <w:lang w:val="en-US"/>
        </w:rPr>
        <w:t>Introduct</w:t>
      </w:r>
      <w:r w:rsidR="00224F8A">
        <w:rPr>
          <w:lang w:val="en-US"/>
        </w:rPr>
        <w:t>ion</w:t>
      </w:r>
    </w:p>
    <w:p w:rsidR="00224F8A" w:rsidRPr="00F57CB7" w:rsidRDefault="00224F8A" w:rsidP="00224F8A">
      <w:pPr>
        <w:rPr>
          <w:szCs w:val="22"/>
        </w:rPr>
      </w:pPr>
      <w:r w:rsidRPr="00F57CB7">
        <w:rPr>
          <w:rFonts w:eastAsia="TimesNewRoman"/>
          <w:szCs w:val="22"/>
        </w:rPr>
        <w:t xml:space="preserve">This </w:t>
      </w:r>
      <w:r>
        <w:rPr>
          <w:rFonts w:eastAsia="TimesNewRoman"/>
          <w:szCs w:val="22"/>
        </w:rPr>
        <w:t>paper</w:t>
      </w:r>
      <w:r w:rsidRPr="00F57CB7">
        <w:rPr>
          <w:rFonts w:eastAsia="TimesNewRoman"/>
          <w:szCs w:val="22"/>
        </w:rPr>
        <w:t xml:space="preserve"> presents work undertaken to map the inter-annual variation in floodplain vegetation in</w:t>
      </w:r>
      <w:r>
        <w:rPr>
          <w:rFonts w:eastAsia="TimesNewRoman"/>
          <w:szCs w:val="22"/>
        </w:rPr>
        <w:t xml:space="preserve"> the Magela Creek floodplain,</w:t>
      </w:r>
      <w:r w:rsidRPr="00F57CB7">
        <w:rPr>
          <w:rFonts w:eastAsia="TimesNewRoman"/>
          <w:szCs w:val="22"/>
        </w:rPr>
        <w:t xml:space="preserve"> a large ecologically significant wetland</w:t>
      </w:r>
      <w:r>
        <w:rPr>
          <w:rFonts w:eastAsia="TimesNewRoman"/>
          <w:szCs w:val="22"/>
        </w:rPr>
        <w:t xml:space="preserve"> situated</w:t>
      </w:r>
      <w:r w:rsidRPr="00F57CB7">
        <w:rPr>
          <w:rFonts w:eastAsia="TimesNewRoman"/>
          <w:szCs w:val="22"/>
        </w:rPr>
        <w:t xml:space="preserve"> downstream </w:t>
      </w:r>
      <w:r>
        <w:rPr>
          <w:rFonts w:eastAsia="TimesNewRoman"/>
          <w:szCs w:val="22"/>
        </w:rPr>
        <w:t>of</w:t>
      </w:r>
      <w:r w:rsidRPr="00F57CB7">
        <w:rPr>
          <w:rFonts w:eastAsia="TimesNewRoman"/>
          <w:szCs w:val="22"/>
        </w:rPr>
        <w:t xml:space="preserve"> Ranger </w:t>
      </w:r>
      <w:r>
        <w:rPr>
          <w:rFonts w:eastAsia="TimesNewRoman"/>
          <w:szCs w:val="22"/>
        </w:rPr>
        <w:t>u</w:t>
      </w:r>
      <w:r w:rsidRPr="00F57CB7">
        <w:rPr>
          <w:rFonts w:eastAsia="TimesNewRoman"/>
          <w:szCs w:val="22"/>
        </w:rPr>
        <w:t xml:space="preserve">ranium </w:t>
      </w:r>
      <w:r>
        <w:rPr>
          <w:rFonts w:eastAsia="TimesNewRoman"/>
          <w:szCs w:val="22"/>
        </w:rPr>
        <w:t>m</w:t>
      </w:r>
      <w:r w:rsidRPr="00F57CB7">
        <w:rPr>
          <w:rFonts w:eastAsia="TimesNewRoman"/>
          <w:szCs w:val="22"/>
        </w:rPr>
        <w:t>ine</w:t>
      </w:r>
      <w:r>
        <w:rPr>
          <w:rFonts w:eastAsia="TimesNewRoman"/>
          <w:szCs w:val="22"/>
        </w:rPr>
        <w:t>.</w:t>
      </w:r>
      <w:r w:rsidRPr="00F57CB7">
        <w:rPr>
          <w:rFonts w:eastAsia="TimesNewRoman"/>
          <w:szCs w:val="22"/>
        </w:rPr>
        <w:t xml:space="preserve"> </w:t>
      </w:r>
      <w:r>
        <w:rPr>
          <w:rFonts w:eastAsia="TimesNewRoman"/>
          <w:szCs w:val="22"/>
        </w:rPr>
        <w:t xml:space="preserve">The data used were </w:t>
      </w:r>
      <w:r w:rsidRPr="00F57CB7">
        <w:rPr>
          <w:rFonts w:eastAsia="TimesNewRoman"/>
          <w:szCs w:val="22"/>
        </w:rPr>
        <w:t xml:space="preserve">captured by the satellite-based WorldView-2 (WV-2) sensor in the early dry season from 2010 to 2013. The project </w:t>
      </w:r>
      <w:r>
        <w:rPr>
          <w:rFonts w:eastAsia="TimesNewRoman"/>
          <w:szCs w:val="22"/>
        </w:rPr>
        <w:t xml:space="preserve">investigated the application of </w:t>
      </w:r>
      <w:r w:rsidRPr="00F57CB7">
        <w:rPr>
          <w:rFonts w:eastAsia="TimesNewRoman"/>
          <w:szCs w:val="22"/>
        </w:rPr>
        <w:t xml:space="preserve">a transferrable GEOBIA rule set to four dates of high spatial resolution multispectral satellite data to map the floodplain vegetation for each year and undertake change detection analysis between </w:t>
      </w:r>
      <w:r>
        <w:rPr>
          <w:rFonts w:eastAsia="TimesNewRoman"/>
          <w:szCs w:val="22"/>
        </w:rPr>
        <w:t xml:space="preserve">these </w:t>
      </w:r>
      <w:r w:rsidRPr="00F57CB7">
        <w:rPr>
          <w:rFonts w:eastAsia="TimesNewRoman"/>
          <w:szCs w:val="22"/>
        </w:rPr>
        <w:t xml:space="preserve">dates. </w:t>
      </w:r>
      <w:r w:rsidRPr="00F57CB7">
        <w:rPr>
          <w:szCs w:val="22"/>
        </w:rPr>
        <w:t xml:space="preserve">This time series mapping of floodplain vegetation provides a contemporary baseline of annual vegetation dynamics on the floodplain to assist with </w:t>
      </w:r>
      <w:r>
        <w:rPr>
          <w:szCs w:val="22"/>
        </w:rPr>
        <w:t xml:space="preserve">future </w:t>
      </w:r>
      <w:r w:rsidRPr="00F57CB7">
        <w:rPr>
          <w:szCs w:val="22"/>
        </w:rPr>
        <w:t>monitoring and analys</w:t>
      </w:r>
      <w:r>
        <w:rPr>
          <w:szCs w:val="22"/>
        </w:rPr>
        <w:t>es</w:t>
      </w:r>
      <w:r w:rsidRPr="00F57CB7">
        <w:rPr>
          <w:szCs w:val="22"/>
        </w:rPr>
        <w:t xml:space="preserve"> </w:t>
      </w:r>
      <w:r>
        <w:rPr>
          <w:szCs w:val="22"/>
        </w:rPr>
        <w:t xml:space="preserve">of </w:t>
      </w:r>
      <w:r w:rsidRPr="00F57CB7">
        <w:rPr>
          <w:szCs w:val="22"/>
        </w:rPr>
        <w:t xml:space="preserve">off-site change during and after the rehabilitation of </w:t>
      </w:r>
      <w:r>
        <w:rPr>
          <w:szCs w:val="22"/>
        </w:rPr>
        <w:t>Ranger mine</w:t>
      </w:r>
      <w:r w:rsidRPr="00F57CB7">
        <w:rPr>
          <w:szCs w:val="22"/>
        </w:rPr>
        <w:t>.</w:t>
      </w:r>
    </w:p>
    <w:p w:rsidR="00224F8A" w:rsidRPr="00F57CB7" w:rsidRDefault="00224F8A" w:rsidP="00224F8A">
      <w:pPr>
        <w:rPr>
          <w:rFonts w:eastAsia="TimesNewRoman"/>
          <w:szCs w:val="22"/>
        </w:rPr>
      </w:pPr>
      <w:r w:rsidRPr="00F57CB7">
        <w:rPr>
          <w:rFonts w:eastAsia="TimesNewRoman"/>
          <w:szCs w:val="22"/>
        </w:rPr>
        <w:t xml:space="preserve">The aims of this project </w:t>
      </w:r>
      <w:r>
        <w:rPr>
          <w:rFonts w:eastAsia="TimesNewRoman"/>
          <w:szCs w:val="22"/>
        </w:rPr>
        <w:t>we</w:t>
      </w:r>
      <w:r w:rsidRPr="00F57CB7">
        <w:rPr>
          <w:rFonts w:eastAsia="TimesNewRoman"/>
          <w:szCs w:val="22"/>
        </w:rPr>
        <w:t>re to:</w:t>
      </w:r>
    </w:p>
    <w:p w:rsidR="00224F8A" w:rsidRPr="00F57CB7" w:rsidRDefault="00224F8A" w:rsidP="00932A96">
      <w:pPr>
        <w:pStyle w:val="Normallist1"/>
        <w:numPr>
          <w:ilvl w:val="0"/>
          <w:numId w:val="19"/>
        </w:numPr>
        <w:rPr>
          <w:szCs w:val="22"/>
        </w:rPr>
      </w:pPr>
      <w:r>
        <w:rPr>
          <w:szCs w:val="22"/>
        </w:rPr>
        <w:t>P</w:t>
      </w:r>
      <w:r w:rsidRPr="00F57CB7">
        <w:rPr>
          <w:szCs w:val="22"/>
        </w:rPr>
        <w:t>roduce high resolution maps of the vegetation communities of the Mag</w:t>
      </w:r>
      <w:r w:rsidR="00EF026E">
        <w:rPr>
          <w:szCs w:val="22"/>
        </w:rPr>
        <w:t>ela Creek floodplain for 2010–</w:t>
      </w:r>
      <w:r w:rsidRPr="00F57CB7">
        <w:rPr>
          <w:szCs w:val="22"/>
        </w:rPr>
        <w:t xml:space="preserve">13 (inclusive) to be used as a baseline for monitoring potential impacts </w:t>
      </w:r>
      <w:r>
        <w:rPr>
          <w:szCs w:val="22"/>
        </w:rPr>
        <w:t xml:space="preserve">arising from </w:t>
      </w:r>
      <w:r w:rsidRPr="00F57CB7">
        <w:rPr>
          <w:szCs w:val="22"/>
        </w:rPr>
        <w:t>rehabilitation of the Ranger minesite.</w:t>
      </w:r>
    </w:p>
    <w:p w:rsidR="00224F8A" w:rsidRDefault="00224F8A" w:rsidP="00932A96">
      <w:pPr>
        <w:pStyle w:val="Normallist1"/>
        <w:numPr>
          <w:ilvl w:val="0"/>
          <w:numId w:val="19"/>
        </w:numPr>
        <w:rPr>
          <w:szCs w:val="22"/>
        </w:rPr>
      </w:pPr>
      <w:r>
        <w:rPr>
          <w:szCs w:val="22"/>
        </w:rPr>
        <w:t>M</w:t>
      </w:r>
      <w:r w:rsidRPr="00F57CB7">
        <w:rPr>
          <w:szCs w:val="22"/>
        </w:rPr>
        <w:t>ap and analyse inter-annual change within vegetation communities on the floodplain.</w:t>
      </w:r>
    </w:p>
    <w:p w:rsidR="00224F8A" w:rsidRPr="00224F8A" w:rsidRDefault="00224F8A" w:rsidP="00AC7D31">
      <w:pPr>
        <w:pStyle w:val="Normallist1"/>
        <w:numPr>
          <w:ilvl w:val="0"/>
          <w:numId w:val="0"/>
        </w:numPr>
        <w:rPr>
          <w:szCs w:val="22"/>
        </w:rPr>
      </w:pPr>
      <w:r w:rsidRPr="00F57CB7">
        <w:t>The vegetation communities within the floodplain are seasonally and annually dynamic</w:t>
      </w:r>
      <w:r w:rsidR="006B5A61" w:rsidRPr="00F57CB7">
        <w:fldChar w:fldCharType="begin"/>
      </w:r>
      <w:r w:rsidRPr="00F57CB7">
        <w:instrText xml:space="preserve"> ADDIN EN.CITE &lt;EndNote&gt;&lt;Cite&gt;&lt;Author&gt;Finlayson&lt;/Author&gt;&lt;Year&gt;1989&lt;/Year&gt;&lt;RecNum&gt;1&lt;/RecNum&gt;&lt;DisplayText&gt; (Finlayson et al 1989)&lt;/DisplayText&gt;&lt;record&gt;&lt;rec-number&gt;1&lt;/rec-number&gt;&lt;foreign-keys&gt;&lt;key app="EN" db-id="swfase9zqzr2fiedrfmppz5kedxr2es22afd"&gt;1&lt;/key&gt;&lt;/foreign-keys&gt;&lt;ref-type name="Report"&gt;27&lt;/ref-type&gt;&lt;contributors&gt;&lt;authors&gt;&lt;author&gt;Finlayson, C.M&lt;/author&gt;&lt;author&gt;Bailey, B.J.&lt;/author&gt;&lt;author&gt;Cowie, I.D.&lt;/author&gt;&lt;/authors&gt;&lt;tertiary-authors&gt;&lt;author&gt;Supervising Scientist,&lt;/author&gt;&lt;/tertiary-authors&gt;&lt;/contributors&gt;&lt;titles&gt;&lt;title&gt;Macrophyte vegetation of the Magela Creek flood plain, Alligator Rivers Region, Northern Territory&lt;/title&gt;&lt;secondary-title&gt;Research Report&lt;/secondary-title&gt;&lt;/titles&gt;&lt;pages&gt;38&lt;/pages&gt;&lt;dates&gt;&lt;year&gt;1989&lt;/year&gt;&lt;pub-dates&gt;&lt;date&gt;April 1989&lt;/date&gt;&lt;/pub-dates&gt;&lt;/dates&gt;&lt;pub-location&gt;Canberra&lt;/pub-location&gt;&lt;publisher&gt;Supervising Scientist for the Alligator Rivers Region&lt;/publisher&gt;&lt;isbn&gt;5&lt;/isbn&gt;&lt;urls&gt;&lt;related-urls&gt;&lt;url&gt;http://www.environment.gov.au/ssd/publications/rr/5.html&lt;/url&gt;&lt;/related-urls&gt;&lt;/urls&gt;&lt;/record&gt;&lt;/Cite&gt;&lt;/EndNote&gt;</w:instrText>
      </w:r>
      <w:r w:rsidR="006B5A61" w:rsidRPr="00F57CB7">
        <w:fldChar w:fldCharType="separate"/>
      </w:r>
      <w:r w:rsidRPr="00F57CB7">
        <w:rPr>
          <w:noProof/>
        </w:rPr>
        <w:t> (</w:t>
      </w:r>
      <w:hyperlink w:anchor="_ENREF_5" w:tooltip="Finlayson, 1989 #1" w:history="1">
        <w:r w:rsidRPr="00F57CB7">
          <w:rPr>
            <w:noProof/>
          </w:rPr>
          <w:t>Finlayson et al</w:t>
        </w:r>
        <w:r w:rsidR="00AC7D31">
          <w:rPr>
            <w:noProof/>
          </w:rPr>
          <w:t>.</w:t>
        </w:r>
        <w:r w:rsidRPr="00F57CB7">
          <w:rPr>
            <w:noProof/>
          </w:rPr>
          <w:t xml:space="preserve"> 1989</w:t>
        </w:r>
      </w:hyperlink>
      <w:r w:rsidRPr="00F57CB7">
        <w:rPr>
          <w:noProof/>
        </w:rPr>
        <w:t>)</w:t>
      </w:r>
      <w:r w:rsidR="006B5A61" w:rsidRPr="00F57CB7">
        <w:fldChar w:fldCharType="end"/>
      </w:r>
      <w:r>
        <w:t>. While</w:t>
      </w:r>
      <w:r w:rsidRPr="00F57CB7">
        <w:t xml:space="preserve"> there has been little research o</w:t>
      </w:r>
      <w:r>
        <w:t>n</w:t>
      </w:r>
      <w:r w:rsidRPr="00F57CB7">
        <w:t xml:space="preserve"> the drivers behind these dynamics</w:t>
      </w:r>
      <w:r>
        <w:t xml:space="preserve">, </w:t>
      </w:r>
      <w:r w:rsidRPr="00F57CB7">
        <w:t>drivers have been hypothesized to include water depth an</w:t>
      </w:r>
      <w:r>
        <w:t>d</w:t>
      </w:r>
      <w:r w:rsidRPr="00F57CB7">
        <w:t xml:space="preserve"> duration of inundation</w:t>
      </w:r>
      <w:r w:rsidR="006B5A61">
        <w:fldChar w:fldCharType="begin"/>
      </w:r>
      <w:r>
        <w:instrText xml:space="preserve"> ADDIN EN.CITE &lt;EndNote&gt;&lt;Cite&gt;&lt;Author&gt;Finlayson&lt;/Author&gt;&lt;Year&gt;1989&lt;/Year&gt;&lt;RecNum&gt;1&lt;/RecNum&gt;&lt;DisplayText&gt; (Sanderson et al 1983, Finlayson et al 1989)&lt;/DisplayText&gt;&lt;record&gt;&lt;rec-number&gt;1&lt;/rec-number&gt;&lt;foreign-keys&gt;&lt;key app="EN" db-id="swfase9zqzr2fiedrfmppz5kedxr2es22afd"&gt;1&lt;/key&gt;&lt;/foreign-keys&gt;&lt;ref-type name="Report"&gt;27&lt;/ref-type&gt;&lt;contributors&gt;&lt;authors&gt;&lt;author&gt;Finlayson, C.M&lt;/author&gt;&lt;author&gt;Bailey, B.J.&lt;/author&gt;&lt;author&gt;Cowie, I.D.&lt;/author&gt;&lt;/authors&gt;&lt;tertiary-authors&gt;&lt;author&gt;Supervising Scientist,&lt;/author&gt;&lt;/tertiary-authors&gt;&lt;/contributors&gt;&lt;titles&gt;&lt;title&gt;Macrophyte vegetation of the Magela Creek flood plain, Alligator Rivers Region, Northern Territory&lt;/title&gt;&lt;secondary-title&gt;Research Report&lt;/secondary-title&gt;&lt;/titles&gt;&lt;pages&gt;38&lt;/pages&gt;&lt;dates&gt;&lt;year&gt;1989&lt;/year&gt;&lt;pub-dates&gt;&lt;date&gt;April 1989&lt;/date&gt;&lt;/pub-dates&gt;&lt;/dates&gt;&lt;pub-location&gt;Canberra&lt;/pub-location&gt;&lt;publisher&gt;Supervising Scientist for the Alligator Rivers Region&lt;/publisher&gt;&lt;isbn&gt;5&lt;/isbn&gt;&lt;urls&gt;&lt;related-urls&gt;&lt;url&gt;http://www.environment.gov.au/ssd/publications/rr/5.html&lt;/url&gt;&lt;/related-urls&gt;&lt;/urls&gt;&lt;/record&gt;&lt;/Cite&gt;&lt;Cite&gt;&lt;Author&gt;Sanderson&lt;/Author&gt;&lt;Year&gt;1983&lt;/Year&gt;&lt;RecNum&gt;27&lt;/RecNum&gt;&lt;record&gt;&lt;rec-number&gt;27&lt;/rec-number&gt;&lt;foreign-keys&gt;&lt;key app="EN" db-id="swfase9zqzr2fiedrfmppz5kedxr2es22afd"&gt;27&lt;/key&gt;&lt;/foreign-keys&gt;&lt;ref-type name="Conference Paper"&gt;47&lt;/ref-type&gt;&lt;contributors&gt;&lt;authors&gt;&lt;author&gt;Sanderson, N.T.&lt;/author&gt;&lt;author&gt;Koontz, D.V.&lt;/author&gt;&lt;author&gt;Morley, A.W.&lt;/author&gt;&lt;/authors&gt;&lt;/contributors&gt;&lt;titles&gt;&lt;title&gt;The ecology of the vegetation of the Magela Creek floodplain: upper section from Oenpelli road crossing to Nankeen Billabong.&lt;/title&gt;&lt;secondary-title&gt;Scientific Workshop on Environment Protection in the Alligator Rivers Region&lt;/secondary-title&gt;&lt;/titles&gt;&lt;dates&gt;&lt;year&gt;1983&lt;/year&gt;&lt;pub-dates&gt;&lt;date&gt;17-20 May 1983&lt;/date&gt;&lt;/pub-dates&gt;&lt;/dates&gt;&lt;pub-location&gt;Jabiru&lt;/pub-location&gt;&lt;urls&gt;&lt;/urls&gt;&lt;custom2&gt;1983&lt;/custom2&gt;&lt;/record&gt;&lt;/Cite&gt;&lt;/EndNote&gt;</w:instrText>
      </w:r>
      <w:r w:rsidR="006B5A61">
        <w:fldChar w:fldCharType="separate"/>
      </w:r>
      <w:r>
        <w:rPr>
          <w:noProof/>
        </w:rPr>
        <w:t> (</w:t>
      </w:r>
      <w:hyperlink w:anchor="_ENREF_8" w:tooltip="Sanderson, 1983 #27" w:history="1">
        <w:r>
          <w:rPr>
            <w:noProof/>
          </w:rPr>
          <w:t>Sanderson et al</w:t>
        </w:r>
        <w:r w:rsidR="00AC7D31">
          <w:rPr>
            <w:noProof/>
          </w:rPr>
          <w:t>.</w:t>
        </w:r>
        <w:r>
          <w:rPr>
            <w:noProof/>
          </w:rPr>
          <w:t xml:space="preserve"> 1983</w:t>
        </w:r>
      </w:hyperlink>
      <w:r>
        <w:rPr>
          <w:noProof/>
        </w:rPr>
        <w:t xml:space="preserve">, </w:t>
      </w:r>
      <w:hyperlink w:anchor="_ENREF_5" w:tooltip="Finlayson, 1989 #1" w:history="1">
        <w:r>
          <w:rPr>
            <w:noProof/>
          </w:rPr>
          <w:t>Finlayson et al</w:t>
        </w:r>
        <w:r w:rsidR="00AC7D31">
          <w:rPr>
            <w:noProof/>
          </w:rPr>
          <w:t>.</w:t>
        </w:r>
        <w:r>
          <w:rPr>
            <w:noProof/>
          </w:rPr>
          <w:t xml:space="preserve"> 1989</w:t>
        </w:r>
      </w:hyperlink>
      <w:r>
        <w:rPr>
          <w:noProof/>
        </w:rPr>
        <w:t>)</w:t>
      </w:r>
      <w:r w:rsidR="006B5A61">
        <w:fldChar w:fldCharType="end"/>
      </w:r>
      <w:r w:rsidRPr="00F57CB7">
        <w:t xml:space="preserve">. Accurate mapping of the vegetation communities within the floodplain at </w:t>
      </w:r>
      <w:r>
        <w:t>an</w:t>
      </w:r>
      <w:r w:rsidRPr="00F57CB7">
        <w:t xml:space="preserve"> appropriate spatial and temporal scale will provide information that may be used to determine these drivers in conjunction with other relevant data</w:t>
      </w:r>
      <w:r>
        <w:t>, such as hydrology</w:t>
      </w:r>
      <w:r w:rsidRPr="00F57CB7">
        <w:t xml:space="preserve">. </w:t>
      </w:r>
      <w:r>
        <w:t>Mapping</w:t>
      </w:r>
      <w:r w:rsidRPr="00F57CB7">
        <w:t xml:space="preserve"> will also inform ecological risk assessment for floodplain management. Current ecological risks for the floodplain are identified as weeds, feral animals and unmanaged wildfire. Additionally, </w:t>
      </w:r>
      <w:r>
        <w:t xml:space="preserve">given that </w:t>
      </w:r>
      <w:r w:rsidRPr="00F57CB7">
        <w:t>the Magela Creek floodplain is a down-stream receiving environment for the Ranger minesite</w:t>
      </w:r>
      <w:r>
        <w:t>,</w:t>
      </w:r>
      <w:r w:rsidRPr="00F57CB7">
        <w:t xml:space="preserve"> off-site monitoring of this area will become increasingly important in the years following decommissioning and rehabilitation of the minesite.</w:t>
      </w:r>
    </w:p>
    <w:p w:rsidR="00224F8A" w:rsidRDefault="00224F8A" w:rsidP="009A0A84">
      <w:pPr>
        <w:pStyle w:val="Heading2"/>
        <w:rPr>
          <w:lang w:val="en-US"/>
        </w:rPr>
      </w:pPr>
      <w:r>
        <w:rPr>
          <w:lang w:val="en-US"/>
        </w:rPr>
        <w:t>Method</w:t>
      </w:r>
    </w:p>
    <w:p w:rsidR="00224F8A" w:rsidRDefault="00224F8A" w:rsidP="00224F8A">
      <w:r w:rsidRPr="00F57CB7">
        <w:t xml:space="preserve">The image data sets for this project consisted of four sets of WV-2 multispectral data captured in the early </w:t>
      </w:r>
      <w:r>
        <w:t>d</w:t>
      </w:r>
      <w:r w:rsidRPr="00F57CB7">
        <w:t xml:space="preserve">ry season </w:t>
      </w:r>
      <w:r>
        <w:t>of</w:t>
      </w:r>
      <w:r w:rsidRPr="00F57CB7">
        <w:t xml:space="preserve"> 2010 (11 May), 2011 (14 May), 2012 (9 June) and 2013 (2 June) at approximately 11:20 ACST (±6 min). The sensors onboard the WV-2 </w:t>
      </w:r>
      <w:proofErr w:type="gramStart"/>
      <w:r w:rsidRPr="00F57CB7">
        <w:t>satellite capture</w:t>
      </w:r>
      <w:proofErr w:type="gramEnd"/>
      <w:r w:rsidRPr="00F57CB7">
        <w:t xml:space="preserve"> data in 11-bit format</w:t>
      </w:r>
      <w:r>
        <w:t xml:space="preserve"> and a</w:t>
      </w:r>
      <w:r w:rsidRPr="00F57CB7">
        <w:t>fter geometric correction</w:t>
      </w:r>
      <w:r>
        <w:t>, the</w:t>
      </w:r>
      <w:r w:rsidRPr="00F57CB7">
        <w:t xml:space="preserve"> image pixels represent 2 m ground sample distance (GSD) at nadir. The multispectral data consist of 8 spectral bands (coastal, blue, green, yellow, red, red edge, NIR1 and NIR2). </w:t>
      </w:r>
    </w:p>
    <w:p w:rsidR="00224F8A" w:rsidRPr="00DA2A5F" w:rsidRDefault="00D3231E" w:rsidP="00224F8A">
      <w:r>
        <w:t xml:space="preserve">Figure 1 </w:t>
      </w:r>
      <w:r w:rsidR="00224F8A" w:rsidRPr="009B57B6">
        <w:t>shows the workflow for processing and analysing the data. The steps include</w:t>
      </w:r>
      <w:r w:rsidR="00224F8A" w:rsidRPr="00DA2A5F">
        <w:t xml:space="preserve"> the application of masks to delineate the floodplain; identify and eliminate cloud and cloud shadow; extract open water objects; and segment and classify floodplain objects.</w:t>
      </w:r>
    </w:p>
    <w:p w:rsidR="00224F8A" w:rsidRDefault="00224F8A" w:rsidP="005873E1">
      <w:pPr>
        <w:pStyle w:val="Heading3"/>
      </w:pPr>
      <w:r>
        <w:t>Image pre-processing</w:t>
      </w:r>
    </w:p>
    <w:p w:rsidR="00224F8A" w:rsidRDefault="00224F8A" w:rsidP="00224F8A">
      <w:r w:rsidRPr="00DA2A5F">
        <w:t>The 2010 imagery was geometrically ortho-rectified to sub-pixel accuracy (RMSE</w:t>
      </w:r>
      <w:r>
        <w:t xml:space="preserve"> </w:t>
      </w:r>
      <w:r w:rsidRPr="00DA2A5F">
        <w:t>=</w:t>
      </w:r>
      <w:r>
        <w:t xml:space="preserve"> </w:t>
      </w:r>
      <w:r w:rsidRPr="00DA2A5F">
        <w:t xml:space="preserve">1.82 m) using field based ground control points (GCPs) recorded using </w:t>
      </w:r>
      <w:r>
        <w:t xml:space="preserve">differential </w:t>
      </w:r>
      <w:r w:rsidRPr="00DA2A5F">
        <w:t xml:space="preserve">GPS </w:t>
      </w:r>
      <w:r w:rsidR="006B5A61" w:rsidRPr="00DA2A5F">
        <w:fldChar w:fldCharType="begin"/>
      </w:r>
      <w:r>
        <w:instrText xml:space="preserve"> ADDIN EN.CITE &lt;EndNote&gt;&lt;Cite&gt;&lt;Author&gt;Whiteside&lt;/Author&gt;&lt;Year&gt;2013&lt;/Year&gt;&lt;RecNum&gt;34&lt;/RecNum&gt;&lt;DisplayText&gt; (Whiteside et al 2013)&lt;/DisplayText&gt;&lt;record&gt;&lt;rec-number&gt;34&lt;/rec-number&gt;&lt;foreign-keys&gt;&lt;key app="EN" db-id="swfase9zqzr2fiedrfmppz5kedxr2es22afd"&gt;34&lt;/key&gt;&lt;/foreign-keys&gt;&lt;ref-type name="Report"&gt;27&lt;/ref-type&gt;&lt;contributors&gt;&lt;authors&gt;&lt;author&gt;Whiteside, T.&lt;/author&gt;&lt;author&gt;Bartolo, R.&lt;/author&gt;&lt;author&gt;Pfitzner, K.&lt;/author&gt;&lt;author&gt;Staben, G.&lt;/author&gt;&lt;/authors&gt;&lt;tertiary-authors&gt;&lt;author&gt;Supervising Scientist,&lt;/author&gt;&lt;/tertiary-authors&gt;&lt;/contributors&gt;&lt;titles&gt;&lt;title&gt;Geometric and radiometric correction of WorldView-2 satellite imagery&lt;/title&gt;&lt;secondary-title&gt;Internal Report&lt;/secondary-title&gt;&lt;/titles&gt;&lt;dates&gt;&lt;year&gt;2013&lt;/year&gt;&lt;/dates&gt;&lt;pub-location&gt;Darwin&lt;/pub-location&gt;&lt;publisher&gt;Supervising Scientist&lt;/publisher&gt;&lt;isbn&gt;617&lt;/isbn&gt;&lt;urls&gt;&lt;/urls&gt;&lt;/record&gt;&lt;/Cite&gt;&lt;/EndNote&gt;</w:instrText>
      </w:r>
      <w:r w:rsidR="006B5A61" w:rsidRPr="00DA2A5F">
        <w:fldChar w:fldCharType="separate"/>
      </w:r>
      <w:r w:rsidRPr="00DA2A5F">
        <w:rPr>
          <w:noProof/>
        </w:rPr>
        <w:t> (</w:t>
      </w:r>
      <w:hyperlink w:anchor="_ENREF_11" w:tooltip="Whiteside, 2013 #34" w:history="1">
        <w:r w:rsidRPr="00DA2A5F">
          <w:rPr>
            <w:noProof/>
          </w:rPr>
          <w:t>Whiteside et al</w:t>
        </w:r>
        <w:r w:rsidR="00AC7D31">
          <w:rPr>
            <w:noProof/>
          </w:rPr>
          <w:t>.</w:t>
        </w:r>
        <w:r w:rsidRPr="00DA2A5F">
          <w:rPr>
            <w:noProof/>
          </w:rPr>
          <w:t xml:space="preserve"> 2013</w:t>
        </w:r>
      </w:hyperlink>
      <w:r w:rsidRPr="00DA2A5F">
        <w:rPr>
          <w:noProof/>
        </w:rPr>
        <w:t>)</w:t>
      </w:r>
      <w:r w:rsidR="006B5A61" w:rsidRPr="00DA2A5F">
        <w:fldChar w:fldCharType="end"/>
      </w:r>
      <w:r w:rsidRPr="00DA2A5F">
        <w:t xml:space="preserve">. The 2011, 2012 and 2013 imagery were then geometrically registered to the 2010 imagery. All images were radiometrically calibrated to surface reflectance using the FLAASH atmospheric correction algorithm </w:t>
      </w:r>
      <w:r w:rsidR="006B5A61" w:rsidRPr="00DA2A5F">
        <w:fldChar w:fldCharType="begin"/>
      </w:r>
      <w:r>
        <w:instrText xml:space="preserve"> ADDIN EN.CITE &lt;EndNote&gt;&lt;Cite&gt;&lt;Author&gt;Whiteside&lt;/Author&gt;&lt;Year&gt;2013&lt;/Year&gt;&lt;RecNum&gt;34&lt;/RecNum&gt;&lt;DisplayText&gt; (Whiteside et al 2013)&lt;/DisplayText&gt;&lt;record&gt;&lt;rec-number&gt;34&lt;/rec-number&gt;&lt;foreign-keys&gt;&lt;key app="EN" db-id="swfase9zqzr2fiedrfmppz5kedxr2es22afd"&gt;34&lt;/key&gt;&lt;/foreign-keys&gt;&lt;ref-type name="Report"&gt;27&lt;/ref-type&gt;&lt;contributors&gt;&lt;authors&gt;&lt;author&gt;Whiteside, T.&lt;/author&gt;&lt;author&gt;Bartolo, R.&lt;/author&gt;&lt;author&gt;Pfitzner, K.&lt;/author&gt;&lt;author&gt;Staben, G.&lt;/author&gt;&lt;/authors&gt;&lt;tertiary-authors&gt;&lt;author&gt;Supervising Scientist,&lt;/author&gt;&lt;/tertiary-authors&gt;&lt;/contributors&gt;&lt;titles&gt;&lt;title&gt;Geometric and radiometric correction of WorldView-2 satellite imagery&lt;/title&gt;&lt;secondary-title&gt;Internal Report&lt;/secondary-title&gt;&lt;/titles&gt;&lt;dates&gt;&lt;year&gt;2013&lt;/year&gt;&lt;/dates&gt;&lt;pub-location&gt;Darwin&lt;/pub-location&gt;&lt;publisher&gt;Supervising Scientist&lt;/publisher&gt;&lt;isbn&gt;617&lt;/isbn&gt;&lt;urls&gt;&lt;/urls&gt;&lt;/record&gt;&lt;/Cite&gt;&lt;/EndNote&gt;</w:instrText>
      </w:r>
      <w:r w:rsidR="006B5A61" w:rsidRPr="00DA2A5F">
        <w:fldChar w:fldCharType="separate"/>
      </w:r>
      <w:r w:rsidRPr="00DA2A5F">
        <w:rPr>
          <w:noProof/>
        </w:rPr>
        <w:t> (</w:t>
      </w:r>
      <w:hyperlink w:anchor="_ENREF_11" w:tooltip="Whiteside, 2013 #34" w:history="1">
        <w:r w:rsidRPr="00DA2A5F">
          <w:rPr>
            <w:noProof/>
          </w:rPr>
          <w:t>Whiteside et al</w:t>
        </w:r>
        <w:r w:rsidR="00E72C28">
          <w:rPr>
            <w:noProof/>
          </w:rPr>
          <w:t>.</w:t>
        </w:r>
        <w:r w:rsidRPr="00DA2A5F">
          <w:rPr>
            <w:noProof/>
          </w:rPr>
          <w:t xml:space="preserve"> 2013</w:t>
        </w:r>
      </w:hyperlink>
      <w:r w:rsidRPr="00DA2A5F">
        <w:rPr>
          <w:noProof/>
        </w:rPr>
        <w:t>)</w:t>
      </w:r>
      <w:r w:rsidR="006B5A61" w:rsidRPr="00DA2A5F">
        <w:fldChar w:fldCharType="end"/>
      </w:r>
      <w:r w:rsidRPr="00DA2A5F">
        <w:t>.</w:t>
      </w:r>
    </w:p>
    <w:p w:rsidR="00224F8A" w:rsidRDefault="00224F8A" w:rsidP="00224F8A">
      <w:pPr>
        <w:keepNext/>
        <w:jc w:val="center"/>
      </w:pPr>
      <w:r w:rsidRPr="00B90523">
        <w:rPr>
          <w:noProof/>
          <w:lang w:eastAsia="en-AU"/>
        </w:rPr>
        <w:drawing>
          <wp:inline distT="0" distB="0" distL="0" distR="0">
            <wp:extent cx="3686175" cy="3857625"/>
            <wp:effectExtent l="19050" t="0" r="9525" b="0"/>
            <wp:docPr id="226" name="Picture 4"/>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a:blip r:embed="rId276" cstate="screen"/>
                    <a:srcRect/>
                    <a:stretch>
                      <a:fillRect/>
                    </a:stretch>
                  </pic:blipFill>
                  <pic:spPr bwMode="auto">
                    <a:xfrm>
                      <a:off x="0" y="0"/>
                      <a:ext cx="3689400" cy="3861000"/>
                    </a:xfrm>
                    <a:prstGeom prst="rect">
                      <a:avLst/>
                    </a:prstGeom>
                    <a:noFill/>
                    <a:ln w="9525">
                      <a:noFill/>
                      <a:miter lim="800000"/>
                      <a:headEnd/>
                      <a:tailEnd/>
                    </a:ln>
                    <a:effectLst/>
                  </pic:spPr>
                </pic:pic>
              </a:graphicData>
            </a:graphic>
          </wp:inline>
        </w:drawing>
      </w:r>
    </w:p>
    <w:p w:rsidR="00224F8A" w:rsidRDefault="00224F8A" w:rsidP="00224F8A">
      <w:pPr>
        <w:pStyle w:val="figurecaption"/>
        <w:rPr>
          <w:rFonts w:ascii="Garamond" w:hAnsi="Garamond"/>
        </w:rPr>
      </w:pPr>
      <w:bookmarkStart w:id="277" w:name="_Ref401310153"/>
      <w:r w:rsidRPr="009B57B6">
        <w:rPr>
          <w:b/>
        </w:rPr>
        <w:t xml:space="preserve">Figure </w:t>
      </w:r>
      <w:bookmarkEnd w:id="277"/>
      <w:r w:rsidR="00A1570C">
        <w:rPr>
          <w:b/>
        </w:rPr>
        <w:t>1</w:t>
      </w:r>
      <w:r w:rsidRPr="009B57B6">
        <w:t xml:space="preserve"> </w:t>
      </w:r>
      <w:r>
        <w:t>The image analysis approach used for wetland vegetation mapping for all four dates.</w:t>
      </w:r>
    </w:p>
    <w:p w:rsidR="00224F8A" w:rsidRDefault="00224F8A" w:rsidP="005873E1">
      <w:pPr>
        <w:pStyle w:val="Heading3"/>
      </w:pPr>
      <w:r>
        <w:t>Image mosaicking and sub-setting</w:t>
      </w:r>
    </w:p>
    <w:p w:rsidR="00224F8A" w:rsidRPr="00DA2A5F" w:rsidRDefault="00224F8A" w:rsidP="00224F8A">
      <w:r w:rsidRPr="00DA2A5F">
        <w:t xml:space="preserve">Prior to creating the image mosaics </w:t>
      </w:r>
      <w:r>
        <w:t>for</w:t>
      </w:r>
      <w:r w:rsidRPr="00DA2A5F">
        <w:t xml:space="preserve"> each year, null pixels (edge pixels that are not part of the imagery) were converted from the value </w:t>
      </w:r>
      <w:r>
        <w:t>zero</w:t>
      </w:r>
      <w:r w:rsidRPr="00DA2A5F">
        <w:t xml:space="preserve"> to -1500. If the default value of </w:t>
      </w:r>
      <w:r>
        <w:t>zero</w:t>
      </w:r>
      <w:r w:rsidRPr="00DA2A5F">
        <w:t xml:space="preserve"> for null pixels was </w:t>
      </w:r>
      <w:r>
        <w:t>retained, the</w:t>
      </w:r>
      <w:r w:rsidRPr="00DA2A5F">
        <w:t xml:space="preserve"> pixels within the reflectance images with an actual value of </w:t>
      </w:r>
      <w:r>
        <w:t>zero</w:t>
      </w:r>
      <w:r w:rsidRPr="00DA2A5F">
        <w:t xml:space="preserve"> in some bands (some pixels within water and shadows) would result in null sections within the image during the mosaic process. Any null pixels in the final mosaics were given the value -1500 making it easy to eliminate these pixels from the analysis. All images were then subset to the area common to all dates which is the southern portion of the floodplain.</w:t>
      </w:r>
    </w:p>
    <w:p w:rsidR="00224F8A" w:rsidRDefault="00224F8A" w:rsidP="005873E1">
      <w:pPr>
        <w:pStyle w:val="Heading3"/>
      </w:pPr>
      <w:r>
        <w:t>Ancillary data</w:t>
      </w:r>
    </w:p>
    <w:p w:rsidR="00224F8A" w:rsidRPr="00DA2A5F" w:rsidRDefault="00224F8A" w:rsidP="00224F8A">
      <w:r w:rsidRPr="00DA2A5F">
        <w:t xml:space="preserve">A thematic layer delineating the floodplain boundary was included to confine analysis to within the floodplain. The layer was created using a binary classification of SRTM </w:t>
      </w:r>
      <w:r>
        <w:t xml:space="preserve">(Shuttle Radar Topography Mission) </w:t>
      </w:r>
      <w:r w:rsidRPr="00DA2A5F">
        <w:t xml:space="preserve">and aerial photo </w:t>
      </w:r>
      <w:r>
        <w:t>digital elevation models</w:t>
      </w:r>
      <w:r w:rsidRPr="00DA2A5F">
        <w:t xml:space="preserve"> at a threshold of 6 m. All area</w:t>
      </w:r>
      <w:r>
        <w:t>s</w:t>
      </w:r>
      <w:r w:rsidRPr="00DA2A5F">
        <w:t xml:space="preserve"> below 6 m w</w:t>
      </w:r>
      <w:r>
        <w:t>ere</w:t>
      </w:r>
      <w:r w:rsidRPr="00DA2A5F">
        <w:t xml:space="preserve"> assigned as floodplain and all</w:t>
      </w:r>
      <w:r>
        <w:t xml:space="preserve"> areas</w:t>
      </w:r>
      <w:r w:rsidRPr="00DA2A5F">
        <w:t xml:space="preserve"> above </w:t>
      </w:r>
      <w:r>
        <w:t xml:space="preserve">were </w:t>
      </w:r>
      <w:r w:rsidRPr="00DA2A5F">
        <w:t>assigned as non-floodplain. It was necessary to conduct manual adjustment of the boundary based upon a visual assessment of the boundary using the WV-2 data.</w:t>
      </w:r>
    </w:p>
    <w:p w:rsidR="00224F8A" w:rsidRPr="00DA2A5F" w:rsidRDefault="00224F8A" w:rsidP="00224F8A">
      <w:r w:rsidRPr="00DA2A5F">
        <w:t xml:space="preserve">A canopy height model (CHM) was incorporated to differentiate between treed land cover (Melaleuca forest) and spectrally similar non-treed land cover. The CHM was derived from a LiDAR capture conducted within </w:t>
      </w:r>
      <w:r>
        <w:t>Kakadu National Park</w:t>
      </w:r>
      <w:r w:rsidRPr="00DA2A5F">
        <w:t xml:space="preserve"> between 22 October and 16 November 2011</w:t>
      </w:r>
      <w:r>
        <w:t xml:space="preserve"> and had</w:t>
      </w:r>
      <w:r w:rsidRPr="00DA2A5F">
        <w:t xml:space="preserve"> a resolution of 2 m GSD.  A brief description of how a CHM </w:t>
      </w:r>
      <w:r>
        <w:t>wa</w:t>
      </w:r>
      <w:r w:rsidRPr="00DA2A5F">
        <w:t xml:space="preserve">s derived can be found in </w:t>
      </w:r>
      <w:r w:rsidR="006B5A61" w:rsidRPr="00DA2A5F">
        <w:fldChar w:fldCharType="begin"/>
      </w:r>
      <w:r>
        <w:instrText xml:space="preserve"> ADDIN EN.CITE &lt;EndNote&gt;&lt;Cite AuthorYear="1"&gt;&lt;Author&gt;Whiteside&lt;/Author&gt;&lt;Year&gt;2014&lt;/Year&gt;&lt;RecNum&gt;48&lt;/RecNum&gt;&lt;DisplayText&gt;Whiteside and Bartolo (2014)&lt;/DisplayText&gt;&lt;record&gt;&lt;rec-number&gt;48&lt;/rec-number&gt;&lt;foreign-keys&gt;&lt;key app="EN" db-id="swfase9zqzr2fiedrfmppz5kedxr2es22afd"&gt;48&lt;/key&gt;&lt;/foreign-keys&gt;&lt;ref-type name="Report"&gt;27&lt;/ref-type&gt;&lt;contributors&gt;&lt;authors&gt;&lt;author&gt;Whiteside, T.&lt;/author&gt;&lt;author&gt;Bartolo, R.&lt;/author&gt;&lt;/authors&gt;&lt;tertiary-authors&gt;&lt;author&gt;Supervising Scientist,&lt;/author&gt;&lt;/tertiary-authors&gt;&lt;/contributors&gt;&lt;titles&gt;&lt;title&gt;Vegetation map for Magela Creek floodplain using WorldView-2 multispectral image data&lt;/title&gt;&lt;secondary-title&gt;Internal Report&lt;/secondary-title&gt;&lt;/titles&gt;&lt;dates&gt;&lt;year&gt;2014&lt;/year&gt;&lt;/dates&gt;&lt;pub-location&gt;Darwin&lt;/pub-location&gt;&lt;publisher&gt;Supervising Scientist&lt;/publisher&gt;&lt;isbn&gt;628&lt;/isbn&gt;&lt;urls&gt;&lt;/urls&gt;&lt;/record&gt;&lt;/Cite&gt;&lt;/EndNote&gt;</w:instrText>
      </w:r>
      <w:r w:rsidR="006B5A61" w:rsidRPr="00DA2A5F">
        <w:fldChar w:fldCharType="separate"/>
      </w:r>
      <w:hyperlink w:anchor="_ENREF_10" w:tooltip="Whiteside, 2014 #48" w:history="1">
        <w:r>
          <w:rPr>
            <w:noProof/>
          </w:rPr>
          <w:t>Whiteside and Bartolo (2014</w:t>
        </w:r>
      </w:hyperlink>
      <w:r>
        <w:rPr>
          <w:noProof/>
        </w:rPr>
        <w:t>)</w:t>
      </w:r>
      <w:r w:rsidR="006B5A61" w:rsidRPr="00DA2A5F">
        <w:fldChar w:fldCharType="end"/>
      </w:r>
      <w:r w:rsidRPr="00DA2A5F">
        <w:t>.</w:t>
      </w:r>
    </w:p>
    <w:p w:rsidR="00224F8A" w:rsidRPr="00F57CB7" w:rsidRDefault="00224F8A" w:rsidP="005873E1">
      <w:pPr>
        <w:pStyle w:val="Heading3"/>
      </w:pPr>
      <w:r>
        <w:t>Classification of floodplain vegetation</w:t>
      </w:r>
    </w:p>
    <w:p w:rsidR="00224F8A" w:rsidRPr="00512AD6" w:rsidRDefault="00224F8A" w:rsidP="00AC7D31">
      <w:r>
        <w:t>The</w:t>
      </w:r>
      <w:r w:rsidRPr="00512AD6">
        <w:t xml:space="preserve"> floodplain regions</w:t>
      </w:r>
      <w:r>
        <w:t xml:space="preserve"> in the imagery for each year</w:t>
      </w:r>
      <w:r w:rsidRPr="00512AD6">
        <w:t xml:space="preserve"> were initially segmented using the multi</w:t>
      </w:r>
      <w:r>
        <w:t>-</w:t>
      </w:r>
      <w:r w:rsidRPr="00512AD6">
        <w:t xml:space="preserve">resolution segmentation algorithm </w:t>
      </w:r>
      <w:r w:rsidR="006B5A61" w:rsidRPr="00512AD6">
        <w:fldChar w:fldCharType="begin"/>
      </w:r>
      <w:r w:rsidRPr="00512AD6">
        <w:instrText xml:space="preserve"> ADDIN EN.CITE &lt;EndNote&gt;&lt;Cite&gt;&lt;Author&gt;Baatz&lt;/Author&gt;&lt;Year&gt;2000&lt;/Year&gt;&lt;RecNum&gt;24&lt;/RecNum&gt;&lt;DisplayText&gt; (Baatz &amp;amp; Schäpe 2000)&lt;/DisplayText&gt;&lt;record&gt;&lt;rec-number&gt;24&lt;/rec-number&gt;&lt;foreign-keys&gt;&lt;key app="EN" db-id="pzssaswfv95pameeev5xvvp0zewrp5ew2ftv"&gt;24&lt;/key&gt;&lt;/foreign-keys&gt;&lt;ref-type name="Book Section"&gt;5&lt;/ref-type&gt;&lt;contributors&gt;&lt;authors&gt;&lt;author&gt;Baatz, Martin&lt;/author&gt;&lt;author&gt;Schäpe, A.&lt;/author&gt;&lt;/authors&gt;&lt;secondary-authors&gt;&lt;author&gt;Strobl, J.&lt;/author&gt;&lt;author&gt;Blaschke, T&lt;/author&gt;&lt;author&gt;Griesebner, G&lt;/author&gt;&lt;/secondary-authors&gt;&lt;/contributors&gt;&lt;titles&gt;&lt;title&gt;Multiresolution segmentation - an optimization approach for high quality multi-scale image segmentation&lt;/title&gt;&lt;secondary-title&gt;Angewandte Geographische Informationsverarbeitung XII&lt;/secondary-title&gt;&lt;/titles&gt;&lt;pages&gt;12-23&lt;/pages&gt;&lt;dates&gt;&lt;year&gt;2000&lt;/year&gt;&lt;/dates&gt;&lt;pub-location&gt;Heidelberg&lt;/pub-location&gt;&lt;publisher&gt;Wichmann-Verlag&lt;/publisher&gt;&lt;urls&gt;&lt;/urls&gt;&lt;/record&gt;&lt;/Cite&gt;&lt;/EndNote&gt;</w:instrText>
      </w:r>
      <w:r w:rsidR="006B5A61" w:rsidRPr="00512AD6">
        <w:fldChar w:fldCharType="separate"/>
      </w:r>
      <w:r w:rsidRPr="00512AD6">
        <w:rPr>
          <w:noProof/>
        </w:rPr>
        <w:t> (</w:t>
      </w:r>
      <w:hyperlink w:anchor="_ENREF_1" w:tooltip="Baatz, 2000 #24" w:history="1">
        <w:r w:rsidRPr="00512AD6">
          <w:rPr>
            <w:noProof/>
          </w:rPr>
          <w:t>Baatz &amp; Schäpe 2000</w:t>
        </w:r>
      </w:hyperlink>
      <w:r w:rsidRPr="00512AD6">
        <w:rPr>
          <w:noProof/>
        </w:rPr>
        <w:t>)</w:t>
      </w:r>
      <w:r w:rsidR="006B5A61" w:rsidRPr="00512AD6">
        <w:fldChar w:fldCharType="end"/>
      </w:r>
      <w:r w:rsidRPr="00512AD6">
        <w:t xml:space="preserve"> with </w:t>
      </w:r>
      <w:r>
        <w:t xml:space="preserve">following </w:t>
      </w:r>
      <w:r w:rsidRPr="00512AD6">
        <w:t>parameters</w:t>
      </w:r>
      <w:r>
        <w:t>:</w:t>
      </w:r>
      <w:r w:rsidRPr="00512AD6">
        <w:t xml:space="preserve"> </w:t>
      </w:r>
      <w:r>
        <w:t>s</w:t>
      </w:r>
      <w:r w:rsidRPr="00512AD6">
        <w:t>cale = 200</w:t>
      </w:r>
      <w:r>
        <w:t>;</w:t>
      </w:r>
      <w:r w:rsidRPr="00512AD6">
        <w:t xml:space="preserve"> </w:t>
      </w:r>
      <w:r>
        <w:t>s</w:t>
      </w:r>
      <w:r w:rsidRPr="00512AD6">
        <w:t>hape = 0.3</w:t>
      </w:r>
      <w:r>
        <w:t>; and c</w:t>
      </w:r>
      <w:r w:rsidRPr="00512AD6">
        <w:t>ompactness = 0.7.</w:t>
      </w:r>
    </w:p>
    <w:p w:rsidR="00224F8A" w:rsidRPr="00AC7D31" w:rsidRDefault="00224F8A" w:rsidP="005873E1">
      <w:pPr>
        <w:pStyle w:val="Heading3"/>
        <w:rPr>
          <w:rStyle w:val="tablecaptionChar"/>
          <w:sz w:val="22"/>
        </w:rPr>
      </w:pPr>
      <w:r w:rsidRPr="00547226">
        <w:t>Classification of treed vegetation classes</w:t>
      </w:r>
    </w:p>
    <w:p w:rsidR="00224F8A" w:rsidRPr="00A73183" w:rsidRDefault="00224F8A" w:rsidP="00AC7D31">
      <w:pPr>
        <w:rPr>
          <w:rStyle w:val="tablecaptionChar"/>
          <w:rFonts w:ascii="Times New Roman" w:hAnsi="Times New Roman"/>
          <w:sz w:val="22"/>
        </w:rPr>
      </w:pPr>
      <w:r>
        <w:t>T</w:t>
      </w:r>
      <w:r w:rsidRPr="00A73183">
        <w:t xml:space="preserve">he CHM was used to distinguish floodplain </w:t>
      </w:r>
      <w:r>
        <w:t xml:space="preserve">objects </w:t>
      </w:r>
      <w:r w:rsidRPr="00A73183">
        <w:t>that contained trees from objects with no trees</w:t>
      </w:r>
      <w:r>
        <w:t xml:space="preserve">. </w:t>
      </w:r>
      <w:r w:rsidRPr="00A73183">
        <w:t xml:space="preserve">The first step identified objects </w:t>
      </w:r>
      <w:r>
        <w:t xml:space="preserve">potentially </w:t>
      </w:r>
      <w:r w:rsidRPr="00A73183">
        <w:t>containing trees by using a mean height threshold of 0.8</w:t>
      </w:r>
      <w:r>
        <w:t xml:space="preserve"> </w:t>
      </w:r>
      <w:r w:rsidRPr="00A73183">
        <w:t>m derived from the CHM. The objects with a mean height above 0.8</w:t>
      </w:r>
      <w:r>
        <w:t xml:space="preserve"> </w:t>
      </w:r>
      <w:r w:rsidRPr="00A73183">
        <w:t>m</w:t>
      </w:r>
      <w:r>
        <w:t xml:space="preserve"> </w:t>
      </w:r>
      <w:r w:rsidRPr="00A73183">
        <w:t xml:space="preserve">were classified as </w:t>
      </w:r>
      <w:r>
        <w:t xml:space="preserve">potentially </w:t>
      </w:r>
      <w:r w:rsidRPr="00A73183">
        <w:t>tree</w:t>
      </w:r>
      <w:r>
        <w:t>d</w:t>
      </w:r>
      <w:r w:rsidRPr="00A73183">
        <w:t>. Within these potentially treed objects, sub-objects representing trees</w:t>
      </w:r>
      <w:r>
        <w:t>,</w:t>
      </w:r>
      <w:r w:rsidRPr="00A73183">
        <w:t xml:space="preserve"> or clusters</w:t>
      </w:r>
      <w:r>
        <w:t>,</w:t>
      </w:r>
      <w:r w:rsidRPr="00A73183">
        <w:t xml:space="preserve"> were created using a threshold segmentation algorithm with trees assumed as being the areas within the CHM above 4 m. The </w:t>
      </w:r>
      <w:r>
        <w:t xml:space="preserve">potentially </w:t>
      </w:r>
      <w:r w:rsidRPr="00A73183">
        <w:t xml:space="preserve">treed objects were then assigned to a class based on the proportion of tree sub-objects per </w:t>
      </w:r>
      <w:r>
        <w:t xml:space="preserve">potentially </w:t>
      </w:r>
      <w:r w:rsidRPr="00A73183">
        <w:t xml:space="preserve">treed object: </w:t>
      </w:r>
      <w:r>
        <w:t>O</w:t>
      </w:r>
      <w:r w:rsidRPr="00A73183">
        <w:t>pen forest was greater than 50% proportional cover</w:t>
      </w:r>
      <w:r>
        <w:t>;</w:t>
      </w:r>
      <w:r w:rsidRPr="00A73183">
        <w:t xml:space="preserve"> </w:t>
      </w:r>
      <w:r>
        <w:t>W</w:t>
      </w:r>
      <w:r w:rsidRPr="00A73183">
        <w:t xml:space="preserve">oodland </w:t>
      </w:r>
      <w:r>
        <w:t xml:space="preserve">was </w:t>
      </w:r>
      <w:r w:rsidR="0080330B">
        <w:t xml:space="preserve">between </w:t>
      </w:r>
      <w:r w:rsidR="00E72C28">
        <w:t>10</w:t>
      </w:r>
      <w:r w:rsidR="0080330B">
        <w:t xml:space="preserve"> and </w:t>
      </w:r>
      <w:r w:rsidRPr="00A73183">
        <w:t>50% proportional cover</w:t>
      </w:r>
      <w:r>
        <w:t>;</w:t>
      </w:r>
      <w:r w:rsidRPr="00A73183">
        <w:t xml:space="preserve"> </w:t>
      </w:r>
      <w:r>
        <w:t>and O</w:t>
      </w:r>
      <w:r w:rsidRPr="00A73183">
        <w:t xml:space="preserve">pen </w:t>
      </w:r>
      <w:r>
        <w:t>w</w:t>
      </w:r>
      <w:r w:rsidRPr="00A73183">
        <w:t xml:space="preserve">oodland </w:t>
      </w:r>
      <w:r>
        <w:t xml:space="preserve">was </w:t>
      </w:r>
      <w:r w:rsidRPr="00A73183">
        <w:t>less than 10% proportional cover.</w:t>
      </w:r>
    </w:p>
    <w:p w:rsidR="00224F8A" w:rsidRPr="00547226" w:rsidRDefault="00224F8A" w:rsidP="005873E1">
      <w:pPr>
        <w:pStyle w:val="Heading3"/>
      </w:pPr>
      <w:r w:rsidRPr="00547226">
        <w:t>Classification of non-treed vegetation classes</w:t>
      </w:r>
    </w:p>
    <w:p w:rsidR="00224F8A" w:rsidRDefault="00224F8A" w:rsidP="00224F8A">
      <w:r w:rsidRPr="00D53355">
        <w:t xml:space="preserve">The classification of the non-treed image objects into the vegetation community classes was implemented using a set of rules that followed a decision or classification tree </w:t>
      </w:r>
      <w:r>
        <w:t xml:space="preserve">(CT) </w:t>
      </w:r>
      <w:r w:rsidRPr="00D53355">
        <w:t>model.</w:t>
      </w:r>
      <w:r w:rsidRPr="003F181C">
        <w:t xml:space="preserve"> </w:t>
      </w:r>
      <w:r w:rsidRPr="00D53355">
        <w:t xml:space="preserve">The method used in this </w:t>
      </w:r>
      <w:r>
        <w:t>project</w:t>
      </w:r>
      <w:r w:rsidRPr="00D53355">
        <w:t xml:space="preserve"> differs slightly from </w:t>
      </w:r>
      <w:r>
        <w:t xml:space="preserve">CT </w:t>
      </w:r>
      <w:r w:rsidRPr="00D53355">
        <w:t xml:space="preserve">methods that use </w:t>
      </w:r>
      <w:r>
        <w:t xml:space="preserve">a </w:t>
      </w:r>
      <w:r w:rsidRPr="00D53355">
        <w:t xml:space="preserve">quantitative statistical </w:t>
      </w:r>
      <w:r>
        <w:t xml:space="preserve">approach </w:t>
      </w:r>
      <w:r w:rsidRPr="00D53355">
        <w:t>to derive the thresholds and structure of the tree. The process was developed using the spectral information extracted for objects of known vegetation types found within the imagery. The reason for using a knowledge-based classification tree over a statistic</w:t>
      </w:r>
      <w:r>
        <w:t>al</w:t>
      </w:r>
      <w:r w:rsidRPr="00D53355">
        <w:t xml:space="preserve">-based classification tree was twofold. Firstly, the amount of </w:t>
      </w:r>
      <w:r>
        <w:t xml:space="preserve">field-based </w:t>
      </w:r>
      <w:r w:rsidRPr="00D53355">
        <w:t>reference data for the first two years was limited (128 and 68 samples respectively), so it was decided to use all reference data for accuracy assessment and none as training samples for classification. Secondly, the intent was to develop a transferrable methodology for imagery from the same time of year in future years focussing on key spectral indices with only minor changes required for spectral variations between images. Using statistical methods would have produced very different classification tree structures and potentially use</w:t>
      </w:r>
      <w:r>
        <w:t>d</w:t>
      </w:r>
      <w:r w:rsidRPr="00D53355">
        <w:t xml:space="preserve"> different feature variables and thresholds for each image.</w:t>
      </w:r>
    </w:p>
    <w:p w:rsidR="00224F8A" w:rsidRDefault="00224F8A" w:rsidP="00224F8A">
      <w:r w:rsidRPr="00D53355">
        <w:t>The objects representing the non</w:t>
      </w:r>
      <w:r>
        <w:t>-</w:t>
      </w:r>
      <w:r w:rsidRPr="00D53355">
        <w:t xml:space="preserve">treed floodplain vegetation community classes were dichotomously classified using a ‘decision tree’ based upon thresholds placed upon four spectral </w:t>
      </w:r>
      <w:r w:rsidRPr="00522FF5">
        <w:t>indices (</w:t>
      </w:r>
      <w:r w:rsidR="00D3231E">
        <w:t>Table 1</w:t>
      </w:r>
      <w:r w:rsidRPr="00522FF5">
        <w:t>). Partitioning continued until satisfactory class separation was achieved.</w:t>
      </w:r>
      <w:r w:rsidRPr="00D53355">
        <w:t xml:space="preserve"> The final classes where then assigned into vegetation community classes based upon expert knowledge. Thresholds were determined based upon on expert knowledge of the observed surface spectral variations in the image and through a series of trial and error tests, and were considered optimal for splitting groups of objects. The four spectral indices used were: (i) the forest discrimination index (FDI) after </w:t>
      </w:r>
      <w:r w:rsidR="006B5A61" w:rsidRPr="00D53355">
        <w:fldChar w:fldCharType="begin"/>
      </w:r>
      <w:r>
        <w:instrText xml:space="preserve"> ADDIN EN.CITE &lt;EndNote&gt;&lt;Cite AuthorYear="1"&gt;&lt;Author&gt;Bunting&lt;/Author&gt;&lt;Year&gt;2006&lt;/Year&gt;&lt;RecNum&gt;4&lt;/RecNum&gt;&lt;DisplayText&gt;Bunting and Lucas (2006)&lt;/DisplayText&gt;&lt;record&gt;&lt;rec-number&gt;4&lt;/rec-number&gt;&lt;foreign-keys&gt;&lt;key app="EN" db-id="wax55t9pfrp5fwe5z0txrppcpe0prpee9dxa"&gt;4&lt;/key&gt;&lt;/foreign-keys&gt;&lt;ref-type name="Journal Article"&gt;17&lt;/ref-type&gt;&lt;contributors&gt;&lt;authors&gt;&lt;author&gt;Bunting, Peter&lt;/author&gt;&lt;author&gt;Lucas, Richard&lt;/author&gt;&lt;/authors&gt;&lt;/contributors&gt;&lt;titles&gt;&lt;title&gt;The delineation of tree crowns in Australian mixed species forests using hyperspectral Compact Airborne Spectrographic Imager (CASI) data&lt;/title&gt;&lt;secondary-title&gt;Remote Sensing of Environment&lt;/secondary-title&gt;&lt;/titles&gt;&lt;periodical&gt;&lt;full-title&gt;Remote Sensing of Environment&lt;/full-title&gt;&lt;abbr-1&gt;Remote Sens Env&lt;/abbr-1&gt;&lt;/periodical&gt;&lt;pages&gt;230-248&lt;/pages&gt;&lt;volume&gt;101&lt;/volume&gt;&lt;number&gt;2&lt;/number&gt;&lt;keywords&gt;&lt;keyword&gt;Hyperspectral&lt;/keyword&gt;&lt;keyword&gt;CASI&lt;/keyword&gt;&lt;keyword&gt;eCognition&lt;/keyword&gt;&lt;keyword&gt;Image segmentation&lt;/keyword&gt;&lt;keyword&gt;Crown delineation&lt;/keyword&gt;&lt;keyword&gt;Classification&lt;/keyword&gt;&lt;keyword&gt;Forests&lt;/keyword&gt;&lt;keyword&gt;Queensland&lt;/keyword&gt;&lt;keyword&gt;Australia&lt;/keyword&gt;&lt;/keywords&gt;&lt;dates&gt;&lt;year&gt;2006&lt;/year&gt;&lt;pub-dates&gt;&lt;date&gt;2006/3/30&lt;/date&gt;&lt;/pub-dates&gt;&lt;/dates&gt;&lt;urls&gt;&lt;related-urls&gt;&lt;url&gt;http://www.sciencedirect.com/science/article/B6V6V-4J84SW7-1/2/35631194ccb689425ffa69255bc42142&lt;/url&gt;&lt;/related-urls&gt;&lt;/urls&gt;&lt;/record&gt;&lt;/Cite&gt;&lt;/EndNote&gt;</w:instrText>
      </w:r>
      <w:r w:rsidR="006B5A61" w:rsidRPr="00D53355">
        <w:fldChar w:fldCharType="separate"/>
      </w:r>
      <w:hyperlink w:anchor="_ENREF_3" w:tooltip="Bunting, 2006 #4" w:history="1">
        <w:r>
          <w:rPr>
            <w:noProof/>
          </w:rPr>
          <w:t>Bunting and Lucas (2006</w:t>
        </w:r>
      </w:hyperlink>
      <w:r>
        <w:rPr>
          <w:noProof/>
        </w:rPr>
        <w:t>)</w:t>
      </w:r>
      <w:r w:rsidR="006B5A61" w:rsidRPr="00D53355">
        <w:fldChar w:fldCharType="end"/>
      </w:r>
      <w:r w:rsidRPr="00D53355">
        <w:t>; (ii) the NDVI or Normalised Difference Vegetation Index</w:t>
      </w:r>
      <w:r w:rsidR="006B5A61" w:rsidRPr="00D53355">
        <w:fldChar w:fldCharType="begin"/>
      </w:r>
      <w:r>
        <w:instrText xml:space="preserve"> ADDIN EN.CITE &lt;EndNote&gt;&lt;Cite&gt;&lt;Author&gt;Rouse&lt;/Author&gt;&lt;Year&gt;1973&lt;/Year&gt;&lt;RecNum&gt;54&lt;/RecNum&gt;&lt;DisplayText&gt; (Rouse et al 1973)&lt;/DisplayText&gt;&lt;record&gt;&lt;rec-number&gt;54&lt;/rec-number&gt;&lt;foreign-keys&gt;&lt;key app="EN" db-id="redtarxe7wz0sretpfp5xpxtepx2ft5e99pf"&gt;54&lt;/key&gt;&lt;/foreign-keys&gt;&lt;ref-type name="Conference Proceedings"&gt;10&lt;/ref-type&gt;&lt;contributors&gt;&lt;authors&gt;&lt;author&gt;Rouse, J.W.&lt;/author&gt;&lt;author&gt;Haas, R.H.&lt;/author&gt;&lt;author&gt;Schell, J.A.&lt;/author&gt;&lt;author&gt;D.W. Deering&lt;/author&gt;&lt;/authors&gt;&lt;/contributors&gt;&lt;titles&gt;&lt;title&gt;Monitoring vegetation systems in the Great Plains with ERTS&lt;/title&gt;&lt;secondary-title&gt;Proceedings of the 3rd ERTS Symposium&lt;/secondary-title&gt;&lt;/titles&gt;&lt;pages&gt;309-317&lt;/pages&gt;&lt;dates&gt;&lt;year&gt;1973&lt;/year&gt;&lt;/dates&gt;&lt;pub-location&gt;NASA, Washington&lt;/pub-location&gt;&lt;urls&gt;&lt;/urls&gt;&lt;custom2&gt;1973&lt;/custom2&gt;&lt;/record&gt;&lt;/Cite&gt;&lt;/EndNote&gt;</w:instrText>
      </w:r>
      <w:r w:rsidR="006B5A61" w:rsidRPr="00D53355">
        <w:fldChar w:fldCharType="separate"/>
      </w:r>
      <w:r w:rsidRPr="00D53355">
        <w:rPr>
          <w:noProof/>
        </w:rPr>
        <w:t> (</w:t>
      </w:r>
      <w:hyperlink w:anchor="_ENREF_7" w:tooltip="Rouse, 1973 #54" w:history="1">
        <w:r w:rsidRPr="00D53355">
          <w:rPr>
            <w:noProof/>
          </w:rPr>
          <w:t>Rouse et al</w:t>
        </w:r>
        <w:r w:rsidR="00E72C28">
          <w:rPr>
            <w:noProof/>
          </w:rPr>
          <w:t>.</w:t>
        </w:r>
        <w:r w:rsidRPr="00D53355">
          <w:rPr>
            <w:noProof/>
          </w:rPr>
          <w:t xml:space="preserve"> 1973</w:t>
        </w:r>
      </w:hyperlink>
      <w:r w:rsidRPr="00D53355">
        <w:rPr>
          <w:noProof/>
        </w:rPr>
        <w:t>)</w:t>
      </w:r>
      <w:r w:rsidR="006B5A61" w:rsidRPr="00D53355">
        <w:fldChar w:fldCharType="end"/>
      </w:r>
      <w:r w:rsidRPr="00D53355">
        <w:t>; (iii) the Enhanced Vegetation Index (EVI)</w:t>
      </w:r>
      <w:r w:rsidR="006B5A61" w:rsidRPr="00D53355">
        <w:fldChar w:fldCharType="begin"/>
      </w:r>
      <w:r w:rsidRPr="00D53355">
        <w:instrText xml:space="preserve"> ADDIN EN.CITE &lt;EndNote&gt;&lt;Cite&gt;&lt;Author&gt;Huete&lt;/Author&gt;&lt;Year&gt;2002&lt;/Year&gt;&lt;RecNum&gt;55&lt;/RecNum&gt;&lt;DisplayText&gt; (Huete et al 2002)&lt;/DisplayText&gt;&lt;record&gt;&lt;rec-number&gt;55&lt;/rec-number&gt;&lt;foreign-keys&gt;&lt;key app="EN" db-id="redtarxe7wz0sretpfp5xpxtepx2ft5e99pf"&gt;55&lt;/key&gt;&lt;/foreign-keys&gt;&lt;ref-type name="Journal Article"&gt;17&lt;/ref-type&gt;&lt;contributors&gt;&lt;authors&gt;&lt;author&gt;Huete, A.R.&lt;/author&gt;&lt;author&gt;Didan, K.&lt;/author&gt;&lt;author&gt;Miura, T.&lt;/author&gt;&lt;author&gt;Rodriguez, E.P.&lt;/author&gt;&lt;author&gt;Gao, X.&lt;/author&gt;&lt;author&gt;Ferreira, L.G.&lt;/author&gt;&lt;/authors&gt;&lt;/contributors&gt;&lt;titles&gt;&lt;title&gt;Overview of the radiometric and biophysical performance of the MODIS vegetation indices&lt;/title&gt;&lt;secondary-title&gt;Remote Sensing of Environment&lt;/secondary-title&gt;&lt;/titles&gt;&lt;periodical&gt;&lt;full-title&gt;Remote Sensing of Environment&lt;/full-title&gt;&lt;abbr-1&gt;Remote Sens Environ&lt;/abbr-1&gt;&lt;/periodical&gt;&lt;pages&gt;195-213&lt;/pages&gt;&lt;volume&gt;83&lt;/volume&gt;&lt;number&gt;1-2&lt;/number&gt;&lt;dates&gt;&lt;year&gt;2002&lt;/year&gt;&lt;/dates&gt;&lt;urls&gt;&lt;/urls&gt;&lt;/record&gt;&lt;/Cite&gt;&lt;/EndNote&gt;</w:instrText>
      </w:r>
      <w:r w:rsidR="006B5A61" w:rsidRPr="00D53355">
        <w:fldChar w:fldCharType="separate"/>
      </w:r>
      <w:r w:rsidRPr="00D53355">
        <w:rPr>
          <w:noProof/>
        </w:rPr>
        <w:t> (</w:t>
      </w:r>
      <w:hyperlink w:anchor="_ENREF_6" w:tooltip="Huete, 2002 #55" w:history="1">
        <w:r w:rsidRPr="00D53355">
          <w:rPr>
            <w:noProof/>
          </w:rPr>
          <w:t>Huete et al</w:t>
        </w:r>
        <w:r w:rsidR="00AC7D31">
          <w:rPr>
            <w:noProof/>
          </w:rPr>
          <w:t>.</w:t>
        </w:r>
        <w:r w:rsidRPr="00D53355">
          <w:rPr>
            <w:noProof/>
          </w:rPr>
          <w:t xml:space="preserve"> 2002</w:t>
        </w:r>
      </w:hyperlink>
      <w:r w:rsidRPr="00D53355">
        <w:rPr>
          <w:noProof/>
        </w:rPr>
        <w:t>)</w:t>
      </w:r>
      <w:r w:rsidR="006B5A61" w:rsidRPr="00D53355">
        <w:fldChar w:fldCharType="end"/>
      </w:r>
      <w:r w:rsidRPr="00D53355">
        <w:t>; and (iv) the Lily index (LI)</w:t>
      </w:r>
      <w:r>
        <w:t>, which was</w:t>
      </w:r>
      <w:r w:rsidRPr="00D53355">
        <w:t xml:space="preserve"> specifically created for this project and named initially for ability to delineate </w:t>
      </w:r>
      <w:r w:rsidRPr="00D53355">
        <w:rPr>
          <w:i/>
        </w:rPr>
        <w:t>Nelumbo</w:t>
      </w:r>
      <w:r w:rsidRPr="00D53355">
        <w:t xml:space="preserve"> cover.</w:t>
      </w:r>
    </w:p>
    <w:p w:rsidR="009A0A84" w:rsidRPr="00D53355" w:rsidRDefault="009A0A84" w:rsidP="009A0A84">
      <w:pPr>
        <w:pStyle w:val="Heading3"/>
      </w:pPr>
      <w:r>
        <w:t>Classification validation</w:t>
      </w:r>
    </w:p>
    <w:p w:rsidR="00224F8A" w:rsidRPr="00BD46CD" w:rsidRDefault="00224F8A" w:rsidP="00224F8A">
      <w:r w:rsidRPr="00873142">
        <w:t xml:space="preserve">Due to the inter-annual variability of the floodplain vegetation, no reference data set from a single date would be suitable </w:t>
      </w:r>
      <w:r>
        <w:t xml:space="preserve">to </w:t>
      </w:r>
      <w:r w:rsidRPr="00873142">
        <w:t>assess the accuracy of all classifications. Therefore, reference data for each year w</w:t>
      </w:r>
      <w:r>
        <w:t xml:space="preserve">ere </w:t>
      </w:r>
      <w:r w:rsidRPr="00873142">
        <w:t xml:space="preserve">collected concurrent with the image capture dates. Due to inaccessibility and local hazards, field data </w:t>
      </w:r>
      <w:r>
        <w:t>are</w:t>
      </w:r>
      <w:r w:rsidRPr="00873142">
        <w:t xml:space="preserve"> impractical to collect using ground-based methods. In 2010, </w:t>
      </w:r>
      <w:r>
        <w:t xml:space="preserve">the field-based </w:t>
      </w:r>
      <w:r w:rsidRPr="00873142">
        <w:t>reference data w</w:t>
      </w:r>
      <w:r>
        <w:t>ere</w:t>
      </w:r>
      <w:r w:rsidRPr="00873142">
        <w:t xml:space="preserve"> collected using an airboat and low-le</w:t>
      </w:r>
      <w:r w:rsidR="00AC7D31">
        <w:t>vel helicopter survey. For 2011–</w:t>
      </w:r>
      <w:r w:rsidRPr="00873142">
        <w:t xml:space="preserve">13, only helicopter surveys were used, although methods of data collected were modified each year. The classes observed </w:t>
      </w:r>
      <w:r>
        <w:t xml:space="preserve">in the compiled reference data </w:t>
      </w:r>
      <w:r w:rsidRPr="00873142">
        <w:t xml:space="preserve">were compared to the classified imagery and accuracy measures </w:t>
      </w:r>
      <w:r>
        <w:t xml:space="preserve">for each year were </w:t>
      </w:r>
      <w:r w:rsidRPr="00873142">
        <w:t>calculated using confusion matrices</w:t>
      </w:r>
      <w:r>
        <w:t xml:space="preserve"> </w:t>
      </w:r>
      <w:r w:rsidRPr="00BD46CD">
        <w:t xml:space="preserve"> </w:t>
      </w:r>
      <w:r w:rsidR="006B5A61" w:rsidRPr="00BD46CD">
        <w:fldChar w:fldCharType="begin"/>
      </w:r>
      <w:r w:rsidRPr="00BD46CD">
        <w:instrText xml:space="preserve"> ADDIN EN.CITE &lt;EndNote&gt;&lt;Cite&gt;&lt;Author&gt;Congalton&lt;/Author&gt;&lt;Year&gt;2009&lt;/Year&gt;&lt;RecNum&gt;118&lt;/RecNum&gt;&lt;DisplayText&gt; (Congalton &amp;amp; Green 2009)&lt;/DisplayText&gt;&lt;record&gt;&lt;rec-number&gt;118&lt;/rec-number&gt;&lt;foreign-keys&gt;&lt;key app="EN" db-id="zaer9fa5f5s0tbertvz50f2rxpfssf2rpdss"&gt;118&lt;/key&gt;&lt;/foreign-keys&gt;&lt;ref-type name="Book"&gt;6&lt;/ref-type&gt;&lt;contributors&gt;&lt;authors&gt;&lt;author&gt;Congalton, Russell G.&lt;/author&gt;&lt;author&gt;Green, K.&lt;/author&gt;&lt;/authors&gt;&lt;/contributors&gt;&lt;titles&gt;&lt;title&gt;Assessing the accuracy of remotely sensed data: principles and practices&lt;/title&gt;&lt;/titles&gt;&lt;edition&gt;2nd&lt;/edition&gt;&lt;dates&gt;&lt;year&gt;2009&lt;/year&gt;&lt;/dates&gt;&lt;pub-location&gt;Boca Raton, Fl.&lt;/pub-location&gt;&lt;publisher&gt;CRC Press&lt;/publisher&gt;&lt;urls&gt;&lt;/urls&gt;&lt;/record&gt;&lt;/Cite&gt;&lt;/EndNote&gt;</w:instrText>
      </w:r>
      <w:r w:rsidR="006B5A61" w:rsidRPr="00BD46CD">
        <w:fldChar w:fldCharType="separate"/>
      </w:r>
      <w:r w:rsidRPr="00BD46CD">
        <w:rPr>
          <w:noProof/>
        </w:rPr>
        <w:t> (</w:t>
      </w:r>
      <w:hyperlink w:anchor="_ENREF_4" w:tooltip="Congalton, 2009 #118" w:history="1">
        <w:r w:rsidRPr="00BD46CD">
          <w:rPr>
            <w:noProof/>
          </w:rPr>
          <w:t>Congalton &amp; Green 2009</w:t>
        </w:r>
      </w:hyperlink>
      <w:r w:rsidRPr="00BD46CD">
        <w:rPr>
          <w:noProof/>
        </w:rPr>
        <w:t>)</w:t>
      </w:r>
      <w:r w:rsidR="006B5A61" w:rsidRPr="00BD46CD">
        <w:fldChar w:fldCharType="end"/>
      </w:r>
      <w:r w:rsidRPr="00BD46CD">
        <w:t>.</w:t>
      </w:r>
    </w:p>
    <w:p w:rsidR="00224F8A" w:rsidRDefault="00224F8A" w:rsidP="00224F8A">
      <w:pPr>
        <w:pStyle w:val="tablecaption"/>
      </w:pPr>
      <w:bookmarkStart w:id="278" w:name="_Ref401310668"/>
      <w:proofErr w:type="gramStart"/>
      <w:r w:rsidRPr="005F5CF9">
        <w:rPr>
          <w:b/>
        </w:rPr>
        <w:t xml:space="preserve">Table </w:t>
      </w:r>
      <w:bookmarkEnd w:id="278"/>
      <w:r w:rsidR="00A1570C">
        <w:rPr>
          <w:b/>
        </w:rPr>
        <w:t>1</w:t>
      </w:r>
      <w:r w:rsidRPr="00522FF5">
        <w:t xml:space="preserve"> Spectral indices used in this project</w:t>
      </w:r>
      <w:r w:rsidRPr="00314670">
        <w:t>.</w:t>
      </w:r>
      <w:proofErr w:type="gramEnd"/>
    </w:p>
    <w:tbl>
      <w:tblPr>
        <w:tblW w:w="0" w:type="auto"/>
        <w:tblBorders>
          <w:top w:val="single" w:sz="4" w:space="0" w:color="auto"/>
          <w:bottom w:val="single" w:sz="4" w:space="0" w:color="auto"/>
        </w:tblBorders>
        <w:tblLook w:val="04A0"/>
      </w:tblPr>
      <w:tblGrid>
        <w:gridCol w:w="3045"/>
        <w:gridCol w:w="3076"/>
      </w:tblGrid>
      <w:tr w:rsidR="00224F8A" w:rsidRPr="00AC7D31" w:rsidTr="00224F8A">
        <w:trPr>
          <w:trHeight w:val="511"/>
        </w:trPr>
        <w:tc>
          <w:tcPr>
            <w:tcW w:w="0" w:type="auto"/>
            <w:tcBorders>
              <w:top w:val="single" w:sz="4" w:space="0" w:color="auto"/>
              <w:bottom w:val="nil"/>
            </w:tcBorders>
            <w:vAlign w:val="center"/>
          </w:tcPr>
          <w:p w:rsidR="00224F8A" w:rsidRPr="00AC7D31" w:rsidRDefault="00224F8A" w:rsidP="00AC7D31">
            <w:pPr>
              <w:pStyle w:val="table1"/>
              <w:rPr>
                <w:rFonts w:cs="Arial"/>
                <w:b/>
                <w:color w:val="000000"/>
                <w:u w:color="000000"/>
              </w:rPr>
            </w:pPr>
            <w:r w:rsidRPr="00AC7D31">
              <w:rPr>
                <w:rFonts w:cs="Arial"/>
                <w:b/>
                <w:color w:val="000000"/>
                <w:u w:color="000000"/>
              </w:rPr>
              <w:t>Spectral Index</w:t>
            </w:r>
          </w:p>
        </w:tc>
        <w:tc>
          <w:tcPr>
            <w:tcW w:w="0" w:type="auto"/>
            <w:tcBorders>
              <w:top w:val="single" w:sz="4" w:space="0" w:color="auto"/>
              <w:bottom w:val="nil"/>
            </w:tcBorders>
            <w:vAlign w:val="center"/>
          </w:tcPr>
          <w:p w:rsidR="00224F8A" w:rsidRPr="00AC7D31" w:rsidRDefault="00224F8A" w:rsidP="00AC7D31">
            <w:pPr>
              <w:pStyle w:val="table1"/>
              <w:rPr>
                <w:rFonts w:cs="Arial"/>
                <w:b/>
                <w:color w:val="000000"/>
                <w:u w:color="000000"/>
              </w:rPr>
            </w:pPr>
            <w:r w:rsidRPr="00AC7D31">
              <w:rPr>
                <w:rFonts w:cs="Arial"/>
                <w:b/>
                <w:color w:val="000000"/>
                <w:u w:color="000000"/>
              </w:rPr>
              <w:t>Algorithm</w:t>
            </w:r>
            <w:r w:rsidRPr="00AC7D31">
              <w:rPr>
                <w:rFonts w:cs="Arial"/>
                <w:b/>
                <w:snapToGrid w:val="0"/>
                <w:color w:val="000000"/>
                <w:szCs w:val="0"/>
                <w:u w:color="000000"/>
              </w:rPr>
              <w:t>1</w:t>
            </w:r>
          </w:p>
        </w:tc>
      </w:tr>
      <w:tr w:rsidR="00224F8A" w:rsidRPr="00AC7D31" w:rsidTr="00224F8A">
        <w:trPr>
          <w:trHeight w:val="511"/>
        </w:trPr>
        <w:tc>
          <w:tcPr>
            <w:tcW w:w="0" w:type="auto"/>
            <w:tcBorders>
              <w:top w:val="nil"/>
            </w:tcBorders>
            <w:vAlign w:val="center"/>
          </w:tcPr>
          <w:p w:rsidR="00224F8A" w:rsidRPr="00AC7D31" w:rsidRDefault="00224F8A" w:rsidP="00AC7D31">
            <w:pPr>
              <w:pStyle w:val="table1"/>
              <w:rPr>
                <w:rFonts w:cs="Arial"/>
                <w:color w:val="000000"/>
                <w:u w:color="000000"/>
              </w:rPr>
            </w:pPr>
            <w:r w:rsidRPr="00AC7D31">
              <w:rPr>
                <w:rFonts w:cs="Arial"/>
                <w:color w:val="000000"/>
                <w:u w:color="000000"/>
              </w:rPr>
              <w:t>Normalized Difference Vegetation Index</w:t>
            </w:r>
          </w:p>
        </w:tc>
        <w:tc>
          <w:tcPr>
            <w:tcW w:w="0" w:type="auto"/>
            <w:tcBorders>
              <w:top w:val="nil"/>
            </w:tcBorders>
            <w:vAlign w:val="center"/>
          </w:tcPr>
          <w:p w:rsidR="00224F8A" w:rsidRPr="00AC7D31" w:rsidRDefault="00224F8A" w:rsidP="00AC7D31">
            <w:pPr>
              <w:pStyle w:val="table1"/>
              <w:rPr>
                <w:rFonts w:cs="Arial"/>
                <w:color w:val="000000"/>
                <w:u w:color="000000"/>
              </w:rPr>
            </w:pPr>
            <m:oMathPara>
              <m:oMathParaPr>
                <m:jc m:val="center"/>
              </m:oMathParaPr>
              <m:oMath>
                <m:r>
                  <w:rPr>
                    <w:rFonts w:ascii="Cambria Math" w:hAnsi="Cambria Math" w:cs="Arial"/>
                    <w:color w:val="000000"/>
                    <w:u w:color="000000"/>
                  </w:rPr>
                  <m:t>NDVI</m:t>
                </m:r>
                <m:r>
                  <m:rPr>
                    <m:sty m:val="p"/>
                  </m:rPr>
                  <w:rPr>
                    <w:rFonts w:ascii="Cambria Math" w:cs="Arial"/>
                    <w:color w:val="000000"/>
                    <w:u w:color="000000"/>
                  </w:rPr>
                  <m:t>=</m:t>
                </m:r>
                <m:f>
                  <m:fPr>
                    <m:ctrlPr>
                      <w:rPr>
                        <w:rFonts w:ascii="Cambria Math" w:hAnsi="Cambria Math" w:cs="Arial"/>
                        <w:color w:val="000000"/>
                        <w:u w:color="000000"/>
                      </w:rPr>
                    </m:ctrlPr>
                  </m:fPr>
                  <m:num>
                    <m:r>
                      <m:rPr>
                        <m:sty m:val="p"/>
                      </m:rPr>
                      <w:rPr>
                        <w:rFonts w:ascii="Cambria Math" w:cs="Arial"/>
                        <w:color w:val="000000"/>
                        <w:u w:color="000000"/>
                      </w:rPr>
                      <m:t>(</m:t>
                    </m:r>
                    <m:r>
                      <w:rPr>
                        <w:rFonts w:ascii="Cambria Math" w:hAnsi="Cambria Math" w:cs="Arial"/>
                        <w:color w:val="000000"/>
                        <w:u w:color="000000"/>
                      </w:rPr>
                      <m:t>NIR</m:t>
                    </m:r>
                    <m:r>
                      <m:rPr>
                        <m:sty m:val="p"/>
                      </m:rPr>
                      <w:rPr>
                        <w:rFonts w:ascii="Cambria Math" w:cs="Arial"/>
                        <w:color w:val="000000"/>
                        <w:u w:color="000000"/>
                      </w:rPr>
                      <m:t>2</m:t>
                    </m:r>
                    <m:r>
                      <m:rPr>
                        <m:sty m:val="p"/>
                      </m:rPr>
                      <w:rPr>
                        <w:rFonts w:cs="Arial"/>
                        <w:color w:val="000000"/>
                        <w:u w:color="000000"/>
                      </w:rPr>
                      <m:t>-</m:t>
                    </m:r>
                    <m:r>
                      <w:rPr>
                        <w:rFonts w:ascii="Cambria Math" w:hAnsi="Cambria Math" w:cs="Arial"/>
                        <w:color w:val="000000"/>
                        <w:u w:color="000000"/>
                      </w:rPr>
                      <m:t>R</m:t>
                    </m:r>
                    <m:r>
                      <m:rPr>
                        <m:sty m:val="p"/>
                      </m:rPr>
                      <w:rPr>
                        <w:rFonts w:ascii="Cambria Math" w:cs="Arial"/>
                        <w:color w:val="000000"/>
                        <w:u w:color="000000"/>
                      </w:rPr>
                      <m:t>)</m:t>
                    </m:r>
                  </m:num>
                  <m:den>
                    <m:r>
                      <m:rPr>
                        <m:sty m:val="p"/>
                      </m:rPr>
                      <w:rPr>
                        <w:rFonts w:ascii="Cambria Math" w:cs="Arial"/>
                        <w:color w:val="000000"/>
                        <w:u w:color="000000"/>
                      </w:rPr>
                      <m:t>(</m:t>
                    </m:r>
                    <m:r>
                      <w:rPr>
                        <w:rFonts w:ascii="Cambria Math" w:hAnsi="Cambria Math" w:cs="Arial"/>
                        <w:color w:val="000000"/>
                        <w:u w:color="000000"/>
                      </w:rPr>
                      <m:t>NIR</m:t>
                    </m:r>
                    <m:r>
                      <m:rPr>
                        <m:sty m:val="p"/>
                      </m:rPr>
                      <w:rPr>
                        <w:rFonts w:ascii="Cambria Math" w:cs="Arial"/>
                        <w:color w:val="000000"/>
                        <w:u w:color="000000"/>
                      </w:rPr>
                      <m:t>2+</m:t>
                    </m:r>
                    <m:r>
                      <w:rPr>
                        <w:rFonts w:ascii="Cambria Math" w:hAnsi="Cambria Math" w:cs="Arial"/>
                        <w:color w:val="000000"/>
                        <w:u w:color="000000"/>
                      </w:rPr>
                      <m:t>R</m:t>
                    </m:r>
                    <m:r>
                      <m:rPr>
                        <m:sty m:val="p"/>
                      </m:rPr>
                      <w:rPr>
                        <w:rFonts w:ascii="Cambria Math" w:cs="Arial"/>
                        <w:color w:val="000000"/>
                        <w:u w:color="000000"/>
                      </w:rPr>
                      <m:t>)</m:t>
                    </m:r>
                  </m:den>
                </m:f>
              </m:oMath>
            </m:oMathPara>
          </w:p>
        </w:tc>
      </w:tr>
      <w:tr w:rsidR="00224F8A" w:rsidRPr="00AC7D31" w:rsidTr="00224F8A">
        <w:trPr>
          <w:trHeight w:val="571"/>
        </w:trPr>
        <w:tc>
          <w:tcPr>
            <w:tcW w:w="0" w:type="auto"/>
            <w:vAlign w:val="center"/>
          </w:tcPr>
          <w:p w:rsidR="00224F8A" w:rsidRPr="00AC7D31" w:rsidRDefault="00224F8A" w:rsidP="00AC7D31">
            <w:pPr>
              <w:pStyle w:val="table1"/>
              <w:rPr>
                <w:rFonts w:cs="Arial"/>
                <w:color w:val="000000"/>
                <w:u w:color="000000"/>
              </w:rPr>
            </w:pPr>
            <w:r w:rsidRPr="00AC7D31">
              <w:rPr>
                <w:rFonts w:cs="Arial"/>
                <w:color w:val="000000"/>
                <w:u w:color="000000"/>
              </w:rPr>
              <w:t xml:space="preserve">Enhanced Vegetation Index </w:t>
            </w:r>
          </w:p>
        </w:tc>
        <w:tc>
          <w:tcPr>
            <w:tcW w:w="0" w:type="auto"/>
            <w:vAlign w:val="center"/>
          </w:tcPr>
          <w:p w:rsidR="00224F8A" w:rsidRPr="00AC7D31" w:rsidRDefault="006B5A61" w:rsidP="00AC7D31">
            <w:pPr>
              <w:pStyle w:val="table1"/>
              <w:rPr>
                <w:rFonts w:cs="Arial"/>
                <w:color w:val="000000"/>
                <w:u w:color="000000"/>
              </w:rPr>
            </w:pPr>
            <m:oMathPara>
              <m:oMathParaPr>
                <m:jc m:val="center"/>
              </m:oMathParaPr>
              <m:oMath>
                <m:sSup>
                  <m:sSupPr>
                    <m:ctrlPr>
                      <w:rPr>
                        <w:rFonts w:ascii="Cambria Math" w:hAnsi="Cambria Math" w:cs="Arial"/>
                        <w:color w:val="000000"/>
                        <w:u w:color="000000"/>
                      </w:rPr>
                    </m:ctrlPr>
                  </m:sSupPr>
                  <m:e>
                    <m:r>
                      <w:rPr>
                        <w:rFonts w:ascii="Cambria Math" w:hAnsi="Cambria Math" w:cs="Arial"/>
                        <w:color w:val="000000"/>
                        <w:u w:color="000000"/>
                      </w:rPr>
                      <m:t>EVI</m:t>
                    </m:r>
                  </m:e>
                  <m:sup>
                    <m:r>
                      <m:rPr>
                        <m:sty m:val="p"/>
                      </m:rPr>
                      <w:rPr>
                        <w:rFonts w:ascii="Cambria Math" w:cs="Arial"/>
                        <w:color w:val="000000"/>
                        <w:u w:color="000000"/>
                      </w:rPr>
                      <m:t>2</m:t>
                    </m:r>
                  </m:sup>
                </m:sSup>
                <m:r>
                  <m:rPr>
                    <m:sty m:val="p"/>
                  </m:rPr>
                  <w:rPr>
                    <w:rFonts w:ascii="Cambria Math" w:cs="Arial"/>
                    <w:color w:val="000000"/>
                    <w:u w:color="000000"/>
                  </w:rPr>
                  <m:t>=</m:t>
                </m:r>
                <m:f>
                  <m:fPr>
                    <m:ctrlPr>
                      <w:rPr>
                        <w:rFonts w:ascii="Cambria Math" w:hAnsi="Cambria Math" w:cs="Arial"/>
                        <w:color w:val="000000"/>
                        <w:u w:color="000000"/>
                      </w:rPr>
                    </m:ctrlPr>
                  </m:fPr>
                  <m:num>
                    <m:r>
                      <w:rPr>
                        <w:rFonts w:ascii="Cambria Math" w:hAnsi="Cambria Math" w:cs="Arial"/>
                        <w:color w:val="000000"/>
                        <w:u w:color="000000"/>
                      </w:rPr>
                      <m:t>G</m:t>
                    </m:r>
                    <m:r>
                      <m:rPr>
                        <m:sty m:val="p"/>
                      </m:rPr>
                      <w:rPr>
                        <w:rFonts w:cs="Arial"/>
                        <w:color w:val="000000"/>
                        <w:u w:color="000000"/>
                      </w:rPr>
                      <m:t>×</m:t>
                    </m:r>
                    <m:r>
                      <m:rPr>
                        <m:sty m:val="p"/>
                      </m:rPr>
                      <w:rPr>
                        <w:rFonts w:ascii="Cambria Math" w:cs="Arial"/>
                        <w:color w:val="000000"/>
                        <w:u w:color="000000"/>
                      </w:rPr>
                      <m:t>(</m:t>
                    </m:r>
                    <m:r>
                      <w:rPr>
                        <w:rFonts w:ascii="Cambria Math" w:hAnsi="Cambria Math" w:cs="Arial"/>
                        <w:color w:val="000000"/>
                        <w:u w:color="000000"/>
                      </w:rPr>
                      <m:t>NIR</m:t>
                    </m:r>
                    <m:r>
                      <m:rPr>
                        <m:sty m:val="p"/>
                      </m:rPr>
                      <w:rPr>
                        <w:rFonts w:ascii="Cambria Math" w:cs="Arial"/>
                        <w:color w:val="000000"/>
                        <w:u w:color="000000"/>
                      </w:rPr>
                      <m:t>2</m:t>
                    </m:r>
                    <m:r>
                      <m:rPr>
                        <m:sty m:val="p"/>
                      </m:rPr>
                      <w:rPr>
                        <w:rFonts w:cs="Arial"/>
                        <w:color w:val="000000"/>
                        <w:u w:color="000000"/>
                      </w:rPr>
                      <m:t>-</m:t>
                    </m:r>
                    <m:r>
                      <w:rPr>
                        <w:rFonts w:ascii="Cambria Math" w:hAnsi="Cambria Math" w:cs="Arial"/>
                        <w:color w:val="000000"/>
                        <w:u w:color="000000"/>
                      </w:rPr>
                      <m:t>R</m:t>
                    </m:r>
                    <m:r>
                      <m:rPr>
                        <m:sty m:val="p"/>
                      </m:rPr>
                      <w:rPr>
                        <w:rFonts w:ascii="Cambria Math" w:cs="Arial"/>
                        <w:color w:val="000000"/>
                        <w:u w:color="000000"/>
                      </w:rPr>
                      <m:t>)</m:t>
                    </m:r>
                  </m:num>
                  <m:den>
                    <m:r>
                      <m:rPr>
                        <m:sty m:val="p"/>
                      </m:rPr>
                      <w:rPr>
                        <w:rFonts w:ascii="Cambria Math" w:cs="Arial"/>
                        <w:color w:val="000000"/>
                        <w:u w:color="000000"/>
                      </w:rPr>
                      <m:t>(</m:t>
                    </m:r>
                    <m:r>
                      <w:rPr>
                        <w:rFonts w:ascii="Cambria Math" w:hAnsi="Cambria Math" w:cs="Arial"/>
                        <w:color w:val="000000"/>
                        <w:u w:color="000000"/>
                      </w:rPr>
                      <m:t>NIR</m:t>
                    </m:r>
                    <m:r>
                      <m:rPr>
                        <m:sty m:val="p"/>
                      </m:rPr>
                      <w:rPr>
                        <w:rFonts w:ascii="Cambria Math" w:cs="Arial"/>
                        <w:color w:val="000000"/>
                        <w:u w:color="000000"/>
                      </w:rPr>
                      <m:t>2+</m:t>
                    </m:r>
                    <m:d>
                      <m:dPr>
                        <m:ctrlPr>
                          <w:rPr>
                            <w:rFonts w:ascii="Cambria Math" w:hAnsi="Cambria Math" w:cs="Arial"/>
                            <w:color w:val="000000"/>
                            <w:u w:color="000000"/>
                          </w:rPr>
                        </m:ctrlPr>
                      </m:dPr>
                      <m:e>
                        <m:r>
                          <w:rPr>
                            <w:rFonts w:ascii="Cambria Math" w:hAnsi="Cambria Math" w:cs="Arial"/>
                            <w:color w:val="000000"/>
                            <w:u w:color="000000"/>
                          </w:rPr>
                          <m:t>C</m:t>
                        </m:r>
                        <m:r>
                          <m:rPr>
                            <m:sty m:val="p"/>
                          </m:rPr>
                          <w:rPr>
                            <w:rFonts w:ascii="Cambria Math" w:cs="Arial"/>
                            <w:color w:val="000000"/>
                            <w:u w:color="000000"/>
                          </w:rPr>
                          <m:t>1</m:t>
                        </m:r>
                        <m:r>
                          <m:rPr>
                            <m:sty m:val="p"/>
                          </m:rPr>
                          <w:rPr>
                            <w:rFonts w:cs="Arial"/>
                            <w:color w:val="000000"/>
                            <w:u w:color="000000"/>
                          </w:rPr>
                          <m:t>×</m:t>
                        </m:r>
                        <m:r>
                          <w:rPr>
                            <w:rFonts w:ascii="Cambria Math" w:hAnsi="Cambria Math" w:cs="Arial"/>
                            <w:color w:val="000000"/>
                            <w:u w:color="000000"/>
                          </w:rPr>
                          <m:t>R</m:t>
                        </m:r>
                      </m:e>
                    </m:d>
                    <m:r>
                      <m:rPr>
                        <m:sty m:val="p"/>
                      </m:rPr>
                      <w:rPr>
                        <w:rFonts w:ascii="Cambria Math" w:cs="Arial"/>
                        <w:color w:val="000000"/>
                        <w:u w:color="000000"/>
                      </w:rPr>
                      <m:t>+</m:t>
                    </m:r>
                    <m:d>
                      <m:dPr>
                        <m:ctrlPr>
                          <w:rPr>
                            <w:rFonts w:ascii="Cambria Math" w:hAnsi="Cambria Math" w:cs="Arial"/>
                            <w:color w:val="000000"/>
                            <w:u w:color="000000"/>
                          </w:rPr>
                        </m:ctrlPr>
                      </m:dPr>
                      <m:e>
                        <m:r>
                          <w:rPr>
                            <w:rFonts w:ascii="Cambria Math" w:hAnsi="Cambria Math" w:cs="Arial"/>
                            <w:color w:val="000000"/>
                            <w:u w:color="000000"/>
                          </w:rPr>
                          <m:t>C</m:t>
                        </m:r>
                        <m:r>
                          <m:rPr>
                            <m:sty m:val="p"/>
                          </m:rPr>
                          <w:rPr>
                            <w:rFonts w:ascii="Cambria Math" w:cs="Arial"/>
                            <w:color w:val="000000"/>
                            <w:u w:color="000000"/>
                          </w:rPr>
                          <m:t>2</m:t>
                        </m:r>
                        <m:r>
                          <m:rPr>
                            <m:sty m:val="p"/>
                          </m:rPr>
                          <w:rPr>
                            <w:rFonts w:cs="Arial"/>
                            <w:color w:val="000000"/>
                            <w:u w:color="000000"/>
                          </w:rPr>
                          <m:t>×</m:t>
                        </m:r>
                        <m:r>
                          <w:rPr>
                            <w:rFonts w:ascii="Cambria Math" w:hAnsi="Cambria Math" w:cs="Arial"/>
                            <w:color w:val="000000"/>
                            <w:u w:color="000000"/>
                          </w:rPr>
                          <m:t>B</m:t>
                        </m:r>
                      </m:e>
                    </m:d>
                    <m:r>
                      <m:rPr>
                        <m:sty m:val="p"/>
                      </m:rPr>
                      <w:rPr>
                        <w:rFonts w:ascii="Cambria Math" w:cs="Arial"/>
                        <w:color w:val="000000"/>
                        <w:u w:color="000000"/>
                      </w:rPr>
                      <m:t>+</m:t>
                    </m:r>
                    <m:r>
                      <w:rPr>
                        <w:rFonts w:ascii="Cambria Math" w:hAnsi="Cambria Math" w:cs="Arial"/>
                        <w:color w:val="000000"/>
                        <w:u w:color="000000"/>
                      </w:rPr>
                      <m:t>L</m:t>
                    </m:r>
                  </m:den>
                </m:f>
              </m:oMath>
            </m:oMathPara>
          </w:p>
        </w:tc>
      </w:tr>
      <w:tr w:rsidR="00224F8A" w:rsidRPr="00AC7D31" w:rsidTr="00224F8A">
        <w:trPr>
          <w:trHeight w:val="282"/>
        </w:trPr>
        <w:tc>
          <w:tcPr>
            <w:tcW w:w="0" w:type="auto"/>
            <w:vAlign w:val="center"/>
          </w:tcPr>
          <w:p w:rsidR="00224F8A" w:rsidRPr="00AC7D31" w:rsidRDefault="00224F8A" w:rsidP="00AC7D31">
            <w:pPr>
              <w:pStyle w:val="table1"/>
              <w:rPr>
                <w:rFonts w:cs="Arial"/>
                <w:color w:val="000000"/>
                <w:u w:color="000000"/>
              </w:rPr>
            </w:pPr>
            <w:r w:rsidRPr="00AC7D31">
              <w:rPr>
                <w:rFonts w:cs="Arial"/>
                <w:color w:val="000000"/>
                <w:u w:color="000000"/>
              </w:rPr>
              <w:t xml:space="preserve">Forest Discrimination Index </w:t>
            </w:r>
          </w:p>
        </w:tc>
        <w:tc>
          <w:tcPr>
            <w:tcW w:w="0" w:type="auto"/>
            <w:vAlign w:val="center"/>
          </w:tcPr>
          <w:p w:rsidR="00224F8A" w:rsidRPr="00AC7D31" w:rsidRDefault="00224F8A" w:rsidP="00AC7D31">
            <w:pPr>
              <w:pStyle w:val="table1"/>
              <w:rPr>
                <w:rFonts w:cs="Arial"/>
                <w:color w:val="000000"/>
                <w:u w:color="000000"/>
              </w:rPr>
            </w:pPr>
            <m:oMathPara>
              <m:oMathParaPr>
                <m:jc m:val="center"/>
              </m:oMathParaPr>
              <m:oMath>
                <m:r>
                  <w:rPr>
                    <w:rFonts w:ascii="Cambria Math" w:hAnsi="Cambria Math" w:cs="Arial"/>
                    <w:color w:val="000000"/>
                    <w:u w:color="000000"/>
                  </w:rPr>
                  <m:t>FDI</m:t>
                </m:r>
                <m:r>
                  <m:rPr>
                    <m:sty m:val="p"/>
                  </m:rPr>
                  <w:rPr>
                    <w:rFonts w:ascii="Cambria Math" w:cs="Arial"/>
                    <w:color w:val="000000"/>
                    <w:u w:color="000000"/>
                  </w:rPr>
                  <m:t>=</m:t>
                </m:r>
                <m:r>
                  <w:rPr>
                    <w:rFonts w:ascii="Cambria Math" w:hAnsi="Cambria Math" w:cs="Arial"/>
                    <w:color w:val="000000"/>
                    <w:u w:color="000000"/>
                  </w:rPr>
                  <m:t>NIR</m:t>
                </m:r>
                <m:r>
                  <m:rPr>
                    <m:sty m:val="p"/>
                  </m:rPr>
                  <w:rPr>
                    <w:rFonts w:ascii="Cambria Math" w:cs="Arial"/>
                    <w:color w:val="000000"/>
                    <w:u w:color="000000"/>
                  </w:rPr>
                  <m:t>2</m:t>
                </m:r>
                <m:r>
                  <m:rPr>
                    <m:sty m:val="p"/>
                  </m:rPr>
                  <w:rPr>
                    <w:rFonts w:cs="Arial"/>
                    <w:color w:val="000000"/>
                    <w:u w:color="000000"/>
                  </w:rPr>
                  <m:t>-</m:t>
                </m:r>
                <m:r>
                  <m:rPr>
                    <m:sty m:val="p"/>
                  </m:rPr>
                  <w:rPr>
                    <w:rFonts w:ascii="Cambria Math" w:cs="Arial"/>
                    <w:color w:val="000000"/>
                    <w:u w:color="000000"/>
                  </w:rPr>
                  <m:t>(</m:t>
                </m:r>
                <m:r>
                  <w:rPr>
                    <w:rFonts w:ascii="Cambria Math" w:hAnsi="Cambria Math" w:cs="Arial"/>
                    <w:color w:val="000000"/>
                    <w:u w:color="000000"/>
                  </w:rPr>
                  <m:t>RE</m:t>
                </m:r>
                <m:r>
                  <m:rPr>
                    <m:sty m:val="p"/>
                  </m:rPr>
                  <w:rPr>
                    <w:rFonts w:ascii="Cambria Math" w:cs="Arial"/>
                    <w:color w:val="000000"/>
                    <w:u w:color="000000"/>
                  </w:rPr>
                  <m:t>+</m:t>
                </m:r>
                <m:r>
                  <w:rPr>
                    <w:rFonts w:ascii="Cambria Math" w:hAnsi="Cambria Math" w:cs="Arial"/>
                    <w:color w:val="000000"/>
                    <w:u w:color="000000"/>
                  </w:rPr>
                  <m:t>B</m:t>
                </m:r>
                <m:r>
                  <m:rPr>
                    <m:sty m:val="p"/>
                  </m:rPr>
                  <w:rPr>
                    <w:rFonts w:ascii="Cambria Math" w:cs="Arial"/>
                    <w:color w:val="000000"/>
                    <w:u w:color="000000"/>
                  </w:rPr>
                  <m:t>)</m:t>
                </m:r>
              </m:oMath>
            </m:oMathPara>
          </w:p>
        </w:tc>
      </w:tr>
      <w:tr w:rsidR="00224F8A" w:rsidRPr="00AC7D31" w:rsidTr="00224F8A">
        <w:trPr>
          <w:trHeight w:val="287"/>
        </w:trPr>
        <w:tc>
          <w:tcPr>
            <w:tcW w:w="0" w:type="auto"/>
            <w:vAlign w:val="center"/>
          </w:tcPr>
          <w:p w:rsidR="00224F8A" w:rsidRPr="00AC7D31" w:rsidRDefault="00224F8A" w:rsidP="00AC7D31">
            <w:pPr>
              <w:pStyle w:val="table1"/>
              <w:rPr>
                <w:rFonts w:cs="Arial"/>
                <w:color w:val="000000"/>
                <w:u w:color="000000"/>
              </w:rPr>
            </w:pPr>
            <w:r w:rsidRPr="00AC7D31">
              <w:rPr>
                <w:rFonts w:cs="Arial"/>
                <w:color w:val="000000"/>
                <w:u w:color="000000"/>
              </w:rPr>
              <w:t>Lily Index</w:t>
            </w:r>
          </w:p>
        </w:tc>
        <w:tc>
          <w:tcPr>
            <w:tcW w:w="0" w:type="auto"/>
            <w:vAlign w:val="center"/>
          </w:tcPr>
          <w:p w:rsidR="00224F8A" w:rsidRPr="00AC7D31" w:rsidRDefault="00224F8A" w:rsidP="00AC7D31">
            <w:pPr>
              <w:pStyle w:val="table1"/>
              <w:rPr>
                <w:rFonts w:cs="Arial"/>
                <w:color w:val="000000"/>
                <w:u w:color="000000"/>
              </w:rPr>
            </w:pPr>
            <m:oMathPara>
              <m:oMathParaPr>
                <m:jc m:val="center"/>
              </m:oMathParaPr>
              <m:oMath>
                <m:r>
                  <w:rPr>
                    <w:rFonts w:ascii="Cambria Math" w:hAnsi="Cambria Math" w:cs="Arial"/>
                    <w:color w:val="000000"/>
                    <w:u w:color="000000"/>
                  </w:rPr>
                  <m:t>LI</m:t>
                </m:r>
                <m:r>
                  <m:rPr>
                    <m:sty m:val="p"/>
                  </m:rPr>
                  <w:rPr>
                    <w:rFonts w:ascii="Cambria Math" w:cs="Arial"/>
                    <w:color w:val="000000"/>
                    <w:u w:color="000000"/>
                  </w:rPr>
                  <m:t>=</m:t>
                </m:r>
                <m:d>
                  <m:dPr>
                    <m:ctrlPr>
                      <w:rPr>
                        <w:rFonts w:ascii="Cambria Math" w:hAnsi="Cambria Math" w:cs="Arial"/>
                        <w:color w:val="000000"/>
                        <w:u w:color="000000"/>
                      </w:rPr>
                    </m:ctrlPr>
                  </m:dPr>
                  <m:e>
                    <m:r>
                      <w:rPr>
                        <w:rFonts w:ascii="Cambria Math" w:hAnsi="Cambria Math" w:cs="Arial"/>
                        <w:color w:val="000000"/>
                        <w:u w:color="000000"/>
                      </w:rPr>
                      <m:t>NIR</m:t>
                    </m:r>
                    <m:r>
                      <m:rPr>
                        <m:sty m:val="p"/>
                      </m:rPr>
                      <w:rPr>
                        <w:rFonts w:ascii="Cambria Math" w:cs="Arial"/>
                        <w:color w:val="000000"/>
                        <w:u w:color="000000"/>
                      </w:rPr>
                      <m:t>2+</m:t>
                    </m:r>
                    <m:r>
                      <w:rPr>
                        <w:rFonts w:ascii="Cambria Math" w:hAnsi="Cambria Math" w:cs="Arial"/>
                        <w:color w:val="000000"/>
                        <w:u w:color="000000"/>
                      </w:rPr>
                      <m:t>RE</m:t>
                    </m:r>
                  </m:e>
                </m:d>
                <m:r>
                  <m:rPr>
                    <m:sty m:val="p"/>
                  </m:rPr>
                  <w:rPr>
                    <w:rFonts w:cs="Arial"/>
                    <w:color w:val="000000"/>
                    <w:u w:color="000000"/>
                  </w:rPr>
                  <m:t>-</m:t>
                </m:r>
                <m:r>
                  <w:rPr>
                    <w:rFonts w:ascii="Cambria Math" w:hAnsi="Cambria Math" w:cs="Arial"/>
                    <w:color w:val="000000"/>
                    <w:u w:color="000000"/>
                  </w:rPr>
                  <m:t>B</m:t>
                </m:r>
              </m:oMath>
            </m:oMathPara>
          </w:p>
        </w:tc>
      </w:tr>
    </w:tbl>
    <w:p w:rsidR="00224F8A" w:rsidRDefault="00224F8A" w:rsidP="00224F8A">
      <w:pPr>
        <w:pStyle w:val="tablenote"/>
        <w:tabs>
          <w:tab w:val="clear" w:pos="240"/>
        </w:tabs>
        <w:ind w:left="0" w:firstLine="0"/>
      </w:pPr>
      <w:r w:rsidRPr="00D1386A">
        <w:rPr>
          <w:snapToGrid w:val="0"/>
          <w:color w:val="000000"/>
          <w:position w:val="3"/>
          <w:sz w:val="9"/>
          <w:szCs w:val="0"/>
          <w:u w:color="000000"/>
        </w:rPr>
        <w:t>1</w:t>
      </w:r>
      <w:r w:rsidRPr="00314670">
        <w:t xml:space="preserve">NIR2, </w:t>
      </w:r>
      <w:r>
        <w:t xml:space="preserve">RE, </w:t>
      </w:r>
      <w:r w:rsidRPr="00314670">
        <w:t xml:space="preserve">R and B are the near infrared 2 (860–1040 nm), </w:t>
      </w:r>
      <w:r>
        <w:t xml:space="preserve">red edge (705-745), </w:t>
      </w:r>
      <w:r w:rsidRPr="00314670">
        <w:t>red (625-690 nm) and blue (450-510 nm) bands respectively</w:t>
      </w:r>
      <w:r>
        <w:t>;</w:t>
      </w:r>
      <w:r w:rsidRPr="00314670">
        <w:t xml:space="preserve"> </w:t>
      </w:r>
      <w:r w:rsidRPr="00D1386A">
        <w:rPr>
          <w:snapToGrid w:val="0"/>
          <w:color w:val="000000"/>
          <w:position w:val="3"/>
          <w:sz w:val="9"/>
          <w:szCs w:val="0"/>
          <w:u w:color="000000"/>
        </w:rPr>
        <w:t>2</w:t>
      </w:r>
      <w:r w:rsidRPr="00314670">
        <w:t>Within EVI, G</w:t>
      </w:r>
      <w:r>
        <w:t xml:space="preserve"> </w:t>
      </w:r>
      <w:r w:rsidRPr="00314670">
        <w:t>=</w:t>
      </w:r>
      <w:r>
        <w:t xml:space="preserve"> </w:t>
      </w:r>
      <w:r w:rsidRPr="00314670">
        <w:t>2.5, C1</w:t>
      </w:r>
      <w:r>
        <w:t xml:space="preserve"> </w:t>
      </w:r>
      <w:r w:rsidRPr="00314670">
        <w:t>=</w:t>
      </w:r>
      <w:r>
        <w:t xml:space="preserve"> </w:t>
      </w:r>
      <w:r w:rsidRPr="00314670">
        <w:t>6, C2</w:t>
      </w:r>
      <w:r>
        <w:t xml:space="preserve"> </w:t>
      </w:r>
      <w:r w:rsidRPr="00314670">
        <w:t>=</w:t>
      </w:r>
      <w:r>
        <w:t xml:space="preserve"> </w:t>
      </w:r>
      <w:r w:rsidRPr="00314670">
        <w:t>7.5 and L</w:t>
      </w:r>
      <w:r>
        <w:t xml:space="preserve"> </w:t>
      </w:r>
      <w:r w:rsidRPr="00314670">
        <w:t>=</w:t>
      </w:r>
      <w:r>
        <w:t xml:space="preserve"> </w:t>
      </w:r>
      <w:r w:rsidRPr="00314670">
        <w:t>1</w:t>
      </w:r>
    </w:p>
    <w:p w:rsidR="00224F8A" w:rsidRDefault="00224F8A" w:rsidP="00224F8A">
      <w:r w:rsidRPr="00522A62">
        <w:t>User’s and Producer’s accuracies</w:t>
      </w:r>
      <w:r w:rsidR="006B5A61">
        <w:fldChar w:fldCharType="begin"/>
      </w:r>
      <w:r>
        <w:instrText xml:space="preserve"> ADDIN EN.CITE &lt;EndNote&gt;&lt;Cite&gt;&lt;Author&gt;Story&lt;/Author&gt;&lt;Year&gt;1986&lt;/Year&gt;&lt;RecNum&gt;177&lt;/RecNum&gt;&lt;DisplayText&gt; (Story &amp;amp; Congalton 1986)&lt;/DisplayText&gt;&lt;record&gt;&lt;rec-number&gt;177&lt;/rec-number&gt;&lt;foreign-keys&gt;&lt;key app="EN" db-id="zaer9fa5f5s0tbertvz50f2rxpfssf2rpdss"&gt;177&lt;/key&gt;&lt;/foreign-keys&gt;&lt;ref-type name="Journal Article"&gt;17&lt;/ref-type&gt;&lt;contributors&gt;&lt;authors&gt;&lt;author&gt;Story, Michael&lt;/author&gt;&lt;author&gt;Congalton, Russell G&lt;/author&gt;&lt;/authors&gt;&lt;/contributors&gt;&lt;titles&gt;&lt;title&gt;Accuracy assessment - a user&amp;apos;s perspective&lt;/title&gt;&lt;secondary-title&gt;Photogrammetric Engineering and Remote Sensing&lt;/secondary-title&gt;&lt;/titles&gt;&lt;periodical&gt;&lt;full-title&gt;Photogrammetric Engineering and Remote Sensing&lt;/full-title&gt;&lt;/periodical&gt;&lt;pages&gt;397-399&lt;/pages&gt;&lt;volume&gt;52&lt;/volume&gt;&lt;number&gt;3&lt;/number&gt;&lt;dates&gt;&lt;year&gt;1986&lt;/year&gt;&lt;/dates&gt;&lt;urls&gt;&lt;/urls&gt;&lt;/record&gt;&lt;/Cite&gt;&lt;/EndNote&gt;</w:instrText>
      </w:r>
      <w:r w:rsidR="006B5A61">
        <w:fldChar w:fldCharType="separate"/>
      </w:r>
      <w:r>
        <w:rPr>
          <w:noProof/>
        </w:rPr>
        <w:t> (</w:t>
      </w:r>
      <w:hyperlink w:anchor="_ENREF_9" w:tooltip="Story, 1986 #177" w:history="1">
        <w:r>
          <w:rPr>
            <w:noProof/>
          </w:rPr>
          <w:t>Story &amp; Congalton 1986</w:t>
        </w:r>
      </w:hyperlink>
      <w:r>
        <w:rPr>
          <w:noProof/>
        </w:rPr>
        <w:t>)</w:t>
      </w:r>
      <w:r w:rsidR="006B5A61">
        <w:fldChar w:fldCharType="end"/>
      </w:r>
      <w:r>
        <w:t xml:space="preserve"> </w:t>
      </w:r>
      <w:r w:rsidRPr="00522A62">
        <w:t xml:space="preserve">were calculated for each class along with the overall classification accuracy. The Producer’s accuracy is a measure of omission error and termed as such because the producer of the classified image/map is interested in how well the area under study can be mapped. The User’s accuracy </w:t>
      </w:r>
      <w:r>
        <w:t xml:space="preserve">is a measure of commission </w:t>
      </w:r>
      <w:r w:rsidRPr="00522A62">
        <w:t xml:space="preserve">error and </w:t>
      </w:r>
      <w:r>
        <w:t xml:space="preserve">termed </w:t>
      </w:r>
      <w:r w:rsidRPr="00522A62">
        <w:t>as such because the user is interested in the reliability of the map (how well the map represents what is really on the ground).</w:t>
      </w:r>
    </w:p>
    <w:p w:rsidR="00224F8A" w:rsidRPr="00AC7D31" w:rsidRDefault="00224F8A" w:rsidP="005873E1">
      <w:pPr>
        <w:pStyle w:val="Heading3"/>
      </w:pPr>
      <w:r w:rsidRPr="00AC7D31">
        <w:t>Change analysis</w:t>
      </w:r>
    </w:p>
    <w:p w:rsidR="00224F8A" w:rsidRPr="003335E1" w:rsidRDefault="00224F8A" w:rsidP="00224F8A">
      <w:r w:rsidRPr="003335E1">
        <w:t>Change detection was undertaken using an object-based process whereby the classified objects were compared to identify changes that occurred between two dates. The change detection was conducted by using a GIS operation of overlaying the layer of classified objects from one year (Date 2 in</w:t>
      </w:r>
      <w:r w:rsidR="00D3231E">
        <w:t xml:space="preserve"> Figure 2</w:t>
      </w:r>
      <w:r w:rsidRPr="003335E1">
        <w:t>) onto the objects from the previous year (Date 1 in</w:t>
      </w:r>
      <w:r w:rsidR="00D3231E">
        <w:t xml:space="preserve"> Figure 2</w:t>
      </w:r>
      <w:r w:rsidRPr="003335E1">
        <w:t>). These objects were categorised into two broad groups: (i) ‘No change’, where the object is the same class for both dates; and (ii) ‘Change’, where the object is a different class in date 2 compared to date 1 (</w:t>
      </w:r>
      <w:r w:rsidR="00D3231E">
        <w:t>Figure 3</w:t>
      </w:r>
      <w:r w:rsidRPr="003335E1">
        <w:t xml:space="preserve">a). The objects that were classified as ‘change’ were described </w:t>
      </w:r>
      <w:proofErr w:type="gramStart"/>
      <w:r w:rsidRPr="003335E1">
        <w:t>further  using</w:t>
      </w:r>
      <w:proofErr w:type="gramEnd"/>
      <w:r w:rsidRPr="003335E1">
        <w:t xml:space="preserve"> From/To classes (</w:t>
      </w:r>
      <w:r w:rsidR="00D3231E">
        <w:t>Figure 3</w:t>
      </w:r>
      <w:r w:rsidRPr="003335E1">
        <w:t xml:space="preserve">b). </w:t>
      </w:r>
    </w:p>
    <w:p w:rsidR="00547226" w:rsidRDefault="00224F8A" w:rsidP="00224F8A">
      <w:r w:rsidRPr="00522A62">
        <w:t>From the analyses, thre</w:t>
      </w:r>
      <w:r w:rsidR="00AC7D31">
        <w:t>e change maps were created 2010–11, 2011–</w:t>
      </w:r>
      <w:r w:rsidR="00EF026E">
        <w:t>12 and 2012–</w:t>
      </w:r>
      <w:r w:rsidRPr="00522A62">
        <w:t>13. The maps include</w:t>
      </w:r>
      <w:r>
        <w:t>d</w:t>
      </w:r>
      <w:r w:rsidRPr="00522A62">
        <w:t xml:space="preserve"> polygons belonging to consistent classes and polygons</w:t>
      </w:r>
      <w:r>
        <w:t xml:space="preserve"> belonging to</w:t>
      </w:r>
      <w:r w:rsidRPr="00522A62">
        <w:t xml:space="preserve"> changed </w:t>
      </w:r>
      <w:r>
        <w:t xml:space="preserve">classes </w:t>
      </w:r>
      <w:r w:rsidRPr="00522A62">
        <w:t>(From</w:t>
      </w:r>
      <w:r>
        <w:t>/</w:t>
      </w:r>
      <w:r w:rsidRPr="00522A62">
        <w:t xml:space="preserve">To classes). For each of the change maps there </w:t>
      </w:r>
      <w:r>
        <w:t>we</w:t>
      </w:r>
      <w:r w:rsidRPr="00522A62">
        <w:t xml:space="preserve">re potentially 144 From/To classes. </w:t>
      </w:r>
    </w:p>
    <w:p w:rsidR="00547226" w:rsidRDefault="00547226" w:rsidP="00224F8A">
      <w:pPr>
        <w:sectPr w:rsidR="00547226" w:rsidSect="00224F8A">
          <w:headerReference w:type="default" r:id="rId277"/>
          <w:pgSz w:w="11906" w:h="16838" w:code="9"/>
          <w:pgMar w:top="1440" w:right="1797" w:bottom="1440" w:left="1797" w:header="1077" w:footer="833" w:gutter="0"/>
          <w:cols w:space="360"/>
          <w:noEndnote/>
          <w:docGrid w:linePitch="299"/>
        </w:sectPr>
      </w:pPr>
    </w:p>
    <w:p w:rsidR="00224F8A" w:rsidRPr="00522A62" w:rsidRDefault="00224F8A" w:rsidP="00224F8A"/>
    <w:p w:rsidR="00224F8A" w:rsidRDefault="00224F8A" w:rsidP="00224F8A">
      <w:pPr>
        <w:keepNext/>
        <w:jc w:val="center"/>
      </w:pPr>
      <w:r w:rsidRPr="00522A62">
        <w:rPr>
          <w:noProof/>
          <w:lang w:eastAsia="en-AU"/>
        </w:rPr>
        <w:drawing>
          <wp:inline distT="0" distB="0" distL="0" distR="0">
            <wp:extent cx="4317808" cy="1980000"/>
            <wp:effectExtent l="19050" t="0" r="6542" b="0"/>
            <wp:docPr id="22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8" cstate="screen"/>
                    <a:srcRect/>
                    <a:stretch>
                      <a:fillRect/>
                    </a:stretch>
                  </pic:blipFill>
                  <pic:spPr bwMode="auto">
                    <a:xfrm>
                      <a:off x="0" y="0"/>
                      <a:ext cx="4317808" cy="1980000"/>
                    </a:xfrm>
                    <a:prstGeom prst="rect">
                      <a:avLst/>
                    </a:prstGeom>
                    <a:noFill/>
                    <a:ln w="9525">
                      <a:noFill/>
                      <a:miter lim="800000"/>
                      <a:headEnd/>
                      <a:tailEnd/>
                    </a:ln>
                  </pic:spPr>
                </pic:pic>
              </a:graphicData>
            </a:graphic>
          </wp:inline>
        </w:drawing>
      </w:r>
    </w:p>
    <w:p w:rsidR="00224F8A" w:rsidRDefault="00224F8A" w:rsidP="00224F8A">
      <w:pPr>
        <w:pStyle w:val="figurecaption"/>
      </w:pPr>
      <w:bookmarkStart w:id="279" w:name="_Ref401310334"/>
      <w:r w:rsidRPr="003335E1">
        <w:rPr>
          <w:b/>
        </w:rPr>
        <w:t xml:space="preserve">Figure </w:t>
      </w:r>
      <w:bookmarkEnd w:id="279"/>
      <w:r w:rsidR="00A1570C">
        <w:rPr>
          <w:b/>
        </w:rPr>
        <w:t>2</w:t>
      </w:r>
      <w:r>
        <w:t xml:space="preserve"> Classified objects for two dates.</w:t>
      </w:r>
    </w:p>
    <w:p w:rsidR="00224F8A" w:rsidRDefault="00224F8A" w:rsidP="00224F8A">
      <w:pPr>
        <w:pStyle w:val="figurecaption"/>
        <w:keepNext/>
      </w:pPr>
      <w:r w:rsidRPr="00522A62">
        <w:rPr>
          <w:noProof/>
          <w:lang w:eastAsia="en-AU"/>
        </w:rPr>
        <w:drawing>
          <wp:inline distT="0" distB="0" distL="0" distR="0">
            <wp:extent cx="5263515" cy="1929765"/>
            <wp:effectExtent l="19050" t="0" r="0" b="0"/>
            <wp:docPr id="22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9" cstate="screen"/>
                    <a:srcRect/>
                    <a:stretch>
                      <a:fillRect/>
                    </a:stretch>
                  </pic:blipFill>
                  <pic:spPr bwMode="auto">
                    <a:xfrm>
                      <a:off x="0" y="0"/>
                      <a:ext cx="5263515" cy="1929765"/>
                    </a:xfrm>
                    <a:prstGeom prst="rect">
                      <a:avLst/>
                    </a:prstGeom>
                    <a:noFill/>
                    <a:ln w="9525">
                      <a:noFill/>
                      <a:miter lim="800000"/>
                      <a:headEnd/>
                      <a:tailEnd/>
                    </a:ln>
                  </pic:spPr>
                </pic:pic>
              </a:graphicData>
            </a:graphic>
          </wp:inline>
        </w:drawing>
      </w:r>
      <w:bookmarkStart w:id="280" w:name="_Ref391546643"/>
    </w:p>
    <w:p w:rsidR="00224F8A" w:rsidRDefault="00224F8A" w:rsidP="00224F8A">
      <w:pPr>
        <w:pStyle w:val="figurecaption"/>
      </w:pPr>
      <w:bookmarkStart w:id="281" w:name="_Ref401310477"/>
      <w:r w:rsidRPr="003335E1">
        <w:rPr>
          <w:b/>
        </w:rPr>
        <w:t xml:space="preserve">Figure </w:t>
      </w:r>
      <w:bookmarkEnd w:id="280"/>
      <w:bookmarkEnd w:id="281"/>
      <w:r w:rsidR="00A1570C">
        <w:rPr>
          <w:b/>
        </w:rPr>
        <w:t>3</w:t>
      </w:r>
      <w:r>
        <w:t xml:space="preserve"> (a) ‘Change’ (grey) and ‘No change’ (white) objects based on the overlay of classified objects </w:t>
      </w:r>
      <w:r w:rsidRPr="003335E1">
        <w:t xml:space="preserve">from the two dates shown in </w:t>
      </w:r>
      <w:fldSimple w:instr=" REF _Ref401310334 \h  \* MERGEFORMAT ">
        <w:r w:rsidR="00822683" w:rsidRPr="00822683">
          <w:t xml:space="preserve">Figure </w:t>
        </w:r>
      </w:fldSimple>
      <w:r w:rsidRPr="003335E1">
        <w:t>, and (b) From/To classes for objects that changed class between</w:t>
      </w:r>
      <w:r>
        <w:t xml:space="preserve"> the two dates.</w:t>
      </w:r>
    </w:p>
    <w:p w:rsidR="00224F8A" w:rsidRDefault="00224F8A" w:rsidP="005873E1">
      <w:pPr>
        <w:pStyle w:val="Heading2"/>
      </w:pPr>
      <w:r>
        <w:t>Results</w:t>
      </w:r>
      <w:r w:rsidR="00547226">
        <w:t xml:space="preserve"> </w:t>
      </w:r>
      <w:r>
        <w:t>and Discussion</w:t>
      </w:r>
    </w:p>
    <w:p w:rsidR="00224F8A" w:rsidRDefault="00224F8A" w:rsidP="005873E1">
      <w:pPr>
        <w:pStyle w:val="Heading3"/>
      </w:pPr>
      <w:r>
        <w:t>Annual vegetation maps</w:t>
      </w:r>
    </w:p>
    <w:p w:rsidR="00EF026E" w:rsidRDefault="00224F8A" w:rsidP="00224F8A">
      <w:r w:rsidRPr="009050B9">
        <w:t xml:space="preserve">Each of the final vegetation community maps (for 2010, 2011, 2012 and 2013) consisted of an Open water class and 11 vegetation classes labelled based on the dominant Genera for the community. These classes </w:t>
      </w:r>
      <w:r>
        <w:t>we</w:t>
      </w:r>
      <w:r w:rsidRPr="009050B9">
        <w:t xml:space="preserve">re consistent with those identified </w:t>
      </w:r>
      <w:r>
        <w:t>in</w:t>
      </w:r>
      <w:r w:rsidRPr="009050B9">
        <w:t xml:space="preserve"> previous research  </w:t>
      </w:r>
      <w:r w:rsidR="006B5A61" w:rsidRPr="009050B9">
        <w:fldChar w:fldCharType="begin">
          <w:fldData xml:space="preserve">PEVuZE5vdGU+PENpdGU+PEF1dGhvcj5GaW5sYXlzb248L0F1dGhvcj48WWVhcj4xOTg5PC9ZZWFy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</w:fldData>
        </w:fldChar>
      </w:r>
      <w:r w:rsidRPr="009050B9">
        <w:instrText xml:space="preserve"> ADDIN EN.CITE </w:instrText>
      </w:r>
      <w:r w:rsidR="006B5A61" w:rsidRPr="009050B9">
        <w:fldChar w:fldCharType="begin">
          <w:fldData xml:space="preserve">PEVuZE5vdGU+PENpdGU+PEF1dGhvcj5GaW5sYXlzb248L0F1dGhvcj48WWVhcj4xOTg5PC9ZZWFy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</w:fldData>
        </w:fldChar>
      </w:r>
      <w:r w:rsidRPr="009050B9">
        <w:instrText xml:space="preserve"> ADDIN EN.CITE.DATA </w:instrText>
      </w:r>
      <w:r w:rsidR="006B5A61" w:rsidRPr="009050B9">
        <w:fldChar w:fldCharType="end"/>
      </w:r>
      <w:r w:rsidR="006B5A61" w:rsidRPr="009050B9">
        <w:fldChar w:fldCharType="separate"/>
      </w:r>
      <w:r w:rsidRPr="009050B9">
        <w:rPr>
          <w:noProof/>
        </w:rPr>
        <w:t> (</w:t>
      </w:r>
      <w:hyperlink w:anchor="_ENREF_5" w:tooltip="Finlayson, 1989 #1" w:history="1">
        <w:r w:rsidRPr="009050B9">
          <w:rPr>
            <w:noProof/>
          </w:rPr>
          <w:t>Finlayson et al</w:t>
        </w:r>
        <w:r w:rsidR="00EF026E">
          <w:rPr>
            <w:noProof/>
          </w:rPr>
          <w:t>.</w:t>
        </w:r>
        <w:r w:rsidRPr="009050B9">
          <w:rPr>
            <w:noProof/>
          </w:rPr>
          <w:t xml:space="preserve"> 1989</w:t>
        </w:r>
      </w:hyperlink>
      <w:r w:rsidRPr="009050B9">
        <w:rPr>
          <w:noProof/>
        </w:rPr>
        <w:t xml:space="preserve">, </w:t>
      </w:r>
      <w:hyperlink w:anchor="_ENREF_2" w:tooltip="Boyden, 2013 #33" w:history="1">
        <w:r w:rsidRPr="009050B9">
          <w:rPr>
            <w:noProof/>
          </w:rPr>
          <w:t>Boyden et al</w:t>
        </w:r>
        <w:r w:rsidR="00EF026E">
          <w:rPr>
            <w:noProof/>
          </w:rPr>
          <w:t>.</w:t>
        </w:r>
        <w:r w:rsidRPr="009050B9">
          <w:rPr>
            <w:noProof/>
          </w:rPr>
          <w:t xml:space="preserve"> 2013</w:t>
        </w:r>
      </w:hyperlink>
      <w:r w:rsidRPr="009050B9">
        <w:rPr>
          <w:noProof/>
        </w:rPr>
        <w:t>)</w:t>
      </w:r>
      <w:r w:rsidR="006B5A61" w:rsidRPr="009050B9">
        <w:fldChar w:fldCharType="end"/>
      </w:r>
      <w:r w:rsidRPr="009050B9">
        <w:t xml:space="preserve">: </w:t>
      </w:r>
      <w:r w:rsidRPr="009050B9">
        <w:rPr>
          <w:i/>
        </w:rPr>
        <w:t>Eleocharis</w:t>
      </w:r>
      <w:r w:rsidRPr="009050B9">
        <w:t xml:space="preserve"> sedgeland, </w:t>
      </w:r>
      <w:r w:rsidRPr="009050B9">
        <w:rPr>
          <w:i/>
        </w:rPr>
        <w:t>Hymenachne</w:t>
      </w:r>
      <w:r w:rsidRPr="009050B9">
        <w:t xml:space="preserve"> grassland, </w:t>
      </w:r>
      <w:r w:rsidRPr="009050B9">
        <w:rPr>
          <w:i/>
        </w:rPr>
        <w:t>Leersia</w:t>
      </w:r>
      <w:r w:rsidRPr="009050B9">
        <w:t xml:space="preserve"> grassland, </w:t>
      </w:r>
      <w:r w:rsidRPr="009050B9">
        <w:rPr>
          <w:i/>
        </w:rPr>
        <w:t>Melaleuca</w:t>
      </w:r>
      <w:r w:rsidRPr="009050B9">
        <w:t xml:space="preserve"> open forest, </w:t>
      </w:r>
      <w:r w:rsidRPr="009050B9">
        <w:rPr>
          <w:i/>
        </w:rPr>
        <w:t>Melaleuca</w:t>
      </w:r>
      <w:r w:rsidRPr="009050B9">
        <w:t xml:space="preserve"> woodland, </w:t>
      </w:r>
      <w:r w:rsidRPr="009050B9">
        <w:rPr>
          <w:i/>
        </w:rPr>
        <w:t>Nelumbo</w:t>
      </w:r>
      <w:r w:rsidRPr="009050B9">
        <w:t xml:space="preserve"> herbland, </w:t>
      </w:r>
      <w:r w:rsidRPr="009050B9">
        <w:rPr>
          <w:i/>
        </w:rPr>
        <w:t>Oryza</w:t>
      </w:r>
      <w:r w:rsidRPr="009050B9">
        <w:t xml:space="preserve"> grassland, Para grass (</w:t>
      </w:r>
      <w:r w:rsidRPr="009050B9">
        <w:rPr>
          <w:i/>
        </w:rPr>
        <w:t>Urochloa mutica</w:t>
      </w:r>
      <w:r w:rsidRPr="009050B9">
        <w:t xml:space="preserve">), </w:t>
      </w:r>
      <w:r w:rsidRPr="009050B9">
        <w:rPr>
          <w:i/>
        </w:rPr>
        <w:t>Pseudoraphis</w:t>
      </w:r>
      <w:r w:rsidRPr="009050B9">
        <w:t xml:space="preserve"> grassland, </w:t>
      </w:r>
      <w:r w:rsidRPr="009050B9">
        <w:rPr>
          <w:i/>
        </w:rPr>
        <w:t>Pseudoraphis</w:t>
      </w:r>
      <w:r w:rsidRPr="009050B9">
        <w:t xml:space="preserve">/ </w:t>
      </w:r>
      <w:r w:rsidRPr="009050B9">
        <w:rPr>
          <w:i/>
        </w:rPr>
        <w:t>Hymenachne</w:t>
      </w:r>
      <w:r w:rsidRPr="009050B9">
        <w:t xml:space="preserve"> grassland and </w:t>
      </w:r>
      <w:r w:rsidRPr="009050B9">
        <w:rPr>
          <w:i/>
        </w:rPr>
        <w:t>Salvinia</w:t>
      </w:r>
      <w:r w:rsidRPr="009050B9">
        <w:t xml:space="preserve"> floating mats. The 2010 map also has cloud and cloud shadow classes, whereas there was no cloud present in the other years. Areas in </w:t>
      </w:r>
      <w:r>
        <w:t>hectares</w:t>
      </w:r>
      <w:r w:rsidRPr="009050B9">
        <w:t xml:space="preserve"> for each of the classes for each year are provided </w:t>
      </w:r>
      <w:r w:rsidRPr="00522FF5">
        <w:t>in</w:t>
      </w:r>
      <w:r w:rsidR="00D3231E">
        <w:t xml:space="preserve"> Table 2</w:t>
      </w:r>
      <w:r w:rsidRPr="00522FF5">
        <w:t>.</w:t>
      </w:r>
    </w:p>
    <w:p w:rsidR="005B7818" w:rsidRDefault="005B7818">
      <w:pPr>
        <w:spacing w:after="0" w:line="240" w:lineRule="auto"/>
        <w:jc w:val="left"/>
        <w:sectPr w:rsidR="005B7818" w:rsidSect="00224F8A">
          <w:pgSz w:w="11906" w:h="16838" w:code="9"/>
          <w:pgMar w:top="1440" w:right="1797" w:bottom="1440" w:left="1797" w:header="1077" w:footer="833" w:gutter="0"/>
          <w:cols w:space="360"/>
          <w:noEndnote/>
          <w:docGrid w:linePitch="299"/>
        </w:sectPr>
      </w:pPr>
    </w:p>
    <w:p w:rsidR="00EF026E" w:rsidRDefault="00EF026E">
      <w:pPr>
        <w:spacing w:after="0" w:line="240" w:lineRule="auto"/>
        <w:jc w:val="left"/>
      </w:pPr>
    </w:p>
    <w:p w:rsidR="00224F8A" w:rsidRDefault="00224F8A" w:rsidP="00224F8A">
      <w:pPr>
        <w:pStyle w:val="tablecaption"/>
      </w:pPr>
      <w:bookmarkStart w:id="282" w:name="_Ref397075306"/>
      <w:r w:rsidRPr="00A05EC5">
        <w:rPr>
          <w:b/>
        </w:rPr>
        <w:t xml:space="preserve">Table </w:t>
      </w:r>
      <w:bookmarkEnd w:id="282"/>
      <w:r w:rsidR="00A1570C">
        <w:rPr>
          <w:b/>
        </w:rPr>
        <w:t>2</w:t>
      </w:r>
      <w:r>
        <w:t xml:space="preserve"> </w:t>
      </w:r>
      <w:r w:rsidRPr="00522FF5">
        <w:t>Areas (ha) of each vegetation class for each year.</w:t>
      </w:r>
    </w:p>
    <w:tbl>
      <w:tblPr>
        <w:tblW w:w="0" w:type="auto"/>
        <w:tblLook w:val="04A0"/>
      </w:tblPr>
      <w:tblGrid>
        <w:gridCol w:w="2338"/>
        <w:gridCol w:w="1546"/>
        <w:gridCol w:w="1546"/>
        <w:gridCol w:w="1546"/>
        <w:gridCol w:w="1546"/>
      </w:tblGrid>
      <w:tr w:rsidR="002E767B" w:rsidRPr="009A0A84" w:rsidTr="002E767B">
        <w:trPr>
          <w:trHeight w:val="170"/>
        </w:trPr>
        <w:tc>
          <w:tcPr>
            <w:tcW w:w="2338" w:type="dxa"/>
            <w:tcBorders>
              <w:top w:val="single" w:sz="4" w:space="0" w:color="auto"/>
              <w:bottom w:val="single" w:sz="4" w:space="0" w:color="auto"/>
            </w:tcBorders>
          </w:tcPr>
          <w:p w:rsidR="002E767B" w:rsidRPr="009A0A84" w:rsidRDefault="002E767B" w:rsidP="002E767B">
            <w:pPr>
              <w:spacing w:before="20" w:after="20" w:line="360" w:lineRule="auto"/>
              <w:jc w:val="center"/>
              <w:rPr>
                <w:rFonts w:ascii="Arial" w:hAnsi="Arial" w:cs="Arial"/>
                <w:b/>
                <w:sz w:val="16"/>
                <w:szCs w:val="16"/>
              </w:rPr>
            </w:pPr>
            <w:r w:rsidRPr="009A0A84">
              <w:rPr>
                <w:rFonts w:ascii="Arial" w:hAnsi="Arial" w:cs="Arial"/>
                <w:b/>
                <w:sz w:val="16"/>
                <w:szCs w:val="16"/>
              </w:rPr>
              <w:t>Class</w:t>
            </w:r>
          </w:p>
        </w:tc>
        <w:tc>
          <w:tcPr>
            <w:tcW w:w="1546" w:type="dxa"/>
            <w:tcBorders>
              <w:top w:val="single" w:sz="4" w:space="0" w:color="auto"/>
              <w:bottom w:val="single" w:sz="4" w:space="0" w:color="auto"/>
            </w:tcBorders>
          </w:tcPr>
          <w:p w:rsidR="002E767B" w:rsidRPr="009A0A84" w:rsidRDefault="002E767B" w:rsidP="002E767B">
            <w:pPr>
              <w:spacing w:before="20" w:after="20" w:line="360" w:lineRule="auto"/>
              <w:jc w:val="center"/>
              <w:rPr>
                <w:rFonts w:ascii="Arial" w:hAnsi="Arial" w:cs="Arial"/>
                <w:b/>
                <w:sz w:val="16"/>
                <w:szCs w:val="16"/>
              </w:rPr>
            </w:pPr>
            <w:r w:rsidRPr="009A0A84">
              <w:rPr>
                <w:rFonts w:ascii="Arial" w:hAnsi="Arial" w:cs="Arial"/>
                <w:b/>
                <w:sz w:val="16"/>
                <w:szCs w:val="16"/>
              </w:rPr>
              <w:t>2010</w:t>
            </w:r>
          </w:p>
        </w:tc>
        <w:tc>
          <w:tcPr>
            <w:tcW w:w="1546" w:type="dxa"/>
            <w:tcBorders>
              <w:top w:val="single" w:sz="4" w:space="0" w:color="auto"/>
              <w:bottom w:val="single" w:sz="4" w:space="0" w:color="auto"/>
            </w:tcBorders>
          </w:tcPr>
          <w:p w:rsidR="002E767B" w:rsidRPr="009A0A84" w:rsidRDefault="002E767B" w:rsidP="002E767B">
            <w:pPr>
              <w:spacing w:before="20" w:after="20" w:line="360" w:lineRule="auto"/>
              <w:jc w:val="center"/>
              <w:rPr>
                <w:rFonts w:ascii="Arial" w:hAnsi="Arial" w:cs="Arial"/>
                <w:b/>
                <w:sz w:val="16"/>
                <w:szCs w:val="16"/>
              </w:rPr>
            </w:pPr>
            <w:r w:rsidRPr="009A0A84">
              <w:rPr>
                <w:rFonts w:ascii="Arial" w:hAnsi="Arial" w:cs="Arial"/>
                <w:b/>
                <w:sz w:val="16"/>
                <w:szCs w:val="16"/>
              </w:rPr>
              <w:t>2011</w:t>
            </w:r>
          </w:p>
        </w:tc>
        <w:tc>
          <w:tcPr>
            <w:tcW w:w="1546" w:type="dxa"/>
            <w:tcBorders>
              <w:top w:val="single" w:sz="4" w:space="0" w:color="auto"/>
              <w:bottom w:val="single" w:sz="4" w:space="0" w:color="auto"/>
            </w:tcBorders>
          </w:tcPr>
          <w:p w:rsidR="002E767B" w:rsidRPr="009A0A84" w:rsidRDefault="002E767B" w:rsidP="002E767B">
            <w:pPr>
              <w:spacing w:before="20" w:after="20" w:line="360" w:lineRule="auto"/>
              <w:jc w:val="center"/>
              <w:rPr>
                <w:rFonts w:ascii="Arial" w:hAnsi="Arial" w:cs="Arial"/>
                <w:b/>
                <w:sz w:val="16"/>
                <w:szCs w:val="16"/>
              </w:rPr>
            </w:pPr>
            <w:r w:rsidRPr="009A0A84">
              <w:rPr>
                <w:rFonts w:ascii="Arial" w:hAnsi="Arial" w:cs="Arial"/>
                <w:b/>
                <w:sz w:val="16"/>
                <w:szCs w:val="16"/>
              </w:rPr>
              <w:t>2012</w:t>
            </w:r>
          </w:p>
        </w:tc>
        <w:tc>
          <w:tcPr>
            <w:tcW w:w="1546" w:type="dxa"/>
            <w:tcBorders>
              <w:top w:val="single" w:sz="4" w:space="0" w:color="auto"/>
              <w:bottom w:val="single" w:sz="4" w:space="0" w:color="auto"/>
            </w:tcBorders>
          </w:tcPr>
          <w:p w:rsidR="002E767B" w:rsidRPr="009A0A84" w:rsidRDefault="002E767B" w:rsidP="002E767B">
            <w:pPr>
              <w:spacing w:before="20" w:after="20" w:line="360" w:lineRule="auto"/>
              <w:jc w:val="center"/>
              <w:rPr>
                <w:rFonts w:ascii="Arial" w:hAnsi="Arial" w:cs="Arial"/>
                <w:b/>
                <w:sz w:val="16"/>
                <w:szCs w:val="16"/>
              </w:rPr>
            </w:pPr>
            <w:r w:rsidRPr="009A0A84">
              <w:rPr>
                <w:rFonts w:ascii="Arial" w:hAnsi="Arial" w:cs="Arial"/>
                <w:b/>
                <w:sz w:val="16"/>
                <w:szCs w:val="16"/>
              </w:rPr>
              <w:t>2013</w:t>
            </w:r>
          </w:p>
        </w:tc>
      </w:tr>
      <w:tr w:rsidR="002E767B" w:rsidRPr="009A0A84" w:rsidTr="002E767B">
        <w:trPr>
          <w:trHeight w:val="170"/>
        </w:trPr>
        <w:tc>
          <w:tcPr>
            <w:tcW w:w="2338" w:type="dxa"/>
            <w:tcBorders>
              <w:top w:val="single" w:sz="4" w:space="0" w:color="auto"/>
            </w:tcBorders>
          </w:tcPr>
          <w:p w:rsidR="002E767B" w:rsidRPr="009A0A84" w:rsidRDefault="002E767B" w:rsidP="002E767B">
            <w:pPr>
              <w:spacing w:before="20" w:after="20" w:line="360" w:lineRule="auto"/>
              <w:jc w:val="left"/>
              <w:rPr>
                <w:rFonts w:ascii="Arial" w:hAnsi="Arial" w:cs="Arial"/>
                <w:i/>
                <w:sz w:val="16"/>
                <w:szCs w:val="16"/>
              </w:rPr>
            </w:pPr>
            <w:r w:rsidRPr="009A0A84">
              <w:rPr>
                <w:rFonts w:ascii="Arial" w:hAnsi="Arial" w:cs="Arial"/>
                <w:i/>
                <w:sz w:val="16"/>
                <w:szCs w:val="16"/>
              </w:rPr>
              <w:t>Eleocharis</w:t>
            </w:r>
          </w:p>
        </w:tc>
        <w:tc>
          <w:tcPr>
            <w:tcW w:w="1546" w:type="dxa"/>
            <w:tcBorders>
              <w:top w:val="single" w:sz="4" w:space="0" w:color="auto"/>
            </w:tcBorders>
            <w:vAlign w:val="bottom"/>
          </w:tcPr>
          <w:p w:rsidR="002E767B" w:rsidRPr="009A0A84" w:rsidRDefault="002E767B" w:rsidP="002E767B">
            <w:pPr>
              <w:ind w:right="500"/>
              <w:jc w:val="right"/>
              <w:rPr>
                <w:rFonts w:ascii="Arial" w:hAnsi="Arial" w:cs="Arial"/>
                <w:color w:val="000000"/>
                <w:sz w:val="16"/>
                <w:szCs w:val="16"/>
              </w:rPr>
            </w:pPr>
            <w:r w:rsidRPr="009A0A84">
              <w:rPr>
                <w:rFonts w:ascii="Arial" w:hAnsi="Arial" w:cs="Arial"/>
                <w:color w:val="000000"/>
                <w:sz w:val="16"/>
                <w:szCs w:val="16"/>
              </w:rPr>
              <w:t>0</w:t>
            </w:r>
          </w:p>
        </w:tc>
        <w:tc>
          <w:tcPr>
            <w:tcW w:w="1546" w:type="dxa"/>
            <w:tcBorders>
              <w:top w:val="single" w:sz="4" w:space="0" w:color="auto"/>
            </w:tcBorders>
            <w:vAlign w:val="bottom"/>
          </w:tcPr>
          <w:p w:rsidR="002E767B" w:rsidRPr="009A0A84" w:rsidRDefault="002E767B" w:rsidP="002E767B">
            <w:pPr>
              <w:ind w:right="509"/>
              <w:jc w:val="right"/>
              <w:rPr>
                <w:rFonts w:ascii="Arial" w:hAnsi="Arial" w:cs="Arial"/>
                <w:color w:val="000000"/>
                <w:sz w:val="16"/>
                <w:szCs w:val="16"/>
              </w:rPr>
            </w:pPr>
            <w:r w:rsidRPr="009A0A84">
              <w:rPr>
                <w:rFonts w:ascii="Arial" w:hAnsi="Arial" w:cs="Arial"/>
                <w:color w:val="000000"/>
                <w:sz w:val="16"/>
                <w:szCs w:val="16"/>
              </w:rPr>
              <w:t>90</w:t>
            </w:r>
          </w:p>
        </w:tc>
        <w:tc>
          <w:tcPr>
            <w:tcW w:w="1546" w:type="dxa"/>
            <w:tcBorders>
              <w:top w:val="single" w:sz="4" w:space="0" w:color="auto"/>
            </w:tcBorders>
            <w:vAlign w:val="bottom"/>
          </w:tcPr>
          <w:p w:rsidR="002E767B" w:rsidRPr="009A0A84" w:rsidRDefault="002E767B" w:rsidP="002E767B">
            <w:pPr>
              <w:ind w:right="509"/>
              <w:jc w:val="right"/>
              <w:rPr>
                <w:rFonts w:ascii="Arial" w:hAnsi="Arial" w:cs="Arial"/>
                <w:color w:val="000000"/>
                <w:sz w:val="16"/>
                <w:szCs w:val="16"/>
              </w:rPr>
            </w:pPr>
            <w:r w:rsidRPr="009A0A84">
              <w:rPr>
                <w:rFonts w:ascii="Arial" w:hAnsi="Arial" w:cs="Arial"/>
                <w:color w:val="000000"/>
                <w:sz w:val="16"/>
                <w:szCs w:val="16"/>
              </w:rPr>
              <w:t>0</w:t>
            </w:r>
          </w:p>
        </w:tc>
        <w:tc>
          <w:tcPr>
            <w:tcW w:w="1546" w:type="dxa"/>
            <w:tcBorders>
              <w:top w:val="single" w:sz="4" w:space="0" w:color="auto"/>
            </w:tcBorders>
            <w:vAlign w:val="bottom"/>
          </w:tcPr>
          <w:p w:rsidR="002E767B" w:rsidRPr="009A0A84" w:rsidRDefault="002E767B" w:rsidP="002E767B">
            <w:pPr>
              <w:ind w:right="509"/>
              <w:jc w:val="right"/>
              <w:rPr>
                <w:rFonts w:ascii="Arial" w:hAnsi="Arial" w:cs="Arial"/>
                <w:color w:val="000000"/>
                <w:sz w:val="16"/>
                <w:szCs w:val="16"/>
              </w:rPr>
            </w:pPr>
            <w:r w:rsidRPr="009A0A84">
              <w:rPr>
                <w:rFonts w:ascii="Arial" w:hAnsi="Arial" w:cs="Arial"/>
                <w:color w:val="000000"/>
                <w:sz w:val="16"/>
                <w:szCs w:val="16"/>
              </w:rPr>
              <w:t>0</w:t>
            </w:r>
          </w:p>
        </w:tc>
      </w:tr>
      <w:tr w:rsidR="002E767B" w:rsidRPr="009A0A84" w:rsidTr="002E767B">
        <w:trPr>
          <w:trHeight w:val="170"/>
        </w:trPr>
        <w:tc>
          <w:tcPr>
            <w:tcW w:w="2338" w:type="dxa"/>
          </w:tcPr>
          <w:p w:rsidR="002E767B" w:rsidRPr="009A0A84" w:rsidRDefault="002E767B" w:rsidP="002E767B">
            <w:pPr>
              <w:spacing w:before="20" w:after="20" w:line="360" w:lineRule="auto"/>
              <w:jc w:val="left"/>
              <w:rPr>
                <w:rFonts w:ascii="Arial" w:hAnsi="Arial" w:cs="Arial"/>
                <w:i/>
                <w:sz w:val="16"/>
                <w:szCs w:val="16"/>
              </w:rPr>
            </w:pPr>
            <w:r w:rsidRPr="009A0A84">
              <w:rPr>
                <w:rFonts w:ascii="Arial" w:hAnsi="Arial" w:cs="Arial"/>
                <w:i/>
                <w:sz w:val="16"/>
                <w:szCs w:val="16"/>
              </w:rPr>
              <w:t>Hymenachne</w:t>
            </w:r>
          </w:p>
        </w:tc>
        <w:tc>
          <w:tcPr>
            <w:tcW w:w="1546" w:type="dxa"/>
            <w:vAlign w:val="bottom"/>
          </w:tcPr>
          <w:p w:rsidR="002E767B" w:rsidRPr="009A0A84" w:rsidRDefault="002E767B" w:rsidP="002E767B">
            <w:pPr>
              <w:ind w:right="500"/>
              <w:jc w:val="right"/>
              <w:rPr>
                <w:rFonts w:ascii="Arial" w:hAnsi="Arial" w:cs="Arial"/>
                <w:color w:val="000000"/>
                <w:sz w:val="16"/>
                <w:szCs w:val="16"/>
              </w:rPr>
            </w:pPr>
            <w:r w:rsidRPr="009A0A84">
              <w:rPr>
                <w:rFonts w:ascii="Arial" w:hAnsi="Arial" w:cs="Arial"/>
                <w:color w:val="000000"/>
                <w:sz w:val="16"/>
                <w:szCs w:val="16"/>
              </w:rPr>
              <w:t>557</w:t>
            </w:r>
          </w:p>
        </w:tc>
        <w:tc>
          <w:tcPr>
            <w:tcW w:w="1546" w:type="dxa"/>
            <w:vAlign w:val="bottom"/>
          </w:tcPr>
          <w:p w:rsidR="002E767B" w:rsidRPr="009A0A84" w:rsidRDefault="002E767B" w:rsidP="002E767B">
            <w:pPr>
              <w:ind w:right="509"/>
              <w:jc w:val="right"/>
              <w:rPr>
                <w:rFonts w:ascii="Arial" w:hAnsi="Arial" w:cs="Arial"/>
                <w:color w:val="000000"/>
                <w:sz w:val="16"/>
                <w:szCs w:val="16"/>
              </w:rPr>
            </w:pPr>
            <w:r w:rsidRPr="009A0A84">
              <w:rPr>
                <w:rFonts w:ascii="Arial" w:hAnsi="Arial" w:cs="Arial"/>
                <w:color w:val="000000"/>
                <w:sz w:val="16"/>
                <w:szCs w:val="16"/>
              </w:rPr>
              <w:t>543</w:t>
            </w:r>
          </w:p>
        </w:tc>
        <w:tc>
          <w:tcPr>
            <w:tcW w:w="1546" w:type="dxa"/>
            <w:vAlign w:val="bottom"/>
          </w:tcPr>
          <w:p w:rsidR="002E767B" w:rsidRPr="009A0A84" w:rsidRDefault="002E767B" w:rsidP="002E767B">
            <w:pPr>
              <w:ind w:right="509"/>
              <w:jc w:val="right"/>
              <w:rPr>
                <w:rFonts w:ascii="Arial" w:hAnsi="Arial" w:cs="Arial"/>
                <w:color w:val="000000"/>
                <w:sz w:val="16"/>
                <w:szCs w:val="16"/>
              </w:rPr>
            </w:pPr>
            <w:r w:rsidRPr="009A0A84">
              <w:rPr>
                <w:rFonts w:ascii="Arial" w:hAnsi="Arial" w:cs="Arial"/>
                <w:color w:val="000000"/>
                <w:sz w:val="16"/>
                <w:szCs w:val="16"/>
              </w:rPr>
              <w:t>348</w:t>
            </w:r>
          </w:p>
        </w:tc>
        <w:tc>
          <w:tcPr>
            <w:tcW w:w="1546" w:type="dxa"/>
            <w:vAlign w:val="bottom"/>
          </w:tcPr>
          <w:p w:rsidR="002E767B" w:rsidRPr="009A0A84" w:rsidRDefault="002E767B" w:rsidP="002E767B">
            <w:pPr>
              <w:ind w:right="509"/>
              <w:jc w:val="right"/>
              <w:rPr>
                <w:rFonts w:ascii="Arial" w:hAnsi="Arial" w:cs="Arial"/>
                <w:color w:val="000000"/>
                <w:sz w:val="16"/>
                <w:szCs w:val="16"/>
              </w:rPr>
            </w:pPr>
            <w:r w:rsidRPr="009A0A84">
              <w:rPr>
                <w:rFonts w:ascii="Arial" w:hAnsi="Arial" w:cs="Arial"/>
                <w:color w:val="000000"/>
                <w:sz w:val="16"/>
                <w:szCs w:val="16"/>
              </w:rPr>
              <w:t>1232</w:t>
            </w:r>
          </w:p>
        </w:tc>
      </w:tr>
      <w:tr w:rsidR="002E767B" w:rsidRPr="009A0A84" w:rsidTr="002E767B">
        <w:trPr>
          <w:trHeight w:val="170"/>
        </w:trPr>
        <w:tc>
          <w:tcPr>
            <w:tcW w:w="2338" w:type="dxa"/>
          </w:tcPr>
          <w:p w:rsidR="002E767B" w:rsidRPr="009A0A84" w:rsidRDefault="002E767B" w:rsidP="002E767B">
            <w:pPr>
              <w:spacing w:before="20" w:after="20" w:line="360" w:lineRule="auto"/>
              <w:jc w:val="left"/>
              <w:rPr>
                <w:rFonts w:ascii="Arial" w:hAnsi="Arial" w:cs="Arial"/>
                <w:i/>
                <w:sz w:val="16"/>
                <w:szCs w:val="16"/>
              </w:rPr>
            </w:pPr>
            <w:r w:rsidRPr="009A0A84">
              <w:rPr>
                <w:rFonts w:ascii="Arial" w:hAnsi="Arial" w:cs="Arial"/>
                <w:i/>
                <w:sz w:val="16"/>
                <w:szCs w:val="16"/>
              </w:rPr>
              <w:t>Leersia</w:t>
            </w:r>
          </w:p>
        </w:tc>
        <w:tc>
          <w:tcPr>
            <w:tcW w:w="1546" w:type="dxa"/>
            <w:vAlign w:val="bottom"/>
          </w:tcPr>
          <w:p w:rsidR="002E767B" w:rsidRPr="009A0A84" w:rsidRDefault="002E767B" w:rsidP="002E767B">
            <w:pPr>
              <w:ind w:right="500"/>
              <w:jc w:val="right"/>
              <w:rPr>
                <w:rFonts w:ascii="Arial" w:hAnsi="Arial" w:cs="Arial"/>
                <w:color w:val="000000"/>
                <w:sz w:val="16"/>
                <w:szCs w:val="16"/>
              </w:rPr>
            </w:pPr>
            <w:r w:rsidRPr="009A0A84">
              <w:rPr>
                <w:rFonts w:ascii="Arial" w:hAnsi="Arial" w:cs="Arial"/>
                <w:color w:val="000000"/>
                <w:sz w:val="16"/>
                <w:szCs w:val="16"/>
              </w:rPr>
              <w:t>33</w:t>
            </w:r>
          </w:p>
        </w:tc>
        <w:tc>
          <w:tcPr>
            <w:tcW w:w="1546" w:type="dxa"/>
            <w:vAlign w:val="bottom"/>
          </w:tcPr>
          <w:p w:rsidR="002E767B" w:rsidRPr="009A0A84" w:rsidRDefault="002E767B" w:rsidP="002E767B">
            <w:pPr>
              <w:ind w:right="509"/>
              <w:jc w:val="right"/>
              <w:rPr>
                <w:rFonts w:ascii="Arial" w:hAnsi="Arial" w:cs="Arial"/>
                <w:color w:val="000000"/>
                <w:sz w:val="16"/>
                <w:szCs w:val="16"/>
              </w:rPr>
            </w:pPr>
            <w:r w:rsidRPr="009A0A84">
              <w:rPr>
                <w:rFonts w:ascii="Arial" w:hAnsi="Arial" w:cs="Arial"/>
                <w:color w:val="000000"/>
                <w:sz w:val="16"/>
                <w:szCs w:val="16"/>
              </w:rPr>
              <w:t>177</w:t>
            </w:r>
          </w:p>
        </w:tc>
        <w:tc>
          <w:tcPr>
            <w:tcW w:w="1546" w:type="dxa"/>
            <w:vAlign w:val="bottom"/>
          </w:tcPr>
          <w:p w:rsidR="002E767B" w:rsidRPr="009A0A84" w:rsidRDefault="002E767B" w:rsidP="002E767B">
            <w:pPr>
              <w:ind w:right="509"/>
              <w:jc w:val="right"/>
              <w:rPr>
                <w:rFonts w:ascii="Arial" w:hAnsi="Arial" w:cs="Arial"/>
                <w:color w:val="000000"/>
                <w:sz w:val="16"/>
                <w:szCs w:val="16"/>
              </w:rPr>
            </w:pPr>
            <w:r w:rsidRPr="009A0A84">
              <w:rPr>
                <w:rFonts w:ascii="Arial" w:hAnsi="Arial" w:cs="Arial"/>
                <w:color w:val="000000"/>
                <w:sz w:val="16"/>
                <w:szCs w:val="16"/>
              </w:rPr>
              <w:t>40</w:t>
            </w:r>
          </w:p>
        </w:tc>
        <w:tc>
          <w:tcPr>
            <w:tcW w:w="1546" w:type="dxa"/>
            <w:vAlign w:val="bottom"/>
          </w:tcPr>
          <w:p w:rsidR="002E767B" w:rsidRPr="009A0A84" w:rsidRDefault="002E767B" w:rsidP="002E767B">
            <w:pPr>
              <w:ind w:right="509"/>
              <w:jc w:val="right"/>
              <w:rPr>
                <w:rFonts w:ascii="Arial" w:hAnsi="Arial" w:cs="Arial"/>
                <w:color w:val="000000"/>
                <w:sz w:val="16"/>
                <w:szCs w:val="16"/>
              </w:rPr>
            </w:pPr>
            <w:r w:rsidRPr="009A0A84">
              <w:rPr>
                <w:rFonts w:ascii="Arial" w:hAnsi="Arial" w:cs="Arial"/>
                <w:color w:val="000000"/>
                <w:sz w:val="16"/>
                <w:szCs w:val="16"/>
              </w:rPr>
              <w:t>0</w:t>
            </w:r>
          </w:p>
        </w:tc>
      </w:tr>
      <w:tr w:rsidR="002E767B" w:rsidRPr="009A0A84" w:rsidTr="002E767B">
        <w:trPr>
          <w:trHeight w:val="170"/>
        </w:trPr>
        <w:tc>
          <w:tcPr>
            <w:tcW w:w="2338" w:type="dxa"/>
          </w:tcPr>
          <w:p w:rsidR="002E767B" w:rsidRPr="009A0A84" w:rsidRDefault="002E767B" w:rsidP="002E767B">
            <w:pPr>
              <w:spacing w:before="20" w:after="20" w:line="360" w:lineRule="auto"/>
              <w:jc w:val="left"/>
              <w:rPr>
                <w:rFonts w:ascii="Arial" w:hAnsi="Arial" w:cs="Arial"/>
                <w:sz w:val="16"/>
                <w:szCs w:val="16"/>
              </w:rPr>
            </w:pPr>
            <w:r w:rsidRPr="009A0A84">
              <w:rPr>
                <w:rFonts w:ascii="Arial" w:hAnsi="Arial" w:cs="Arial"/>
                <w:i/>
                <w:sz w:val="16"/>
                <w:szCs w:val="16"/>
              </w:rPr>
              <w:t>Melaleuca</w:t>
            </w:r>
            <w:r w:rsidRPr="009A0A84">
              <w:rPr>
                <w:rFonts w:ascii="Arial" w:hAnsi="Arial" w:cs="Arial"/>
                <w:sz w:val="16"/>
                <w:szCs w:val="16"/>
              </w:rPr>
              <w:t xml:space="preserve"> open forest</w:t>
            </w:r>
          </w:p>
        </w:tc>
        <w:tc>
          <w:tcPr>
            <w:tcW w:w="1546" w:type="dxa"/>
            <w:vAlign w:val="bottom"/>
          </w:tcPr>
          <w:p w:rsidR="002E767B" w:rsidRPr="009A0A84" w:rsidRDefault="002E767B" w:rsidP="002E767B">
            <w:pPr>
              <w:ind w:right="500"/>
              <w:jc w:val="right"/>
              <w:rPr>
                <w:rFonts w:ascii="Arial" w:hAnsi="Arial" w:cs="Arial"/>
                <w:color w:val="000000"/>
                <w:sz w:val="16"/>
                <w:szCs w:val="16"/>
              </w:rPr>
            </w:pPr>
            <w:r w:rsidRPr="009A0A84">
              <w:rPr>
                <w:rFonts w:ascii="Arial" w:hAnsi="Arial" w:cs="Arial"/>
                <w:color w:val="000000"/>
                <w:sz w:val="16"/>
                <w:szCs w:val="16"/>
              </w:rPr>
              <w:t>336</w:t>
            </w:r>
          </w:p>
        </w:tc>
        <w:tc>
          <w:tcPr>
            <w:tcW w:w="1546" w:type="dxa"/>
            <w:vAlign w:val="bottom"/>
          </w:tcPr>
          <w:p w:rsidR="002E767B" w:rsidRPr="009A0A84" w:rsidRDefault="002E767B" w:rsidP="002E767B">
            <w:pPr>
              <w:ind w:right="509"/>
              <w:jc w:val="right"/>
              <w:rPr>
                <w:rFonts w:ascii="Arial" w:hAnsi="Arial" w:cs="Arial"/>
                <w:color w:val="000000"/>
                <w:sz w:val="16"/>
                <w:szCs w:val="16"/>
              </w:rPr>
            </w:pPr>
            <w:r w:rsidRPr="009A0A84">
              <w:rPr>
                <w:rFonts w:ascii="Arial" w:hAnsi="Arial" w:cs="Arial"/>
                <w:color w:val="000000"/>
                <w:sz w:val="16"/>
                <w:szCs w:val="16"/>
              </w:rPr>
              <w:t>249</w:t>
            </w:r>
          </w:p>
        </w:tc>
        <w:tc>
          <w:tcPr>
            <w:tcW w:w="1546" w:type="dxa"/>
            <w:vAlign w:val="bottom"/>
          </w:tcPr>
          <w:p w:rsidR="002E767B" w:rsidRPr="009A0A84" w:rsidRDefault="002E767B" w:rsidP="002E767B">
            <w:pPr>
              <w:ind w:right="509"/>
              <w:jc w:val="right"/>
              <w:rPr>
                <w:rFonts w:ascii="Arial" w:hAnsi="Arial" w:cs="Arial"/>
                <w:color w:val="000000"/>
                <w:sz w:val="16"/>
                <w:szCs w:val="16"/>
              </w:rPr>
            </w:pPr>
            <w:r w:rsidRPr="009A0A84">
              <w:rPr>
                <w:rFonts w:ascii="Arial" w:hAnsi="Arial" w:cs="Arial"/>
                <w:color w:val="000000"/>
                <w:sz w:val="16"/>
                <w:szCs w:val="16"/>
              </w:rPr>
              <w:t>205</w:t>
            </w:r>
          </w:p>
        </w:tc>
        <w:tc>
          <w:tcPr>
            <w:tcW w:w="1546" w:type="dxa"/>
            <w:vAlign w:val="bottom"/>
          </w:tcPr>
          <w:p w:rsidR="002E767B" w:rsidRPr="009A0A84" w:rsidRDefault="002E767B" w:rsidP="002E767B">
            <w:pPr>
              <w:ind w:right="509"/>
              <w:jc w:val="right"/>
              <w:rPr>
                <w:rFonts w:ascii="Arial" w:hAnsi="Arial" w:cs="Arial"/>
                <w:color w:val="000000"/>
                <w:sz w:val="16"/>
                <w:szCs w:val="16"/>
              </w:rPr>
            </w:pPr>
            <w:r w:rsidRPr="009A0A84">
              <w:rPr>
                <w:rFonts w:ascii="Arial" w:hAnsi="Arial" w:cs="Arial"/>
                <w:color w:val="000000"/>
                <w:sz w:val="16"/>
                <w:szCs w:val="16"/>
              </w:rPr>
              <w:t>403</w:t>
            </w:r>
          </w:p>
        </w:tc>
      </w:tr>
      <w:tr w:rsidR="002E767B" w:rsidRPr="009A0A84" w:rsidTr="002E767B">
        <w:trPr>
          <w:trHeight w:val="170"/>
        </w:trPr>
        <w:tc>
          <w:tcPr>
            <w:tcW w:w="2338" w:type="dxa"/>
          </w:tcPr>
          <w:p w:rsidR="002E767B" w:rsidRPr="009A0A84" w:rsidRDefault="002E767B" w:rsidP="002E767B">
            <w:pPr>
              <w:spacing w:before="20" w:after="20" w:line="360" w:lineRule="auto"/>
              <w:jc w:val="left"/>
              <w:rPr>
                <w:rFonts w:ascii="Arial" w:hAnsi="Arial" w:cs="Arial"/>
                <w:sz w:val="16"/>
                <w:szCs w:val="16"/>
              </w:rPr>
            </w:pPr>
            <w:r w:rsidRPr="009A0A84">
              <w:rPr>
                <w:rFonts w:ascii="Arial" w:hAnsi="Arial" w:cs="Arial"/>
                <w:i/>
                <w:sz w:val="16"/>
                <w:szCs w:val="16"/>
              </w:rPr>
              <w:t>Melaleuca</w:t>
            </w:r>
            <w:r w:rsidRPr="009A0A84">
              <w:rPr>
                <w:rFonts w:ascii="Arial" w:hAnsi="Arial" w:cs="Arial"/>
                <w:sz w:val="16"/>
                <w:szCs w:val="16"/>
              </w:rPr>
              <w:t xml:space="preserve"> woodland</w:t>
            </w:r>
          </w:p>
        </w:tc>
        <w:tc>
          <w:tcPr>
            <w:tcW w:w="1546" w:type="dxa"/>
            <w:vAlign w:val="bottom"/>
          </w:tcPr>
          <w:p w:rsidR="002E767B" w:rsidRPr="009A0A84" w:rsidRDefault="002E767B" w:rsidP="002E767B">
            <w:pPr>
              <w:ind w:right="500"/>
              <w:jc w:val="right"/>
              <w:rPr>
                <w:rFonts w:ascii="Arial" w:hAnsi="Arial" w:cs="Arial"/>
                <w:color w:val="000000"/>
                <w:sz w:val="16"/>
                <w:szCs w:val="16"/>
              </w:rPr>
            </w:pPr>
            <w:r w:rsidRPr="009A0A84">
              <w:rPr>
                <w:rFonts w:ascii="Arial" w:hAnsi="Arial" w:cs="Arial"/>
                <w:color w:val="000000"/>
                <w:sz w:val="16"/>
                <w:szCs w:val="16"/>
              </w:rPr>
              <w:t>1560</w:t>
            </w:r>
          </w:p>
        </w:tc>
        <w:tc>
          <w:tcPr>
            <w:tcW w:w="1546" w:type="dxa"/>
            <w:vAlign w:val="bottom"/>
          </w:tcPr>
          <w:p w:rsidR="002E767B" w:rsidRPr="009A0A84" w:rsidRDefault="002E767B" w:rsidP="002E767B">
            <w:pPr>
              <w:ind w:right="509"/>
              <w:jc w:val="right"/>
              <w:rPr>
                <w:rFonts w:ascii="Arial" w:hAnsi="Arial" w:cs="Arial"/>
                <w:color w:val="000000"/>
                <w:sz w:val="16"/>
                <w:szCs w:val="16"/>
              </w:rPr>
            </w:pPr>
            <w:r w:rsidRPr="009A0A84">
              <w:rPr>
                <w:rFonts w:ascii="Arial" w:hAnsi="Arial" w:cs="Arial"/>
                <w:color w:val="000000"/>
                <w:sz w:val="16"/>
                <w:szCs w:val="16"/>
              </w:rPr>
              <w:t>1262</w:t>
            </w:r>
          </w:p>
        </w:tc>
        <w:tc>
          <w:tcPr>
            <w:tcW w:w="1546" w:type="dxa"/>
            <w:vAlign w:val="bottom"/>
          </w:tcPr>
          <w:p w:rsidR="002E767B" w:rsidRPr="009A0A84" w:rsidRDefault="002E767B" w:rsidP="002E767B">
            <w:pPr>
              <w:ind w:right="509"/>
              <w:jc w:val="right"/>
              <w:rPr>
                <w:rFonts w:ascii="Arial" w:hAnsi="Arial" w:cs="Arial"/>
                <w:color w:val="000000"/>
                <w:sz w:val="16"/>
                <w:szCs w:val="16"/>
              </w:rPr>
            </w:pPr>
            <w:r w:rsidRPr="009A0A84">
              <w:rPr>
                <w:rFonts w:ascii="Arial" w:hAnsi="Arial" w:cs="Arial"/>
                <w:color w:val="000000"/>
                <w:sz w:val="16"/>
                <w:szCs w:val="16"/>
              </w:rPr>
              <w:t>1345</w:t>
            </w:r>
          </w:p>
        </w:tc>
        <w:tc>
          <w:tcPr>
            <w:tcW w:w="1546" w:type="dxa"/>
            <w:vAlign w:val="bottom"/>
          </w:tcPr>
          <w:p w:rsidR="002E767B" w:rsidRPr="009A0A84" w:rsidRDefault="002E767B" w:rsidP="002E767B">
            <w:pPr>
              <w:ind w:right="509"/>
              <w:jc w:val="right"/>
              <w:rPr>
                <w:rFonts w:ascii="Arial" w:hAnsi="Arial" w:cs="Arial"/>
                <w:color w:val="000000"/>
                <w:sz w:val="16"/>
                <w:szCs w:val="16"/>
              </w:rPr>
            </w:pPr>
            <w:r w:rsidRPr="009A0A84">
              <w:rPr>
                <w:rFonts w:ascii="Arial" w:hAnsi="Arial" w:cs="Arial"/>
                <w:color w:val="000000"/>
                <w:sz w:val="16"/>
                <w:szCs w:val="16"/>
              </w:rPr>
              <w:t>1544</w:t>
            </w:r>
          </w:p>
        </w:tc>
      </w:tr>
      <w:tr w:rsidR="002E767B" w:rsidRPr="009A0A84" w:rsidTr="002E767B">
        <w:trPr>
          <w:trHeight w:val="170"/>
        </w:trPr>
        <w:tc>
          <w:tcPr>
            <w:tcW w:w="2338" w:type="dxa"/>
          </w:tcPr>
          <w:p w:rsidR="002E767B" w:rsidRPr="009A0A84" w:rsidRDefault="002E767B" w:rsidP="002E767B">
            <w:pPr>
              <w:spacing w:before="20" w:after="20" w:line="360" w:lineRule="auto"/>
              <w:jc w:val="left"/>
              <w:rPr>
                <w:rFonts w:ascii="Arial" w:hAnsi="Arial" w:cs="Arial"/>
                <w:i/>
                <w:sz w:val="16"/>
                <w:szCs w:val="16"/>
              </w:rPr>
            </w:pPr>
            <w:r w:rsidRPr="009A0A84">
              <w:rPr>
                <w:rFonts w:ascii="Arial" w:hAnsi="Arial" w:cs="Arial"/>
                <w:i/>
                <w:sz w:val="16"/>
                <w:szCs w:val="16"/>
              </w:rPr>
              <w:t>Nelumbo</w:t>
            </w:r>
          </w:p>
        </w:tc>
        <w:tc>
          <w:tcPr>
            <w:tcW w:w="1546" w:type="dxa"/>
            <w:vAlign w:val="bottom"/>
          </w:tcPr>
          <w:p w:rsidR="002E767B" w:rsidRPr="009A0A84" w:rsidRDefault="002E767B" w:rsidP="002E767B">
            <w:pPr>
              <w:ind w:right="500"/>
              <w:jc w:val="right"/>
              <w:rPr>
                <w:rFonts w:ascii="Arial" w:hAnsi="Arial" w:cs="Arial"/>
                <w:color w:val="000000"/>
                <w:sz w:val="16"/>
                <w:szCs w:val="16"/>
              </w:rPr>
            </w:pPr>
            <w:r w:rsidRPr="009A0A84">
              <w:rPr>
                <w:rFonts w:ascii="Arial" w:hAnsi="Arial" w:cs="Arial"/>
                <w:color w:val="000000"/>
                <w:sz w:val="16"/>
                <w:szCs w:val="16"/>
              </w:rPr>
              <w:t>26</w:t>
            </w:r>
          </w:p>
        </w:tc>
        <w:tc>
          <w:tcPr>
            <w:tcW w:w="1546" w:type="dxa"/>
            <w:vAlign w:val="bottom"/>
          </w:tcPr>
          <w:p w:rsidR="002E767B" w:rsidRPr="009A0A84" w:rsidRDefault="002E767B" w:rsidP="002E767B">
            <w:pPr>
              <w:ind w:right="509"/>
              <w:jc w:val="right"/>
              <w:rPr>
                <w:rFonts w:ascii="Arial" w:hAnsi="Arial" w:cs="Arial"/>
                <w:color w:val="000000"/>
                <w:sz w:val="16"/>
                <w:szCs w:val="16"/>
              </w:rPr>
            </w:pPr>
            <w:r w:rsidRPr="009A0A84">
              <w:rPr>
                <w:rFonts w:ascii="Arial" w:hAnsi="Arial" w:cs="Arial"/>
                <w:color w:val="000000"/>
                <w:sz w:val="16"/>
                <w:szCs w:val="16"/>
              </w:rPr>
              <w:t>63</w:t>
            </w:r>
          </w:p>
        </w:tc>
        <w:tc>
          <w:tcPr>
            <w:tcW w:w="1546" w:type="dxa"/>
            <w:vAlign w:val="bottom"/>
          </w:tcPr>
          <w:p w:rsidR="002E767B" w:rsidRPr="009A0A84" w:rsidRDefault="002E767B" w:rsidP="002E767B">
            <w:pPr>
              <w:ind w:right="509"/>
              <w:jc w:val="right"/>
              <w:rPr>
                <w:rFonts w:ascii="Arial" w:hAnsi="Arial" w:cs="Arial"/>
                <w:color w:val="000000"/>
                <w:sz w:val="16"/>
                <w:szCs w:val="16"/>
              </w:rPr>
            </w:pPr>
            <w:r w:rsidRPr="009A0A84">
              <w:rPr>
                <w:rFonts w:ascii="Arial" w:hAnsi="Arial" w:cs="Arial"/>
                <w:color w:val="000000"/>
                <w:sz w:val="16"/>
                <w:szCs w:val="16"/>
              </w:rPr>
              <w:t>144</w:t>
            </w:r>
          </w:p>
        </w:tc>
        <w:tc>
          <w:tcPr>
            <w:tcW w:w="1546" w:type="dxa"/>
            <w:vAlign w:val="bottom"/>
          </w:tcPr>
          <w:p w:rsidR="002E767B" w:rsidRPr="009A0A84" w:rsidRDefault="002E767B" w:rsidP="002E767B">
            <w:pPr>
              <w:ind w:right="509"/>
              <w:jc w:val="right"/>
              <w:rPr>
                <w:rFonts w:ascii="Arial" w:hAnsi="Arial" w:cs="Arial"/>
                <w:color w:val="000000"/>
                <w:sz w:val="16"/>
                <w:szCs w:val="16"/>
              </w:rPr>
            </w:pPr>
            <w:r w:rsidRPr="009A0A84">
              <w:rPr>
                <w:rFonts w:ascii="Arial" w:hAnsi="Arial" w:cs="Arial"/>
                <w:color w:val="000000"/>
                <w:sz w:val="16"/>
                <w:szCs w:val="16"/>
              </w:rPr>
              <w:t>6</w:t>
            </w:r>
          </w:p>
        </w:tc>
      </w:tr>
      <w:tr w:rsidR="002E767B" w:rsidRPr="009A0A84" w:rsidTr="002E767B">
        <w:trPr>
          <w:trHeight w:val="170"/>
        </w:trPr>
        <w:tc>
          <w:tcPr>
            <w:tcW w:w="2338" w:type="dxa"/>
          </w:tcPr>
          <w:p w:rsidR="002E767B" w:rsidRPr="009A0A84" w:rsidRDefault="002E767B" w:rsidP="002E767B">
            <w:pPr>
              <w:spacing w:before="20" w:after="20" w:line="360" w:lineRule="auto"/>
              <w:jc w:val="left"/>
              <w:rPr>
                <w:rFonts w:ascii="Arial" w:hAnsi="Arial" w:cs="Arial"/>
                <w:i/>
                <w:sz w:val="16"/>
                <w:szCs w:val="16"/>
              </w:rPr>
            </w:pPr>
            <w:r w:rsidRPr="009A0A84">
              <w:rPr>
                <w:rFonts w:ascii="Arial" w:hAnsi="Arial" w:cs="Arial"/>
                <w:i/>
                <w:sz w:val="16"/>
                <w:szCs w:val="16"/>
              </w:rPr>
              <w:t>Oryza</w:t>
            </w:r>
          </w:p>
        </w:tc>
        <w:tc>
          <w:tcPr>
            <w:tcW w:w="1546" w:type="dxa"/>
            <w:vAlign w:val="bottom"/>
          </w:tcPr>
          <w:p w:rsidR="002E767B" w:rsidRPr="009A0A84" w:rsidRDefault="002E767B" w:rsidP="002E767B">
            <w:pPr>
              <w:ind w:right="500"/>
              <w:jc w:val="right"/>
              <w:rPr>
                <w:rFonts w:ascii="Arial" w:hAnsi="Arial" w:cs="Arial"/>
                <w:color w:val="000000"/>
                <w:sz w:val="16"/>
                <w:szCs w:val="16"/>
              </w:rPr>
            </w:pPr>
            <w:r w:rsidRPr="009A0A84">
              <w:rPr>
                <w:rFonts w:ascii="Arial" w:hAnsi="Arial" w:cs="Arial"/>
                <w:color w:val="000000"/>
                <w:sz w:val="16"/>
                <w:szCs w:val="16"/>
              </w:rPr>
              <w:t>396</w:t>
            </w:r>
          </w:p>
        </w:tc>
        <w:tc>
          <w:tcPr>
            <w:tcW w:w="1546" w:type="dxa"/>
            <w:vAlign w:val="bottom"/>
          </w:tcPr>
          <w:p w:rsidR="002E767B" w:rsidRPr="009A0A84" w:rsidRDefault="002E767B" w:rsidP="002E767B">
            <w:pPr>
              <w:ind w:right="509"/>
              <w:jc w:val="right"/>
              <w:rPr>
                <w:rFonts w:ascii="Arial" w:hAnsi="Arial" w:cs="Arial"/>
                <w:color w:val="000000"/>
                <w:sz w:val="16"/>
                <w:szCs w:val="16"/>
              </w:rPr>
            </w:pPr>
            <w:r w:rsidRPr="009A0A84">
              <w:rPr>
                <w:rFonts w:ascii="Arial" w:hAnsi="Arial" w:cs="Arial"/>
                <w:color w:val="000000"/>
                <w:sz w:val="16"/>
                <w:szCs w:val="16"/>
              </w:rPr>
              <w:t>330</w:t>
            </w:r>
          </w:p>
        </w:tc>
        <w:tc>
          <w:tcPr>
            <w:tcW w:w="1546" w:type="dxa"/>
            <w:vAlign w:val="bottom"/>
          </w:tcPr>
          <w:p w:rsidR="002E767B" w:rsidRPr="009A0A84" w:rsidRDefault="002E767B" w:rsidP="002E767B">
            <w:pPr>
              <w:ind w:right="509"/>
              <w:jc w:val="right"/>
              <w:rPr>
                <w:rFonts w:ascii="Arial" w:hAnsi="Arial" w:cs="Arial"/>
                <w:color w:val="000000"/>
                <w:sz w:val="16"/>
                <w:szCs w:val="16"/>
              </w:rPr>
            </w:pPr>
            <w:r w:rsidRPr="009A0A84">
              <w:rPr>
                <w:rFonts w:ascii="Arial" w:hAnsi="Arial" w:cs="Arial"/>
                <w:color w:val="000000"/>
                <w:sz w:val="16"/>
                <w:szCs w:val="16"/>
              </w:rPr>
              <w:t>288</w:t>
            </w:r>
          </w:p>
        </w:tc>
        <w:tc>
          <w:tcPr>
            <w:tcW w:w="1546" w:type="dxa"/>
            <w:vAlign w:val="bottom"/>
          </w:tcPr>
          <w:p w:rsidR="002E767B" w:rsidRPr="009A0A84" w:rsidRDefault="002E767B" w:rsidP="002E767B">
            <w:pPr>
              <w:ind w:right="509"/>
              <w:jc w:val="right"/>
              <w:rPr>
                <w:rFonts w:ascii="Arial" w:hAnsi="Arial" w:cs="Arial"/>
                <w:color w:val="000000"/>
                <w:sz w:val="16"/>
                <w:szCs w:val="16"/>
              </w:rPr>
            </w:pPr>
            <w:r w:rsidRPr="009A0A84">
              <w:rPr>
                <w:rFonts w:ascii="Arial" w:hAnsi="Arial" w:cs="Arial"/>
                <w:color w:val="000000"/>
                <w:sz w:val="16"/>
                <w:szCs w:val="16"/>
              </w:rPr>
              <w:t>1031</w:t>
            </w:r>
          </w:p>
        </w:tc>
      </w:tr>
      <w:tr w:rsidR="002E767B" w:rsidRPr="009A0A84" w:rsidTr="002E767B">
        <w:trPr>
          <w:trHeight w:val="170"/>
        </w:trPr>
        <w:tc>
          <w:tcPr>
            <w:tcW w:w="2338" w:type="dxa"/>
          </w:tcPr>
          <w:p w:rsidR="002E767B" w:rsidRPr="009A0A84" w:rsidRDefault="002E767B" w:rsidP="002E767B">
            <w:pPr>
              <w:spacing w:before="20" w:after="20" w:line="360" w:lineRule="auto"/>
              <w:jc w:val="left"/>
              <w:rPr>
                <w:rFonts w:ascii="Arial" w:hAnsi="Arial" w:cs="Arial"/>
                <w:sz w:val="16"/>
                <w:szCs w:val="16"/>
              </w:rPr>
            </w:pPr>
            <w:r w:rsidRPr="009A0A84">
              <w:rPr>
                <w:rFonts w:ascii="Arial" w:hAnsi="Arial" w:cs="Arial"/>
                <w:sz w:val="16"/>
                <w:szCs w:val="16"/>
              </w:rPr>
              <w:t>Para grass</w:t>
            </w:r>
          </w:p>
        </w:tc>
        <w:tc>
          <w:tcPr>
            <w:tcW w:w="1546" w:type="dxa"/>
            <w:vAlign w:val="bottom"/>
          </w:tcPr>
          <w:p w:rsidR="002E767B" w:rsidRPr="009A0A84" w:rsidRDefault="002E767B" w:rsidP="002E767B">
            <w:pPr>
              <w:ind w:right="500"/>
              <w:jc w:val="right"/>
              <w:rPr>
                <w:rFonts w:ascii="Arial" w:hAnsi="Arial" w:cs="Arial"/>
                <w:color w:val="000000"/>
                <w:sz w:val="16"/>
                <w:szCs w:val="16"/>
              </w:rPr>
            </w:pPr>
            <w:r w:rsidRPr="009A0A84">
              <w:rPr>
                <w:rFonts w:ascii="Arial" w:hAnsi="Arial" w:cs="Arial"/>
                <w:color w:val="000000"/>
                <w:sz w:val="16"/>
                <w:szCs w:val="16"/>
              </w:rPr>
              <w:t>465</w:t>
            </w:r>
          </w:p>
        </w:tc>
        <w:tc>
          <w:tcPr>
            <w:tcW w:w="1546" w:type="dxa"/>
            <w:vAlign w:val="bottom"/>
          </w:tcPr>
          <w:p w:rsidR="002E767B" w:rsidRPr="009A0A84" w:rsidRDefault="002E767B" w:rsidP="002E767B">
            <w:pPr>
              <w:ind w:right="509"/>
              <w:jc w:val="right"/>
              <w:rPr>
                <w:rFonts w:ascii="Arial" w:hAnsi="Arial" w:cs="Arial"/>
                <w:color w:val="000000"/>
                <w:sz w:val="16"/>
                <w:szCs w:val="16"/>
              </w:rPr>
            </w:pPr>
            <w:r w:rsidRPr="009A0A84">
              <w:rPr>
                <w:rFonts w:ascii="Arial" w:hAnsi="Arial" w:cs="Arial"/>
                <w:color w:val="000000"/>
                <w:sz w:val="16"/>
                <w:szCs w:val="16"/>
              </w:rPr>
              <w:t>258</w:t>
            </w:r>
          </w:p>
        </w:tc>
        <w:tc>
          <w:tcPr>
            <w:tcW w:w="1546" w:type="dxa"/>
            <w:vAlign w:val="bottom"/>
          </w:tcPr>
          <w:p w:rsidR="002E767B" w:rsidRPr="009A0A84" w:rsidRDefault="002E767B" w:rsidP="002E767B">
            <w:pPr>
              <w:ind w:right="509"/>
              <w:jc w:val="right"/>
              <w:rPr>
                <w:rFonts w:ascii="Arial" w:hAnsi="Arial" w:cs="Arial"/>
                <w:color w:val="000000"/>
                <w:sz w:val="16"/>
                <w:szCs w:val="16"/>
              </w:rPr>
            </w:pPr>
            <w:r w:rsidRPr="009A0A84">
              <w:rPr>
                <w:rFonts w:ascii="Arial" w:hAnsi="Arial" w:cs="Arial"/>
                <w:color w:val="000000"/>
                <w:sz w:val="16"/>
                <w:szCs w:val="16"/>
              </w:rPr>
              <w:t>499</w:t>
            </w:r>
          </w:p>
        </w:tc>
        <w:tc>
          <w:tcPr>
            <w:tcW w:w="1546" w:type="dxa"/>
            <w:vAlign w:val="bottom"/>
          </w:tcPr>
          <w:p w:rsidR="002E767B" w:rsidRPr="009A0A84" w:rsidRDefault="002E767B" w:rsidP="002E767B">
            <w:pPr>
              <w:ind w:right="509"/>
              <w:jc w:val="right"/>
              <w:rPr>
                <w:rFonts w:ascii="Arial" w:hAnsi="Arial" w:cs="Arial"/>
                <w:color w:val="000000"/>
                <w:sz w:val="16"/>
                <w:szCs w:val="16"/>
              </w:rPr>
            </w:pPr>
            <w:r w:rsidRPr="009A0A84">
              <w:rPr>
                <w:rFonts w:ascii="Arial" w:hAnsi="Arial" w:cs="Arial"/>
                <w:color w:val="000000"/>
                <w:sz w:val="16"/>
                <w:szCs w:val="16"/>
              </w:rPr>
              <w:t>289</w:t>
            </w:r>
          </w:p>
        </w:tc>
      </w:tr>
      <w:tr w:rsidR="002E767B" w:rsidRPr="009A0A84" w:rsidTr="002E767B">
        <w:trPr>
          <w:trHeight w:val="170"/>
        </w:trPr>
        <w:tc>
          <w:tcPr>
            <w:tcW w:w="2338" w:type="dxa"/>
          </w:tcPr>
          <w:p w:rsidR="002E767B" w:rsidRPr="009A0A84" w:rsidRDefault="002E767B" w:rsidP="002E767B">
            <w:pPr>
              <w:spacing w:before="20" w:after="20" w:line="360" w:lineRule="auto"/>
              <w:jc w:val="left"/>
              <w:rPr>
                <w:rFonts w:ascii="Arial" w:hAnsi="Arial" w:cs="Arial"/>
                <w:sz w:val="16"/>
                <w:szCs w:val="16"/>
              </w:rPr>
            </w:pPr>
            <w:r w:rsidRPr="009A0A84">
              <w:rPr>
                <w:rFonts w:ascii="Arial" w:hAnsi="Arial" w:cs="Arial"/>
                <w:i/>
                <w:sz w:val="16"/>
                <w:szCs w:val="16"/>
              </w:rPr>
              <w:t>Pseudoraphi</w:t>
            </w:r>
            <w:r w:rsidRPr="009A0A84">
              <w:rPr>
                <w:rFonts w:ascii="Arial" w:hAnsi="Arial" w:cs="Arial"/>
                <w:sz w:val="16"/>
                <w:szCs w:val="16"/>
              </w:rPr>
              <w:t>s</w:t>
            </w:r>
          </w:p>
        </w:tc>
        <w:tc>
          <w:tcPr>
            <w:tcW w:w="1546" w:type="dxa"/>
            <w:vAlign w:val="bottom"/>
          </w:tcPr>
          <w:p w:rsidR="002E767B" w:rsidRPr="009A0A84" w:rsidRDefault="002E767B" w:rsidP="002E767B">
            <w:pPr>
              <w:ind w:right="500"/>
              <w:jc w:val="right"/>
              <w:rPr>
                <w:rFonts w:ascii="Arial" w:hAnsi="Arial" w:cs="Arial"/>
                <w:color w:val="000000"/>
                <w:sz w:val="16"/>
                <w:szCs w:val="16"/>
              </w:rPr>
            </w:pPr>
            <w:r w:rsidRPr="009A0A84">
              <w:rPr>
                <w:rFonts w:ascii="Arial" w:hAnsi="Arial" w:cs="Arial"/>
                <w:color w:val="000000"/>
                <w:sz w:val="16"/>
                <w:szCs w:val="16"/>
              </w:rPr>
              <w:t>662</w:t>
            </w:r>
          </w:p>
        </w:tc>
        <w:tc>
          <w:tcPr>
            <w:tcW w:w="1546" w:type="dxa"/>
            <w:vAlign w:val="bottom"/>
          </w:tcPr>
          <w:p w:rsidR="002E767B" w:rsidRPr="009A0A84" w:rsidRDefault="002E767B" w:rsidP="002E767B">
            <w:pPr>
              <w:ind w:right="509"/>
              <w:jc w:val="right"/>
              <w:rPr>
                <w:rFonts w:ascii="Arial" w:hAnsi="Arial" w:cs="Arial"/>
                <w:color w:val="000000"/>
                <w:sz w:val="16"/>
                <w:szCs w:val="16"/>
              </w:rPr>
            </w:pPr>
            <w:r w:rsidRPr="009A0A84">
              <w:rPr>
                <w:rFonts w:ascii="Arial" w:hAnsi="Arial" w:cs="Arial"/>
                <w:color w:val="000000"/>
                <w:sz w:val="16"/>
                <w:szCs w:val="16"/>
              </w:rPr>
              <w:t>460</w:t>
            </w:r>
          </w:p>
        </w:tc>
        <w:tc>
          <w:tcPr>
            <w:tcW w:w="1546" w:type="dxa"/>
            <w:vAlign w:val="bottom"/>
          </w:tcPr>
          <w:p w:rsidR="002E767B" w:rsidRPr="009A0A84" w:rsidRDefault="002E767B" w:rsidP="002E767B">
            <w:pPr>
              <w:ind w:right="509"/>
              <w:jc w:val="right"/>
              <w:rPr>
                <w:rFonts w:ascii="Arial" w:hAnsi="Arial" w:cs="Arial"/>
                <w:color w:val="000000"/>
                <w:sz w:val="16"/>
                <w:szCs w:val="16"/>
              </w:rPr>
            </w:pPr>
            <w:r w:rsidRPr="009A0A84">
              <w:rPr>
                <w:rFonts w:ascii="Arial" w:hAnsi="Arial" w:cs="Arial"/>
                <w:color w:val="000000"/>
                <w:sz w:val="16"/>
                <w:szCs w:val="16"/>
              </w:rPr>
              <w:t>117</w:t>
            </w:r>
          </w:p>
        </w:tc>
        <w:tc>
          <w:tcPr>
            <w:tcW w:w="1546" w:type="dxa"/>
            <w:vAlign w:val="bottom"/>
          </w:tcPr>
          <w:p w:rsidR="002E767B" w:rsidRPr="009A0A84" w:rsidRDefault="002E767B" w:rsidP="002E767B">
            <w:pPr>
              <w:ind w:right="509"/>
              <w:jc w:val="right"/>
              <w:rPr>
                <w:rFonts w:ascii="Arial" w:hAnsi="Arial" w:cs="Arial"/>
                <w:color w:val="000000"/>
                <w:sz w:val="16"/>
                <w:szCs w:val="16"/>
              </w:rPr>
            </w:pPr>
            <w:r w:rsidRPr="009A0A84">
              <w:rPr>
                <w:rFonts w:ascii="Arial" w:hAnsi="Arial" w:cs="Arial"/>
                <w:color w:val="000000"/>
                <w:sz w:val="16"/>
                <w:szCs w:val="16"/>
              </w:rPr>
              <w:t>98</w:t>
            </w:r>
          </w:p>
        </w:tc>
      </w:tr>
      <w:tr w:rsidR="002E767B" w:rsidRPr="009A0A84" w:rsidTr="002E767B">
        <w:trPr>
          <w:trHeight w:val="170"/>
        </w:trPr>
        <w:tc>
          <w:tcPr>
            <w:tcW w:w="2338" w:type="dxa"/>
          </w:tcPr>
          <w:p w:rsidR="002E767B" w:rsidRPr="009A0A84" w:rsidRDefault="002E767B" w:rsidP="002E767B">
            <w:pPr>
              <w:spacing w:before="20" w:after="20" w:line="360" w:lineRule="auto"/>
              <w:jc w:val="left"/>
              <w:rPr>
                <w:rFonts w:ascii="Arial" w:hAnsi="Arial" w:cs="Arial"/>
                <w:i/>
                <w:sz w:val="16"/>
                <w:szCs w:val="16"/>
              </w:rPr>
            </w:pPr>
            <w:r w:rsidRPr="009A0A84">
              <w:rPr>
                <w:rFonts w:ascii="Arial" w:hAnsi="Arial" w:cs="Arial"/>
                <w:i/>
                <w:sz w:val="16"/>
                <w:szCs w:val="16"/>
              </w:rPr>
              <w:t>Pseudoraphis/Hymenachne</w:t>
            </w:r>
          </w:p>
        </w:tc>
        <w:tc>
          <w:tcPr>
            <w:tcW w:w="1546" w:type="dxa"/>
            <w:vAlign w:val="bottom"/>
          </w:tcPr>
          <w:p w:rsidR="002E767B" w:rsidRPr="009A0A84" w:rsidRDefault="002E767B" w:rsidP="002E767B">
            <w:pPr>
              <w:ind w:right="500"/>
              <w:jc w:val="right"/>
              <w:rPr>
                <w:rFonts w:ascii="Arial" w:hAnsi="Arial" w:cs="Arial"/>
                <w:color w:val="000000"/>
                <w:sz w:val="16"/>
                <w:szCs w:val="16"/>
              </w:rPr>
            </w:pPr>
            <w:r w:rsidRPr="009A0A84">
              <w:rPr>
                <w:rFonts w:ascii="Arial" w:hAnsi="Arial" w:cs="Arial"/>
                <w:color w:val="000000"/>
                <w:sz w:val="16"/>
                <w:szCs w:val="16"/>
              </w:rPr>
              <w:t>627</w:t>
            </w:r>
          </w:p>
        </w:tc>
        <w:tc>
          <w:tcPr>
            <w:tcW w:w="1546" w:type="dxa"/>
            <w:vAlign w:val="bottom"/>
          </w:tcPr>
          <w:p w:rsidR="002E767B" w:rsidRPr="009A0A84" w:rsidRDefault="002E767B" w:rsidP="002E767B">
            <w:pPr>
              <w:ind w:right="509"/>
              <w:jc w:val="right"/>
              <w:rPr>
                <w:rFonts w:ascii="Arial" w:hAnsi="Arial" w:cs="Arial"/>
                <w:color w:val="000000"/>
                <w:sz w:val="16"/>
                <w:szCs w:val="16"/>
              </w:rPr>
            </w:pPr>
            <w:r w:rsidRPr="009A0A84">
              <w:rPr>
                <w:rFonts w:ascii="Arial" w:hAnsi="Arial" w:cs="Arial"/>
                <w:color w:val="000000"/>
                <w:sz w:val="16"/>
                <w:szCs w:val="16"/>
              </w:rPr>
              <w:t>92</w:t>
            </w:r>
          </w:p>
        </w:tc>
        <w:tc>
          <w:tcPr>
            <w:tcW w:w="1546" w:type="dxa"/>
            <w:vAlign w:val="bottom"/>
          </w:tcPr>
          <w:p w:rsidR="002E767B" w:rsidRPr="009A0A84" w:rsidRDefault="002E767B" w:rsidP="002E767B">
            <w:pPr>
              <w:ind w:right="509"/>
              <w:jc w:val="right"/>
              <w:rPr>
                <w:rFonts w:ascii="Arial" w:hAnsi="Arial" w:cs="Arial"/>
                <w:color w:val="000000"/>
                <w:sz w:val="16"/>
                <w:szCs w:val="16"/>
              </w:rPr>
            </w:pPr>
            <w:r w:rsidRPr="009A0A84">
              <w:rPr>
                <w:rFonts w:ascii="Arial" w:hAnsi="Arial" w:cs="Arial"/>
                <w:color w:val="000000"/>
                <w:sz w:val="16"/>
                <w:szCs w:val="16"/>
              </w:rPr>
              <w:t>1176</w:t>
            </w:r>
          </w:p>
        </w:tc>
        <w:tc>
          <w:tcPr>
            <w:tcW w:w="1546" w:type="dxa"/>
            <w:vAlign w:val="bottom"/>
          </w:tcPr>
          <w:p w:rsidR="002E767B" w:rsidRPr="009A0A84" w:rsidRDefault="002E767B" w:rsidP="002E767B">
            <w:pPr>
              <w:ind w:right="509"/>
              <w:jc w:val="right"/>
              <w:rPr>
                <w:rFonts w:ascii="Arial" w:hAnsi="Arial" w:cs="Arial"/>
                <w:color w:val="000000"/>
                <w:sz w:val="16"/>
                <w:szCs w:val="16"/>
              </w:rPr>
            </w:pPr>
            <w:r w:rsidRPr="009A0A84">
              <w:rPr>
                <w:rFonts w:ascii="Arial" w:hAnsi="Arial" w:cs="Arial"/>
                <w:color w:val="000000"/>
                <w:sz w:val="16"/>
                <w:szCs w:val="16"/>
              </w:rPr>
              <w:t>421</w:t>
            </w:r>
          </w:p>
        </w:tc>
      </w:tr>
      <w:tr w:rsidR="002E767B" w:rsidRPr="009A0A84" w:rsidTr="002E767B">
        <w:trPr>
          <w:trHeight w:val="170"/>
        </w:trPr>
        <w:tc>
          <w:tcPr>
            <w:tcW w:w="2338" w:type="dxa"/>
          </w:tcPr>
          <w:p w:rsidR="002E767B" w:rsidRPr="009A0A84" w:rsidRDefault="002E767B" w:rsidP="002E767B">
            <w:pPr>
              <w:spacing w:before="20" w:after="20" w:line="360" w:lineRule="auto"/>
              <w:jc w:val="left"/>
              <w:rPr>
                <w:rFonts w:ascii="Arial" w:hAnsi="Arial" w:cs="Arial"/>
                <w:i/>
                <w:sz w:val="16"/>
                <w:szCs w:val="16"/>
              </w:rPr>
            </w:pPr>
            <w:r w:rsidRPr="009A0A84">
              <w:rPr>
                <w:rFonts w:ascii="Arial" w:hAnsi="Arial" w:cs="Arial"/>
                <w:i/>
                <w:sz w:val="16"/>
                <w:szCs w:val="16"/>
              </w:rPr>
              <w:t>Salvinia</w:t>
            </w:r>
          </w:p>
        </w:tc>
        <w:tc>
          <w:tcPr>
            <w:tcW w:w="1546" w:type="dxa"/>
            <w:vAlign w:val="bottom"/>
          </w:tcPr>
          <w:p w:rsidR="002E767B" w:rsidRPr="009A0A84" w:rsidRDefault="002E767B" w:rsidP="002E767B">
            <w:pPr>
              <w:ind w:right="500"/>
              <w:jc w:val="right"/>
              <w:rPr>
                <w:rFonts w:ascii="Arial" w:hAnsi="Arial" w:cs="Arial"/>
                <w:color w:val="000000"/>
                <w:sz w:val="16"/>
                <w:szCs w:val="16"/>
              </w:rPr>
            </w:pPr>
            <w:r w:rsidRPr="009A0A84">
              <w:rPr>
                <w:rFonts w:ascii="Arial" w:hAnsi="Arial" w:cs="Arial"/>
                <w:color w:val="000000"/>
                <w:sz w:val="16"/>
                <w:szCs w:val="16"/>
              </w:rPr>
              <w:t>33</w:t>
            </w:r>
          </w:p>
        </w:tc>
        <w:tc>
          <w:tcPr>
            <w:tcW w:w="1546" w:type="dxa"/>
            <w:vAlign w:val="bottom"/>
          </w:tcPr>
          <w:p w:rsidR="002E767B" w:rsidRPr="009A0A84" w:rsidRDefault="002E767B" w:rsidP="002E767B">
            <w:pPr>
              <w:ind w:right="509"/>
              <w:jc w:val="right"/>
              <w:rPr>
                <w:rFonts w:ascii="Arial" w:hAnsi="Arial" w:cs="Arial"/>
                <w:color w:val="000000"/>
                <w:sz w:val="16"/>
                <w:szCs w:val="16"/>
              </w:rPr>
            </w:pPr>
            <w:r w:rsidRPr="009A0A84">
              <w:rPr>
                <w:rFonts w:ascii="Arial" w:hAnsi="Arial" w:cs="Arial"/>
                <w:color w:val="000000"/>
                <w:sz w:val="16"/>
                <w:szCs w:val="16"/>
              </w:rPr>
              <w:t>80</w:t>
            </w:r>
          </w:p>
        </w:tc>
        <w:tc>
          <w:tcPr>
            <w:tcW w:w="1546" w:type="dxa"/>
            <w:vAlign w:val="bottom"/>
          </w:tcPr>
          <w:p w:rsidR="002E767B" w:rsidRPr="009A0A84" w:rsidRDefault="002E767B" w:rsidP="002E767B">
            <w:pPr>
              <w:ind w:right="509"/>
              <w:jc w:val="right"/>
              <w:rPr>
                <w:rFonts w:ascii="Arial" w:hAnsi="Arial" w:cs="Arial"/>
                <w:color w:val="000000"/>
                <w:sz w:val="16"/>
                <w:szCs w:val="16"/>
              </w:rPr>
            </w:pPr>
            <w:r w:rsidRPr="009A0A84">
              <w:rPr>
                <w:rFonts w:ascii="Arial" w:hAnsi="Arial" w:cs="Arial"/>
                <w:color w:val="000000"/>
                <w:sz w:val="16"/>
                <w:szCs w:val="16"/>
              </w:rPr>
              <w:t>65</w:t>
            </w:r>
          </w:p>
        </w:tc>
        <w:tc>
          <w:tcPr>
            <w:tcW w:w="1546" w:type="dxa"/>
            <w:vAlign w:val="bottom"/>
          </w:tcPr>
          <w:p w:rsidR="002E767B" w:rsidRPr="009A0A84" w:rsidRDefault="002E767B" w:rsidP="002E767B">
            <w:pPr>
              <w:ind w:right="509"/>
              <w:jc w:val="right"/>
              <w:rPr>
                <w:rFonts w:ascii="Arial" w:hAnsi="Arial" w:cs="Arial"/>
                <w:color w:val="000000"/>
                <w:sz w:val="16"/>
                <w:szCs w:val="16"/>
              </w:rPr>
            </w:pPr>
            <w:r w:rsidRPr="009A0A84">
              <w:rPr>
                <w:rFonts w:ascii="Arial" w:hAnsi="Arial" w:cs="Arial"/>
                <w:color w:val="000000"/>
                <w:sz w:val="16"/>
                <w:szCs w:val="16"/>
              </w:rPr>
              <w:t>0</w:t>
            </w:r>
          </w:p>
        </w:tc>
      </w:tr>
      <w:tr w:rsidR="002E767B" w:rsidRPr="009A0A84" w:rsidTr="002E767B">
        <w:trPr>
          <w:trHeight w:val="170"/>
        </w:trPr>
        <w:tc>
          <w:tcPr>
            <w:tcW w:w="2338" w:type="dxa"/>
          </w:tcPr>
          <w:p w:rsidR="002E767B" w:rsidRPr="009A0A84" w:rsidRDefault="002E767B" w:rsidP="002E767B">
            <w:pPr>
              <w:spacing w:before="20" w:after="20" w:line="360" w:lineRule="auto"/>
              <w:jc w:val="left"/>
              <w:rPr>
                <w:rFonts w:ascii="Arial" w:hAnsi="Arial" w:cs="Arial"/>
                <w:sz w:val="16"/>
                <w:szCs w:val="16"/>
              </w:rPr>
            </w:pPr>
            <w:r w:rsidRPr="009A0A84">
              <w:rPr>
                <w:rFonts w:ascii="Arial" w:hAnsi="Arial" w:cs="Arial"/>
                <w:sz w:val="16"/>
                <w:szCs w:val="16"/>
              </w:rPr>
              <w:t>Water</w:t>
            </w:r>
          </w:p>
        </w:tc>
        <w:tc>
          <w:tcPr>
            <w:tcW w:w="1546" w:type="dxa"/>
            <w:vAlign w:val="bottom"/>
          </w:tcPr>
          <w:p w:rsidR="002E767B" w:rsidRPr="009A0A84" w:rsidRDefault="002E767B" w:rsidP="002E767B">
            <w:pPr>
              <w:ind w:right="500"/>
              <w:jc w:val="right"/>
              <w:rPr>
                <w:rFonts w:ascii="Arial" w:hAnsi="Arial" w:cs="Arial"/>
                <w:color w:val="000000"/>
                <w:sz w:val="16"/>
                <w:szCs w:val="16"/>
              </w:rPr>
            </w:pPr>
            <w:r w:rsidRPr="009A0A84">
              <w:rPr>
                <w:rFonts w:ascii="Arial" w:hAnsi="Arial" w:cs="Arial"/>
                <w:color w:val="000000"/>
                <w:sz w:val="16"/>
                <w:szCs w:val="16"/>
              </w:rPr>
              <w:t>382</w:t>
            </w:r>
          </w:p>
        </w:tc>
        <w:tc>
          <w:tcPr>
            <w:tcW w:w="1546" w:type="dxa"/>
            <w:vAlign w:val="bottom"/>
          </w:tcPr>
          <w:p w:rsidR="002E767B" w:rsidRPr="009A0A84" w:rsidRDefault="002E767B" w:rsidP="002E767B">
            <w:pPr>
              <w:ind w:right="509"/>
              <w:jc w:val="right"/>
              <w:rPr>
                <w:rFonts w:ascii="Arial" w:hAnsi="Arial" w:cs="Arial"/>
                <w:color w:val="000000"/>
                <w:sz w:val="16"/>
                <w:szCs w:val="16"/>
              </w:rPr>
            </w:pPr>
            <w:r w:rsidRPr="009A0A84">
              <w:rPr>
                <w:rFonts w:ascii="Arial" w:hAnsi="Arial" w:cs="Arial"/>
                <w:color w:val="000000"/>
                <w:sz w:val="16"/>
                <w:szCs w:val="16"/>
              </w:rPr>
              <w:t>1686</w:t>
            </w:r>
          </w:p>
        </w:tc>
        <w:tc>
          <w:tcPr>
            <w:tcW w:w="1546" w:type="dxa"/>
            <w:vAlign w:val="bottom"/>
          </w:tcPr>
          <w:p w:rsidR="002E767B" w:rsidRPr="009A0A84" w:rsidRDefault="002E767B" w:rsidP="002E767B">
            <w:pPr>
              <w:ind w:right="509"/>
              <w:jc w:val="right"/>
              <w:rPr>
                <w:rFonts w:ascii="Arial" w:hAnsi="Arial" w:cs="Arial"/>
                <w:color w:val="000000"/>
                <w:sz w:val="16"/>
                <w:szCs w:val="16"/>
              </w:rPr>
            </w:pPr>
            <w:r w:rsidRPr="009A0A84">
              <w:rPr>
                <w:rFonts w:ascii="Arial" w:hAnsi="Arial" w:cs="Arial"/>
                <w:color w:val="000000"/>
                <w:sz w:val="16"/>
                <w:szCs w:val="16"/>
              </w:rPr>
              <w:t>1007</w:t>
            </w:r>
          </w:p>
        </w:tc>
        <w:tc>
          <w:tcPr>
            <w:tcW w:w="1546" w:type="dxa"/>
            <w:vAlign w:val="bottom"/>
          </w:tcPr>
          <w:p w:rsidR="002E767B" w:rsidRPr="009A0A84" w:rsidRDefault="002E767B" w:rsidP="002E767B">
            <w:pPr>
              <w:spacing w:before="20" w:after="20" w:line="360" w:lineRule="auto"/>
              <w:ind w:right="509"/>
              <w:jc w:val="right"/>
              <w:rPr>
                <w:rFonts w:ascii="Arial" w:hAnsi="Arial" w:cs="Arial"/>
                <w:color w:val="000000"/>
                <w:sz w:val="16"/>
                <w:szCs w:val="16"/>
              </w:rPr>
            </w:pPr>
            <w:r w:rsidRPr="009A0A84">
              <w:rPr>
                <w:rFonts w:ascii="Arial" w:hAnsi="Arial" w:cs="Arial"/>
                <w:color w:val="000000"/>
                <w:sz w:val="16"/>
                <w:szCs w:val="16"/>
              </w:rPr>
              <w:t>500</w:t>
            </w:r>
          </w:p>
        </w:tc>
      </w:tr>
      <w:tr w:rsidR="002E767B" w:rsidRPr="009A0A84" w:rsidTr="002E767B">
        <w:trPr>
          <w:trHeight w:val="170"/>
        </w:trPr>
        <w:tc>
          <w:tcPr>
            <w:tcW w:w="2338" w:type="dxa"/>
          </w:tcPr>
          <w:p w:rsidR="002E767B" w:rsidRPr="009A0A84" w:rsidRDefault="002E767B" w:rsidP="002E767B">
            <w:pPr>
              <w:spacing w:before="20" w:after="20" w:line="360" w:lineRule="auto"/>
              <w:jc w:val="left"/>
              <w:rPr>
                <w:rFonts w:ascii="Arial" w:hAnsi="Arial" w:cs="Arial"/>
                <w:sz w:val="16"/>
                <w:szCs w:val="16"/>
              </w:rPr>
            </w:pPr>
            <w:r w:rsidRPr="009A0A84">
              <w:rPr>
                <w:rFonts w:ascii="Arial" w:hAnsi="Arial" w:cs="Arial"/>
                <w:sz w:val="16"/>
                <w:szCs w:val="16"/>
              </w:rPr>
              <w:t>Cloud</w:t>
            </w:r>
          </w:p>
        </w:tc>
        <w:tc>
          <w:tcPr>
            <w:tcW w:w="1546" w:type="dxa"/>
            <w:vAlign w:val="bottom"/>
          </w:tcPr>
          <w:p w:rsidR="002E767B" w:rsidRPr="009A0A84" w:rsidRDefault="002E767B" w:rsidP="002E767B">
            <w:pPr>
              <w:ind w:right="500"/>
              <w:jc w:val="right"/>
              <w:rPr>
                <w:rFonts w:ascii="Arial" w:hAnsi="Arial" w:cs="Arial"/>
                <w:color w:val="000000"/>
                <w:sz w:val="16"/>
                <w:szCs w:val="16"/>
              </w:rPr>
            </w:pPr>
            <w:r w:rsidRPr="009A0A84">
              <w:rPr>
                <w:rFonts w:ascii="Arial" w:hAnsi="Arial" w:cs="Arial"/>
                <w:color w:val="000000"/>
                <w:sz w:val="16"/>
                <w:szCs w:val="16"/>
              </w:rPr>
              <w:t>186</w:t>
            </w:r>
          </w:p>
        </w:tc>
        <w:tc>
          <w:tcPr>
            <w:tcW w:w="1546" w:type="dxa"/>
            <w:vAlign w:val="bottom"/>
          </w:tcPr>
          <w:p w:rsidR="002E767B" w:rsidRPr="009A0A84" w:rsidRDefault="002E767B" w:rsidP="002E767B">
            <w:pPr>
              <w:ind w:right="509"/>
              <w:jc w:val="right"/>
              <w:rPr>
                <w:rFonts w:ascii="Arial" w:hAnsi="Arial" w:cs="Arial"/>
                <w:color w:val="000000"/>
                <w:sz w:val="16"/>
                <w:szCs w:val="16"/>
              </w:rPr>
            </w:pPr>
            <w:r w:rsidRPr="009A0A84">
              <w:rPr>
                <w:rFonts w:ascii="Arial" w:hAnsi="Arial" w:cs="Arial"/>
                <w:color w:val="000000"/>
                <w:sz w:val="16"/>
                <w:szCs w:val="16"/>
              </w:rPr>
              <w:t>-</w:t>
            </w:r>
          </w:p>
        </w:tc>
        <w:tc>
          <w:tcPr>
            <w:tcW w:w="1546" w:type="dxa"/>
            <w:vAlign w:val="bottom"/>
          </w:tcPr>
          <w:p w:rsidR="002E767B" w:rsidRPr="009A0A84" w:rsidRDefault="002E767B" w:rsidP="002E767B">
            <w:pPr>
              <w:ind w:right="509"/>
              <w:jc w:val="right"/>
              <w:rPr>
                <w:rFonts w:ascii="Arial" w:hAnsi="Arial" w:cs="Arial"/>
                <w:color w:val="000000"/>
                <w:sz w:val="16"/>
                <w:szCs w:val="16"/>
              </w:rPr>
            </w:pPr>
            <w:r w:rsidRPr="009A0A84">
              <w:rPr>
                <w:rFonts w:ascii="Arial" w:hAnsi="Arial" w:cs="Arial"/>
                <w:color w:val="000000"/>
                <w:sz w:val="16"/>
                <w:szCs w:val="16"/>
              </w:rPr>
              <w:t>-</w:t>
            </w:r>
          </w:p>
        </w:tc>
        <w:tc>
          <w:tcPr>
            <w:tcW w:w="1546" w:type="dxa"/>
            <w:vAlign w:val="bottom"/>
          </w:tcPr>
          <w:p w:rsidR="002E767B" w:rsidRPr="009A0A84" w:rsidRDefault="002E767B" w:rsidP="002E767B">
            <w:pPr>
              <w:spacing w:before="20" w:after="20" w:line="360" w:lineRule="auto"/>
              <w:ind w:right="509"/>
              <w:jc w:val="right"/>
              <w:rPr>
                <w:rFonts w:ascii="Arial" w:hAnsi="Arial" w:cs="Arial"/>
                <w:color w:val="000000"/>
                <w:sz w:val="16"/>
                <w:szCs w:val="16"/>
              </w:rPr>
            </w:pPr>
            <w:r w:rsidRPr="009A0A84">
              <w:rPr>
                <w:rFonts w:ascii="Arial" w:hAnsi="Arial" w:cs="Arial"/>
                <w:color w:val="000000"/>
                <w:sz w:val="16"/>
                <w:szCs w:val="16"/>
              </w:rPr>
              <w:t>-</w:t>
            </w:r>
          </w:p>
        </w:tc>
      </w:tr>
      <w:tr w:rsidR="002E767B" w:rsidRPr="009A0A84" w:rsidTr="002E767B">
        <w:trPr>
          <w:trHeight w:val="170"/>
        </w:trPr>
        <w:tc>
          <w:tcPr>
            <w:tcW w:w="2338" w:type="dxa"/>
            <w:tcBorders>
              <w:bottom w:val="single" w:sz="4" w:space="0" w:color="auto"/>
            </w:tcBorders>
          </w:tcPr>
          <w:p w:rsidR="002E767B" w:rsidRPr="009A0A84" w:rsidRDefault="002E767B" w:rsidP="002E767B">
            <w:pPr>
              <w:spacing w:before="20" w:after="20" w:line="360" w:lineRule="auto"/>
              <w:jc w:val="left"/>
              <w:rPr>
                <w:rFonts w:ascii="Arial" w:hAnsi="Arial" w:cs="Arial"/>
                <w:sz w:val="16"/>
                <w:szCs w:val="16"/>
              </w:rPr>
            </w:pPr>
            <w:r w:rsidRPr="009A0A84">
              <w:rPr>
                <w:rFonts w:ascii="Arial" w:hAnsi="Arial" w:cs="Arial"/>
                <w:sz w:val="16"/>
                <w:szCs w:val="16"/>
              </w:rPr>
              <w:t>Cloud shadow</w:t>
            </w:r>
          </w:p>
        </w:tc>
        <w:tc>
          <w:tcPr>
            <w:tcW w:w="1546" w:type="dxa"/>
            <w:tcBorders>
              <w:bottom w:val="single" w:sz="4" w:space="0" w:color="auto"/>
            </w:tcBorders>
            <w:vAlign w:val="bottom"/>
          </w:tcPr>
          <w:p w:rsidR="002E767B" w:rsidRPr="009A0A84" w:rsidRDefault="002E767B" w:rsidP="002E767B">
            <w:pPr>
              <w:ind w:right="500"/>
              <w:jc w:val="right"/>
              <w:rPr>
                <w:rFonts w:ascii="Arial" w:hAnsi="Arial" w:cs="Arial"/>
                <w:color w:val="000000"/>
                <w:sz w:val="16"/>
                <w:szCs w:val="16"/>
              </w:rPr>
            </w:pPr>
            <w:r w:rsidRPr="009A0A84">
              <w:rPr>
                <w:rFonts w:ascii="Arial" w:hAnsi="Arial" w:cs="Arial"/>
                <w:color w:val="000000"/>
                <w:sz w:val="16"/>
                <w:szCs w:val="16"/>
              </w:rPr>
              <w:t>6</w:t>
            </w:r>
          </w:p>
        </w:tc>
        <w:tc>
          <w:tcPr>
            <w:tcW w:w="1546" w:type="dxa"/>
            <w:tcBorders>
              <w:bottom w:val="single" w:sz="4" w:space="0" w:color="auto"/>
            </w:tcBorders>
            <w:vAlign w:val="bottom"/>
          </w:tcPr>
          <w:p w:rsidR="002E767B" w:rsidRPr="009A0A84" w:rsidRDefault="002E767B" w:rsidP="002E767B">
            <w:pPr>
              <w:ind w:right="509"/>
              <w:jc w:val="right"/>
              <w:rPr>
                <w:rFonts w:ascii="Arial" w:hAnsi="Arial" w:cs="Arial"/>
                <w:color w:val="000000"/>
                <w:sz w:val="16"/>
                <w:szCs w:val="16"/>
              </w:rPr>
            </w:pPr>
            <w:r w:rsidRPr="009A0A84">
              <w:rPr>
                <w:rFonts w:ascii="Arial" w:hAnsi="Arial" w:cs="Arial"/>
                <w:color w:val="000000"/>
                <w:sz w:val="16"/>
                <w:szCs w:val="16"/>
              </w:rPr>
              <w:t>-</w:t>
            </w:r>
          </w:p>
        </w:tc>
        <w:tc>
          <w:tcPr>
            <w:tcW w:w="1546" w:type="dxa"/>
            <w:tcBorders>
              <w:bottom w:val="single" w:sz="4" w:space="0" w:color="auto"/>
            </w:tcBorders>
            <w:vAlign w:val="bottom"/>
          </w:tcPr>
          <w:p w:rsidR="002E767B" w:rsidRPr="009A0A84" w:rsidRDefault="002E767B" w:rsidP="002E767B">
            <w:pPr>
              <w:ind w:right="509"/>
              <w:jc w:val="right"/>
              <w:rPr>
                <w:rFonts w:ascii="Arial" w:hAnsi="Arial" w:cs="Arial"/>
                <w:color w:val="000000"/>
                <w:sz w:val="16"/>
                <w:szCs w:val="16"/>
              </w:rPr>
            </w:pPr>
            <w:r w:rsidRPr="009A0A84">
              <w:rPr>
                <w:rFonts w:ascii="Arial" w:hAnsi="Arial" w:cs="Arial"/>
                <w:color w:val="000000"/>
                <w:sz w:val="16"/>
                <w:szCs w:val="16"/>
              </w:rPr>
              <w:t>-</w:t>
            </w:r>
          </w:p>
        </w:tc>
        <w:tc>
          <w:tcPr>
            <w:tcW w:w="1546" w:type="dxa"/>
            <w:tcBorders>
              <w:bottom w:val="single" w:sz="4" w:space="0" w:color="auto"/>
            </w:tcBorders>
            <w:vAlign w:val="bottom"/>
          </w:tcPr>
          <w:p w:rsidR="002E767B" w:rsidRPr="009A0A84" w:rsidRDefault="002E767B" w:rsidP="002E767B">
            <w:pPr>
              <w:spacing w:before="20" w:after="20" w:line="360" w:lineRule="auto"/>
              <w:ind w:right="509"/>
              <w:jc w:val="right"/>
              <w:rPr>
                <w:rFonts w:ascii="Arial" w:hAnsi="Arial" w:cs="Arial"/>
                <w:color w:val="000000"/>
                <w:sz w:val="16"/>
                <w:szCs w:val="16"/>
              </w:rPr>
            </w:pPr>
            <w:r w:rsidRPr="009A0A84">
              <w:rPr>
                <w:rFonts w:ascii="Arial" w:hAnsi="Arial" w:cs="Arial"/>
                <w:color w:val="000000"/>
                <w:sz w:val="16"/>
                <w:szCs w:val="16"/>
              </w:rPr>
              <w:t>-</w:t>
            </w:r>
          </w:p>
        </w:tc>
      </w:tr>
      <w:tr w:rsidR="002E767B" w:rsidRPr="009A0A84" w:rsidTr="002E767B">
        <w:trPr>
          <w:trHeight w:val="170"/>
        </w:trPr>
        <w:tc>
          <w:tcPr>
            <w:tcW w:w="2338" w:type="dxa"/>
            <w:tcBorders>
              <w:top w:val="single" w:sz="4" w:space="0" w:color="auto"/>
              <w:bottom w:val="single" w:sz="4" w:space="0" w:color="auto"/>
            </w:tcBorders>
          </w:tcPr>
          <w:p w:rsidR="002E767B" w:rsidRPr="009A0A84" w:rsidRDefault="002E767B" w:rsidP="002E767B">
            <w:pPr>
              <w:spacing w:before="20" w:after="20" w:line="360" w:lineRule="auto"/>
              <w:jc w:val="left"/>
              <w:rPr>
                <w:rFonts w:ascii="Arial" w:hAnsi="Arial" w:cs="Arial"/>
                <w:b/>
                <w:sz w:val="16"/>
                <w:szCs w:val="16"/>
              </w:rPr>
            </w:pPr>
            <w:r w:rsidRPr="009A0A84">
              <w:rPr>
                <w:rFonts w:ascii="Arial" w:hAnsi="Arial" w:cs="Arial"/>
                <w:b/>
                <w:sz w:val="16"/>
                <w:szCs w:val="16"/>
              </w:rPr>
              <w:t>Total</w:t>
            </w:r>
          </w:p>
        </w:tc>
        <w:tc>
          <w:tcPr>
            <w:tcW w:w="1546" w:type="dxa"/>
            <w:tcBorders>
              <w:top w:val="single" w:sz="4" w:space="0" w:color="auto"/>
              <w:bottom w:val="single" w:sz="4" w:space="0" w:color="auto"/>
            </w:tcBorders>
            <w:vAlign w:val="bottom"/>
          </w:tcPr>
          <w:p w:rsidR="002E767B" w:rsidRPr="009A0A84" w:rsidRDefault="002E767B" w:rsidP="002E767B">
            <w:pPr>
              <w:spacing w:before="20" w:after="20" w:line="360" w:lineRule="auto"/>
              <w:ind w:right="500"/>
              <w:jc w:val="right"/>
              <w:rPr>
                <w:rFonts w:ascii="Arial" w:hAnsi="Arial" w:cs="Arial"/>
                <w:b/>
                <w:color w:val="000000"/>
                <w:sz w:val="16"/>
                <w:szCs w:val="16"/>
              </w:rPr>
            </w:pPr>
            <w:r w:rsidRPr="009A0A84">
              <w:rPr>
                <w:rFonts w:ascii="Arial" w:hAnsi="Arial" w:cs="Arial"/>
                <w:b/>
                <w:color w:val="000000"/>
                <w:sz w:val="16"/>
                <w:szCs w:val="16"/>
              </w:rPr>
              <w:t>5268</w:t>
            </w:r>
          </w:p>
        </w:tc>
        <w:tc>
          <w:tcPr>
            <w:tcW w:w="1546" w:type="dxa"/>
            <w:tcBorders>
              <w:top w:val="single" w:sz="4" w:space="0" w:color="auto"/>
              <w:bottom w:val="single" w:sz="4" w:space="0" w:color="auto"/>
            </w:tcBorders>
          </w:tcPr>
          <w:p w:rsidR="002E767B" w:rsidRPr="009A0A84" w:rsidRDefault="002E767B" w:rsidP="002E767B">
            <w:pPr>
              <w:spacing w:before="20" w:after="20" w:line="360" w:lineRule="auto"/>
              <w:ind w:right="509"/>
              <w:jc w:val="right"/>
              <w:rPr>
                <w:rFonts w:ascii="Arial" w:hAnsi="Arial" w:cs="Arial"/>
                <w:b/>
                <w:sz w:val="16"/>
                <w:szCs w:val="16"/>
              </w:rPr>
            </w:pPr>
            <w:r w:rsidRPr="009A0A84">
              <w:rPr>
                <w:rFonts w:ascii="Arial" w:hAnsi="Arial" w:cs="Arial"/>
                <w:b/>
                <w:sz w:val="16"/>
                <w:szCs w:val="16"/>
              </w:rPr>
              <w:t>5288</w:t>
            </w:r>
          </w:p>
        </w:tc>
        <w:tc>
          <w:tcPr>
            <w:tcW w:w="1546" w:type="dxa"/>
            <w:tcBorders>
              <w:top w:val="single" w:sz="4" w:space="0" w:color="auto"/>
              <w:bottom w:val="single" w:sz="4" w:space="0" w:color="auto"/>
            </w:tcBorders>
          </w:tcPr>
          <w:p w:rsidR="002E767B" w:rsidRPr="009A0A84" w:rsidRDefault="002E767B" w:rsidP="002E767B">
            <w:pPr>
              <w:spacing w:before="20" w:after="20" w:line="360" w:lineRule="auto"/>
              <w:ind w:right="509"/>
              <w:jc w:val="right"/>
              <w:rPr>
                <w:rFonts w:ascii="Arial" w:hAnsi="Arial" w:cs="Arial"/>
                <w:b/>
                <w:sz w:val="16"/>
                <w:szCs w:val="16"/>
              </w:rPr>
            </w:pPr>
            <w:r w:rsidRPr="009A0A84">
              <w:rPr>
                <w:rFonts w:ascii="Arial" w:hAnsi="Arial" w:cs="Arial"/>
                <w:b/>
                <w:sz w:val="16"/>
                <w:szCs w:val="16"/>
              </w:rPr>
              <w:t>5234</w:t>
            </w:r>
          </w:p>
        </w:tc>
        <w:tc>
          <w:tcPr>
            <w:tcW w:w="1546" w:type="dxa"/>
            <w:tcBorders>
              <w:top w:val="single" w:sz="4" w:space="0" w:color="auto"/>
              <w:bottom w:val="single" w:sz="4" w:space="0" w:color="auto"/>
            </w:tcBorders>
          </w:tcPr>
          <w:p w:rsidR="002E767B" w:rsidRPr="009A0A84" w:rsidRDefault="002E767B" w:rsidP="002E767B">
            <w:pPr>
              <w:spacing w:before="20" w:after="20" w:line="360" w:lineRule="auto"/>
              <w:ind w:right="509"/>
              <w:jc w:val="right"/>
              <w:rPr>
                <w:rFonts w:ascii="Arial" w:hAnsi="Arial" w:cs="Arial"/>
                <w:b/>
                <w:color w:val="000000"/>
                <w:sz w:val="16"/>
                <w:szCs w:val="16"/>
              </w:rPr>
            </w:pPr>
            <w:r w:rsidRPr="009A0A84">
              <w:rPr>
                <w:rFonts w:ascii="Arial" w:hAnsi="Arial" w:cs="Arial"/>
                <w:b/>
                <w:color w:val="000000"/>
                <w:sz w:val="16"/>
                <w:szCs w:val="16"/>
              </w:rPr>
              <w:t>5523</w:t>
            </w:r>
          </w:p>
        </w:tc>
      </w:tr>
    </w:tbl>
    <w:p w:rsidR="00224F8A" w:rsidRDefault="00224F8A" w:rsidP="005873E1">
      <w:pPr>
        <w:pStyle w:val="Heading3"/>
      </w:pPr>
      <w:r>
        <w:t>Accuracy assessment</w:t>
      </w:r>
    </w:p>
    <w:p w:rsidR="00224F8A" w:rsidRDefault="00224F8A" w:rsidP="00224F8A">
      <w:r w:rsidRPr="00522FF5">
        <w:t>User and Producer accuracies for each year are shown in</w:t>
      </w:r>
      <w:r w:rsidR="00D3231E">
        <w:t xml:space="preserve"> Table 3</w:t>
      </w:r>
      <w:r w:rsidRPr="00522FF5">
        <w:t>. Overall accuracies for</w:t>
      </w:r>
      <w:r w:rsidRPr="00C92D5D">
        <w:t xml:space="preserve"> 2010, 2011, </w:t>
      </w:r>
      <w:r w:rsidR="00EF026E">
        <w:t>2012 and 2013 were 74.6%, 74.8%, 74.1</w:t>
      </w:r>
      <w:r w:rsidRPr="00C92D5D">
        <w:t xml:space="preserve">% and 74.2% respectively. Most of the error is associated with confusion between the classes that were spectrally similar. </w:t>
      </w:r>
    </w:p>
    <w:p w:rsidR="000A1E2C" w:rsidRPr="0019772B" w:rsidRDefault="000A1E2C" w:rsidP="005873E1">
      <w:pPr>
        <w:pStyle w:val="Heading3"/>
      </w:pPr>
      <w:r w:rsidRPr="0019772B">
        <w:t>Change detection maps</w:t>
      </w:r>
    </w:p>
    <w:p w:rsidR="000A1E2C" w:rsidRDefault="000A1E2C" w:rsidP="000A1E2C">
      <w:r w:rsidRPr="0019772B">
        <w:t xml:space="preserve">The change detection maps show that: between 2010 and 2011, there was 3877 ha detected as changed cover class, whereas 1236 ha was detected as not changed; between 2011 and 2012, 3591 ha was detected as changed, and 1686 ha detected as not changed; </w:t>
      </w:r>
      <w:r>
        <w:t xml:space="preserve">and </w:t>
      </w:r>
      <w:r w:rsidRPr="0019772B">
        <w:t>between 2012 and 2013, there was 3788 ha detected as changed, and 1487 ha detected as not changed (</w:t>
      </w:r>
      <w:r w:rsidR="000E3178">
        <w:t xml:space="preserve">Figure </w:t>
      </w:r>
      <w:r w:rsidR="00D3231E">
        <w:t>4</w:t>
      </w:r>
      <w:r w:rsidRPr="0019772B">
        <w:t>). Table 4 is a matrix showing the change in ar</w:t>
      </w:r>
      <w:r w:rsidR="00BF581B">
        <w:t>ea between classes for the 2012–</w:t>
      </w:r>
      <w:r w:rsidRPr="0019772B">
        <w:t xml:space="preserve">2013 change </w:t>
      </w:r>
      <w:proofErr w:type="gramStart"/>
      <w:r w:rsidRPr="0019772B">
        <w:t>map</w:t>
      </w:r>
      <w:proofErr w:type="gramEnd"/>
      <w:r w:rsidRPr="0019772B">
        <w:t xml:space="preserve">. From the change map and matrices for all three change epochs, the most noticeable change is in the areal extent of open water. </w:t>
      </w:r>
    </w:p>
    <w:p w:rsidR="005B7818" w:rsidRDefault="005B7818">
      <w:pPr>
        <w:spacing w:after="0" w:line="240" w:lineRule="auto"/>
        <w:jc w:val="left"/>
        <w:sectPr w:rsidR="005B7818" w:rsidSect="00224F8A">
          <w:pgSz w:w="11906" w:h="16838" w:code="9"/>
          <w:pgMar w:top="1440" w:right="1797" w:bottom="1440" w:left="1797" w:header="1077" w:footer="833" w:gutter="0"/>
          <w:cols w:space="360"/>
          <w:noEndnote/>
          <w:docGrid w:linePitch="299"/>
        </w:sectPr>
      </w:pPr>
    </w:p>
    <w:p w:rsidR="000A1E2C" w:rsidRDefault="000A1E2C">
      <w:pPr>
        <w:spacing w:after="0" w:line="240" w:lineRule="auto"/>
        <w:jc w:val="left"/>
      </w:pPr>
    </w:p>
    <w:p w:rsidR="00224F8A" w:rsidRDefault="00224F8A" w:rsidP="00224F8A">
      <w:pPr>
        <w:pStyle w:val="tablecaption"/>
      </w:pPr>
      <w:bookmarkStart w:id="283" w:name="_Ref401310803"/>
      <w:r w:rsidRPr="00A05EC5">
        <w:rPr>
          <w:b/>
        </w:rPr>
        <w:t xml:space="preserve">Table </w:t>
      </w:r>
      <w:bookmarkEnd w:id="283"/>
      <w:r w:rsidR="00A1570C">
        <w:rPr>
          <w:b/>
        </w:rPr>
        <w:t>3</w:t>
      </w:r>
      <w:r>
        <w:t xml:space="preserve"> User (UA) and Producer (PA) accuracies for each class calculated from confusion matrices for the accuracy assessment.</w:t>
      </w:r>
    </w:p>
    <w:tbl>
      <w:tblPr>
        <w:tblW w:w="0" w:type="auto"/>
        <w:tblLayout w:type="fixed"/>
        <w:tblLook w:val="04A0"/>
      </w:tblPr>
      <w:tblGrid>
        <w:gridCol w:w="2235"/>
        <w:gridCol w:w="785"/>
        <w:gridCol w:w="786"/>
        <w:gridCol w:w="786"/>
        <w:gridCol w:w="786"/>
        <w:gridCol w:w="786"/>
        <w:gridCol w:w="786"/>
        <w:gridCol w:w="786"/>
        <w:gridCol w:w="786"/>
      </w:tblGrid>
      <w:tr w:rsidR="002E767B" w:rsidRPr="009A0A84" w:rsidTr="002E767B">
        <w:tc>
          <w:tcPr>
            <w:tcW w:w="2235" w:type="dxa"/>
            <w:tcBorders>
              <w:bottom w:val="single" w:sz="4" w:space="0" w:color="auto"/>
            </w:tcBorders>
          </w:tcPr>
          <w:p w:rsidR="002E767B" w:rsidRPr="009A0A84" w:rsidRDefault="002E767B" w:rsidP="002E767B">
            <w:pPr>
              <w:pStyle w:val="table1"/>
              <w:rPr>
                <w:b/>
              </w:rPr>
            </w:pPr>
          </w:p>
        </w:tc>
        <w:tc>
          <w:tcPr>
            <w:tcW w:w="1571" w:type="dxa"/>
            <w:gridSpan w:val="2"/>
            <w:tcBorders>
              <w:top w:val="single" w:sz="4" w:space="0" w:color="auto"/>
              <w:bottom w:val="single" w:sz="4" w:space="0" w:color="auto"/>
            </w:tcBorders>
            <w:vAlign w:val="center"/>
          </w:tcPr>
          <w:p w:rsidR="002E767B" w:rsidRPr="009A0A84" w:rsidRDefault="002E767B" w:rsidP="002E767B">
            <w:pPr>
              <w:pStyle w:val="table1"/>
              <w:jc w:val="center"/>
              <w:rPr>
                <w:b/>
              </w:rPr>
            </w:pPr>
            <w:r w:rsidRPr="009A0A84">
              <w:rPr>
                <w:b/>
              </w:rPr>
              <w:t>2010</w:t>
            </w:r>
          </w:p>
        </w:tc>
        <w:tc>
          <w:tcPr>
            <w:tcW w:w="1572" w:type="dxa"/>
            <w:gridSpan w:val="2"/>
            <w:tcBorders>
              <w:top w:val="single" w:sz="4" w:space="0" w:color="auto"/>
              <w:bottom w:val="single" w:sz="4" w:space="0" w:color="auto"/>
            </w:tcBorders>
            <w:vAlign w:val="center"/>
          </w:tcPr>
          <w:p w:rsidR="002E767B" w:rsidRPr="009A0A84" w:rsidRDefault="002E767B" w:rsidP="002E767B">
            <w:pPr>
              <w:pStyle w:val="table1"/>
              <w:jc w:val="center"/>
              <w:rPr>
                <w:b/>
              </w:rPr>
            </w:pPr>
            <w:r w:rsidRPr="009A0A84">
              <w:rPr>
                <w:b/>
              </w:rPr>
              <w:t>2011</w:t>
            </w:r>
          </w:p>
        </w:tc>
        <w:tc>
          <w:tcPr>
            <w:tcW w:w="1572" w:type="dxa"/>
            <w:gridSpan w:val="2"/>
            <w:tcBorders>
              <w:top w:val="single" w:sz="4" w:space="0" w:color="auto"/>
              <w:bottom w:val="single" w:sz="4" w:space="0" w:color="auto"/>
            </w:tcBorders>
            <w:vAlign w:val="center"/>
          </w:tcPr>
          <w:p w:rsidR="002E767B" w:rsidRPr="009A0A84" w:rsidRDefault="002E767B" w:rsidP="002E767B">
            <w:pPr>
              <w:pStyle w:val="table1"/>
              <w:jc w:val="center"/>
              <w:rPr>
                <w:b/>
              </w:rPr>
            </w:pPr>
            <w:r w:rsidRPr="009A0A84">
              <w:rPr>
                <w:b/>
              </w:rPr>
              <w:t>2012</w:t>
            </w:r>
          </w:p>
        </w:tc>
        <w:tc>
          <w:tcPr>
            <w:tcW w:w="1572" w:type="dxa"/>
            <w:gridSpan w:val="2"/>
            <w:tcBorders>
              <w:top w:val="single" w:sz="4" w:space="0" w:color="auto"/>
              <w:bottom w:val="single" w:sz="4" w:space="0" w:color="auto"/>
            </w:tcBorders>
            <w:vAlign w:val="center"/>
          </w:tcPr>
          <w:p w:rsidR="002E767B" w:rsidRPr="009A0A84" w:rsidRDefault="002E767B" w:rsidP="002E767B">
            <w:pPr>
              <w:pStyle w:val="table1"/>
              <w:jc w:val="center"/>
              <w:rPr>
                <w:b/>
              </w:rPr>
            </w:pPr>
            <w:r w:rsidRPr="009A0A84">
              <w:rPr>
                <w:b/>
              </w:rPr>
              <w:t>2013</w:t>
            </w:r>
          </w:p>
        </w:tc>
      </w:tr>
      <w:tr w:rsidR="002E767B" w:rsidRPr="007E39E4" w:rsidTr="002E767B">
        <w:tc>
          <w:tcPr>
            <w:tcW w:w="2235" w:type="dxa"/>
            <w:tcBorders>
              <w:top w:val="single" w:sz="4" w:space="0" w:color="auto"/>
              <w:bottom w:val="single" w:sz="4" w:space="0" w:color="auto"/>
            </w:tcBorders>
            <w:vAlign w:val="center"/>
          </w:tcPr>
          <w:p w:rsidR="002E767B" w:rsidRPr="007E39E4" w:rsidRDefault="002E767B" w:rsidP="002E767B">
            <w:pPr>
              <w:pStyle w:val="table1"/>
            </w:pPr>
            <w:r w:rsidRPr="007E39E4">
              <w:t>Class</w:t>
            </w:r>
          </w:p>
        </w:tc>
        <w:tc>
          <w:tcPr>
            <w:tcW w:w="785" w:type="dxa"/>
            <w:tcBorders>
              <w:top w:val="single" w:sz="4" w:space="0" w:color="auto"/>
              <w:bottom w:val="single" w:sz="4" w:space="0" w:color="auto"/>
            </w:tcBorders>
            <w:vAlign w:val="center"/>
          </w:tcPr>
          <w:p w:rsidR="002E767B" w:rsidRPr="007E39E4" w:rsidRDefault="002E767B" w:rsidP="002E767B">
            <w:pPr>
              <w:pStyle w:val="table1"/>
              <w:jc w:val="center"/>
            </w:pPr>
            <w:r w:rsidRPr="007E39E4">
              <w:t>UA</w:t>
            </w:r>
          </w:p>
        </w:tc>
        <w:tc>
          <w:tcPr>
            <w:tcW w:w="786" w:type="dxa"/>
            <w:tcBorders>
              <w:top w:val="single" w:sz="4" w:space="0" w:color="auto"/>
              <w:bottom w:val="single" w:sz="4" w:space="0" w:color="auto"/>
            </w:tcBorders>
            <w:vAlign w:val="center"/>
          </w:tcPr>
          <w:p w:rsidR="002E767B" w:rsidRPr="007E39E4" w:rsidRDefault="002E767B" w:rsidP="002E767B">
            <w:pPr>
              <w:pStyle w:val="table1"/>
              <w:jc w:val="center"/>
            </w:pPr>
            <w:r w:rsidRPr="007E39E4">
              <w:t>PA</w:t>
            </w:r>
          </w:p>
        </w:tc>
        <w:tc>
          <w:tcPr>
            <w:tcW w:w="786" w:type="dxa"/>
            <w:tcBorders>
              <w:top w:val="single" w:sz="4" w:space="0" w:color="auto"/>
              <w:bottom w:val="single" w:sz="4" w:space="0" w:color="auto"/>
            </w:tcBorders>
            <w:vAlign w:val="center"/>
          </w:tcPr>
          <w:p w:rsidR="002E767B" w:rsidRPr="007E39E4" w:rsidRDefault="002E767B" w:rsidP="002E767B">
            <w:pPr>
              <w:pStyle w:val="table1"/>
              <w:jc w:val="center"/>
            </w:pPr>
            <w:r w:rsidRPr="007E39E4">
              <w:t>UA</w:t>
            </w:r>
          </w:p>
        </w:tc>
        <w:tc>
          <w:tcPr>
            <w:tcW w:w="786" w:type="dxa"/>
            <w:tcBorders>
              <w:top w:val="single" w:sz="4" w:space="0" w:color="auto"/>
              <w:bottom w:val="single" w:sz="4" w:space="0" w:color="auto"/>
            </w:tcBorders>
            <w:vAlign w:val="center"/>
          </w:tcPr>
          <w:p w:rsidR="002E767B" w:rsidRPr="007E39E4" w:rsidRDefault="002E767B" w:rsidP="002E767B">
            <w:pPr>
              <w:pStyle w:val="table1"/>
              <w:jc w:val="center"/>
            </w:pPr>
            <w:r w:rsidRPr="007E39E4">
              <w:t>PA</w:t>
            </w:r>
          </w:p>
        </w:tc>
        <w:tc>
          <w:tcPr>
            <w:tcW w:w="786" w:type="dxa"/>
            <w:tcBorders>
              <w:top w:val="single" w:sz="4" w:space="0" w:color="auto"/>
              <w:bottom w:val="single" w:sz="4" w:space="0" w:color="auto"/>
            </w:tcBorders>
            <w:vAlign w:val="center"/>
          </w:tcPr>
          <w:p w:rsidR="002E767B" w:rsidRPr="007E39E4" w:rsidRDefault="002E767B" w:rsidP="002E767B">
            <w:pPr>
              <w:pStyle w:val="table1"/>
              <w:jc w:val="center"/>
            </w:pPr>
            <w:r w:rsidRPr="007E39E4">
              <w:t>UA</w:t>
            </w:r>
          </w:p>
        </w:tc>
        <w:tc>
          <w:tcPr>
            <w:tcW w:w="786" w:type="dxa"/>
            <w:tcBorders>
              <w:top w:val="single" w:sz="4" w:space="0" w:color="auto"/>
              <w:bottom w:val="single" w:sz="4" w:space="0" w:color="auto"/>
            </w:tcBorders>
            <w:vAlign w:val="center"/>
          </w:tcPr>
          <w:p w:rsidR="002E767B" w:rsidRPr="007E39E4" w:rsidRDefault="002E767B" w:rsidP="002E767B">
            <w:pPr>
              <w:pStyle w:val="table1"/>
              <w:jc w:val="center"/>
            </w:pPr>
            <w:r w:rsidRPr="007E39E4">
              <w:t>PA</w:t>
            </w:r>
          </w:p>
        </w:tc>
        <w:tc>
          <w:tcPr>
            <w:tcW w:w="786" w:type="dxa"/>
            <w:tcBorders>
              <w:top w:val="single" w:sz="4" w:space="0" w:color="auto"/>
              <w:bottom w:val="single" w:sz="4" w:space="0" w:color="auto"/>
            </w:tcBorders>
            <w:vAlign w:val="center"/>
          </w:tcPr>
          <w:p w:rsidR="002E767B" w:rsidRPr="007E39E4" w:rsidRDefault="002E767B" w:rsidP="002E767B">
            <w:pPr>
              <w:pStyle w:val="table1"/>
              <w:jc w:val="center"/>
            </w:pPr>
            <w:r w:rsidRPr="007E39E4">
              <w:t>UA</w:t>
            </w:r>
          </w:p>
        </w:tc>
        <w:tc>
          <w:tcPr>
            <w:tcW w:w="786" w:type="dxa"/>
            <w:tcBorders>
              <w:top w:val="single" w:sz="4" w:space="0" w:color="auto"/>
              <w:bottom w:val="single" w:sz="4" w:space="0" w:color="auto"/>
            </w:tcBorders>
            <w:vAlign w:val="center"/>
          </w:tcPr>
          <w:p w:rsidR="002E767B" w:rsidRPr="007E39E4" w:rsidRDefault="002E767B" w:rsidP="002E767B">
            <w:pPr>
              <w:pStyle w:val="table1"/>
              <w:jc w:val="center"/>
            </w:pPr>
            <w:r w:rsidRPr="007E39E4">
              <w:t>PA</w:t>
            </w:r>
          </w:p>
        </w:tc>
      </w:tr>
      <w:tr w:rsidR="002E767B" w:rsidTr="002E767B">
        <w:tc>
          <w:tcPr>
            <w:tcW w:w="2235" w:type="dxa"/>
            <w:tcBorders>
              <w:top w:val="single" w:sz="4" w:space="0" w:color="auto"/>
            </w:tcBorders>
            <w:vAlign w:val="center"/>
          </w:tcPr>
          <w:p w:rsidR="002E767B" w:rsidRPr="00A05EC5" w:rsidRDefault="002E767B" w:rsidP="002E767B">
            <w:pPr>
              <w:pStyle w:val="table2"/>
              <w:spacing w:line="360" w:lineRule="auto"/>
              <w:rPr>
                <w:rFonts w:cs="Arial"/>
                <w:i/>
                <w:szCs w:val="16"/>
              </w:rPr>
            </w:pPr>
            <w:r w:rsidRPr="00A05EC5">
              <w:rPr>
                <w:rFonts w:cs="Arial"/>
                <w:i/>
                <w:szCs w:val="16"/>
              </w:rPr>
              <w:t>Eleocharis</w:t>
            </w:r>
          </w:p>
        </w:tc>
        <w:tc>
          <w:tcPr>
            <w:tcW w:w="785" w:type="dxa"/>
            <w:tcBorders>
              <w:top w:val="single" w:sz="4" w:space="0" w:color="auto"/>
            </w:tcBorders>
            <w:vAlign w:val="center"/>
          </w:tcPr>
          <w:p w:rsidR="002E767B" w:rsidRPr="00E36318" w:rsidRDefault="002E767B" w:rsidP="002E767B">
            <w:pPr>
              <w:pStyle w:val="table1"/>
              <w:ind w:right="120"/>
              <w:jc w:val="right"/>
            </w:pPr>
            <w:r>
              <w:t>91.7</w:t>
            </w:r>
          </w:p>
        </w:tc>
        <w:tc>
          <w:tcPr>
            <w:tcW w:w="786" w:type="dxa"/>
            <w:tcBorders>
              <w:top w:val="single" w:sz="4" w:space="0" w:color="auto"/>
            </w:tcBorders>
            <w:vAlign w:val="center"/>
          </w:tcPr>
          <w:p w:rsidR="002E767B" w:rsidRDefault="002E767B" w:rsidP="002E767B">
            <w:pPr>
              <w:pStyle w:val="table1"/>
              <w:ind w:right="120"/>
              <w:jc w:val="right"/>
            </w:pPr>
            <w:r>
              <w:t>61.1</w:t>
            </w:r>
          </w:p>
        </w:tc>
        <w:tc>
          <w:tcPr>
            <w:tcW w:w="786" w:type="dxa"/>
            <w:tcBorders>
              <w:top w:val="single" w:sz="4" w:space="0" w:color="auto"/>
            </w:tcBorders>
            <w:vAlign w:val="center"/>
          </w:tcPr>
          <w:p w:rsidR="002E767B" w:rsidRDefault="002E767B" w:rsidP="002E767B">
            <w:pPr>
              <w:ind w:right="120"/>
              <w:jc w:val="right"/>
              <w:rPr>
                <w:rFonts w:ascii="Arial" w:hAnsi="Arial" w:cs="Arial"/>
                <w:color w:val="000000"/>
                <w:sz w:val="16"/>
                <w:szCs w:val="16"/>
              </w:rPr>
            </w:pPr>
            <w:r>
              <w:rPr>
                <w:rFonts w:ascii="Arial" w:hAnsi="Arial" w:cs="Arial"/>
                <w:color w:val="000000"/>
                <w:sz w:val="16"/>
                <w:szCs w:val="16"/>
              </w:rPr>
              <w:t>40.0</w:t>
            </w:r>
          </w:p>
        </w:tc>
        <w:tc>
          <w:tcPr>
            <w:tcW w:w="786" w:type="dxa"/>
            <w:tcBorders>
              <w:top w:val="single" w:sz="4" w:space="0" w:color="auto"/>
            </w:tcBorders>
            <w:vAlign w:val="center"/>
          </w:tcPr>
          <w:p w:rsidR="002E767B" w:rsidRDefault="002E767B" w:rsidP="002E767B">
            <w:pPr>
              <w:pStyle w:val="table1"/>
              <w:ind w:right="120"/>
              <w:jc w:val="right"/>
            </w:pPr>
            <w:r>
              <w:t>66.7</w:t>
            </w:r>
          </w:p>
        </w:tc>
        <w:tc>
          <w:tcPr>
            <w:tcW w:w="786" w:type="dxa"/>
            <w:tcBorders>
              <w:top w:val="single" w:sz="4" w:space="0" w:color="auto"/>
            </w:tcBorders>
            <w:vAlign w:val="center"/>
          </w:tcPr>
          <w:p w:rsidR="002E767B" w:rsidRDefault="002E767B" w:rsidP="002E767B">
            <w:pPr>
              <w:ind w:right="120"/>
              <w:jc w:val="right"/>
              <w:rPr>
                <w:rFonts w:ascii="Arial" w:hAnsi="Arial" w:cs="Arial"/>
                <w:color w:val="000000"/>
                <w:sz w:val="16"/>
                <w:szCs w:val="16"/>
              </w:rPr>
            </w:pPr>
            <w:r>
              <w:rPr>
                <w:rFonts w:ascii="Arial" w:hAnsi="Arial" w:cs="Arial"/>
                <w:color w:val="000000"/>
                <w:sz w:val="16"/>
                <w:szCs w:val="16"/>
              </w:rPr>
              <w:t>100.0</w:t>
            </w:r>
          </w:p>
        </w:tc>
        <w:tc>
          <w:tcPr>
            <w:tcW w:w="786" w:type="dxa"/>
            <w:tcBorders>
              <w:top w:val="single" w:sz="4" w:space="0" w:color="auto"/>
            </w:tcBorders>
            <w:vAlign w:val="center"/>
          </w:tcPr>
          <w:p w:rsidR="002E767B" w:rsidRDefault="002E767B" w:rsidP="002E767B">
            <w:pPr>
              <w:pStyle w:val="table1"/>
              <w:ind w:right="120"/>
              <w:jc w:val="right"/>
            </w:pPr>
            <w:r>
              <w:t>33.3</w:t>
            </w:r>
          </w:p>
        </w:tc>
        <w:tc>
          <w:tcPr>
            <w:tcW w:w="786" w:type="dxa"/>
            <w:tcBorders>
              <w:top w:val="single" w:sz="4" w:space="0" w:color="auto"/>
            </w:tcBorders>
          </w:tcPr>
          <w:p w:rsidR="002E767B" w:rsidRDefault="002E767B" w:rsidP="002E767B">
            <w:pPr>
              <w:jc w:val="right"/>
              <w:rPr>
                <w:rFonts w:ascii="Arial" w:hAnsi="Arial" w:cs="Arial"/>
                <w:color w:val="000000"/>
                <w:sz w:val="16"/>
                <w:szCs w:val="16"/>
              </w:rPr>
            </w:pPr>
            <w:r>
              <w:rPr>
                <w:rFonts w:ascii="Arial" w:hAnsi="Arial" w:cs="Arial"/>
                <w:color w:val="000000"/>
                <w:sz w:val="16"/>
                <w:szCs w:val="16"/>
              </w:rPr>
              <w:t>100.0</w:t>
            </w:r>
          </w:p>
        </w:tc>
        <w:tc>
          <w:tcPr>
            <w:tcW w:w="786" w:type="dxa"/>
            <w:tcBorders>
              <w:top w:val="single" w:sz="4" w:space="0" w:color="auto"/>
            </w:tcBorders>
          </w:tcPr>
          <w:p w:rsidR="002E767B" w:rsidRDefault="002E767B" w:rsidP="002E767B">
            <w:pPr>
              <w:pStyle w:val="table1"/>
              <w:ind w:right="120"/>
              <w:jc w:val="right"/>
            </w:pPr>
            <w:r>
              <w:t>75.0</w:t>
            </w:r>
          </w:p>
        </w:tc>
      </w:tr>
      <w:tr w:rsidR="002E767B" w:rsidTr="002E767B">
        <w:tc>
          <w:tcPr>
            <w:tcW w:w="2235" w:type="dxa"/>
            <w:vAlign w:val="center"/>
          </w:tcPr>
          <w:p w:rsidR="002E767B" w:rsidRPr="00A05EC5" w:rsidRDefault="002E767B" w:rsidP="002E767B">
            <w:pPr>
              <w:pStyle w:val="table2"/>
              <w:spacing w:line="360" w:lineRule="auto"/>
              <w:rPr>
                <w:rFonts w:cs="Arial"/>
                <w:i/>
                <w:szCs w:val="16"/>
              </w:rPr>
            </w:pPr>
            <w:r w:rsidRPr="00A05EC5">
              <w:rPr>
                <w:rFonts w:cs="Arial"/>
                <w:i/>
                <w:szCs w:val="16"/>
              </w:rPr>
              <w:t>Hymenachne</w:t>
            </w:r>
          </w:p>
        </w:tc>
        <w:tc>
          <w:tcPr>
            <w:tcW w:w="785" w:type="dxa"/>
            <w:vAlign w:val="center"/>
          </w:tcPr>
          <w:p w:rsidR="002E767B" w:rsidRPr="00E36318" w:rsidRDefault="002E767B" w:rsidP="002E767B">
            <w:pPr>
              <w:pStyle w:val="table1"/>
              <w:ind w:right="120"/>
              <w:jc w:val="right"/>
            </w:pPr>
            <w:r>
              <w:t>62.5</w:t>
            </w:r>
          </w:p>
        </w:tc>
        <w:tc>
          <w:tcPr>
            <w:tcW w:w="786" w:type="dxa"/>
            <w:vAlign w:val="center"/>
          </w:tcPr>
          <w:p w:rsidR="002E767B" w:rsidRDefault="002E767B" w:rsidP="002E767B">
            <w:pPr>
              <w:pStyle w:val="table1"/>
              <w:ind w:right="120"/>
              <w:jc w:val="right"/>
            </w:pPr>
            <w:r>
              <w:t>75.0</w:t>
            </w:r>
          </w:p>
        </w:tc>
        <w:tc>
          <w:tcPr>
            <w:tcW w:w="786" w:type="dxa"/>
            <w:vAlign w:val="center"/>
          </w:tcPr>
          <w:p w:rsidR="002E767B" w:rsidRDefault="002E767B" w:rsidP="002E767B">
            <w:pPr>
              <w:ind w:right="120"/>
              <w:jc w:val="right"/>
              <w:rPr>
                <w:rFonts w:ascii="Arial" w:hAnsi="Arial" w:cs="Arial"/>
                <w:color w:val="000000"/>
                <w:sz w:val="16"/>
                <w:szCs w:val="16"/>
              </w:rPr>
            </w:pPr>
            <w:r>
              <w:rPr>
                <w:rFonts w:ascii="Arial" w:hAnsi="Arial" w:cs="Arial"/>
                <w:color w:val="000000"/>
                <w:sz w:val="16"/>
                <w:szCs w:val="16"/>
              </w:rPr>
              <w:t>72.7</w:t>
            </w:r>
          </w:p>
        </w:tc>
        <w:tc>
          <w:tcPr>
            <w:tcW w:w="786" w:type="dxa"/>
            <w:vAlign w:val="center"/>
          </w:tcPr>
          <w:p w:rsidR="002E767B" w:rsidRDefault="002E767B" w:rsidP="002E767B">
            <w:pPr>
              <w:pStyle w:val="table1"/>
              <w:ind w:right="120"/>
              <w:jc w:val="right"/>
            </w:pPr>
            <w:r>
              <w:t>66.7</w:t>
            </w:r>
          </w:p>
        </w:tc>
        <w:tc>
          <w:tcPr>
            <w:tcW w:w="786" w:type="dxa"/>
            <w:vAlign w:val="center"/>
          </w:tcPr>
          <w:p w:rsidR="002E767B" w:rsidRDefault="002E767B" w:rsidP="002E767B">
            <w:pPr>
              <w:ind w:right="120"/>
              <w:jc w:val="right"/>
              <w:rPr>
                <w:rFonts w:ascii="Arial" w:hAnsi="Arial" w:cs="Arial"/>
                <w:color w:val="000000"/>
                <w:sz w:val="16"/>
                <w:szCs w:val="16"/>
              </w:rPr>
            </w:pPr>
            <w:r>
              <w:rPr>
                <w:rFonts w:ascii="Arial" w:hAnsi="Arial" w:cs="Arial"/>
                <w:color w:val="000000"/>
                <w:sz w:val="16"/>
                <w:szCs w:val="16"/>
              </w:rPr>
              <w:t>66.7</w:t>
            </w:r>
          </w:p>
        </w:tc>
        <w:tc>
          <w:tcPr>
            <w:tcW w:w="786" w:type="dxa"/>
            <w:vAlign w:val="center"/>
          </w:tcPr>
          <w:p w:rsidR="002E767B" w:rsidRDefault="002E767B" w:rsidP="002E767B">
            <w:pPr>
              <w:pStyle w:val="table1"/>
              <w:ind w:right="120"/>
              <w:jc w:val="right"/>
            </w:pPr>
            <w:r>
              <w:t>85.7</w:t>
            </w:r>
          </w:p>
        </w:tc>
        <w:tc>
          <w:tcPr>
            <w:tcW w:w="786" w:type="dxa"/>
          </w:tcPr>
          <w:p w:rsidR="002E767B" w:rsidRDefault="002E767B" w:rsidP="002E767B">
            <w:pPr>
              <w:jc w:val="right"/>
              <w:rPr>
                <w:rFonts w:ascii="Arial" w:hAnsi="Arial" w:cs="Arial"/>
                <w:color w:val="000000"/>
                <w:sz w:val="16"/>
                <w:szCs w:val="16"/>
              </w:rPr>
            </w:pPr>
            <w:r>
              <w:rPr>
                <w:rFonts w:ascii="Arial" w:hAnsi="Arial" w:cs="Arial"/>
                <w:color w:val="000000"/>
                <w:sz w:val="16"/>
                <w:szCs w:val="16"/>
              </w:rPr>
              <w:t>60.0</w:t>
            </w:r>
          </w:p>
        </w:tc>
        <w:tc>
          <w:tcPr>
            <w:tcW w:w="786" w:type="dxa"/>
          </w:tcPr>
          <w:p w:rsidR="002E767B" w:rsidRDefault="002E767B" w:rsidP="002E767B">
            <w:pPr>
              <w:pStyle w:val="table1"/>
              <w:ind w:right="120"/>
              <w:jc w:val="right"/>
            </w:pPr>
            <w:r>
              <w:t>60.0</w:t>
            </w:r>
          </w:p>
        </w:tc>
      </w:tr>
      <w:tr w:rsidR="002E767B" w:rsidTr="002E767B">
        <w:tc>
          <w:tcPr>
            <w:tcW w:w="2235" w:type="dxa"/>
            <w:vAlign w:val="center"/>
          </w:tcPr>
          <w:p w:rsidR="002E767B" w:rsidRPr="00A05EC5" w:rsidRDefault="002E767B" w:rsidP="002E767B">
            <w:pPr>
              <w:pStyle w:val="table2"/>
              <w:spacing w:line="360" w:lineRule="auto"/>
              <w:rPr>
                <w:rFonts w:cs="Arial"/>
                <w:i/>
                <w:szCs w:val="16"/>
              </w:rPr>
            </w:pPr>
            <w:r w:rsidRPr="00A05EC5">
              <w:rPr>
                <w:rFonts w:cs="Arial"/>
                <w:i/>
                <w:szCs w:val="16"/>
              </w:rPr>
              <w:t>Leersia</w:t>
            </w:r>
          </w:p>
        </w:tc>
        <w:tc>
          <w:tcPr>
            <w:tcW w:w="785" w:type="dxa"/>
            <w:vAlign w:val="center"/>
          </w:tcPr>
          <w:p w:rsidR="002E767B" w:rsidRPr="00E36318" w:rsidRDefault="002E767B" w:rsidP="002E767B">
            <w:pPr>
              <w:pStyle w:val="table1"/>
              <w:ind w:right="120"/>
              <w:jc w:val="right"/>
            </w:pPr>
            <w:r>
              <w:t>100.0</w:t>
            </w:r>
          </w:p>
        </w:tc>
        <w:tc>
          <w:tcPr>
            <w:tcW w:w="786" w:type="dxa"/>
            <w:vAlign w:val="center"/>
          </w:tcPr>
          <w:p w:rsidR="002E767B" w:rsidRDefault="002E767B" w:rsidP="002E767B">
            <w:pPr>
              <w:pStyle w:val="table1"/>
              <w:ind w:right="120"/>
              <w:jc w:val="right"/>
            </w:pPr>
            <w:r>
              <w:t>57.1</w:t>
            </w:r>
          </w:p>
        </w:tc>
        <w:tc>
          <w:tcPr>
            <w:tcW w:w="786" w:type="dxa"/>
            <w:vAlign w:val="center"/>
          </w:tcPr>
          <w:p w:rsidR="002E767B" w:rsidRDefault="002E767B" w:rsidP="002E767B">
            <w:pPr>
              <w:ind w:right="120"/>
              <w:jc w:val="right"/>
              <w:rPr>
                <w:rFonts w:ascii="Arial" w:hAnsi="Arial" w:cs="Arial"/>
                <w:color w:val="000000"/>
                <w:sz w:val="16"/>
                <w:szCs w:val="16"/>
              </w:rPr>
            </w:pPr>
            <w:r>
              <w:rPr>
                <w:rFonts w:ascii="Arial" w:hAnsi="Arial" w:cs="Arial"/>
                <w:color w:val="000000"/>
                <w:sz w:val="16"/>
                <w:szCs w:val="16"/>
              </w:rPr>
              <w:t>75.0</w:t>
            </w:r>
          </w:p>
        </w:tc>
        <w:tc>
          <w:tcPr>
            <w:tcW w:w="786" w:type="dxa"/>
            <w:vAlign w:val="center"/>
          </w:tcPr>
          <w:p w:rsidR="002E767B" w:rsidRDefault="002E767B" w:rsidP="002E767B">
            <w:pPr>
              <w:pStyle w:val="table1"/>
              <w:ind w:right="120"/>
              <w:jc w:val="right"/>
            </w:pPr>
            <w:r>
              <w:t>75.0</w:t>
            </w:r>
          </w:p>
        </w:tc>
        <w:tc>
          <w:tcPr>
            <w:tcW w:w="786" w:type="dxa"/>
            <w:vAlign w:val="center"/>
          </w:tcPr>
          <w:p w:rsidR="002E767B" w:rsidRDefault="002E767B" w:rsidP="002E767B">
            <w:pPr>
              <w:ind w:right="120"/>
              <w:jc w:val="right"/>
              <w:rPr>
                <w:rFonts w:ascii="Arial" w:hAnsi="Arial" w:cs="Arial"/>
                <w:color w:val="000000"/>
                <w:sz w:val="16"/>
                <w:szCs w:val="16"/>
              </w:rPr>
            </w:pPr>
            <w:r>
              <w:rPr>
                <w:rFonts w:ascii="Arial" w:hAnsi="Arial" w:cs="Arial"/>
                <w:color w:val="000000"/>
                <w:sz w:val="16"/>
                <w:szCs w:val="16"/>
              </w:rPr>
              <w:t>100.0</w:t>
            </w:r>
          </w:p>
        </w:tc>
        <w:tc>
          <w:tcPr>
            <w:tcW w:w="786" w:type="dxa"/>
            <w:vAlign w:val="center"/>
          </w:tcPr>
          <w:p w:rsidR="002E767B" w:rsidRDefault="002E767B" w:rsidP="002E767B">
            <w:pPr>
              <w:pStyle w:val="table1"/>
              <w:ind w:right="120"/>
              <w:jc w:val="right"/>
            </w:pPr>
            <w:r>
              <w:t>33.3</w:t>
            </w:r>
          </w:p>
        </w:tc>
        <w:tc>
          <w:tcPr>
            <w:tcW w:w="786" w:type="dxa"/>
          </w:tcPr>
          <w:p w:rsidR="002E767B" w:rsidRDefault="002E767B" w:rsidP="002E767B">
            <w:pPr>
              <w:jc w:val="right"/>
              <w:rPr>
                <w:rFonts w:ascii="Arial" w:hAnsi="Arial" w:cs="Arial"/>
                <w:color w:val="000000"/>
                <w:sz w:val="16"/>
                <w:szCs w:val="16"/>
              </w:rPr>
            </w:pPr>
            <w:r>
              <w:rPr>
                <w:rFonts w:ascii="Arial" w:hAnsi="Arial" w:cs="Arial"/>
                <w:color w:val="000000"/>
                <w:sz w:val="16"/>
                <w:szCs w:val="16"/>
              </w:rPr>
              <w:t>100.0</w:t>
            </w:r>
          </w:p>
        </w:tc>
        <w:tc>
          <w:tcPr>
            <w:tcW w:w="786" w:type="dxa"/>
          </w:tcPr>
          <w:p w:rsidR="002E767B" w:rsidRDefault="002E767B" w:rsidP="002E767B">
            <w:pPr>
              <w:pStyle w:val="table1"/>
              <w:ind w:right="120"/>
              <w:jc w:val="right"/>
            </w:pPr>
            <w:r>
              <w:t>60.0</w:t>
            </w:r>
          </w:p>
        </w:tc>
      </w:tr>
      <w:tr w:rsidR="002E767B" w:rsidTr="002E767B">
        <w:tc>
          <w:tcPr>
            <w:tcW w:w="2235" w:type="dxa"/>
            <w:vAlign w:val="center"/>
          </w:tcPr>
          <w:p w:rsidR="002E767B" w:rsidRPr="00AA6F33" w:rsidRDefault="002E767B" w:rsidP="002E767B">
            <w:pPr>
              <w:pStyle w:val="table2"/>
              <w:spacing w:line="360" w:lineRule="auto"/>
              <w:rPr>
                <w:rFonts w:cs="Arial"/>
                <w:szCs w:val="16"/>
              </w:rPr>
            </w:pPr>
            <w:r w:rsidRPr="00A05EC5">
              <w:rPr>
                <w:rFonts w:cs="Arial"/>
                <w:i/>
                <w:szCs w:val="16"/>
              </w:rPr>
              <w:t>Melaleuca</w:t>
            </w:r>
            <w:r>
              <w:rPr>
                <w:rFonts w:cs="Arial"/>
                <w:szCs w:val="16"/>
              </w:rPr>
              <w:t xml:space="preserve"> open forest</w:t>
            </w:r>
          </w:p>
        </w:tc>
        <w:tc>
          <w:tcPr>
            <w:tcW w:w="785" w:type="dxa"/>
            <w:vAlign w:val="center"/>
          </w:tcPr>
          <w:p w:rsidR="002E767B" w:rsidRPr="00E36318" w:rsidRDefault="002E767B" w:rsidP="002E767B">
            <w:pPr>
              <w:pStyle w:val="table1"/>
              <w:ind w:right="120"/>
              <w:jc w:val="right"/>
            </w:pPr>
            <w:r>
              <w:t>75.0</w:t>
            </w:r>
          </w:p>
        </w:tc>
        <w:tc>
          <w:tcPr>
            <w:tcW w:w="786" w:type="dxa"/>
            <w:vAlign w:val="center"/>
          </w:tcPr>
          <w:p w:rsidR="002E767B" w:rsidRDefault="002E767B" w:rsidP="002E767B">
            <w:pPr>
              <w:pStyle w:val="table1"/>
              <w:ind w:right="120"/>
              <w:jc w:val="right"/>
            </w:pPr>
            <w:r>
              <w:t>100.0</w:t>
            </w:r>
          </w:p>
        </w:tc>
        <w:tc>
          <w:tcPr>
            <w:tcW w:w="786" w:type="dxa"/>
            <w:vAlign w:val="center"/>
          </w:tcPr>
          <w:p w:rsidR="002E767B" w:rsidRDefault="002E767B" w:rsidP="002E767B">
            <w:pPr>
              <w:ind w:right="120"/>
              <w:jc w:val="right"/>
              <w:rPr>
                <w:rFonts w:ascii="Arial" w:hAnsi="Arial" w:cs="Arial"/>
                <w:color w:val="000000"/>
                <w:sz w:val="16"/>
                <w:szCs w:val="16"/>
              </w:rPr>
            </w:pPr>
            <w:r>
              <w:rPr>
                <w:rFonts w:ascii="Arial" w:hAnsi="Arial" w:cs="Arial"/>
                <w:color w:val="000000"/>
                <w:sz w:val="16"/>
                <w:szCs w:val="16"/>
              </w:rPr>
              <w:t>60.0</w:t>
            </w:r>
          </w:p>
        </w:tc>
        <w:tc>
          <w:tcPr>
            <w:tcW w:w="786" w:type="dxa"/>
            <w:vAlign w:val="center"/>
          </w:tcPr>
          <w:p w:rsidR="002E767B" w:rsidRDefault="002E767B" w:rsidP="002E767B">
            <w:pPr>
              <w:pStyle w:val="table1"/>
              <w:ind w:right="120"/>
              <w:jc w:val="right"/>
            </w:pPr>
            <w:r>
              <w:t>100.0</w:t>
            </w:r>
          </w:p>
        </w:tc>
        <w:tc>
          <w:tcPr>
            <w:tcW w:w="786" w:type="dxa"/>
            <w:vAlign w:val="center"/>
          </w:tcPr>
          <w:p w:rsidR="002E767B" w:rsidRDefault="002E767B" w:rsidP="002E767B">
            <w:pPr>
              <w:ind w:right="120"/>
              <w:jc w:val="right"/>
              <w:rPr>
                <w:rFonts w:ascii="Arial" w:hAnsi="Arial" w:cs="Arial"/>
                <w:color w:val="000000"/>
                <w:sz w:val="16"/>
                <w:szCs w:val="16"/>
              </w:rPr>
            </w:pPr>
            <w:r>
              <w:rPr>
                <w:rFonts w:ascii="Arial" w:hAnsi="Arial" w:cs="Arial"/>
                <w:color w:val="000000"/>
                <w:sz w:val="16"/>
                <w:szCs w:val="16"/>
              </w:rPr>
              <w:t>100.0</w:t>
            </w:r>
          </w:p>
        </w:tc>
        <w:tc>
          <w:tcPr>
            <w:tcW w:w="786" w:type="dxa"/>
            <w:vAlign w:val="center"/>
          </w:tcPr>
          <w:p w:rsidR="002E767B" w:rsidRDefault="002E767B" w:rsidP="002E767B">
            <w:pPr>
              <w:pStyle w:val="table1"/>
              <w:ind w:right="120"/>
              <w:jc w:val="right"/>
            </w:pPr>
            <w:r>
              <w:t>100.0</w:t>
            </w:r>
          </w:p>
        </w:tc>
        <w:tc>
          <w:tcPr>
            <w:tcW w:w="786" w:type="dxa"/>
          </w:tcPr>
          <w:p w:rsidR="002E767B" w:rsidRDefault="002E767B" w:rsidP="002E767B">
            <w:pPr>
              <w:jc w:val="right"/>
              <w:rPr>
                <w:rFonts w:ascii="Arial" w:hAnsi="Arial" w:cs="Arial"/>
                <w:color w:val="000000"/>
                <w:sz w:val="16"/>
                <w:szCs w:val="16"/>
              </w:rPr>
            </w:pPr>
            <w:r>
              <w:rPr>
                <w:rFonts w:ascii="Arial" w:hAnsi="Arial" w:cs="Arial"/>
                <w:color w:val="000000"/>
                <w:sz w:val="16"/>
                <w:szCs w:val="16"/>
              </w:rPr>
              <w:t>100.0</w:t>
            </w:r>
          </w:p>
        </w:tc>
        <w:tc>
          <w:tcPr>
            <w:tcW w:w="786" w:type="dxa"/>
          </w:tcPr>
          <w:p w:rsidR="002E767B" w:rsidRDefault="002E767B" w:rsidP="002E767B">
            <w:pPr>
              <w:pStyle w:val="table1"/>
              <w:ind w:right="120"/>
              <w:jc w:val="right"/>
            </w:pPr>
            <w:r>
              <w:t>100.0</w:t>
            </w:r>
          </w:p>
        </w:tc>
      </w:tr>
      <w:tr w:rsidR="002E767B" w:rsidTr="002E767B">
        <w:tc>
          <w:tcPr>
            <w:tcW w:w="2235" w:type="dxa"/>
            <w:vAlign w:val="center"/>
          </w:tcPr>
          <w:p w:rsidR="002E767B" w:rsidRPr="00AA6F33" w:rsidRDefault="002E767B" w:rsidP="002E767B">
            <w:pPr>
              <w:pStyle w:val="table2"/>
              <w:spacing w:line="360" w:lineRule="auto"/>
              <w:rPr>
                <w:rFonts w:cs="Arial"/>
                <w:szCs w:val="16"/>
              </w:rPr>
            </w:pPr>
            <w:r w:rsidRPr="00A05EC5">
              <w:rPr>
                <w:rFonts w:cs="Arial"/>
                <w:i/>
                <w:szCs w:val="16"/>
              </w:rPr>
              <w:t>Melaleuca</w:t>
            </w:r>
            <w:r>
              <w:rPr>
                <w:rFonts w:cs="Arial"/>
                <w:szCs w:val="16"/>
              </w:rPr>
              <w:t xml:space="preserve"> woodland</w:t>
            </w:r>
          </w:p>
        </w:tc>
        <w:tc>
          <w:tcPr>
            <w:tcW w:w="785" w:type="dxa"/>
            <w:vAlign w:val="center"/>
          </w:tcPr>
          <w:p w:rsidR="002E767B" w:rsidRPr="00E36318" w:rsidRDefault="002E767B" w:rsidP="002E767B">
            <w:pPr>
              <w:pStyle w:val="table1"/>
              <w:ind w:right="120"/>
              <w:jc w:val="right"/>
            </w:pPr>
            <w:r>
              <w:t>50.0</w:t>
            </w:r>
          </w:p>
        </w:tc>
        <w:tc>
          <w:tcPr>
            <w:tcW w:w="786" w:type="dxa"/>
            <w:vAlign w:val="center"/>
          </w:tcPr>
          <w:p w:rsidR="002E767B" w:rsidRDefault="002E767B" w:rsidP="002E767B">
            <w:pPr>
              <w:pStyle w:val="table1"/>
              <w:ind w:right="120"/>
              <w:jc w:val="right"/>
            </w:pPr>
            <w:r>
              <w:t>83.3</w:t>
            </w:r>
          </w:p>
        </w:tc>
        <w:tc>
          <w:tcPr>
            <w:tcW w:w="786" w:type="dxa"/>
            <w:vAlign w:val="center"/>
          </w:tcPr>
          <w:p w:rsidR="002E767B" w:rsidRDefault="002E767B" w:rsidP="002E767B">
            <w:pPr>
              <w:ind w:right="120"/>
              <w:jc w:val="right"/>
              <w:rPr>
                <w:rFonts w:ascii="Arial" w:hAnsi="Arial" w:cs="Arial"/>
                <w:color w:val="000000"/>
                <w:sz w:val="16"/>
                <w:szCs w:val="16"/>
              </w:rPr>
            </w:pPr>
            <w:r>
              <w:rPr>
                <w:rFonts w:ascii="Arial" w:hAnsi="Arial" w:cs="Arial"/>
                <w:color w:val="000000"/>
                <w:sz w:val="16"/>
                <w:szCs w:val="16"/>
              </w:rPr>
              <w:t>86.4</w:t>
            </w:r>
          </w:p>
        </w:tc>
        <w:tc>
          <w:tcPr>
            <w:tcW w:w="786" w:type="dxa"/>
            <w:vAlign w:val="center"/>
          </w:tcPr>
          <w:p w:rsidR="002E767B" w:rsidRDefault="002E767B" w:rsidP="002E767B">
            <w:pPr>
              <w:pStyle w:val="table1"/>
              <w:ind w:right="120"/>
              <w:jc w:val="right"/>
            </w:pPr>
            <w:r>
              <w:t>73.1</w:t>
            </w:r>
          </w:p>
        </w:tc>
        <w:tc>
          <w:tcPr>
            <w:tcW w:w="786" w:type="dxa"/>
            <w:vAlign w:val="center"/>
          </w:tcPr>
          <w:p w:rsidR="002E767B" w:rsidRDefault="002E767B" w:rsidP="002E767B">
            <w:pPr>
              <w:ind w:right="120"/>
              <w:jc w:val="right"/>
              <w:rPr>
                <w:rFonts w:ascii="Arial" w:hAnsi="Arial" w:cs="Arial"/>
                <w:color w:val="000000"/>
                <w:sz w:val="16"/>
                <w:szCs w:val="16"/>
              </w:rPr>
            </w:pPr>
            <w:r>
              <w:rPr>
                <w:rFonts w:ascii="Arial" w:hAnsi="Arial" w:cs="Arial"/>
                <w:color w:val="000000"/>
                <w:sz w:val="16"/>
                <w:szCs w:val="16"/>
              </w:rPr>
              <w:t>80.0</w:t>
            </w:r>
          </w:p>
        </w:tc>
        <w:tc>
          <w:tcPr>
            <w:tcW w:w="786" w:type="dxa"/>
            <w:vAlign w:val="center"/>
          </w:tcPr>
          <w:p w:rsidR="002E767B" w:rsidRDefault="002E767B" w:rsidP="002E767B">
            <w:pPr>
              <w:pStyle w:val="table1"/>
              <w:ind w:right="120"/>
              <w:jc w:val="right"/>
            </w:pPr>
            <w:r>
              <w:t>66.7</w:t>
            </w:r>
          </w:p>
        </w:tc>
        <w:tc>
          <w:tcPr>
            <w:tcW w:w="786" w:type="dxa"/>
          </w:tcPr>
          <w:p w:rsidR="002E767B" w:rsidRDefault="002E767B" w:rsidP="002E767B">
            <w:pPr>
              <w:jc w:val="right"/>
              <w:rPr>
                <w:rFonts w:ascii="Arial" w:hAnsi="Arial" w:cs="Arial"/>
                <w:color w:val="000000"/>
                <w:sz w:val="16"/>
                <w:szCs w:val="16"/>
              </w:rPr>
            </w:pPr>
            <w:r>
              <w:rPr>
                <w:rFonts w:ascii="Arial" w:hAnsi="Arial" w:cs="Arial"/>
                <w:color w:val="000000"/>
                <w:sz w:val="16"/>
                <w:szCs w:val="16"/>
              </w:rPr>
              <w:t>88.2</w:t>
            </w:r>
          </w:p>
        </w:tc>
        <w:tc>
          <w:tcPr>
            <w:tcW w:w="786" w:type="dxa"/>
          </w:tcPr>
          <w:p w:rsidR="002E767B" w:rsidRDefault="002E767B" w:rsidP="002E767B">
            <w:pPr>
              <w:pStyle w:val="table1"/>
              <w:ind w:right="120"/>
              <w:jc w:val="right"/>
            </w:pPr>
            <w:r>
              <w:t>88.2</w:t>
            </w:r>
          </w:p>
        </w:tc>
      </w:tr>
      <w:tr w:rsidR="002E767B" w:rsidTr="002E767B">
        <w:tc>
          <w:tcPr>
            <w:tcW w:w="2235" w:type="dxa"/>
            <w:vAlign w:val="center"/>
          </w:tcPr>
          <w:p w:rsidR="002E767B" w:rsidRPr="00A05EC5" w:rsidRDefault="002E767B" w:rsidP="002E767B">
            <w:pPr>
              <w:pStyle w:val="table2"/>
              <w:spacing w:line="360" w:lineRule="auto"/>
              <w:rPr>
                <w:rFonts w:cs="Arial"/>
                <w:i/>
                <w:szCs w:val="16"/>
              </w:rPr>
            </w:pPr>
            <w:r w:rsidRPr="00A05EC5">
              <w:rPr>
                <w:rFonts w:cs="Arial"/>
                <w:i/>
                <w:szCs w:val="16"/>
              </w:rPr>
              <w:t>Nelumbo</w:t>
            </w:r>
          </w:p>
        </w:tc>
        <w:tc>
          <w:tcPr>
            <w:tcW w:w="785" w:type="dxa"/>
            <w:vAlign w:val="center"/>
          </w:tcPr>
          <w:p w:rsidR="002E767B" w:rsidRPr="00E36318" w:rsidRDefault="002E767B" w:rsidP="002E767B">
            <w:pPr>
              <w:pStyle w:val="table1"/>
              <w:ind w:right="120"/>
              <w:jc w:val="right"/>
            </w:pPr>
            <w:r>
              <w:t>71.4</w:t>
            </w:r>
          </w:p>
        </w:tc>
        <w:tc>
          <w:tcPr>
            <w:tcW w:w="786" w:type="dxa"/>
            <w:vAlign w:val="center"/>
          </w:tcPr>
          <w:p w:rsidR="002E767B" w:rsidRDefault="002E767B" w:rsidP="002E767B">
            <w:pPr>
              <w:pStyle w:val="table1"/>
              <w:ind w:right="120"/>
              <w:jc w:val="right"/>
            </w:pPr>
            <w:r>
              <w:t>100.0</w:t>
            </w:r>
          </w:p>
        </w:tc>
        <w:tc>
          <w:tcPr>
            <w:tcW w:w="786" w:type="dxa"/>
            <w:vAlign w:val="center"/>
          </w:tcPr>
          <w:p w:rsidR="002E767B" w:rsidRDefault="002E767B" w:rsidP="002E767B">
            <w:pPr>
              <w:ind w:right="120"/>
              <w:jc w:val="right"/>
              <w:rPr>
                <w:rFonts w:ascii="Arial" w:hAnsi="Arial" w:cs="Arial"/>
                <w:color w:val="000000"/>
                <w:sz w:val="16"/>
                <w:szCs w:val="16"/>
              </w:rPr>
            </w:pPr>
            <w:r>
              <w:rPr>
                <w:rFonts w:ascii="Arial" w:hAnsi="Arial" w:cs="Arial"/>
                <w:color w:val="000000"/>
                <w:sz w:val="16"/>
                <w:szCs w:val="16"/>
              </w:rPr>
              <w:t>50.0</w:t>
            </w:r>
          </w:p>
        </w:tc>
        <w:tc>
          <w:tcPr>
            <w:tcW w:w="786" w:type="dxa"/>
            <w:vAlign w:val="center"/>
          </w:tcPr>
          <w:p w:rsidR="002E767B" w:rsidRDefault="002E767B" w:rsidP="002E767B">
            <w:pPr>
              <w:pStyle w:val="table1"/>
              <w:ind w:right="120"/>
              <w:jc w:val="right"/>
            </w:pPr>
            <w:r>
              <w:t>100.0</w:t>
            </w:r>
          </w:p>
        </w:tc>
        <w:tc>
          <w:tcPr>
            <w:tcW w:w="786" w:type="dxa"/>
            <w:vAlign w:val="center"/>
          </w:tcPr>
          <w:p w:rsidR="002E767B" w:rsidRDefault="002E767B" w:rsidP="002E767B">
            <w:pPr>
              <w:ind w:right="120"/>
              <w:jc w:val="right"/>
              <w:rPr>
                <w:rFonts w:ascii="Arial" w:hAnsi="Arial" w:cs="Arial"/>
                <w:color w:val="000000"/>
                <w:sz w:val="16"/>
                <w:szCs w:val="16"/>
              </w:rPr>
            </w:pPr>
            <w:r>
              <w:rPr>
                <w:rFonts w:ascii="Arial" w:hAnsi="Arial" w:cs="Arial"/>
                <w:color w:val="000000"/>
                <w:sz w:val="16"/>
                <w:szCs w:val="16"/>
              </w:rPr>
              <w:t>66.7</w:t>
            </w:r>
          </w:p>
        </w:tc>
        <w:tc>
          <w:tcPr>
            <w:tcW w:w="786" w:type="dxa"/>
            <w:vAlign w:val="center"/>
          </w:tcPr>
          <w:p w:rsidR="002E767B" w:rsidRDefault="002E767B" w:rsidP="002E767B">
            <w:pPr>
              <w:pStyle w:val="table1"/>
              <w:ind w:right="120"/>
              <w:jc w:val="right"/>
            </w:pPr>
            <w:r>
              <w:t>66.7</w:t>
            </w:r>
          </w:p>
        </w:tc>
        <w:tc>
          <w:tcPr>
            <w:tcW w:w="786" w:type="dxa"/>
          </w:tcPr>
          <w:p w:rsidR="002E767B" w:rsidRDefault="002E767B" w:rsidP="002E767B">
            <w:pPr>
              <w:jc w:val="right"/>
              <w:rPr>
                <w:rFonts w:ascii="Arial" w:hAnsi="Arial" w:cs="Arial"/>
                <w:color w:val="000000"/>
                <w:sz w:val="16"/>
                <w:szCs w:val="16"/>
              </w:rPr>
            </w:pPr>
            <w:r>
              <w:rPr>
                <w:rFonts w:ascii="Arial" w:hAnsi="Arial" w:cs="Arial"/>
                <w:color w:val="000000"/>
                <w:sz w:val="16"/>
                <w:szCs w:val="16"/>
              </w:rPr>
              <w:t>83.3</w:t>
            </w:r>
          </w:p>
        </w:tc>
        <w:tc>
          <w:tcPr>
            <w:tcW w:w="786" w:type="dxa"/>
          </w:tcPr>
          <w:p w:rsidR="002E767B" w:rsidRDefault="002E767B" w:rsidP="002E767B">
            <w:pPr>
              <w:pStyle w:val="table1"/>
              <w:ind w:right="120"/>
              <w:jc w:val="right"/>
            </w:pPr>
            <w:r>
              <w:t>83.3</w:t>
            </w:r>
          </w:p>
        </w:tc>
      </w:tr>
      <w:tr w:rsidR="002E767B" w:rsidTr="002E767B">
        <w:tc>
          <w:tcPr>
            <w:tcW w:w="2235" w:type="dxa"/>
            <w:vAlign w:val="center"/>
          </w:tcPr>
          <w:p w:rsidR="002E767B" w:rsidRPr="00A05EC5" w:rsidRDefault="002E767B" w:rsidP="002E767B">
            <w:pPr>
              <w:pStyle w:val="table2"/>
              <w:spacing w:line="360" w:lineRule="auto"/>
              <w:rPr>
                <w:rFonts w:cs="Arial"/>
                <w:i/>
                <w:szCs w:val="16"/>
              </w:rPr>
            </w:pPr>
            <w:r w:rsidRPr="00A05EC5">
              <w:rPr>
                <w:rFonts w:cs="Arial"/>
                <w:i/>
                <w:szCs w:val="16"/>
              </w:rPr>
              <w:t>Oryza</w:t>
            </w:r>
          </w:p>
        </w:tc>
        <w:tc>
          <w:tcPr>
            <w:tcW w:w="785" w:type="dxa"/>
            <w:vAlign w:val="center"/>
          </w:tcPr>
          <w:p w:rsidR="002E767B" w:rsidRPr="00E36318" w:rsidRDefault="002E767B" w:rsidP="002E767B">
            <w:pPr>
              <w:pStyle w:val="table1"/>
              <w:ind w:right="120"/>
              <w:jc w:val="right"/>
            </w:pPr>
            <w:r>
              <w:t>75.0</w:t>
            </w:r>
          </w:p>
        </w:tc>
        <w:tc>
          <w:tcPr>
            <w:tcW w:w="786" w:type="dxa"/>
            <w:vAlign w:val="center"/>
          </w:tcPr>
          <w:p w:rsidR="002E767B" w:rsidRDefault="002E767B" w:rsidP="002E767B">
            <w:pPr>
              <w:pStyle w:val="table1"/>
              <w:ind w:right="120"/>
              <w:jc w:val="right"/>
            </w:pPr>
            <w:r>
              <w:t>85.7</w:t>
            </w:r>
          </w:p>
        </w:tc>
        <w:tc>
          <w:tcPr>
            <w:tcW w:w="786" w:type="dxa"/>
            <w:vAlign w:val="center"/>
          </w:tcPr>
          <w:p w:rsidR="002E767B" w:rsidRDefault="002E767B" w:rsidP="002E767B">
            <w:pPr>
              <w:ind w:right="120"/>
              <w:jc w:val="right"/>
              <w:rPr>
                <w:rFonts w:ascii="Arial" w:hAnsi="Arial" w:cs="Arial"/>
                <w:color w:val="000000"/>
                <w:sz w:val="16"/>
                <w:szCs w:val="16"/>
              </w:rPr>
            </w:pPr>
            <w:r>
              <w:rPr>
                <w:rFonts w:ascii="Arial" w:hAnsi="Arial" w:cs="Arial"/>
                <w:color w:val="000000"/>
                <w:sz w:val="16"/>
                <w:szCs w:val="16"/>
              </w:rPr>
              <w:t>60.0</w:t>
            </w:r>
          </w:p>
        </w:tc>
        <w:tc>
          <w:tcPr>
            <w:tcW w:w="786" w:type="dxa"/>
            <w:vAlign w:val="center"/>
          </w:tcPr>
          <w:p w:rsidR="002E767B" w:rsidRDefault="002E767B" w:rsidP="002E767B">
            <w:pPr>
              <w:pStyle w:val="table1"/>
              <w:ind w:right="120"/>
              <w:jc w:val="right"/>
            </w:pPr>
            <w:r>
              <w:t>50.0</w:t>
            </w:r>
          </w:p>
        </w:tc>
        <w:tc>
          <w:tcPr>
            <w:tcW w:w="786" w:type="dxa"/>
            <w:vAlign w:val="center"/>
          </w:tcPr>
          <w:p w:rsidR="002E767B" w:rsidRDefault="002E767B" w:rsidP="002E767B">
            <w:pPr>
              <w:ind w:right="120"/>
              <w:jc w:val="right"/>
              <w:rPr>
                <w:rFonts w:ascii="Arial" w:hAnsi="Arial" w:cs="Arial"/>
                <w:color w:val="000000"/>
                <w:sz w:val="16"/>
                <w:szCs w:val="16"/>
              </w:rPr>
            </w:pPr>
            <w:r>
              <w:rPr>
                <w:rFonts w:ascii="Arial" w:hAnsi="Arial" w:cs="Arial"/>
                <w:color w:val="000000"/>
                <w:sz w:val="16"/>
                <w:szCs w:val="16"/>
              </w:rPr>
              <w:t>40.0</w:t>
            </w:r>
          </w:p>
        </w:tc>
        <w:tc>
          <w:tcPr>
            <w:tcW w:w="786" w:type="dxa"/>
            <w:vAlign w:val="center"/>
          </w:tcPr>
          <w:p w:rsidR="002E767B" w:rsidRDefault="002E767B" w:rsidP="002E767B">
            <w:pPr>
              <w:pStyle w:val="table1"/>
              <w:ind w:right="120"/>
              <w:jc w:val="right"/>
            </w:pPr>
            <w:r>
              <w:t>40.0</w:t>
            </w:r>
          </w:p>
        </w:tc>
        <w:tc>
          <w:tcPr>
            <w:tcW w:w="786" w:type="dxa"/>
          </w:tcPr>
          <w:p w:rsidR="002E767B" w:rsidRDefault="002E767B" w:rsidP="002E767B">
            <w:pPr>
              <w:jc w:val="right"/>
              <w:rPr>
                <w:rFonts w:ascii="Arial" w:hAnsi="Arial" w:cs="Arial"/>
                <w:color w:val="000000"/>
                <w:sz w:val="16"/>
                <w:szCs w:val="16"/>
              </w:rPr>
            </w:pPr>
            <w:r>
              <w:rPr>
                <w:rFonts w:ascii="Arial" w:hAnsi="Arial" w:cs="Arial"/>
                <w:color w:val="000000"/>
                <w:sz w:val="16"/>
                <w:szCs w:val="16"/>
              </w:rPr>
              <w:t>66.7</w:t>
            </w:r>
          </w:p>
        </w:tc>
        <w:tc>
          <w:tcPr>
            <w:tcW w:w="786" w:type="dxa"/>
          </w:tcPr>
          <w:p w:rsidR="002E767B" w:rsidRDefault="002E767B" w:rsidP="002E767B">
            <w:pPr>
              <w:pStyle w:val="table1"/>
              <w:ind w:right="120"/>
              <w:jc w:val="right"/>
            </w:pPr>
            <w:r>
              <w:t>76.9</w:t>
            </w:r>
          </w:p>
        </w:tc>
      </w:tr>
      <w:tr w:rsidR="002E767B" w:rsidTr="002E767B">
        <w:tc>
          <w:tcPr>
            <w:tcW w:w="2235" w:type="dxa"/>
            <w:vAlign w:val="center"/>
          </w:tcPr>
          <w:p w:rsidR="002E767B" w:rsidRPr="00AA6F33" w:rsidRDefault="002E767B" w:rsidP="002E767B">
            <w:pPr>
              <w:pStyle w:val="table2"/>
              <w:spacing w:line="360" w:lineRule="auto"/>
              <w:rPr>
                <w:rFonts w:cs="Arial"/>
                <w:szCs w:val="16"/>
              </w:rPr>
            </w:pPr>
            <w:r w:rsidRPr="00AA6F33">
              <w:rPr>
                <w:rFonts w:cs="Arial"/>
                <w:szCs w:val="16"/>
              </w:rPr>
              <w:t>Para grass</w:t>
            </w:r>
          </w:p>
        </w:tc>
        <w:tc>
          <w:tcPr>
            <w:tcW w:w="785" w:type="dxa"/>
            <w:vAlign w:val="center"/>
          </w:tcPr>
          <w:p w:rsidR="002E767B" w:rsidRPr="00E36318" w:rsidRDefault="002E767B" w:rsidP="002E767B">
            <w:pPr>
              <w:pStyle w:val="table1"/>
              <w:ind w:right="120"/>
              <w:jc w:val="right"/>
            </w:pPr>
            <w:r>
              <w:t>87.5</w:t>
            </w:r>
          </w:p>
        </w:tc>
        <w:tc>
          <w:tcPr>
            <w:tcW w:w="786" w:type="dxa"/>
            <w:vAlign w:val="center"/>
          </w:tcPr>
          <w:p w:rsidR="002E767B" w:rsidRDefault="002E767B" w:rsidP="002E767B">
            <w:pPr>
              <w:pStyle w:val="table1"/>
              <w:ind w:right="120"/>
              <w:jc w:val="right"/>
            </w:pPr>
            <w:r>
              <w:t>87.5</w:t>
            </w:r>
          </w:p>
        </w:tc>
        <w:tc>
          <w:tcPr>
            <w:tcW w:w="786" w:type="dxa"/>
            <w:vAlign w:val="center"/>
          </w:tcPr>
          <w:p w:rsidR="002E767B" w:rsidRDefault="002E767B" w:rsidP="002E767B">
            <w:pPr>
              <w:ind w:right="120"/>
              <w:jc w:val="right"/>
              <w:rPr>
                <w:rFonts w:ascii="Arial" w:hAnsi="Arial" w:cs="Arial"/>
                <w:color w:val="000000"/>
                <w:sz w:val="16"/>
                <w:szCs w:val="16"/>
              </w:rPr>
            </w:pPr>
            <w:r>
              <w:rPr>
                <w:rFonts w:ascii="Arial" w:hAnsi="Arial" w:cs="Arial"/>
                <w:color w:val="000000"/>
                <w:sz w:val="16"/>
                <w:szCs w:val="16"/>
              </w:rPr>
              <w:t>100.0</w:t>
            </w:r>
          </w:p>
        </w:tc>
        <w:tc>
          <w:tcPr>
            <w:tcW w:w="786" w:type="dxa"/>
            <w:vAlign w:val="center"/>
          </w:tcPr>
          <w:p w:rsidR="002E767B" w:rsidRDefault="002E767B" w:rsidP="002E767B">
            <w:pPr>
              <w:pStyle w:val="table1"/>
              <w:ind w:right="120"/>
              <w:jc w:val="right"/>
            </w:pPr>
            <w:r>
              <w:t>45.5</w:t>
            </w:r>
          </w:p>
        </w:tc>
        <w:tc>
          <w:tcPr>
            <w:tcW w:w="786" w:type="dxa"/>
            <w:vAlign w:val="center"/>
          </w:tcPr>
          <w:p w:rsidR="002E767B" w:rsidRDefault="002E767B" w:rsidP="002E767B">
            <w:pPr>
              <w:ind w:right="120"/>
              <w:jc w:val="right"/>
              <w:rPr>
                <w:rFonts w:ascii="Arial" w:hAnsi="Arial" w:cs="Arial"/>
                <w:color w:val="000000"/>
                <w:sz w:val="16"/>
                <w:szCs w:val="16"/>
              </w:rPr>
            </w:pPr>
            <w:r>
              <w:rPr>
                <w:rFonts w:ascii="Arial" w:hAnsi="Arial" w:cs="Arial"/>
                <w:color w:val="000000"/>
                <w:sz w:val="16"/>
                <w:szCs w:val="16"/>
              </w:rPr>
              <w:t>66.7</w:t>
            </w:r>
          </w:p>
        </w:tc>
        <w:tc>
          <w:tcPr>
            <w:tcW w:w="786" w:type="dxa"/>
            <w:vAlign w:val="center"/>
          </w:tcPr>
          <w:p w:rsidR="002E767B" w:rsidRDefault="002E767B" w:rsidP="002E767B">
            <w:pPr>
              <w:pStyle w:val="table1"/>
              <w:ind w:right="120"/>
              <w:jc w:val="right"/>
            </w:pPr>
            <w:r>
              <w:t>46.2</w:t>
            </w:r>
          </w:p>
        </w:tc>
        <w:tc>
          <w:tcPr>
            <w:tcW w:w="786" w:type="dxa"/>
          </w:tcPr>
          <w:p w:rsidR="002E767B" w:rsidRDefault="002E767B" w:rsidP="002E767B">
            <w:pPr>
              <w:jc w:val="right"/>
              <w:rPr>
                <w:rFonts w:ascii="Arial" w:hAnsi="Arial" w:cs="Arial"/>
                <w:color w:val="000000"/>
                <w:sz w:val="16"/>
                <w:szCs w:val="16"/>
              </w:rPr>
            </w:pPr>
            <w:r>
              <w:rPr>
                <w:rFonts w:ascii="Arial" w:hAnsi="Arial" w:cs="Arial"/>
                <w:color w:val="000000"/>
                <w:sz w:val="16"/>
                <w:szCs w:val="16"/>
              </w:rPr>
              <w:t>90.9</w:t>
            </w:r>
          </w:p>
        </w:tc>
        <w:tc>
          <w:tcPr>
            <w:tcW w:w="786" w:type="dxa"/>
          </w:tcPr>
          <w:p w:rsidR="002E767B" w:rsidRDefault="002E767B" w:rsidP="002E767B">
            <w:pPr>
              <w:pStyle w:val="table1"/>
              <w:ind w:right="120"/>
              <w:jc w:val="right"/>
            </w:pPr>
            <w:r>
              <w:t>52.6</w:t>
            </w:r>
          </w:p>
        </w:tc>
      </w:tr>
      <w:tr w:rsidR="002E767B" w:rsidTr="002E767B">
        <w:tc>
          <w:tcPr>
            <w:tcW w:w="2235" w:type="dxa"/>
            <w:vAlign w:val="center"/>
          </w:tcPr>
          <w:p w:rsidR="002E767B" w:rsidRPr="00A05EC5" w:rsidRDefault="002E767B" w:rsidP="002E767B">
            <w:pPr>
              <w:pStyle w:val="table2"/>
              <w:spacing w:line="360" w:lineRule="auto"/>
              <w:rPr>
                <w:rFonts w:cs="Arial"/>
                <w:i/>
                <w:szCs w:val="16"/>
              </w:rPr>
            </w:pPr>
            <w:r w:rsidRPr="00A05EC5">
              <w:rPr>
                <w:rFonts w:cs="Arial"/>
                <w:i/>
                <w:szCs w:val="16"/>
              </w:rPr>
              <w:t>Pseudoraphis</w:t>
            </w:r>
          </w:p>
        </w:tc>
        <w:tc>
          <w:tcPr>
            <w:tcW w:w="785" w:type="dxa"/>
            <w:vAlign w:val="center"/>
          </w:tcPr>
          <w:p w:rsidR="002E767B" w:rsidRPr="00E36318" w:rsidRDefault="002E767B" w:rsidP="002E767B">
            <w:pPr>
              <w:pStyle w:val="table1"/>
              <w:ind w:right="120"/>
              <w:jc w:val="right"/>
            </w:pPr>
            <w:r>
              <w:t>72.2</w:t>
            </w:r>
          </w:p>
        </w:tc>
        <w:tc>
          <w:tcPr>
            <w:tcW w:w="786" w:type="dxa"/>
            <w:vAlign w:val="center"/>
          </w:tcPr>
          <w:p w:rsidR="002E767B" w:rsidRDefault="002E767B" w:rsidP="002E767B">
            <w:pPr>
              <w:pStyle w:val="table1"/>
              <w:ind w:right="120"/>
              <w:jc w:val="right"/>
            </w:pPr>
            <w:r>
              <w:t>81.3</w:t>
            </w:r>
          </w:p>
        </w:tc>
        <w:tc>
          <w:tcPr>
            <w:tcW w:w="786" w:type="dxa"/>
            <w:vAlign w:val="center"/>
          </w:tcPr>
          <w:p w:rsidR="002E767B" w:rsidRDefault="002E767B" w:rsidP="002E767B">
            <w:pPr>
              <w:ind w:right="120"/>
              <w:jc w:val="right"/>
              <w:rPr>
                <w:rFonts w:ascii="Arial" w:hAnsi="Arial" w:cs="Arial"/>
                <w:color w:val="000000"/>
                <w:sz w:val="16"/>
                <w:szCs w:val="16"/>
              </w:rPr>
            </w:pPr>
            <w:r>
              <w:rPr>
                <w:rFonts w:ascii="Arial" w:hAnsi="Arial" w:cs="Arial"/>
                <w:color w:val="000000"/>
                <w:sz w:val="16"/>
                <w:szCs w:val="16"/>
              </w:rPr>
              <w:t>28.6</w:t>
            </w:r>
          </w:p>
        </w:tc>
        <w:tc>
          <w:tcPr>
            <w:tcW w:w="786" w:type="dxa"/>
            <w:vAlign w:val="center"/>
          </w:tcPr>
          <w:p w:rsidR="002E767B" w:rsidRDefault="002E767B" w:rsidP="002E767B">
            <w:pPr>
              <w:pStyle w:val="table1"/>
              <w:ind w:right="120"/>
              <w:jc w:val="right"/>
            </w:pPr>
            <w:r>
              <w:t>80.0</w:t>
            </w:r>
          </w:p>
        </w:tc>
        <w:tc>
          <w:tcPr>
            <w:tcW w:w="786" w:type="dxa"/>
            <w:vAlign w:val="center"/>
          </w:tcPr>
          <w:p w:rsidR="002E767B" w:rsidRDefault="002E767B" w:rsidP="002E767B">
            <w:pPr>
              <w:ind w:right="120"/>
              <w:jc w:val="right"/>
              <w:rPr>
                <w:rFonts w:ascii="Arial" w:hAnsi="Arial" w:cs="Arial"/>
                <w:color w:val="000000"/>
                <w:sz w:val="16"/>
                <w:szCs w:val="16"/>
              </w:rPr>
            </w:pPr>
            <w:r>
              <w:rPr>
                <w:rFonts w:ascii="Arial" w:hAnsi="Arial" w:cs="Arial"/>
                <w:color w:val="000000"/>
                <w:sz w:val="16"/>
                <w:szCs w:val="16"/>
              </w:rPr>
              <w:t>83.3</w:t>
            </w:r>
          </w:p>
        </w:tc>
        <w:tc>
          <w:tcPr>
            <w:tcW w:w="786" w:type="dxa"/>
            <w:vAlign w:val="center"/>
          </w:tcPr>
          <w:p w:rsidR="002E767B" w:rsidRDefault="002E767B" w:rsidP="002E767B">
            <w:pPr>
              <w:pStyle w:val="table1"/>
              <w:ind w:right="120"/>
              <w:jc w:val="right"/>
            </w:pPr>
            <w:r>
              <w:t>62.5</w:t>
            </w:r>
          </w:p>
        </w:tc>
        <w:tc>
          <w:tcPr>
            <w:tcW w:w="786" w:type="dxa"/>
          </w:tcPr>
          <w:p w:rsidR="002E767B" w:rsidRDefault="002E767B" w:rsidP="002E767B">
            <w:pPr>
              <w:jc w:val="right"/>
              <w:rPr>
                <w:rFonts w:ascii="Arial" w:hAnsi="Arial" w:cs="Arial"/>
                <w:color w:val="000000"/>
                <w:sz w:val="16"/>
                <w:szCs w:val="16"/>
              </w:rPr>
            </w:pPr>
            <w:r>
              <w:rPr>
                <w:rFonts w:ascii="Arial" w:hAnsi="Arial" w:cs="Arial"/>
                <w:color w:val="000000"/>
                <w:sz w:val="16"/>
                <w:szCs w:val="16"/>
              </w:rPr>
              <w:t>66.7</w:t>
            </w:r>
          </w:p>
        </w:tc>
        <w:tc>
          <w:tcPr>
            <w:tcW w:w="786" w:type="dxa"/>
          </w:tcPr>
          <w:p w:rsidR="002E767B" w:rsidRDefault="002E767B" w:rsidP="002E767B">
            <w:pPr>
              <w:pStyle w:val="table1"/>
              <w:ind w:right="120"/>
              <w:jc w:val="right"/>
            </w:pPr>
            <w:r>
              <w:t>60.0</w:t>
            </w:r>
          </w:p>
        </w:tc>
      </w:tr>
      <w:tr w:rsidR="002E767B" w:rsidTr="002E767B">
        <w:tc>
          <w:tcPr>
            <w:tcW w:w="2235" w:type="dxa"/>
            <w:vAlign w:val="center"/>
          </w:tcPr>
          <w:p w:rsidR="002E767B" w:rsidRPr="00A05EC5" w:rsidRDefault="002E767B" w:rsidP="002E767B">
            <w:pPr>
              <w:pStyle w:val="table2"/>
              <w:spacing w:line="360" w:lineRule="auto"/>
              <w:rPr>
                <w:rFonts w:cs="Arial"/>
                <w:i/>
                <w:szCs w:val="16"/>
              </w:rPr>
            </w:pPr>
            <w:r w:rsidRPr="00A05EC5">
              <w:rPr>
                <w:rFonts w:cs="Arial"/>
                <w:i/>
                <w:szCs w:val="16"/>
              </w:rPr>
              <w:t>Pseudoraphis/Hymenachne</w:t>
            </w:r>
          </w:p>
        </w:tc>
        <w:tc>
          <w:tcPr>
            <w:tcW w:w="785" w:type="dxa"/>
            <w:vAlign w:val="center"/>
          </w:tcPr>
          <w:p w:rsidR="002E767B" w:rsidRPr="00E36318" w:rsidRDefault="002E767B" w:rsidP="002E767B">
            <w:pPr>
              <w:pStyle w:val="table1"/>
              <w:ind w:right="120"/>
              <w:jc w:val="right"/>
            </w:pPr>
            <w:r>
              <w:t>62.5</w:t>
            </w:r>
          </w:p>
        </w:tc>
        <w:tc>
          <w:tcPr>
            <w:tcW w:w="786" w:type="dxa"/>
            <w:vAlign w:val="center"/>
          </w:tcPr>
          <w:p w:rsidR="002E767B" w:rsidRDefault="002E767B" w:rsidP="002E767B">
            <w:pPr>
              <w:pStyle w:val="table1"/>
              <w:ind w:right="120"/>
              <w:jc w:val="right"/>
            </w:pPr>
            <w:r>
              <w:t>71.4</w:t>
            </w:r>
          </w:p>
        </w:tc>
        <w:tc>
          <w:tcPr>
            <w:tcW w:w="786" w:type="dxa"/>
            <w:vAlign w:val="center"/>
          </w:tcPr>
          <w:p w:rsidR="002E767B" w:rsidRDefault="002E767B" w:rsidP="002E767B">
            <w:pPr>
              <w:ind w:right="120"/>
              <w:jc w:val="right"/>
              <w:rPr>
                <w:rFonts w:ascii="Arial" w:hAnsi="Arial" w:cs="Arial"/>
                <w:color w:val="000000"/>
                <w:sz w:val="16"/>
                <w:szCs w:val="16"/>
              </w:rPr>
            </w:pPr>
            <w:r>
              <w:rPr>
                <w:rFonts w:ascii="Arial" w:hAnsi="Arial" w:cs="Arial"/>
                <w:color w:val="000000"/>
                <w:sz w:val="16"/>
                <w:szCs w:val="16"/>
              </w:rPr>
              <w:t>83.3</w:t>
            </w:r>
          </w:p>
        </w:tc>
        <w:tc>
          <w:tcPr>
            <w:tcW w:w="786" w:type="dxa"/>
            <w:vAlign w:val="center"/>
          </w:tcPr>
          <w:p w:rsidR="002E767B" w:rsidRDefault="002E767B" w:rsidP="002E767B">
            <w:pPr>
              <w:pStyle w:val="table1"/>
              <w:ind w:right="120"/>
              <w:jc w:val="right"/>
            </w:pPr>
            <w:r>
              <w:t>62.5</w:t>
            </w:r>
          </w:p>
        </w:tc>
        <w:tc>
          <w:tcPr>
            <w:tcW w:w="786" w:type="dxa"/>
            <w:vAlign w:val="center"/>
          </w:tcPr>
          <w:p w:rsidR="002E767B" w:rsidRDefault="002E767B" w:rsidP="002E767B">
            <w:pPr>
              <w:ind w:right="120"/>
              <w:jc w:val="right"/>
              <w:rPr>
                <w:rFonts w:ascii="Arial" w:hAnsi="Arial" w:cs="Arial"/>
                <w:color w:val="000000"/>
                <w:sz w:val="16"/>
                <w:szCs w:val="16"/>
              </w:rPr>
            </w:pPr>
            <w:r>
              <w:rPr>
                <w:rFonts w:ascii="Arial" w:hAnsi="Arial" w:cs="Arial"/>
                <w:color w:val="000000"/>
                <w:sz w:val="16"/>
                <w:szCs w:val="16"/>
              </w:rPr>
              <w:t>60.7</w:t>
            </w:r>
          </w:p>
        </w:tc>
        <w:tc>
          <w:tcPr>
            <w:tcW w:w="786" w:type="dxa"/>
            <w:vAlign w:val="center"/>
          </w:tcPr>
          <w:p w:rsidR="002E767B" w:rsidRDefault="002E767B" w:rsidP="002E767B">
            <w:pPr>
              <w:pStyle w:val="table1"/>
              <w:ind w:right="120"/>
              <w:jc w:val="right"/>
            </w:pPr>
            <w:r>
              <w:t>100.0</w:t>
            </w:r>
          </w:p>
        </w:tc>
        <w:tc>
          <w:tcPr>
            <w:tcW w:w="786" w:type="dxa"/>
          </w:tcPr>
          <w:p w:rsidR="002E767B" w:rsidRDefault="002E767B" w:rsidP="002E767B">
            <w:pPr>
              <w:jc w:val="right"/>
              <w:rPr>
                <w:rFonts w:ascii="Arial" w:hAnsi="Arial" w:cs="Arial"/>
                <w:color w:val="000000"/>
                <w:sz w:val="16"/>
                <w:szCs w:val="16"/>
              </w:rPr>
            </w:pPr>
            <w:r>
              <w:rPr>
                <w:rFonts w:ascii="Arial" w:hAnsi="Arial" w:cs="Arial"/>
                <w:color w:val="000000"/>
                <w:sz w:val="16"/>
                <w:szCs w:val="16"/>
              </w:rPr>
              <w:t>44.7</w:t>
            </w:r>
          </w:p>
        </w:tc>
        <w:tc>
          <w:tcPr>
            <w:tcW w:w="786" w:type="dxa"/>
          </w:tcPr>
          <w:p w:rsidR="002E767B" w:rsidRDefault="002E767B" w:rsidP="002E767B">
            <w:pPr>
              <w:pStyle w:val="table1"/>
              <w:ind w:right="120"/>
              <w:jc w:val="right"/>
            </w:pPr>
            <w:r>
              <w:t>68.0</w:t>
            </w:r>
          </w:p>
        </w:tc>
      </w:tr>
      <w:tr w:rsidR="002E767B" w:rsidTr="002E767B">
        <w:tc>
          <w:tcPr>
            <w:tcW w:w="2235" w:type="dxa"/>
            <w:vAlign w:val="center"/>
          </w:tcPr>
          <w:p w:rsidR="002E767B" w:rsidRPr="00A05EC5" w:rsidRDefault="002E767B" w:rsidP="002E767B">
            <w:pPr>
              <w:pStyle w:val="table2"/>
              <w:spacing w:line="360" w:lineRule="auto"/>
              <w:rPr>
                <w:rFonts w:cs="Arial"/>
                <w:i/>
                <w:szCs w:val="16"/>
              </w:rPr>
            </w:pPr>
            <w:r w:rsidRPr="00A05EC5">
              <w:rPr>
                <w:rFonts w:cs="Arial"/>
                <w:i/>
                <w:szCs w:val="16"/>
              </w:rPr>
              <w:t>Salvinia</w:t>
            </w:r>
          </w:p>
        </w:tc>
        <w:tc>
          <w:tcPr>
            <w:tcW w:w="785" w:type="dxa"/>
            <w:vAlign w:val="center"/>
          </w:tcPr>
          <w:p w:rsidR="002E767B" w:rsidRPr="00E36318" w:rsidRDefault="002E767B" w:rsidP="002E767B">
            <w:pPr>
              <w:pStyle w:val="table1"/>
              <w:ind w:right="120"/>
              <w:jc w:val="right"/>
            </w:pPr>
            <w:r>
              <w:t>80.0</w:t>
            </w:r>
          </w:p>
        </w:tc>
        <w:tc>
          <w:tcPr>
            <w:tcW w:w="786" w:type="dxa"/>
            <w:vAlign w:val="center"/>
          </w:tcPr>
          <w:p w:rsidR="002E767B" w:rsidRDefault="002E767B" w:rsidP="002E767B">
            <w:pPr>
              <w:pStyle w:val="table1"/>
              <w:ind w:right="120"/>
              <w:jc w:val="right"/>
            </w:pPr>
            <w:r>
              <w:t>72.7</w:t>
            </w:r>
          </w:p>
        </w:tc>
        <w:tc>
          <w:tcPr>
            <w:tcW w:w="786" w:type="dxa"/>
            <w:vAlign w:val="center"/>
          </w:tcPr>
          <w:p w:rsidR="002E767B" w:rsidRDefault="002E767B" w:rsidP="002E767B">
            <w:pPr>
              <w:ind w:right="120"/>
              <w:jc w:val="right"/>
              <w:rPr>
                <w:rFonts w:ascii="Arial" w:hAnsi="Arial" w:cs="Arial"/>
                <w:color w:val="000000"/>
                <w:sz w:val="16"/>
                <w:szCs w:val="16"/>
              </w:rPr>
            </w:pPr>
            <w:r>
              <w:rPr>
                <w:rFonts w:ascii="Arial" w:hAnsi="Arial" w:cs="Arial"/>
                <w:color w:val="000000"/>
                <w:sz w:val="16"/>
                <w:szCs w:val="16"/>
              </w:rPr>
              <w:t>100.0</w:t>
            </w:r>
          </w:p>
        </w:tc>
        <w:tc>
          <w:tcPr>
            <w:tcW w:w="786" w:type="dxa"/>
            <w:vAlign w:val="center"/>
          </w:tcPr>
          <w:p w:rsidR="002E767B" w:rsidRDefault="002E767B" w:rsidP="002E767B">
            <w:pPr>
              <w:pStyle w:val="table1"/>
              <w:ind w:right="120"/>
              <w:jc w:val="right"/>
            </w:pPr>
            <w:r>
              <w:t>60.0</w:t>
            </w:r>
          </w:p>
        </w:tc>
        <w:tc>
          <w:tcPr>
            <w:tcW w:w="786" w:type="dxa"/>
            <w:vAlign w:val="center"/>
          </w:tcPr>
          <w:p w:rsidR="002E767B" w:rsidRDefault="002E767B" w:rsidP="002E767B">
            <w:pPr>
              <w:ind w:right="120"/>
              <w:jc w:val="right"/>
              <w:rPr>
                <w:rFonts w:ascii="Arial" w:hAnsi="Arial" w:cs="Arial"/>
                <w:color w:val="000000"/>
                <w:sz w:val="16"/>
                <w:szCs w:val="16"/>
              </w:rPr>
            </w:pPr>
            <w:r>
              <w:rPr>
                <w:rFonts w:ascii="Arial" w:hAnsi="Arial" w:cs="Arial"/>
                <w:color w:val="000000"/>
                <w:sz w:val="16"/>
                <w:szCs w:val="16"/>
              </w:rPr>
              <w:t>66.7</w:t>
            </w:r>
          </w:p>
        </w:tc>
        <w:tc>
          <w:tcPr>
            <w:tcW w:w="786" w:type="dxa"/>
            <w:vAlign w:val="center"/>
          </w:tcPr>
          <w:p w:rsidR="002E767B" w:rsidRDefault="002E767B" w:rsidP="002E767B">
            <w:pPr>
              <w:pStyle w:val="table1"/>
              <w:ind w:right="120"/>
              <w:jc w:val="right"/>
            </w:pPr>
            <w:r>
              <w:t>66.7</w:t>
            </w:r>
          </w:p>
        </w:tc>
        <w:tc>
          <w:tcPr>
            <w:tcW w:w="786" w:type="dxa"/>
          </w:tcPr>
          <w:p w:rsidR="002E767B" w:rsidRDefault="002E767B" w:rsidP="002E767B">
            <w:pPr>
              <w:jc w:val="right"/>
              <w:rPr>
                <w:rFonts w:ascii="Arial" w:hAnsi="Arial" w:cs="Arial"/>
                <w:color w:val="000000"/>
                <w:sz w:val="16"/>
                <w:szCs w:val="16"/>
              </w:rPr>
            </w:pPr>
            <w:r>
              <w:rPr>
                <w:rFonts w:ascii="Arial" w:hAnsi="Arial" w:cs="Arial"/>
                <w:color w:val="000000"/>
                <w:sz w:val="16"/>
                <w:szCs w:val="16"/>
              </w:rPr>
              <w:t>77.8</w:t>
            </w:r>
          </w:p>
        </w:tc>
        <w:tc>
          <w:tcPr>
            <w:tcW w:w="786" w:type="dxa"/>
          </w:tcPr>
          <w:p w:rsidR="002E767B" w:rsidRDefault="002E767B" w:rsidP="002E767B">
            <w:pPr>
              <w:pStyle w:val="table1"/>
              <w:ind w:right="120"/>
              <w:jc w:val="right"/>
            </w:pPr>
            <w:r>
              <w:t>87.5</w:t>
            </w:r>
          </w:p>
        </w:tc>
      </w:tr>
      <w:tr w:rsidR="002E767B" w:rsidTr="002E767B">
        <w:tc>
          <w:tcPr>
            <w:tcW w:w="2235" w:type="dxa"/>
            <w:tcBorders>
              <w:bottom w:val="single" w:sz="4" w:space="0" w:color="auto"/>
            </w:tcBorders>
            <w:vAlign w:val="center"/>
          </w:tcPr>
          <w:p w:rsidR="002E767B" w:rsidRPr="00AA6F33" w:rsidRDefault="002E767B" w:rsidP="002E767B">
            <w:pPr>
              <w:pStyle w:val="table2"/>
              <w:spacing w:line="360" w:lineRule="auto"/>
              <w:rPr>
                <w:rFonts w:cs="Arial"/>
                <w:szCs w:val="16"/>
              </w:rPr>
            </w:pPr>
            <w:r w:rsidRPr="00AA6F33">
              <w:rPr>
                <w:rFonts w:cs="Arial"/>
                <w:szCs w:val="16"/>
              </w:rPr>
              <w:t>Water</w:t>
            </w:r>
          </w:p>
        </w:tc>
        <w:tc>
          <w:tcPr>
            <w:tcW w:w="785" w:type="dxa"/>
            <w:tcBorders>
              <w:bottom w:val="single" w:sz="4" w:space="0" w:color="auto"/>
            </w:tcBorders>
            <w:vAlign w:val="center"/>
          </w:tcPr>
          <w:p w:rsidR="002E767B" w:rsidRPr="00E36318" w:rsidRDefault="002E767B" w:rsidP="002E767B">
            <w:pPr>
              <w:pStyle w:val="table1"/>
              <w:ind w:right="120"/>
              <w:jc w:val="right"/>
            </w:pPr>
            <w:r>
              <w:t>100.0</w:t>
            </w:r>
          </w:p>
        </w:tc>
        <w:tc>
          <w:tcPr>
            <w:tcW w:w="786" w:type="dxa"/>
            <w:tcBorders>
              <w:bottom w:val="single" w:sz="4" w:space="0" w:color="auto"/>
            </w:tcBorders>
            <w:vAlign w:val="center"/>
          </w:tcPr>
          <w:p w:rsidR="002E767B" w:rsidRDefault="002E767B" w:rsidP="002E767B">
            <w:pPr>
              <w:pStyle w:val="table1"/>
              <w:ind w:right="120"/>
              <w:jc w:val="right"/>
            </w:pPr>
            <w:r>
              <w:t>64.3</w:t>
            </w:r>
          </w:p>
        </w:tc>
        <w:tc>
          <w:tcPr>
            <w:tcW w:w="786" w:type="dxa"/>
            <w:tcBorders>
              <w:bottom w:val="single" w:sz="4" w:space="0" w:color="auto"/>
            </w:tcBorders>
            <w:vAlign w:val="center"/>
          </w:tcPr>
          <w:p w:rsidR="002E767B" w:rsidRDefault="002E767B" w:rsidP="002E767B">
            <w:pPr>
              <w:ind w:right="120"/>
              <w:jc w:val="right"/>
              <w:rPr>
                <w:rFonts w:ascii="Arial" w:hAnsi="Arial" w:cs="Arial"/>
                <w:color w:val="000000"/>
                <w:sz w:val="16"/>
                <w:szCs w:val="16"/>
              </w:rPr>
            </w:pPr>
            <w:r>
              <w:rPr>
                <w:rFonts w:ascii="Arial" w:hAnsi="Arial" w:cs="Arial"/>
                <w:color w:val="000000"/>
                <w:sz w:val="16"/>
                <w:szCs w:val="16"/>
              </w:rPr>
              <w:t>93.1</w:t>
            </w:r>
          </w:p>
        </w:tc>
        <w:tc>
          <w:tcPr>
            <w:tcW w:w="786" w:type="dxa"/>
            <w:tcBorders>
              <w:bottom w:val="single" w:sz="4" w:space="0" w:color="auto"/>
            </w:tcBorders>
            <w:vAlign w:val="center"/>
          </w:tcPr>
          <w:p w:rsidR="002E767B" w:rsidRDefault="002E767B" w:rsidP="002E767B">
            <w:pPr>
              <w:pStyle w:val="table1"/>
              <w:ind w:right="120"/>
              <w:jc w:val="right"/>
            </w:pPr>
            <w:r>
              <w:t>100.0</w:t>
            </w:r>
          </w:p>
        </w:tc>
        <w:tc>
          <w:tcPr>
            <w:tcW w:w="786" w:type="dxa"/>
            <w:tcBorders>
              <w:bottom w:val="single" w:sz="4" w:space="0" w:color="auto"/>
            </w:tcBorders>
            <w:vAlign w:val="center"/>
          </w:tcPr>
          <w:p w:rsidR="002E767B" w:rsidRDefault="002E767B" w:rsidP="002E767B">
            <w:pPr>
              <w:ind w:right="120"/>
              <w:jc w:val="right"/>
              <w:rPr>
                <w:rFonts w:ascii="Arial" w:hAnsi="Arial" w:cs="Arial"/>
                <w:color w:val="000000"/>
                <w:sz w:val="16"/>
                <w:szCs w:val="16"/>
              </w:rPr>
            </w:pPr>
            <w:r>
              <w:rPr>
                <w:rFonts w:ascii="Arial" w:hAnsi="Arial" w:cs="Arial"/>
                <w:color w:val="000000"/>
                <w:sz w:val="16"/>
                <w:szCs w:val="16"/>
              </w:rPr>
              <w:t>95.0</w:t>
            </w:r>
          </w:p>
        </w:tc>
        <w:tc>
          <w:tcPr>
            <w:tcW w:w="786" w:type="dxa"/>
            <w:tcBorders>
              <w:bottom w:val="single" w:sz="4" w:space="0" w:color="auto"/>
            </w:tcBorders>
            <w:vAlign w:val="center"/>
          </w:tcPr>
          <w:p w:rsidR="002E767B" w:rsidRDefault="002E767B" w:rsidP="002E767B">
            <w:pPr>
              <w:pStyle w:val="table1"/>
              <w:ind w:right="120"/>
              <w:jc w:val="right"/>
            </w:pPr>
            <w:r>
              <w:t>100.0</w:t>
            </w:r>
          </w:p>
        </w:tc>
        <w:tc>
          <w:tcPr>
            <w:tcW w:w="786" w:type="dxa"/>
            <w:tcBorders>
              <w:bottom w:val="single" w:sz="4" w:space="0" w:color="auto"/>
            </w:tcBorders>
          </w:tcPr>
          <w:p w:rsidR="002E767B" w:rsidRDefault="002E767B" w:rsidP="002E767B">
            <w:pPr>
              <w:jc w:val="right"/>
              <w:rPr>
                <w:rFonts w:ascii="Arial" w:hAnsi="Arial" w:cs="Arial"/>
                <w:color w:val="000000"/>
                <w:sz w:val="16"/>
                <w:szCs w:val="16"/>
              </w:rPr>
            </w:pPr>
            <w:r>
              <w:rPr>
                <w:rFonts w:ascii="Arial" w:hAnsi="Arial" w:cs="Arial"/>
                <w:color w:val="000000"/>
                <w:sz w:val="16"/>
                <w:szCs w:val="16"/>
              </w:rPr>
              <w:t>92.3</w:t>
            </w:r>
          </w:p>
        </w:tc>
        <w:tc>
          <w:tcPr>
            <w:tcW w:w="786" w:type="dxa"/>
            <w:tcBorders>
              <w:bottom w:val="single" w:sz="4" w:space="0" w:color="auto"/>
            </w:tcBorders>
          </w:tcPr>
          <w:p w:rsidR="002E767B" w:rsidRDefault="002E767B" w:rsidP="002E767B">
            <w:pPr>
              <w:pStyle w:val="table1"/>
              <w:ind w:right="120"/>
              <w:jc w:val="right"/>
            </w:pPr>
            <w:r>
              <w:t>80.0</w:t>
            </w:r>
          </w:p>
        </w:tc>
      </w:tr>
    </w:tbl>
    <w:p w:rsidR="008B2950" w:rsidRDefault="008B2950" w:rsidP="008B2950">
      <w:pPr>
        <w:keepNext/>
        <w:jc w:val="center"/>
      </w:pPr>
      <w:r w:rsidRPr="00A46448">
        <w:rPr>
          <w:noProof/>
          <w:lang w:eastAsia="en-AU"/>
        </w:rPr>
        <w:drawing>
          <wp:inline distT="0" distB="0" distL="0" distR="0">
            <wp:extent cx="3193737" cy="4517246"/>
            <wp:effectExtent l="19050" t="0" r="6663" b="0"/>
            <wp:docPr id="247" name="Picture 129" descr="2012-2013Chan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2013Change.png"/>
                    <pic:cNvPicPr/>
                  </pic:nvPicPr>
                  <pic:blipFill>
                    <a:blip r:embed="rId280" cstate="screen"/>
                    <a:stretch>
                      <a:fillRect/>
                    </a:stretch>
                  </pic:blipFill>
                  <pic:spPr>
                    <a:xfrm>
                      <a:off x="0" y="0"/>
                      <a:ext cx="3193737" cy="4517246"/>
                    </a:xfrm>
                    <a:prstGeom prst="rect">
                      <a:avLst/>
                    </a:prstGeom>
                  </pic:spPr>
                </pic:pic>
              </a:graphicData>
            </a:graphic>
          </wp:inline>
        </w:drawing>
      </w:r>
    </w:p>
    <w:p w:rsidR="008B2950" w:rsidRDefault="008B2950" w:rsidP="008B2950">
      <w:pPr>
        <w:pStyle w:val="figurecaption"/>
      </w:pPr>
      <w:bookmarkStart w:id="284" w:name="_Ref401558433"/>
      <w:r w:rsidRPr="00F17F39">
        <w:rPr>
          <w:b/>
        </w:rPr>
        <w:t xml:space="preserve">Figure </w:t>
      </w:r>
      <w:bookmarkEnd w:id="284"/>
      <w:r w:rsidR="00A1570C">
        <w:rPr>
          <w:b/>
        </w:rPr>
        <w:t>4</w:t>
      </w:r>
      <w:r>
        <w:t xml:space="preserve"> Change detection map for 2012–2013.</w:t>
      </w:r>
    </w:p>
    <w:p w:rsidR="00224F8A" w:rsidRPr="0019772B" w:rsidRDefault="00224F8A" w:rsidP="00224F8A">
      <w:pPr>
        <w:rPr>
          <w:noProof/>
          <w:lang w:eastAsia="en-AU"/>
        </w:rPr>
      </w:pPr>
      <w:r w:rsidRPr="0019772B">
        <w:t>There was an increase in the area of surface water from 2010 to 2011, and again for 2011 to 2012 and a reduction between 2012 and 2013. This corresponds with the available rainfall (</w:t>
      </w:r>
      <w:r w:rsidR="000E3178">
        <w:t xml:space="preserve">Figure </w:t>
      </w:r>
      <w:r w:rsidR="00D3231E">
        <w:t>5</w:t>
      </w:r>
      <w:r w:rsidRPr="0019772B">
        <w:t xml:space="preserve">) and surface water discharge data for the region over that period. </w:t>
      </w:r>
    </w:p>
    <w:p w:rsidR="00224F8A" w:rsidRDefault="00224F8A" w:rsidP="00224F8A">
      <w:r w:rsidRPr="00E6523A">
        <w:t xml:space="preserve">Results of the change analysis indicate that there are large areas that change composition each year. </w:t>
      </w:r>
      <w:r w:rsidR="00D3231E">
        <w:t xml:space="preserve">Figure 6 </w:t>
      </w:r>
      <w:r w:rsidRPr="00E6523A">
        <w:t>shows the change in open water on the floodplain between 2010 and 2011. Areas of open water that were persistent between images include the permanent billabongs on the floodplain. The area of vegetation in 2010 that became water in 2011 was over 1300 ha</w:t>
      </w:r>
      <w:r>
        <w:t>,</w:t>
      </w:r>
      <w:r w:rsidRPr="00E6523A">
        <w:t xml:space="preserve"> whereas </w:t>
      </w:r>
      <w:r w:rsidRPr="0019772B">
        <w:t>the area of open water that became vegetation over the same period was only 106 ha (</w:t>
      </w:r>
      <w:r w:rsidR="00D3231E">
        <w:t>Table 5</w:t>
      </w:r>
      <w:r w:rsidRPr="0019772B">
        <w:t>).</w:t>
      </w:r>
      <w:r w:rsidRPr="00E6523A">
        <w:t xml:space="preserve"> The change in open water on the floodplain between 2011 and 2012 is also shown in</w:t>
      </w:r>
      <w:r>
        <w:t xml:space="preserve"> </w:t>
      </w:r>
      <w:r w:rsidR="00D3231E">
        <w:t>Figure 6.</w:t>
      </w:r>
      <w:r w:rsidRPr="00E6523A">
        <w:t xml:space="preserve"> The area of open water that was persistent between the images had increased to over 800 ha. The area of vegetation in 2011 that became water in 2012 was over 187 ha</w:t>
      </w:r>
      <w:r>
        <w:t>,</w:t>
      </w:r>
      <w:r w:rsidRPr="00E6523A">
        <w:t xml:space="preserve"> whereas the area of open water that became vegetation over the same period was 880 ha. When examining the change in open water extent on the floodplain between 2012 and 2013, the area of open water that was persistent between the images had decreased to 370 ha. The area of vegetation in 2012 that became water in 2013 was over 130 ha</w:t>
      </w:r>
      <w:r>
        <w:t>,</w:t>
      </w:r>
      <w:r w:rsidRPr="00E6523A">
        <w:t xml:space="preserve"> whereas the area of open water that became vegetation over the same period was 687 ha.</w:t>
      </w:r>
    </w:p>
    <w:p w:rsidR="000A1E2C" w:rsidRPr="00E6523A" w:rsidRDefault="000A1E2C" w:rsidP="00224F8A"/>
    <w:p w:rsidR="00D3231E" w:rsidRDefault="00224F8A" w:rsidP="00D3231E">
      <w:pPr>
        <w:keepNext/>
        <w:jc w:val="center"/>
      </w:pPr>
      <w:r w:rsidRPr="00E270B7">
        <w:rPr>
          <w:noProof/>
          <w:lang w:eastAsia="en-AU"/>
        </w:rPr>
        <w:drawing>
          <wp:inline distT="0" distB="0" distL="0" distR="0">
            <wp:extent cx="3781425" cy="2895600"/>
            <wp:effectExtent l="0" t="0" r="0" b="0"/>
            <wp:docPr id="229"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81"/>
              </a:graphicData>
            </a:graphic>
          </wp:inline>
        </w:drawing>
      </w:r>
    </w:p>
    <w:p w:rsidR="008B2950" w:rsidRDefault="00D3231E" w:rsidP="00D3231E">
      <w:pPr>
        <w:pStyle w:val="figurecaption"/>
        <w:sectPr w:rsidR="008B2950" w:rsidSect="00224F8A">
          <w:pgSz w:w="11906" w:h="16838" w:code="9"/>
          <w:pgMar w:top="1440" w:right="1797" w:bottom="1440" w:left="1797" w:header="1077" w:footer="833" w:gutter="0"/>
          <w:cols w:space="360"/>
          <w:noEndnote/>
          <w:docGrid w:linePitch="299"/>
        </w:sectPr>
      </w:pPr>
      <w:r w:rsidRPr="00D3231E">
        <w:rPr>
          <w:b/>
        </w:rPr>
        <w:t xml:space="preserve">Figure </w:t>
      </w:r>
      <w:bookmarkStart w:id="285" w:name="_Ref401316923"/>
      <w:r w:rsidR="00A1570C">
        <w:rPr>
          <w:b/>
        </w:rPr>
        <w:t>5</w:t>
      </w:r>
      <w:r>
        <w:t xml:space="preserve"> </w:t>
      </w:r>
      <w:r w:rsidR="00224F8A">
        <w:t>Total annual r</w:t>
      </w:r>
      <w:r w:rsidR="00BF581B">
        <w:t>ainfall for Jabiru airport 2009–</w:t>
      </w:r>
      <w:r w:rsidR="00224F8A">
        <w:t>2013 (source: www.bom.gov.au)</w:t>
      </w:r>
      <w:bookmarkEnd w:id="285"/>
      <w:r w:rsidR="008B2950">
        <w:t xml:space="preserve"> </w:t>
      </w:r>
    </w:p>
    <w:p w:rsidR="00224F8A" w:rsidRDefault="00224F8A" w:rsidP="00224F8A">
      <w:pPr>
        <w:pStyle w:val="tablecaption"/>
      </w:pPr>
      <w:r w:rsidRPr="00A05EC5">
        <w:rPr>
          <w:b/>
        </w:rPr>
        <w:t xml:space="preserve">Table </w:t>
      </w:r>
      <w:r w:rsidR="00A1570C">
        <w:rPr>
          <w:b/>
        </w:rPr>
        <w:t>4</w:t>
      </w:r>
      <w:r>
        <w:t xml:space="preserve"> Matrix showing areas (ha) of change in From/To classes between 2012 and 2013. Shaded cells are areas where classes did not change between the dates.</w:t>
      </w:r>
    </w:p>
    <w:tbl>
      <w:tblPr>
        <w:tblW w:w="14034" w:type="dxa"/>
        <w:tblInd w:w="-459" w:type="dxa"/>
        <w:tblLayout w:type="fixed"/>
        <w:tblLook w:val="04A0"/>
      </w:tblPr>
      <w:tblGrid>
        <w:gridCol w:w="425"/>
        <w:gridCol w:w="1135"/>
        <w:gridCol w:w="141"/>
        <w:gridCol w:w="839"/>
        <w:gridCol w:w="980"/>
        <w:gridCol w:w="981"/>
        <w:gridCol w:w="980"/>
        <w:gridCol w:w="981"/>
        <w:gridCol w:w="980"/>
        <w:gridCol w:w="980"/>
        <w:gridCol w:w="981"/>
        <w:gridCol w:w="980"/>
        <w:gridCol w:w="981"/>
        <w:gridCol w:w="980"/>
        <w:gridCol w:w="839"/>
        <w:gridCol w:w="851"/>
      </w:tblGrid>
      <w:tr w:rsidR="00224F8A" w:rsidRPr="00E36318" w:rsidTr="008B2950">
        <w:tc>
          <w:tcPr>
            <w:tcW w:w="425" w:type="dxa"/>
            <w:tcBorders>
              <w:top w:val="nil"/>
              <w:left w:val="nil"/>
              <w:bottom w:val="nil"/>
              <w:right w:val="nil"/>
            </w:tcBorders>
          </w:tcPr>
          <w:p w:rsidR="00224F8A" w:rsidRPr="00E36318" w:rsidRDefault="00224F8A" w:rsidP="00224F8A">
            <w:pPr>
              <w:pStyle w:val="table1"/>
              <w:jc w:val="center"/>
            </w:pPr>
          </w:p>
        </w:tc>
        <w:tc>
          <w:tcPr>
            <w:tcW w:w="1135" w:type="dxa"/>
            <w:tcBorders>
              <w:top w:val="single" w:sz="4" w:space="0" w:color="auto"/>
              <w:left w:val="nil"/>
              <w:bottom w:val="single" w:sz="4" w:space="0" w:color="auto"/>
              <w:right w:val="nil"/>
            </w:tcBorders>
          </w:tcPr>
          <w:p w:rsidR="00224F8A" w:rsidRPr="00E36318" w:rsidRDefault="00224F8A" w:rsidP="00224F8A">
            <w:pPr>
              <w:pStyle w:val="table1"/>
              <w:jc w:val="center"/>
            </w:pPr>
          </w:p>
        </w:tc>
        <w:tc>
          <w:tcPr>
            <w:tcW w:w="12474" w:type="dxa"/>
            <w:gridSpan w:val="14"/>
            <w:tcBorders>
              <w:top w:val="single" w:sz="4" w:space="0" w:color="auto"/>
              <w:left w:val="nil"/>
              <w:bottom w:val="single" w:sz="4" w:space="0" w:color="auto"/>
              <w:right w:val="nil"/>
            </w:tcBorders>
            <w:vAlign w:val="center"/>
          </w:tcPr>
          <w:p w:rsidR="00224F8A" w:rsidRPr="008B2950" w:rsidRDefault="00224F8A" w:rsidP="00224F8A">
            <w:pPr>
              <w:pStyle w:val="table1"/>
              <w:jc w:val="center"/>
              <w:rPr>
                <w:b/>
              </w:rPr>
            </w:pPr>
            <w:r w:rsidRPr="008B2950">
              <w:rPr>
                <w:b/>
              </w:rPr>
              <w:t>2013 class</w:t>
            </w:r>
          </w:p>
        </w:tc>
      </w:tr>
      <w:tr w:rsidR="00224F8A" w:rsidRPr="008B2950" w:rsidTr="008B2950">
        <w:tc>
          <w:tcPr>
            <w:tcW w:w="425" w:type="dxa"/>
            <w:tcBorders>
              <w:top w:val="nil"/>
              <w:left w:val="nil"/>
              <w:bottom w:val="single" w:sz="4" w:space="0" w:color="000000" w:themeColor="text1"/>
              <w:right w:val="nil"/>
            </w:tcBorders>
          </w:tcPr>
          <w:p w:rsidR="00224F8A" w:rsidRPr="008B2950" w:rsidRDefault="00224F8A" w:rsidP="008B2950">
            <w:pPr>
              <w:pStyle w:val="table1"/>
              <w:rPr>
                <w:color w:val="000000"/>
                <w:u w:color="000000"/>
              </w:rPr>
            </w:pPr>
          </w:p>
        </w:tc>
        <w:tc>
          <w:tcPr>
            <w:tcW w:w="1135" w:type="dxa"/>
            <w:tcBorders>
              <w:top w:val="single" w:sz="4" w:space="0" w:color="auto"/>
              <w:left w:val="nil"/>
              <w:bottom w:val="single" w:sz="4" w:space="0" w:color="000000" w:themeColor="text1"/>
              <w:right w:val="nil"/>
            </w:tcBorders>
          </w:tcPr>
          <w:p w:rsidR="00224F8A" w:rsidRPr="008B2950" w:rsidRDefault="00224F8A" w:rsidP="008B2950">
            <w:pPr>
              <w:pStyle w:val="table1"/>
              <w:rPr>
                <w:color w:val="000000"/>
                <w:u w:color="000000"/>
              </w:rPr>
            </w:pPr>
          </w:p>
        </w:tc>
        <w:tc>
          <w:tcPr>
            <w:tcW w:w="980" w:type="dxa"/>
            <w:gridSpan w:val="2"/>
            <w:tcBorders>
              <w:top w:val="single" w:sz="4" w:space="0" w:color="auto"/>
              <w:left w:val="nil"/>
              <w:bottom w:val="single" w:sz="4" w:space="0" w:color="000000" w:themeColor="text1"/>
              <w:right w:val="nil"/>
            </w:tcBorders>
          </w:tcPr>
          <w:p w:rsidR="00224F8A" w:rsidRPr="0020234B" w:rsidRDefault="00224F8A" w:rsidP="008B2950">
            <w:pPr>
              <w:pStyle w:val="table1"/>
              <w:rPr>
                <w:i/>
                <w:color w:val="000000"/>
                <w:u w:color="000000"/>
              </w:rPr>
            </w:pPr>
            <w:r w:rsidRPr="0020234B">
              <w:rPr>
                <w:i/>
                <w:color w:val="000000"/>
                <w:u w:color="000000"/>
              </w:rPr>
              <w:t>Eleocharis</w:t>
            </w:r>
          </w:p>
        </w:tc>
        <w:tc>
          <w:tcPr>
            <w:tcW w:w="980" w:type="dxa"/>
            <w:tcBorders>
              <w:top w:val="single" w:sz="4" w:space="0" w:color="auto"/>
              <w:left w:val="nil"/>
              <w:bottom w:val="single" w:sz="4" w:space="0" w:color="000000" w:themeColor="text1"/>
              <w:right w:val="nil"/>
            </w:tcBorders>
          </w:tcPr>
          <w:p w:rsidR="00224F8A" w:rsidRPr="0020234B" w:rsidRDefault="00224F8A" w:rsidP="008B2950">
            <w:pPr>
              <w:pStyle w:val="table1"/>
              <w:rPr>
                <w:i/>
                <w:color w:val="000000"/>
                <w:szCs w:val="16"/>
                <w:u w:color="000000"/>
              </w:rPr>
            </w:pPr>
            <w:r w:rsidRPr="0020234B">
              <w:rPr>
                <w:i/>
                <w:color w:val="000000"/>
                <w:szCs w:val="16"/>
                <w:u w:color="000000"/>
              </w:rPr>
              <w:t>Hymenachne</w:t>
            </w:r>
          </w:p>
        </w:tc>
        <w:tc>
          <w:tcPr>
            <w:tcW w:w="981" w:type="dxa"/>
            <w:tcBorders>
              <w:top w:val="single" w:sz="4" w:space="0" w:color="auto"/>
              <w:left w:val="nil"/>
              <w:bottom w:val="single" w:sz="4" w:space="0" w:color="000000" w:themeColor="text1"/>
              <w:right w:val="nil"/>
            </w:tcBorders>
          </w:tcPr>
          <w:p w:rsidR="00224F8A" w:rsidRPr="0020234B" w:rsidRDefault="00224F8A" w:rsidP="008B2950">
            <w:pPr>
              <w:pStyle w:val="table1"/>
              <w:rPr>
                <w:i/>
                <w:color w:val="000000"/>
                <w:szCs w:val="16"/>
                <w:u w:color="000000"/>
              </w:rPr>
            </w:pPr>
            <w:r w:rsidRPr="0020234B">
              <w:rPr>
                <w:i/>
                <w:color w:val="000000"/>
                <w:szCs w:val="16"/>
                <w:u w:color="000000"/>
              </w:rPr>
              <w:t>Leersia</w:t>
            </w:r>
          </w:p>
        </w:tc>
        <w:tc>
          <w:tcPr>
            <w:tcW w:w="980" w:type="dxa"/>
            <w:tcBorders>
              <w:top w:val="single" w:sz="4" w:space="0" w:color="auto"/>
              <w:left w:val="nil"/>
              <w:bottom w:val="single" w:sz="4" w:space="0" w:color="000000" w:themeColor="text1"/>
              <w:right w:val="nil"/>
            </w:tcBorders>
          </w:tcPr>
          <w:p w:rsidR="00224F8A" w:rsidRPr="008B2950" w:rsidRDefault="00224F8A" w:rsidP="008B2950">
            <w:pPr>
              <w:pStyle w:val="table1"/>
              <w:rPr>
                <w:color w:val="000000"/>
                <w:szCs w:val="16"/>
                <w:u w:color="000000"/>
              </w:rPr>
            </w:pPr>
            <w:r w:rsidRPr="008B2950">
              <w:rPr>
                <w:color w:val="000000"/>
                <w:szCs w:val="16"/>
                <w:u w:color="000000"/>
              </w:rPr>
              <w:t>MOF</w:t>
            </w:r>
          </w:p>
        </w:tc>
        <w:tc>
          <w:tcPr>
            <w:tcW w:w="981" w:type="dxa"/>
            <w:tcBorders>
              <w:top w:val="single" w:sz="4" w:space="0" w:color="auto"/>
              <w:left w:val="nil"/>
              <w:bottom w:val="single" w:sz="4" w:space="0" w:color="000000" w:themeColor="text1"/>
              <w:right w:val="nil"/>
            </w:tcBorders>
          </w:tcPr>
          <w:p w:rsidR="00224F8A" w:rsidRPr="008B2950" w:rsidRDefault="00224F8A" w:rsidP="008B2950">
            <w:pPr>
              <w:pStyle w:val="table1"/>
              <w:rPr>
                <w:color w:val="000000"/>
                <w:szCs w:val="16"/>
                <w:u w:color="000000"/>
              </w:rPr>
            </w:pPr>
            <w:r w:rsidRPr="008B2950">
              <w:rPr>
                <w:color w:val="000000"/>
                <w:szCs w:val="16"/>
                <w:u w:color="000000"/>
              </w:rPr>
              <w:t>MW</w:t>
            </w:r>
          </w:p>
        </w:tc>
        <w:tc>
          <w:tcPr>
            <w:tcW w:w="980" w:type="dxa"/>
            <w:tcBorders>
              <w:top w:val="single" w:sz="4" w:space="0" w:color="auto"/>
              <w:left w:val="nil"/>
              <w:bottom w:val="single" w:sz="4" w:space="0" w:color="000000" w:themeColor="text1"/>
              <w:right w:val="nil"/>
            </w:tcBorders>
          </w:tcPr>
          <w:p w:rsidR="00224F8A" w:rsidRPr="0020234B" w:rsidRDefault="00224F8A" w:rsidP="008B2950">
            <w:pPr>
              <w:pStyle w:val="table1"/>
              <w:rPr>
                <w:i/>
                <w:color w:val="000000"/>
                <w:szCs w:val="16"/>
                <w:u w:color="000000"/>
              </w:rPr>
            </w:pPr>
            <w:r w:rsidRPr="0020234B">
              <w:rPr>
                <w:i/>
                <w:color w:val="000000"/>
                <w:szCs w:val="16"/>
                <w:u w:color="000000"/>
              </w:rPr>
              <w:t>Nelumbo</w:t>
            </w:r>
          </w:p>
        </w:tc>
        <w:tc>
          <w:tcPr>
            <w:tcW w:w="980" w:type="dxa"/>
            <w:tcBorders>
              <w:top w:val="single" w:sz="4" w:space="0" w:color="auto"/>
              <w:left w:val="nil"/>
              <w:bottom w:val="single" w:sz="4" w:space="0" w:color="000000" w:themeColor="text1"/>
              <w:right w:val="nil"/>
            </w:tcBorders>
          </w:tcPr>
          <w:p w:rsidR="00224F8A" w:rsidRPr="0020234B" w:rsidRDefault="00224F8A" w:rsidP="008B2950">
            <w:pPr>
              <w:pStyle w:val="table1"/>
              <w:rPr>
                <w:i/>
                <w:color w:val="000000"/>
                <w:szCs w:val="16"/>
                <w:u w:color="000000"/>
              </w:rPr>
            </w:pPr>
            <w:r w:rsidRPr="0020234B">
              <w:rPr>
                <w:i/>
                <w:color w:val="000000"/>
                <w:szCs w:val="16"/>
                <w:u w:color="000000"/>
              </w:rPr>
              <w:t>Oryza</w:t>
            </w:r>
          </w:p>
        </w:tc>
        <w:tc>
          <w:tcPr>
            <w:tcW w:w="981" w:type="dxa"/>
            <w:tcBorders>
              <w:top w:val="single" w:sz="4" w:space="0" w:color="auto"/>
              <w:left w:val="nil"/>
              <w:bottom w:val="single" w:sz="4" w:space="0" w:color="000000" w:themeColor="text1"/>
              <w:right w:val="nil"/>
            </w:tcBorders>
          </w:tcPr>
          <w:p w:rsidR="00224F8A" w:rsidRPr="008B2950" w:rsidRDefault="00224F8A" w:rsidP="008B2950">
            <w:pPr>
              <w:pStyle w:val="table1"/>
              <w:rPr>
                <w:color w:val="000000"/>
                <w:szCs w:val="16"/>
                <w:u w:color="000000"/>
              </w:rPr>
            </w:pPr>
            <w:r w:rsidRPr="008B2950">
              <w:rPr>
                <w:color w:val="000000"/>
                <w:szCs w:val="16"/>
                <w:u w:color="000000"/>
              </w:rPr>
              <w:t>Para</w:t>
            </w:r>
          </w:p>
        </w:tc>
        <w:tc>
          <w:tcPr>
            <w:tcW w:w="980" w:type="dxa"/>
            <w:tcBorders>
              <w:top w:val="single" w:sz="4" w:space="0" w:color="auto"/>
              <w:left w:val="nil"/>
              <w:bottom w:val="single" w:sz="4" w:space="0" w:color="000000" w:themeColor="text1"/>
              <w:right w:val="nil"/>
            </w:tcBorders>
          </w:tcPr>
          <w:p w:rsidR="00224F8A" w:rsidRPr="0020234B" w:rsidRDefault="00224F8A" w:rsidP="008B2950">
            <w:pPr>
              <w:pStyle w:val="table1"/>
              <w:rPr>
                <w:i/>
                <w:color w:val="000000"/>
                <w:szCs w:val="16"/>
                <w:u w:color="000000"/>
              </w:rPr>
            </w:pPr>
            <w:r w:rsidRPr="0020234B">
              <w:rPr>
                <w:i/>
                <w:color w:val="000000"/>
                <w:szCs w:val="16"/>
                <w:u w:color="000000"/>
              </w:rPr>
              <w:t>Pseudoraphis</w:t>
            </w:r>
          </w:p>
        </w:tc>
        <w:tc>
          <w:tcPr>
            <w:tcW w:w="981" w:type="dxa"/>
            <w:tcBorders>
              <w:top w:val="single" w:sz="4" w:space="0" w:color="auto"/>
              <w:left w:val="nil"/>
              <w:bottom w:val="single" w:sz="4" w:space="0" w:color="000000" w:themeColor="text1"/>
              <w:right w:val="nil"/>
            </w:tcBorders>
          </w:tcPr>
          <w:p w:rsidR="00224F8A" w:rsidRPr="0020234B" w:rsidRDefault="00224F8A" w:rsidP="008B2950">
            <w:pPr>
              <w:pStyle w:val="table1"/>
              <w:rPr>
                <w:i/>
                <w:color w:val="000000"/>
                <w:szCs w:val="16"/>
                <w:u w:color="000000"/>
              </w:rPr>
            </w:pPr>
            <w:r w:rsidRPr="0020234B">
              <w:rPr>
                <w:i/>
                <w:color w:val="000000"/>
                <w:szCs w:val="16"/>
                <w:u w:color="000000"/>
              </w:rPr>
              <w:t>Pseudoraphis/Hymenachne</w:t>
            </w:r>
          </w:p>
        </w:tc>
        <w:tc>
          <w:tcPr>
            <w:tcW w:w="980" w:type="dxa"/>
            <w:tcBorders>
              <w:top w:val="single" w:sz="4" w:space="0" w:color="auto"/>
              <w:left w:val="nil"/>
              <w:bottom w:val="single" w:sz="4" w:space="0" w:color="000000" w:themeColor="text1"/>
              <w:right w:val="nil"/>
            </w:tcBorders>
          </w:tcPr>
          <w:p w:rsidR="00224F8A" w:rsidRPr="0020234B" w:rsidRDefault="00224F8A" w:rsidP="008B2950">
            <w:pPr>
              <w:pStyle w:val="table1"/>
              <w:rPr>
                <w:i/>
                <w:color w:val="000000"/>
                <w:szCs w:val="16"/>
                <w:u w:color="000000"/>
              </w:rPr>
            </w:pPr>
            <w:r w:rsidRPr="0020234B">
              <w:rPr>
                <w:i/>
                <w:color w:val="000000"/>
                <w:szCs w:val="16"/>
                <w:u w:color="000000"/>
              </w:rPr>
              <w:t>Salvinia</w:t>
            </w:r>
          </w:p>
        </w:tc>
        <w:tc>
          <w:tcPr>
            <w:tcW w:w="839" w:type="dxa"/>
            <w:tcBorders>
              <w:top w:val="single" w:sz="4" w:space="0" w:color="auto"/>
              <w:left w:val="nil"/>
              <w:bottom w:val="single" w:sz="4" w:space="0" w:color="000000" w:themeColor="text1"/>
              <w:right w:val="nil"/>
            </w:tcBorders>
          </w:tcPr>
          <w:p w:rsidR="00224F8A" w:rsidRPr="008B2950" w:rsidRDefault="00224F8A" w:rsidP="008B2950">
            <w:pPr>
              <w:pStyle w:val="table1"/>
              <w:rPr>
                <w:color w:val="000000"/>
                <w:szCs w:val="16"/>
                <w:u w:color="000000"/>
              </w:rPr>
            </w:pPr>
            <w:r w:rsidRPr="008B2950">
              <w:rPr>
                <w:color w:val="000000"/>
                <w:szCs w:val="16"/>
                <w:u w:color="000000"/>
              </w:rPr>
              <w:t>Water</w:t>
            </w:r>
          </w:p>
        </w:tc>
        <w:tc>
          <w:tcPr>
            <w:tcW w:w="851" w:type="dxa"/>
            <w:tcBorders>
              <w:top w:val="single" w:sz="4" w:space="0" w:color="auto"/>
              <w:left w:val="nil"/>
              <w:bottom w:val="single" w:sz="4" w:space="0" w:color="000000" w:themeColor="text1"/>
              <w:right w:val="nil"/>
            </w:tcBorders>
          </w:tcPr>
          <w:p w:rsidR="00224F8A" w:rsidRPr="008B2950" w:rsidRDefault="00224F8A" w:rsidP="008B2950">
            <w:pPr>
              <w:pStyle w:val="table1"/>
              <w:rPr>
                <w:color w:val="000000"/>
                <w:szCs w:val="16"/>
                <w:u w:color="000000"/>
              </w:rPr>
            </w:pPr>
            <w:r w:rsidRPr="008B2950">
              <w:rPr>
                <w:color w:val="000000"/>
                <w:szCs w:val="16"/>
                <w:u w:color="000000"/>
              </w:rPr>
              <w:t>Total</w:t>
            </w:r>
          </w:p>
        </w:tc>
      </w:tr>
      <w:tr w:rsidR="00224F8A" w:rsidRPr="008B2950" w:rsidTr="0020234B">
        <w:tc>
          <w:tcPr>
            <w:tcW w:w="425" w:type="dxa"/>
            <w:vMerge w:val="restart"/>
            <w:tcBorders>
              <w:left w:val="nil"/>
              <w:right w:val="nil"/>
            </w:tcBorders>
            <w:textDirection w:val="btLr"/>
            <w:vAlign w:val="center"/>
          </w:tcPr>
          <w:p w:rsidR="00224F8A" w:rsidRPr="008B2950" w:rsidRDefault="00224F8A" w:rsidP="008B2950">
            <w:pPr>
              <w:pStyle w:val="table1"/>
              <w:jc w:val="right"/>
              <w:rPr>
                <w:b/>
                <w:color w:val="000000"/>
                <w:u w:color="000000"/>
              </w:rPr>
            </w:pPr>
            <w:r w:rsidRPr="008B2950">
              <w:rPr>
                <w:b/>
                <w:color w:val="000000"/>
                <w:u w:color="000000"/>
              </w:rPr>
              <w:t>2012 class</w:t>
            </w:r>
          </w:p>
        </w:tc>
        <w:tc>
          <w:tcPr>
            <w:tcW w:w="1276" w:type="dxa"/>
            <w:gridSpan w:val="2"/>
            <w:tcBorders>
              <w:left w:val="nil"/>
              <w:bottom w:val="nil"/>
              <w:right w:val="nil"/>
            </w:tcBorders>
          </w:tcPr>
          <w:p w:rsidR="00224F8A" w:rsidRPr="0020234B" w:rsidRDefault="00224F8A" w:rsidP="008B2950">
            <w:pPr>
              <w:pStyle w:val="table1"/>
              <w:rPr>
                <w:i/>
                <w:color w:val="000000"/>
                <w:szCs w:val="16"/>
                <w:u w:color="000000"/>
              </w:rPr>
            </w:pPr>
            <w:r w:rsidRPr="0020234B">
              <w:rPr>
                <w:i/>
                <w:color w:val="000000"/>
                <w:szCs w:val="16"/>
                <w:u w:color="000000"/>
              </w:rPr>
              <w:t>Eleocharis</w:t>
            </w:r>
          </w:p>
        </w:tc>
        <w:tc>
          <w:tcPr>
            <w:tcW w:w="839" w:type="dxa"/>
            <w:tcBorders>
              <w:left w:val="nil"/>
              <w:bottom w:val="nil"/>
              <w:right w:val="nil"/>
            </w:tcBorders>
            <w:shd w:val="clear" w:color="auto" w:fill="D9D9D9" w:themeFill="background1" w:themeFillShade="D9"/>
            <w:vAlign w:val="bottom"/>
          </w:tcPr>
          <w:p w:rsidR="00224F8A" w:rsidRPr="008B2950" w:rsidRDefault="00224F8A" w:rsidP="008B2950">
            <w:pPr>
              <w:pStyle w:val="table1"/>
              <w:rPr>
                <w:color w:val="000000"/>
                <w:szCs w:val="22"/>
                <w:u w:color="000000"/>
              </w:rPr>
            </w:pPr>
            <w:r w:rsidRPr="008B2950">
              <w:rPr>
                <w:color w:val="000000"/>
                <w:szCs w:val="22"/>
                <w:u w:color="000000"/>
              </w:rPr>
              <w:t>0.0</w:t>
            </w:r>
          </w:p>
        </w:tc>
        <w:tc>
          <w:tcPr>
            <w:tcW w:w="980" w:type="dxa"/>
            <w:tcBorders>
              <w:left w:val="nil"/>
              <w:bottom w:val="nil"/>
              <w:right w:val="nil"/>
            </w:tcBorders>
            <w:vAlign w:val="bottom"/>
          </w:tcPr>
          <w:p w:rsidR="00224F8A" w:rsidRPr="008B2950" w:rsidRDefault="00224F8A" w:rsidP="008B2950">
            <w:pPr>
              <w:pStyle w:val="table1"/>
              <w:rPr>
                <w:color w:val="000000"/>
                <w:szCs w:val="22"/>
                <w:u w:color="000000"/>
              </w:rPr>
            </w:pPr>
            <w:r w:rsidRPr="008B2950">
              <w:rPr>
                <w:color w:val="000000"/>
                <w:szCs w:val="22"/>
                <w:u w:color="000000"/>
              </w:rPr>
              <w:t>0.0</w:t>
            </w:r>
          </w:p>
        </w:tc>
        <w:tc>
          <w:tcPr>
            <w:tcW w:w="981" w:type="dxa"/>
            <w:tcBorders>
              <w:left w:val="nil"/>
              <w:bottom w:val="nil"/>
              <w:right w:val="nil"/>
            </w:tcBorders>
            <w:vAlign w:val="bottom"/>
          </w:tcPr>
          <w:p w:rsidR="00224F8A" w:rsidRPr="008B2950" w:rsidRDefault="00224F8A" w:rsidP="008B2950">
            <w:pPr>
              <w:pStyle w:val="table1"/>
              <w:rPr>
                <w:color w:val="000000"/>
                <w:szCs w:val="22"/>
                <w:u w:color="000000"/>
              </w:rPr>
            </w:pPr>
            <w:r w:rsidRPr="008B2950">
              <w:rPr>
                <w:color w:val="000000"/>
                <w:szCs w:val="22"/>
                <w:u w:color="000000"/>
              </w:rPr>
              <w:t>0.0</w:t>
            </w:r>
          </w:p>
        </w:tc>
        <w:tc>
          <w:tcPr>
            <w:tcW w:w="980" w:type="dxa"/>
            <w:tcBorders>
              <w:left w:val="nil"/>
              <w:bottom w:val="nil"/>
              <w:right w:val="nil"/>
            </w:tcBorders>
            <w:vAlign w:val="bottom"/>
          </w:tcPr>
          <w:p w:rsidR="00224F8A" w:rsidRPr="008B2950" w:rsidRDefault="00224F8A" w:rsidP="008B2950">
            <w:pPr>
              <w:pStyle w:val="table1"/>
              <w:rPr>
                <w:color w:val="000000"/>
                <w:szCs w:val="22"/>
                <w:u w:color="000000"/>
              </w:rPr>
            </w:pPr>
            <w:r w:rsidRPr="008B2950">
              <w:rPr>
                <w:color w:val="000000"/>
                <w:szCs w:val="22"/>
                <w:u w:color="000000"/>
              </w:rPr>
              <w:t>0.0</w:t>
            </w:r>
          </w:p>
        </w:tc>
        <w:tc>
          <w:tcPr>
            <w:tcW w:w="981" w:type="dxa"/>
            <w:tcBorders>
              <w:left w:val="nil"/>
              <w:bottom w:val="nil"/>
              <w:right w:val="nil"/>
            </w:tcBorders>
            <w:vAlign w:val="bottom"/>
          </w:tcPr>
          <w:p w:rsidR="00224F8A" w:rsidRPr="008B2950" w:rsidRDefault="00224F8A" w:rsidP="008B2950">
            <w:pPr>
              <w:pStyle w:val="table1"/>
              <w:rPr>
                <w:color w:val="000000"/>
                <w:szCs w:val="22"/>
                <w:u w:color="000000"/>
              </w:rPr>
            </w:pPr>
            <w:r w:rsidRPr="008B2950">
              <w:rPr>
                <w:color w:val="000000"/>
                <w:szCs w:val="22"/>
                <w:u w:color="000000"/>
              </w:rPr>
              <w:t>0.0</w:t>
            </w:r>
          </w:p>
        </w:tc>
        <w:tc>
          <w:tcPr>
            <w:tcW w:w="980" w:type="dxa"/>
            <w:tcBorders>
              <w:left w:val="nil"/>
              <w:bottom w:val="nil"/>
              <w:right w:val="nil"/>
            </w:tcBorders>
            <w:vAlign w:val="bottom"/>
          </w:tcPr>
          <w:p w:rsidR="00224F8A" w:rsidRPr="008B2950" w:rsidRDefault="00224F8A" w:rsidP="008B2950">
            <w:pPr>
              <w:pStyle w:val="table1"/>
              <w:rPr>
                <w:color w:val="000000"/>
                <w:szCs w:val="22"/>
                <w:u w:color="000000"/>
              </w:rPr>
            </w:pPr>
            <w:r w:rsidRPr="008B2950">
              <w:rPr>
                <w:color w:val="000000"/>
                <w:szCs w:val="22"/>
                <w:u w:color="000000"/>
              </w:rPr>
              <w:t>0.0</w:t>
            </w:r>
          </w:p>
        </w:tc>
        <w:tc>
          <w:tcPr>
            <w:tcW w:w="980" w:type="dxa"/>
            <w:tcBorders>
              <w:left w:val="nil"/>
              <w:bottom w:val="nil"/>
              <w:right w:val="nil"/>
            </w:tcBorders>
            <w:vAlign w:val="bottom"/>
          </w:tcPr>
          <w:p w:rsidR="00224F8A" w:rsidRPr="008B2950" w:rsidRDefault="00224F8A" w:rsidP="008B2950">
            <w:pPr>
              <w:pStyle w:val="table1"/>
              <w:rPr>
                <w:color w:val="000000"/>
                <w:szCs w:val="22"/>
                <w:u w:color="000000"/>
              </w:rPr>
            </w:pPr>
            <w:r w:rsidRPr="008B2950">
              <w:rPr>
                <w:color w:val="000000"/>
                <w:szCs w:val="22"/>
                <w:u w:color="000000"/>
              </w:rPr>
              <w:t>0.0</w:t>
            </w:r>
          </w:p>
        </w:tc>
        <w:tc>
          <w:tcPr>
            <w:tcW w:w="981" w:type="dxa"/>
            <w:tcBorders>
              <w:left w:val="nil"/>
              <w:bottom w:val="nil"/>
              <w:right w:val="nil"/>
            </w:tcBorders>
            <w:vAlign w:val="bottom"/>
          </w:tcPr>
          <w:p w:rsidR="00224F8A" w:rsidRPr="008B2950" w:rsidRDefault="00224F8A" w:rsidP="008B2950">
            <w:pPr>
              <w:pStyle w:val="table1"/>
              <w:rPr>
                <w:color w:val="000000"/>
                <w:szCs w:val="22"/>
                <w:u w:color="000000"/>
              </w:rPr>
            </w:pPr>
            <w:r w:rsidRPr="008B2950">
              <w:rPr>
                <w:color w:val="000000"/>
                <w:szCs w:val="22"/>
                <w:u w:color="000000"/>
              </w:rPr>
              <w:t>0.0</w:t>
            </w:r>
          </w:p>
        </w:tc>
        <w:tc>
          <w:tcPr>
            <w:tcW w:w="980" w:type="dxa"/>
            <w:tcBorders>
              <w:left w:val="nil"/>
              <w:bottom w:val="nil"/>
              <w:right w:val="nil"/>
            </w:tcBorders>
            <w:vAlign w:val="bottom"/>
          </w:tcPr>
          <w:p w:rsidR="00224F8A" w:rsidRPr="008B2950" w:rsidRDefault="00224F8A" w:rsidP="008B2950">
            <w:pPr>
              <w:pStyle w:val="table1"/>
              <w:rPr>
                <w:color w:val="000000"/>
                <w:szCs w:val="22"/>
                <w:u w:color="000000"/>
              </w:rPr>
            </w:pPr>
            <w:r w:rsidRPr="008B2950">
              <w:rPr>
                <w:color w:val="000000"/>
                <w:szCs w:val="22"/>
                <w:u w:color="000000"/>
              </w:rPr>
              <w:t>0.0</w:t>
            </w:r>
          </w:p>
        </w:tc>
        <w:tc>
          <w:tcPr>
            <w:tcW w:w="981" w:type="dxa"/>
            <w:tcBorders>
              <w:left w:val="nil"/>
              <w:bottom w:val="nil"/>
              <w:right w:val="nil"/>
            </w:tcBorders>
            <w:vAlign w:val="bottom"/>
          </w:tcPr>
          <w:p w:rsidR="00224F8A" w:rsidRPr="008B2950" w:rsidRDefault="00224F8A" w:rsidP="008B2950">
            <w:pPr>
              <w:pStyle w:val="table1"/>
              <w:rPr>
                <w:color w:val="000000"/>
                <w:szCs w:val="22"/>
                <w:u w:color="000000"/>
              </w:rPr>
            </w:pPr>
            <w:r w:rsidRPr="008B2950">
              <w:rPr>
                <w:color w:val="000000"/>
                <w:szCs w:val="22"/>
                <w:u w:color="000000"/>
              </w:rPr>
              <w:t>0.0</w:t>
            </w:r>
          </w:p>
        </w:tc>
        <w:tc>
          <w:tcPr>
            <w:tcW w:w="980" w:type="dxa"/>
            <w:tcBorders>
              <w:left w:val="nil"/>
              <w:bottom w:val="nil"/>
              <w:right w:val="nil"/>
            </w:tcBorders>
            <w:vAlign w:val="bottom"/>
          </w:tcPr>
          <w:p w:rsidR="00224F8A" w:rsidRPr="008B2950" w:rsidRDefault="00224F8A" w:rsidP="008B2950">
            <w:pPr>
              <w:pStyle w:val="table1"/>
              <w:rPr>
                <w:color w:val="000000"/>
                <w:szCs w:val="22"/>
                <w:u w:color="000000"/>
              </w:rPr>
            </w:pPr>
            <w:r w:rsidRPr="008B2950">
              <w:rPr>
                <w:color w:val="000000"/>
                <w:szCs w:val="22"/>
                <w:u w:color="000000"/>
              </w:rPr>
              <w:t>0.0</w:t>
            </w:r>
          </w:p>
        </w:tc>
        <w:tc>
          <w:tcPr>
            <w:tcW w:w="839" w:type="dxa"/>
            <w:tcBorders>
              <w:left w:val="nil"/>
              <w:bottom w:val="nil"/>
              <w:right w:val="nil"/>
            </w:tcBorders>
            <w:vAlign w:val="bottom"/>
          </w:tcPr>
          <w:p w:rsidR="00224F8A" w:rsidRPr="008B2950" w:rsidRDefault="00224F8A" w:rsidP="008B2950">
            <w:pPr>
              <w:pStyle w:val="table1"/>
              <w:rPr>
                <w:color w:val="000000"/>
                <w:szCs w:val="22"/>
                <w:u w:color="000000"/>
              </w:rPr>
            </w:pPr>
            <w:r w:rsidRPr="008B2950">
              <w:rPr>
                <w:color w:val="000000"/>
                <w:szCs w:val="22"/>
                <w:u w:color="000000"/>
              </w:rPr>
              <w:t>0.0</w:t>
            </w:r>
          </w:p>
        </w:tc>
        <w:tc>
          <w:tcPr>
            <w:tcW w:w="851" w:type="dxa"/>
            <w:tcBorders>
              <w:left w:val="nil"/>
              <w:bottom w:val="nil"/>
              <w:right w:val="nil"/>
            </w:tcBorders>
            <w:vAlign w:val="bottom"/>
          </w:tcPr>
          <w:p w:rsidR="00224F8A" w:rsidRPr="008B2950" w:rsidRDefault="00224F8A" w:rsidP="008B2950">
            <w:pPr>
              <w:pStyle w:val="table1"/>
              <w:rPr>
                <w:color w:val="000000"/>
                <w:szCs w:val="22"/>
                <w:u w:color="000000"/>
              </w:rPr>
            </w:pPr>
            <w:r w:rsidRPr="008B2950">
              <w:rPr>
                <w:color w:val="000000"/>
                <w:szCs w:val="22"/>
                <w:u w:color="000000"/>
              </w:rPr>
              <w:t>0.0</w:t>
            </w:r>
          </w:p>
        </w:tc>
      </w:tr>
      <w:tr w:rsidR="00224F8A" w:rsidRPr="008B2950" w:rsidTr="0020234B">
        <w:tc>
          <w:tcPr>
            <w:tcW w:w="425" w:type="dxa"/>
            <w:vMerge/>
            <w:tcBorders>
              <w:left w:val="nil"/>
              <w:right w:val="nil"/>
            </w:tcBorders>
          </w:tcPr>
          <w:p w:rsidR="00224F8A" w:rsidRPr="008B2950" w:rsidRDefault="00224F8A" w:rsidP="008B2950">
            <w:pPr>
              <w:pStyle w:val="table1"/>
              <w:jc w:val="center"/>
              <w:rPr>
                <w:b/>
                <w:color w:val="000000"/>
                <w:u w:color="000000"/>
              </w:rPr>
            </w:pPr>
          </w:p>
        </w:tc>
        <w:tc>
          <w:tcPr>
            <w:tcW w:w="1276" w:type="dxa"/>
            <w:gridSpan w:val="2"/>
            <w:tcBorders>
              <w:top w:val="nil"/>
              <w:left w:val="nil"/>
              <w:bottom w:val="nil"/>
              <w:right w:val="nil"/>
            </w:tcBorders>
          </w:tcPr>
          <w:p w:rsidR="00224F8A" w:rsidRPr="0020234B" w:rsidRDefault="00224F8A" w:rsidP="008B2950">
            <w:pPr>
              <w:pStyle w:val="table1"/>
              <w:rPr>
                <w:i/>
                <w:color w:val="000000"/>
                <w:u w:color="000000"/>
              </w:rPr>
            </w:pPr>
            <w:r w:rsidRPr="0020234B">
              <w:rPr>
                <w:i/>
                <w:color w:val="000000"/>
                <w:szCs w:val="16"/>
                <w:u w:color="000000"/>
              </w:rPr>
              <w:t>Hymenachne</w:t>
            </w:r>
          </w:p>
        </w:tc>
        <w:tc>
          <w:tcPr>
            <w:tcW w:w="839" w:type="dxa"/>
            <w:tcBorders>
              <w:top w:val="nil"/>
              <w:left w:val="nil"/>
              <w:bottom w:val="nil"/>
              <w:right w:val="nil"/>
            </w:tcBorders>
            <w:vAlign w:val="bottom"/>
          </w:tcPr>
          <w:p w:rsidR="00224F8A" w:rsidRPr="008B2950" w:rsidRDefault="00224F8A" w:rsidP="008B2950">
            <w:pPr>
              <w:pStyle w:val="table1"/>
              <w:rPr>
                <w:color w:val="000000"/>
                <w:szCs w:val="22"/>
                <w:u w:color="000000"/>
              </w:rPr>
            </w:pPr>
            <w:r w:rsidRPr="008B2950">
              <w:rPr>
                <w:color w:val="000000"/>
                <w:szCs w:val="22"/>
                <w:u w:color="000000"/>
              </w:rPr>
              <w:t>0.0</w:t>
            </w:r>
          </w:p>
        </w:tc>
        <w:tc>
          <w:tcPr>
            <w:tcW w:w="980" w:type="dxa"/>
            <w:tcBorders>
              <w:top w:val="nil"/>
              <w:left w:val="nil"/>
              <w:bottom w:val="nil"/>
              <w:right w:val="nil"/>
            </w:tcBorders>
            <w:shd w:val="clear" w:color="auto" w:fill="D9D9D9" w:themeFill="background1" w:themeFillShade="D9"/>
            <w:vAlign w:val="bottom"/>
          </w:tcPr>
          <w:p w:rsidR="00224F8A" w:rsidRPr="008B2950" w:rsidRDefault="00224F8A" w:rsidP="008B2950">
            <w:pPr>
              <w:pStyle w:val="table1"/>
              <w:rPr>
                <w:color w:val="000000"/>
                <w:szCs w:val="22"/>
                <w:u w:color="000000"/>
              </w:rPr>
            </w:pPr>
            <w:r w:rsidRPr="008B2950">
              <w:rPr>
                <w:color w:val="000000"/>
                <w:szCs w:val="22"/>
                <w:u w:color="000000"/>
              </w:rPr>
              <w:t>92.0</w:t>
            </w:r>
          </w:p>
        </w:tc>
        <w:tc>
          <w:tcPr>
            <w:tcW w:w="981" w:type="dxa"/>
            <w:tcBorders>
              <w:top w:val="nil"/>
              <w:left w:val="nil"/>
              <w:bottom w:val="nil"/>
              <w:right w:val="nil"/>
            </w:tcBorders>
            <w:vAlign w:val="bottom"/>
          </w:tcPr>
          <w:p w:rsidR="00224F8A" w:rsidRPr="008B2950" w:rsidRDefault="00224F8A" w:rsidP="008B2950">
            <w:pPr>
              <w:pStyle w:val="table1"/>
              <w:rPr>
                <w:color w:val="000000"/>
                <w:szCs w:val="22"/>
                <w:u w:color="000000"/>
              </w:rPr>
            </w:pPr>
            <w:r w:rsidRPr="008B2950">
              <w:rPr>
                <w:color w:val="000000"/>
                <w:szCs w:val="22"/>
                <w:u w:color="000000"/>
              </w:rPr>
              <w:t>0.0</w:t>
            </w:r>
          </w:p>
        </w:tc>
        <w:tc>
          <w:tcPr>
            <w:tcW w:w="980" w:type="dxa"/>
            <w:tcBorders>
              <w:top w:val="nil"/>
              <w:left w:val="nil"/>
              <w:bottom w:val="nil"/>
              <w:right w:val="nil"/>
            </w:tcBorders>
            <w:vAlign w:val="bottom"/>
          </w:tcPr>
          <w:p w:rsidR="00224F8A" w:rsidRPr="008B2950" w:rsidRDefault="00224F8A" w:rsidP="008B2950">
            <w:pPr>
              <w:pStyle w:val="table1"/>
              <w:rPr>
                <w:color w:val="000000"/>
                <w:szCs w:val="22"/>
                <w:u w:color="000000"/>
              </w:rPr>
            </w:pPr>
            <w:r w:rsidRPr="008B2950">
              <w:rPr>
                <w:color w:val="000000"/>
                <w:szCs w:val="22"/>
                <w:u w:color="000000"/>
              </w:rPr>
              <w:t>11.6</w:t>
            </w:r>
          </w:p>
        </w:tc>
        <w:tc>
          <w:tcPr>
            <w:tcW w:w="981" w:type="dxa"/>
            <w:tcBorders>
              <w:top w:val="nil"/>
              <w:left w:val="nil"/>
              <w:bottom w:val="nil"/>
              <w:right w:val="nil"/>
            </w:tcBorders>
            <w:vAlign w:val="bottom"/>
          </w:tcPr>
          <w:p w:rsidR="00224F8A" w:rsidRPr="008B2950" w:rsidRDefault="00224F8A" w:rsidP="008B2950">
            <w:pPr>
              <w:pStyle w:val="table1"/>
              <w:rPr>
                <w:color w:val="000000"/>
                <w:szCs w:val="22"/>
                <w:u w:color="000000"/>
              </w:rPr>
            </w:pPr>
            <w:r w:rsidRPr="008B2950">
              <w:rPr>
                <w:color w:val="000000"/>
                <w:szCs w:val="22"/>
                <w:u w:color="000000"/>
              </w:rPr>
              <w:t>130.0</w:t>
            </w:r>
          </w:p>
        </w:tc>
        <w:tc>
          <w:tcPr>
            <w:tcW w:w="980" w:type="dxa"/>
            <w:tcBorders>
              <w:top w:val="nil"/>
              <w:left w:val="nil"/>
              <w:bottom w:val="nil"/>
              <w:right w:val="nil"/>
            </w:tcBorders>
            <w:vAlign w:val="bottom"/>
          </w:tcPr>
          <w:p w:rsidR="00224F8A" w:rsidRPr="008B2950" w:rsidRDefault="00224F8A" w:rsidP="008B2950">
            <w:pPr>
              <w:pStyle w:val="table1"/>
              <w:rPr>
                <w:color w:val="000000"/>
                <w:szCs w:val="22"/>
                <w:u w:color="000000"/>
              </w:rPr>
            </w:pPr>
            <w:r w:rsidRPr="008B2950">
              <w:rPr>
                <w:color w:val="000000"/>
                <w:szCs w:val="22"/>
                <w:u w:color="000000"/>
              </w:rPr>
              <w:t>0.0</w:t>
            </w:r>
          </w:p>
        </w:tc>
        <w:tc>
          <w:tcPr>
            <w:tcW w:w="980" w:type="dxa"/>
            <w:tcBorders>
              <w:top w:val="nil"/>
              <w:left w:val="nil"/>
              <w:bottom w:val="nil"/>
              <w:right w:val="nil"/>
            </w:tcBorders>
            <w:vAlign w:val="bottom"/>
          </w:tcPr>
          <w:p w:rsidR="00224F8A" w:rsidRPr="008B2950" w:rsidRDefault="00224F8A" w:rsidP="008B2950">
            <w:pPr>
              <w:pStyle w:val="table1"/>
              <w:rPr>
                <w:color w:val="000000"/>
                <w:szCs w:val="22"/>
                <w:u w:color="000000"/>
              </w:rPr>
            </w:pPr>
            <w:r w:rsidRPr="008B2950">
              <w:rPr>
                <w:color w:val="000000"/>
                <w:szCs w:val="22"/>
                <w:u w:color="000000"/>
              </w:rPr>
              <w:t>73.9</w:t>
            </w:r>
          </w:p>
        </w:tc>
        <w:tc>
          <w:tcPr>
            <w:tcW w:w="981" w:type="dxa"/>
            <w:tcBorders>
              <w:top w:val="nil"/>
              <w:left w:val="nil"/>
              <w:bottom w:val="nil"/>
              <w:right w:val="nil"/>
            </w:tcBorders>
            <w:vAlign w:val="bottom"/>
          </w:tcPr>
          <w:p w:rsidR="00224F8A" w:rsidRPr="008B2950" w:rsidRDefault="00224F8A" w:rsidP="008B2950">
            <w:pPr>
              <w:pStyle w:val="table1"/>
              <w:rPr>
                <w:color w:val="000000"/>
                <w:szCs w:val="22"/>
                <w:u w:color="000000"/>
              </w:rPr>
            </w:pPr>
            <w:r w:rsidRPr="008B2950">
              <w:rPr>
                <w:color w:val="000000"/>
                <w:szCs w:val="22"/>
                <w:u w:color="000000"/>
              </w:rPr>
              <w:t>7.8</w:t>
            </w:r>
          </w:p>
        </w:tc>
        <w:tc>
          <w:tcPr>
            <w:tcW w:w="980" w:type="dxa"/>
            <w:tcBorders>
              <w:top w:val="nil"/>
              <w:left w:val="nil"/>
              <w:bottom w:val="nil"/>
              <w:right w:val="nil"/>
            </w:tcBorders>
            <w:vAlign w:val="bottom"/>
          </w:tcPr>
          <w:p w:rsidR="00224F8A" w:rsidRPr="008B2950" w:rsidRDefault="00224F8A" w:rsidP="008B2950">
            <w:pPr>
              <w:pStyle w:val="table1"/>
              <w:rPr>
                <w:color w:val="000000"/>
                <w:szCs w:val="22"/>
                <w:u w:color="000000"/>
              </w:rPr>
            </w:pPr>
            <w:r w:rsidRPr="008B2950">
              <w:rPr>
                <w:color w:val="000000"/>
                <w:szCs w:val="22"/>
                <w:u w:color="000000"/>
              </w:rPr>
              <w:t>1.3</w:t>
            </w:r>
          </w:p>
        </w:tc>
        <w:tc>
          <w:tcPr>
            <w:tcW w:w="981" w:type="dxa"/>
            <w:tcBorders>
              <w:top w:val="nil"/>
              <w:left w:val="nil"/>
              <w:bottom w:val="nil"/>
              <w:right w:val="nil"/>
            </w:tcBorders>
            <w:vAlign w:val="bottom"/>
          </w:tcPr>
          <w:p w:rsidR="00224F8A" w:rsidRPr="008B2950" w:rsidRDefault="00224F8A" w:rsidP="008B2950">
            <w:pPr>
              <w:pStyle w:val="table1"/>
              <w:rPr>
                <w:color w:val="000000"/>
                <w:szCs w:val="22"/>
                <w:u w:color="000000"/>
              </w:rPr>
            </w:pPr>
            <w:r w:rsidRPr="008B2950">
              <w:rPr>
                <w:color w:val="000000"/>
                <w:szCs w:val="22"/>
                <w:u w:color="000000"/>
              </w:rPr>
              <w:t>24.2</w:t>
            </w:r>
          </w:p>
        </w:tc>
        <w:tc>
          <w:tcPr>
            <w:tcW w:w="980" w:type="dxa"/>
            <w:tcBorders>
              <w:top w:val="nil"/>
              <w:left w:val="nil"/>
              <w:bottom w:val="nil"/>
              <w:right w:val="nil"/>
            </w:tcBorders>
            <w:vAlign w:val="bottom"/>
          </w:tcPr>
          <w:p w:rsidR="00224F8A" w:rsidRPr="008B2950" w:rsidRDefault="00224F8A" w:rsidP="008B2950">
            <w:pPr>
              <w:pStyle w:val="table1"/>
              <w:rPr>
                <w:color w:val="000000"/>
                <w:szCs w:val="22"/>
                <w:u w:color="000000"/>
              </w:rPr>
            </w:pPr>
            <w:r w:rsidRPr="008B2950">
              <w:rPr>
                <w:color w:val="000000"/>
                <w:szCs w:val="22"/>
                <w:u w:color="000000"/>
              </w:rPr>
              <w:t>0.0</w:t>
            </w:r>
          </w:p>
        </w:tc>
        <w:tc>
          <w:tcPr>
            <w:tcW w:w="839" w:type="dxa"/>
            <w:tcBorders>
              <w:top w:val="nil"/>
              <w:left w:val="nil"/>
              <w:bottom w:val="nil"/>
              <w:right w:val="nil"/>
            </w:tcBorders>
            <w:vAlign w:val="bottom"/>
          </w:tcPr>
          <w:p w:rsidR="00224F8A" w:rsidRPr="008B2950" w:rsidRDefault="00224F8A" w:rsidP="008B2950">
            <w:pPr>
              <w:pStyle w:val="table1"/>
              <w:rPr>
                <w:color w:val="000000"/>
                <w:szCs w:val="22"/>
                <w:u w:color="000000"/>
              </w:rPr>
            </w:pPr>
            <w:r w:rsidRPr="008B2950">
              <w:rPr>
                <w:color w:val="000000"/>
                <w:szCs w:val="22"/>
                <w:u w:color="000000"/>
              </w:rPr>
              <w:t>7.8</w:t>
            </w:r>
          </w:p>
        </w:tc>
        <w:tc>
          <w:tcPr>
            <w:tcW w:w="851" w:type="dxa"/>
            <w:tcBorders>
              <w:top w:val="nil"/>
              <w:left w:val="nil"/>
              <w:bottom w:val="nil"/>
              <w:right w:val="nil"/>
            </w:tcBorders>
            <w:vAlign w:val="bottom"/>
          </w:tcPr>
          <w:p w:rsidR="00224F8A" w:rsidRPr="008B2950" w:rsidRDefault="00224F8A" w:rsidP="008B2950">
            <w:pPr>
              <w:pStyle w:val="table1"/>
              <w:rPr>
                <w:color w:val="000000"/>
                <w:szCs w:val="22"/>
                <w:u w:color="000000"/>
              </w:rPr>
            </w:pPr>
            <w:r w:rsidRPr="008B2950">
              <w:rPr>
                <w:color w:val="000000"/>
                <w:szCs w:val="22"/>
                <w:u w:color="000000"/>
              </w:rPr>
              <w:t>348.6</w:t>
            </w:r>
          </w:p>
        </w:tc>
      </w:tr>
      <w:tr w:rsidR="00224F8A" w:rsidRPr="008B2950" w:rsidTr="0020234B">
        <w:tc>
          <w:tcPr>
            <w:tcW w:w="425" w:type="dxa"/>
            <w:vMerge/>
            <w:tcBorders>
              <w:left w:val="nil"/>
              <w:right w:val="nil"/>
            </w:tcBorders>
          </w:tcPr>
          <w:p w:rsidR="00224F8A" w:rsidRPr="008B2950" w:rsidRDefault="00224F8A" w:rsidP="008B2950">
            <w:pPr>
              <w:pStyle w:val="table1"/>
              <w:jc w:val="center"/>
              <w:rPr>
                <w:b/>
                <w:color w:val="000000"/>
                <w:u w:color="000000"/>
              </w:rPr>
            </w:pPr>
          </w:p>
        </w:tc>
        <w:tc>
          <w:tcPr>
            <w:tcW w:w="1276" w:type="dxa"/>
            <w:gridSpan w:val="2"/>
            <w:tcBorders>
              <w:top w:val="nil"/>
              <w:left w:val="nil"/>
              <w:bottom w:val="nil"/>
              <w:right w:val="nil"/>
            </w:tcBorders>
          </w:tcPr>
          <w:p w:rsidR="00224F8A" w:rsidRPr="0020234B" w:rsidRDefault="00224F8A" w:rsidP="008B2950">
            <w:pPr>
              <w:pStyle w:val="table1"/>
              <w:rPr>
                <w:i/>
                <w:color w:val="000000"/>
                <w:szCs w:val="16"/>
                <w:u w:color="000000"/>
              </w:rPr>
            </w:pPr>
            <w:r w:rsidRPr="0020234B">
              <w:rPr>
                <w:i/>
                <w:color w:val="000000"/>
                <w:szCs w:val="16"/>
                <w:u w:color="000000"/>
              </w:rPr>
              <w:t>Leersia</w:t>
            </w:r>
          </w:p>
        </w:tc>
        <w:tc>
          <w:tcPr>
            <w:tcW w:w="839" w:type="dxa"/>
            <w:tcBorders>
              <w:top w:val="nil"/>
              <w:left w:val="nil"/>
              <w:bottom w:val="nil"/>
              <w:right w:val="nil"/>
            </w:tcBorders>
            <w:vAlign w:val="bottom"/>
          </w:tcPr>
          <w:p w:rsidR="00224F8A" w:rsidRPr="008B2950" w:rsidRDefault="00224F8A" w:rsidP="008B2950">
            <w:pPr>
              <w:pStyle w:val="table1"/>
              <w:rPr>
                <w:color w:val="000000"/>
                <w:szCs w:val="22"/>
                <w:u w:color="000000"/>
              </w:rPr>
            </w:pPr>
            <w:r w:rsidRPr="008B2950">
              <w:rPr>
                <w:color w:val="000000"/>
                <w:szCs w:val="22"/>
                <w:u w:color="000000"/>
              </w:rPr>
              <w:t>0.0</w:t>
            </w:r>
          </w:p>
        </w:tc>
        <w:tc>
          <w:tcPr>
            <w:tcW w:w="980" w:type="dxa"/>
            <w:tcBorders>
              <w:top w:val="nil"/>
              <w:left w:val="nil"/>
              <w:bottom w:val="nil"/>
              <w:right w:val="nil"/>
            </w:tcBorders>
            <w:vAlign w:val="bottom"/>
          </w:tcPr>
          <w:p w:rsidR="00224F8A" w:rsidRPr="008B2950" w:rsidRDefault="00224F8A" w:rsidP="008B2950">
            <w:pPr>
              <w:pStyle w:val="table1"/>
              <w:rPr>
                <w:color w:val="000000"/>
                <w:szCs w:val="22"/>
                <w:u w:color="000000"/>
              </w:rPr>
            </w:pPr>
            <w:r w:rsidRPr="008B2950">
              <w:rPr>
                <w:color w:val="000000"/>
                <w:szCs w:val="22"/>
                <w:u w:color="000000"/>
              </w:rPr>
              <w:t>8.7</w:t>
            </w:r>
          </w:p>
        </w:tc>
        <w:tc>
          <w:tcPr>
            <w:tcW w:w="981" w:type="dxa"/>
            <w:tcBorders>
              <w:top w:val="nil"/>
              <w:left w:val="nil"/>
              <w:bottom w:val="nil"/>
              <w:right w:val="nil"/>
            </w:tcBorders>
            <w:shd w:val="clear" w:color="auto" w:fill="D9D9D9" w:themeFill="background1" w:themeFillShade="D9"/>
            <w:vAlign w:val="bottom"/>
          </w:tcPr>
          <w:p w:rsidR="00224F8A" w:rsidRPr="008B2950" w:rsidRDefault="00224F8A" w:rsidP="008B2950">
            <w:pPr>
              <w:pStyle w:val="table1"/>
              <w:rPr>
                <w:color w:val="000000"/>
                <w:szCs w:val="22"/>
                <w:u w:color="000000"/>
              </w:rPr>
            </w:pPr>
            <w:r w:rsidRPr="008B2950">
              <w:rPr>
                <w:color w:val="000000"/>
                <w:szCs w:val="22"/>
                <w:u w:color="000000"/>
              </w:rPr>
              <w:t>0.0</w:t>
            </w:r>
          </w:p>
        </w:tc>
        <w:tc>
          <w:tcPr>
            <w:tcW w:w="980" w:type="dxa"/>
            <w:tcBorders>
              <w:top w:val="nil"/>
              <w:left w:val="nil"/>
              <w:bottom w:val="nil"/>
              <w:right w:val="nil"/>
            </w:tcBorders>
            <w:vAlign w:val="bottom"/>
          </w:tcPr>
          <w:p w:rsidR="00224F8A" w:rsidRPr="008B2950" w:rsidRDefault="00224F8A" w:rsidP="008B2950">
            <w:pPr>
              <w:pStyle w:val="table1"/>
              <w:rPr>
                <w:color w:val="000000"/>
                <w:szCs w:val="22"/>
                <w:u w:color="000000"/>
              </w:rPr>
            </w:pPr>
            <w:r w:rsidRPr="008B2950">
              <w:rPr>
                <w:color w:val="000000"/>
                <w:szCs w:val="22"/>
                <w:u w:color="000000"/>
              </w:rPr>
              <w:t>0.5</w:t>
            </w:r>
          </w:p>
        </w:tc>
        <w:tc>
          <w:tcPr>
            <w:tcW w:w="981" w:type="dxa"/>
            <w:tcBorders>
              <w:top w:val="nil"/>
              <w:left w:val="nil"/>
              <w:bottom w:val="nil"/>
              <w:right w:val="nil"/>
            </w:tcBorders>
            <w:vAlign w:val="bottom"/>
          </w:tcPr>
          <w:p w:rsidR="00224F8A" w:rsidRPr="008B2950" w:rsidRDefault="00224F8A" w:rsidP="008B2950">
            <w:pPr>
              <w:pStyle w:val="table1"/>
              <w:rPr>
                <w:color w:val="000000"/>
                <w:szCs w:val="22"/>
                <w:u w:color="000000"/>
              </w:rPr>
            </w:pPr>
            <w:r w:rsidRPr="008B2950">
              <w:rPr>
                <w:color w:val="000000"/>
                <w:szCs w:val="22"/>
                <w:u w:color="000000"/>
              </w:rPr>
              <w:t>20.2</w:t>
            </w:r>
          </w:p>
        </w:tc>
        <w:tc>
          <w:tcPr>
            <w:tcW w:w="980" w:type="dxa"/>
            <w:tcBorders>
              <w:top w:val="nil"/>
              <w:left w:val="nil"/>
              <w:bottom w:val="nil"/>
              <w:right w:val="nil"/>
            </w:tcBorders>
            <w:vAlign w:val="bottom"/>
          </w:tcPr>
          <w:p w:rsidR="00224F8A" w:rsidRPr="008B2950" w:rsidRDefault="00224F8A" w:rsidP="008B2950">
            <w:pPr>
              <w:pStyle w:val="table1"/>
              <w:rPr>
                <w:color w:val="000000"/>
                <w:szCs w:val="22"/>
                <w:u w:color="000000"/>
              </w:rPr>
            </w:pPr>
            <w:r w:rsidRPr="008B2950">
              <w:rPr>
                <w:color w:val="000000"/>
                <w:szCs w:val="22"/>
                <w:u w:color="000000"/>
              </w:rPr>
              <w:t>0.0</w:t>
            </w:r>
          </w:p>
        </w:tc>
        <w:tc>
          <w:tcPr>
            <w:tcW w:w="980" w:type="dxa"/>
            <w:tcBorders>
              <w:top w:val="nil"/>
              <w:left w:val="nil"/>
              <w:bottom w:val="nil"/>
              <w:right w:val="nil"/>
            </w:tcBorders>
            <w:vAlign w:val="bottom"/>
          </w:tcPr>
          <w:p w:rsidR="00224F8A" w:rsidRPr="008B2950" w:rsidRDefault="00224F8A" w:rsidP="008B2950">
            <w:pPr>
              <w:pStyle w:val="table1"/>
              <w:rPr>
                <w:color w:val="000000"/>
                <w:szCs w:val="22"/>
                <w:u w:color="000000"/>
              </w:rPr>
            </w:pPr>
            <w:r w:rsidRPr="008B2950">
              <w:rPr>
                <w:color w:val="000000"/>
                <w:szCs w:val="22"/>
                <w:u w:color="000000"/>
              </w:rPr>
              <w:t>4.2</w:t>
            </w:r>
          </w:p>
        </w:tc>
        <w:tc>
          <w:tcPr>
            <w:tcW w:w="981" w:type="dxa"/>
            <w:tcBorders>
              <w:top w:val="nil"/>
              <w:left w:val="nil"/>
              <w:bottom w:val="nil"/>
              <w:right w:val="nil"/>
            </w:tcBorders>
            <w:vAlign w:val="bottom"/>
          </w:tcPr>
          <w:p w:rsidR="00224F8A" w:rsidRPr="008B2950" w:rsidRDefault="00224F8A" w:rsidP="008B2950">
            <w:pPr>
              <w:pStyle w:val="table1"/>
              <w:rPr>
                <w:color w:val="000000"/>
                <w:szCs w:val="22"/>
                <w:u w:color="000000"/>
              </w:rPr>
            </w:pPr>
            <w:r w:rsidRPr="008B2950">
              <w:rPr>
                <w:color w:val="000000"/>
                <w:szCs w:val="22"/>
                <w:u w:color="000000"/>
              </w:rPr>
              <w:t>0.6</w:t>
            </w:r>
          </w:p>
        </w:tc>
        <w:tc>
          <w:tcPr>
            <w:tcW w:w="980" w:type="dxa"/>
            <w:tcBorders>
              <w:top w:val="nil"/>
              <w:left w:val="nil"/>
              <w:bottom w:val="nil"/>
              <w:right w:val="nil"/>
            </w:tcBorders>
            <w:vAlign w:val="bottom"/>
          </w:tcPr>
          <w:p w:rsidR="00224F8A" w:rsidRPr="008B2950" w:rsidRDefault="00224F8A" w:rsidP="008B2950">
            <w:pPr>
              <w:pStyle w:val="table1"/>
              <w:rPr>
                <w:color w:val="000000"/>
                <w:szCs w:val="22"/>
                <w:u w:color="000000"/>
              </w:rPr>
            </w:pPr>
            <w:r w:rsidRPr="008B2950">
              <w:rPr>
                <w:color w:val="000000"/>
                <w:szCs w:val="22"/>
                <w:u w:color="000000"/>
              </w:rPr>
              <w:t>0.0</w:t>
            </w:r>
          </w:p>
        </w:tc>
        <w:tc>
          <w:tcPr>
            <w:tcW w:w="981" w:type="dxa"/>
            <w:tcBorders>
              <w:top w:val="nil"/>
              <w:left w:val="nil"/>
              <w:bottom w:val="nil"/>
              <w:right w:val="nil"/>
            </w:tcBorders>
            <w:vAlign w:val="bottom"/>
          </w:tcPr>
          <w:p w:rsidR="00224F8A" w:rsidRPr="008B2950" w:rsidRDefault="00224F8A" w:rsidP="008B2950">
            <w:pPr>
              <w:pStyle w:val="table1"/>
              <w:rPr>
                <w:color w:val="000000"/>
                <w:szCs w:val="22"/>
                <w:u w:color="000000"/>
              </w:rPr>
            </w:pPr>
            <w:r w:rsidRPr="008B2950">
              <w:rPr>
                <w:color w:val="000000"/>
                <w:szCs w:val="22"/>
                <w:u w:color="000000"/>
              </w:rPr>
              <w:t>4.0</w:t>
            </w:r>
          </w:p>
        </w:tc>
        <w:tc>
          <w:tcPr>
            <w:tcW w:w="980" w:type="dxa"/>
            <w:tcBorders>
              <w:top w:val="nil"/>
              <w:left w:val="nil"/>
              <w:bottom w:val="nil"/>
              <w:right w:val="nil"/>
            </w:tcBorders>
            <w:vAlign w:val="bottom"/>
          </w:tcPr>
          <w:p w:rsidR="00224F8A" w:rsidRPr="008B2950" w:rsidRDefault="00224F8A" w:rsidP="008B2950">
            <w:pPr>
              <w:pStyle w:val="table1"/>
              <w:rPr>
                <w:color w:val="000000"/>
                <w:szCs w:val="22"/>
                <w:u w:color="000000"/>
              </w:rPr>
            </w:pPr>
            <w:r w:rsidRPr="008B2950">
              <w:rPr>
                <w:color w:val="000000"/>
                <w:szCs w:val="22"/>
                <w:u w:color="000000"/>
              </w:rPr>
              <w:t>0.0</w:t>
            </w:r>
          </w:p>
        </w:tc>
        <w:tc>
          <w:tcPr>
            <w:tcW w:w="839" w:type="dxa"/>
            <w:tcBorders>
              <w:top w:val="nil"/>
              <w:left w:val="nil"/>
              <w:bottom w:val="nil"/>
              <w:right w:val="nil"/>
            </w:tcBorders>
            <w:vAlign w:val="bottom"/>
          </w:tcPr>
          <w:p w:rsidR="00224F8A" w:rsidRPr="008B2950" w:rsidRDefault="00224F8A" w:rsidP="008B2950">
            <w:pPr>
              <w:pStyle w:val="table1"/>
              <w:rPr>
                <w:color w:val="000000"/>
                <w:szCs w:val="22"/>
                <w:u w:color="000000"/>
              </w:rPr>
            </w:pPr>
            <w:r w:rsidRPr="008B2950">
              <w:rPr>
                <w:color w:val="000000"/>
                <w:szCs w:val="22"/>
                <w:u w:color="000000"/>
              </w:rPr>
              <w:t>1.8</w:t>
            </w:r>
          </w:p>
        </w:tc>
        <w:tc>
          <w:tcPr>
            <w:tcW w:w="851" w:type="dxa"/>
            <w:tcBorders>
              <w:top w:val="nil"/>
              <w:left w:val="nil"/>
              <w:bottom w:val="nil"/>
              <w:right w:val="nil"/>
            </w:tcBorders>
            <w:vAlign w:val="bottom"/>
          </w:tcPr>
          <w:p w:rsidR="00224F8A" w:rsidRPr="008B2950" w:rsidRDefault="00224F8A" w:rsidP="008B2950">
            <w:pPr>
              <w:pStyle w:val="table1"/>
              <w:rPr>
                <w:color w:val="000000"/>
                <w:szCs w:val="22"/>
                <w:u w:color="000000"/>
              </w:rPr>
            </w:pPr>
            <w:r w:rsidRPr="008B2950">
              <w:rPr>
                <w:color w:val="000000"/>
                <w:szCs w:val="22"/>
                <w:u w:color="000000"/>
              </w:rPr>
              <w:t>40.0</w:t>
            </w:r>
          </w:p>
        </w:tc>
      </w:tr>
      <w:tr w:rsidR="00224F8A" w:rsidRPr="008B2950" w:rsidTr="0020234B">
        <w:tc>
          <w:tcPr>
            <w:tcW w:w="425" w:type="dxa"/>
            <w:vMerge/>
            <w:tcBorders>
              <w:left w:val="nil"/>
              <w:right w:val="nil"/>
            </w:tcBorders>
          </w:tcPr>
          <w:p w:rsidR="00224F8A" w:rsidRPr="008B2950" w:rsidRDefault="00224F8A" w:rsidP="008B2950">
            <w:pPr>
              <w:pStyle w:val="table1"/>
              <w:jc w:val="center"/>
              <w:rPr>
                <w:b/>
                <w:color w:val="000000"/>
                <w:u w:color="000000"/>
              </w:rPr>
            </w:pPr>
          </w:p>
        </w:tc>
        <w:tc>
          <w:tcPr>
            <w:tcW w:w="1276" w:type="dxa"/>
            <w:gridSpan w:val="2"/>
            <w:tcBorders>
              <w:top w:val="nil"/>
              <w:left w:val="nil"/>
              <w:bottom w:val="nil"/>
              <w:right w:val="nil"/>
            </w:tcBorders>
          </w:tcPr>
          <w:p w:rsidR="00224F8A" w:rsidRPr="008B2950" w:rsidRDefault="00224F8A" w:rsidP="008B2950">
            <w:pPr>
              <w:pStyle w:val="table1"/>
              <w:rPr>
                <w:color w:val="000000"/>
                <w:szCs w:val="16"/>
                <w:u w:color="000000"/>
              </w:rPr>
            </w:pPr>
            <w:r w:rsidRPr="008B2950">
              <w:rPr>
                <w:color w:val="000000"/>
                <w:szCs w:val="16"/>
                <w:u w:color="000000"/>
              </w:rPr>
              <w:t>MOF</w:t>
            </w:r>
          </w:p>
        </w:tc>
        <w:tc>
          <w:tcPr>
            <w:tcW w:w="839" w:type="dxa"/>
            <w:tcBorders>
              <w:top w:val="nil"/>
              <w:left w:val="nil"/>
              <w:bottom w:val="nil"/>
              <w:right w:val="nil"/>
            </w:tcBorders>
            <w:vAlign w:val="bottom"/>
          </w:tcPr>
          <w:p w:rsidR="00224F8A" w:rsidRPr="008B2950" w:rsidRDefault="00224F8A" w:rsidP="008B2950">
            <w:pPr>
              <w:pStyle w:val="table1"/>
              <w:rPr>
                <w:color w:val="000000"/>
                <w:szCs w:val="22"/>
                <w:u w:color="000000"/>
              </w:rPr>
            </w:pPr>
            <w:r w:rsidRPr="008B2950">
              <w:rPr>
                <w:color w:val="000000"/>
                <w:szCs w:val="22"/>
                <w:u w:color="000000"/>
              </w:rPr>
              <w:t>0.0</w:t>
            </w:r>
          </w:p>
        </w:tc>
        <w:tc>
          <w:tcPr>
            <w:tcW w:w="980" w:type="dxa"/>
            <w:tcBorders>
              <w:top w:val="nil"/>
              <w:left w:val="nil"/>
              <w:bottom w:val="nil"/>
              <w:right w:val="nil"/>
            </w:tcBorders>
            <w:vAlign w:val="bottom"/>
          </w:tcPr>
          <w:p w:rsidR="00224F8A" w:rsidRPr="008B2950" w:rsidRDefault="00224F8A" w:rsidP="008B2950">
            <w:pPr>
              <w:pStyle w:val="table1"/>
              <w:rPr>
                <w:color w:val="000000"/>
                <w:szCs w:val="22"/>
                <w:u w:color="000000"/>
              </w:rPr>
            </w:pPr>
            <w:r w:rsidRPr="008B2950">
              <w:rPr>
                <w:color w:val="000000"/>
                <w:szCs w:val="22"/>
                <w:u w:color="000000"/>
              </w:rPr>
              <w:t>52.1</w:t>
            </w:r>
          </w:p>
        </w:tc>
        <w:tc>
          <w:tcPr>
            <w:tcW w:w="981" w:type="dxa"/>
            <w:tcBorders>
              <w:top w:val="nil"/>
              <w:left w:val="nil"/>
              <w:bottom w:val="nil"/>
              <w:right w:val="nil"/>
            </w:tcBorders>
            <w:vAlign w:val="bottom"/>
          </w:tcPr>
          <w:p w:rsidR="00224F8A" w:rsidRPr="008B2950" w:rsidRDefault="00224F8A" w:rsidP="008B2950">
            <w:pPr>
              <w:pStyle w:val="table1"/>
              <w:rPr>
                <w:color w:val="000000"/>
                <w:szCs w:val="22"/>
                <w:u w:color="000000"/>
              </w:rPr>
            </w:pPr>
            <w:r w:rsidRPr="008B2950">
              <w:rPr>
                <w:color w:val="000000"/>
                <w:szCs w:val="22"/>
                <w:u w:color="000000"/>
              </w:rPr>
              <w:t>0.0</w:t>
            </w:r>
          </w:p>
        </w:tc>
        <w:tc>
          <w:tcPr>
            <w:tcW w:w="980" w:type="dxa"/>
            <w:tcBorders>
              <w:top w:val="nil"/>
              <w:left w:val="nil"/>
              <w:bottom w:val="nil"/>
              <w:right w:val="nil"/>
            </w:tcBorders>
            <w:shd w:val="clear" w:color="auto" w:fill="D9D9D9" w:themeFill="background1" w:themeFillShade="D9"/>
            <w:vAlign w:val="bottom"/>
          </w:tcPr>
          <w:p w:rsidR="00224F8A" w:rsidRPr="008B2950" w:rsidRDefault="00224F8A" w:rsidP="008B2950">
            <w:pPr>
              <w:pStyle w:val="table1"/>
              <w:rPr>
                <w:color w:val="000000"/>
                <w:szCs w:val="22"/>
                <w:u w:color="000000"/>
              </w:rPr>
            </w:pPr>
            <w:r w:rsidRPr="008B2950">
              <w:rPr>
                <w:color w:val="000000"/>
                <w:szCs w:val="22"/>
                <w:u w:color="000000"/>
              </w:rPr>
              <w:t>3.7</w:t>
            </w:r>
          </w:p>
        </w:tc>
        <w:tc>
          <w:tcPr>
            <w:tcW w:w="981" w:type="dxa"/>
            <w:tcBorders>
              <w:top w:val="nil"/>
              <w:left w:val="nil"/>
              <w:bottom w:val="nil"/>
              <w:right w:val="nil"/>
            </w:tcBorders>
            <w:vAlign w:val="bottom"/>
          </w:tcPr>
          <w:p w:rsidR="00224F8A" w:rsidRPr="008B2950" w:rsidRDefault="00224F8A" w:rsidP="008B2950">
            <w:pPr>
              <w:pStyle w:val="table1"/>
              <w:rPr>
                <w:color w:val="000000"/>
                <w:szCs w:val="22"/>
                <w:u w:color="000000"/>
              </w:rPr>
            </w:pPr>
            <w:r w:rsidRPr="008B2950">
              <w:rPr>
                <w:color w:val="000000"/>
                <w:szCs w:val="22"/>
                <w:u w:color="000000"/>
              </w:rPr>
              <w:t>40.5</w:t>
            </w:r>
          </w:p>
        </w:tc>
        <w:tc>
          <w:tcPr>
            <w:tcW w:w="980" w:type="dxa"/>
            <w:tcBorders>
              <w:top w:val="nil"/>
              <w:left w:val="nil"/>
              <w:bottom w:val="nil"/>
              <w:right w:val="nil"/>
            </w:tcBorders>
            <w:vAlign w:val="bottom"/>
          </w:tcPr>
          <w:p w:rsidR="00224F8A" w:rsidRPr="008B2950" w:rsidRDefault="00224F8A" w:rsidP="008B2950">
            <w:pPr>
              <w:pStyle w:val="table1"/>
              <w:rPr>
                <w:color w:val="000000"/>
                <w:szCs w:val="22"/>
                <w:u w:color="000000"/>
              </w:rPr>
            </w:pPr>
            <w:r w:rsidRPr="008B2950">
              <w:rPr>
                <w:color w:val="000000"/>
                <w:szCs w:val="22"/>
                <w:u w:color="000000"/>
              </w:rPr>
              <w:t>0.0</w:t>
            </w:r>
          </w:p>
        </w:tc>
        <w:tc>
          <w:tcPr>
            <w:tcW w:w="980" w:type="dxa"/>
            <w:tcBorders>
              <w:top w:val="nil"/>
              <w:left w:val="nil"/>
              <w:bottom w:val="nil"/>
              <w:right w:val="nil"/>
            </w:tcBorders>
            <w:vAlign w:val="bottom"/>
          </w:tcPr>
          <w:p w:rsidR="00224F8A" w:rsidRPr="008B2950" w:rsidRDefault="00224F8A" w:rsidP="008B2950">
            <w:pPr>
              <w:pStyle w:val="table1"/>
              <w:rPr>
                <w:color w:val="000000"/>
                <w:szCs w:val="22"/>
                <w:u w:color="000000"/>
              </w:rPr>
            </w:pPr>
            <w:r w:rsidRPr="008B2950">
              <w:rPr>
                <w:color w:val="000000"/>
                <w:szCs w:val="22"/>
                <w:u w:color="000000"/>
              </w:rPr>
              <w:t>69.2</w:t>
            </w:r>
          </w:p>
        </w:tc>
        <w:tc>
          <w:tcPr>
            <w:tcW w:w="981" w:type="dxa"/>
            <w:tcBorders>
              <w:top w:val="nil"/>
              <w:left w:val="nil"/>
              <w:bottom w:val="nil"/>
              <w:right w:val="nil"/>
            </w:tcBorders>
            <w:vAlign w:val="bottom"/>
          </w:tcPr>
          <w:p w:rsidR="00224F8A" w:rsidRPr="008B2950" w:rsidRDefault="00224F8A" w:rsidP="008B2950">
            <w:pPr>
              <w:pStyle w:val="table1"/>
              <w:rPr>
                <w:color w:val="000000"/>
                <w:szCs w:val="22"/>
                <w:u w:color="000000"/>
              </w:rPr>
            </w:pPr>
            <w:r w:rsidRPr="008B2950">
              <w:rPr>
                <w:color w:val="000000"/>
                <w:szCs w:val="22"/>
                <w:u w:color="000000"/>
              </w:rPr>
              <w:t>14.4</w:t>
            </w:r>
          </w:p>
        </w:tc>
        <w:tc>
          <w:tcPr>
            <w:tcW w:w="980" w:type="dxa"/>
            <w:tcBorders>
              <w:top w:val="nil"/>
              <w:left w:val="nil"/>
              <w:bottom w:val="nil"/>
              <w:right w:val="nil"/>
            </w:tcBorders>
            <w:vAlign w:val="bottom"/>
          </w:tcPr>
          <w:p w:rsidR="00224F8A" w:rsidRPr="008B2950" w:rsidRDefault="00224F8A" w:rsidP="008B2950">
            <w:pPr>
              <w:pStyle w:val="table1"/>
              <w:rPr>
                <w:color w:val="000000"/>
                <w:szCs w:val="22"/>
                <w:u w:color="000000"/>
              </w:rPr>
            </w:pPr>
            <w:r w:rsidRPr="008B2950">
              <w:rPr>
                <w:color w:val="000000"/>
                <w:szCs w:val="22"/>
                <w:u w:color="000000"/>
              </w:rPr>
              <w:t>1.2</w:t>
            </w:r>
          </w:p>
        </w:tc>
        <w:tc>
          <w:tcPr>
            <w:tcW w:w="981" w:type="dxa"/>
            <w:tcBorders>
              <w:top w:val="nil"/>
              <w:left w:val="nil"/>
              <w:bottom w:val="nil"/>
              <w:right w:val="nil"/>
            </w:tcBorders>
            <w:vAlign w:val="bottom"/>
          </w:tcPr>
          <w:p w:rsidR="00224F8A" w:rsidRPr="008B2950" w:rsidRDefault="00224F8A" w:rsidP="008B2950">
            <w:pPr>
              <w:pStyle w:val="table1"/>
              <w:rPr>
                <w:color w:val="000000"/>
                <w:szCs w:val="22"/>
                <w:u w:color="000000"/>
              </w:rPr>
            </w:pPr>
            <w:r w:rsidRPr="008B2950">
              <w:rPr>
                <w:color w:val="000000"/>
                <w:szCs w:val="22"/>
                <w:u w:color="000000"/>
              </w:rPr>
              <w:t>19.5</w:t>
            </w:r>
          </w:p>
        </w:tc>
        <w:tc>
          <w:tcPr>
            <w:tcW w:w="980" w:type="dxa"/>
            <w:tcBorders>
              <w:top w:val="nil"/>
              <w:left w:val="nil"/>
              <w:bottom w:val="nil"/>
              <w:right w:val="nil"/>
            </w:tcBorders>
            <w:vAlign w:val="bottom"/>
          </w:tcPr>
          <w:p w:rsidR="00224F8A" w:rsidRPr="008B2950" w:rsidRDefault="00224F8A" w:rsidP="008B2950">
            <w:pPr>
              <w:pStyle w:val="table1"/>
              <w:rPr>
                <w:color w:val="000000"/>
                <w:szCs w:val="22"/>
                <w:u w:color="000000"/>
              </w:rPr>
            </w:pPr>
            <w:r w:rsidRPr="008B2950">
              <w:rPr>
                <w:color w:val="000000"/>
                <w:szCs w:val="22"/>
                <w:u w:color="000000"/>
              </w:rPr>
              <w:t>0.0</w:t>
            </w:r>
          </w:p>
        </w:tc>
        <w:tc>
          <w:tcPr>
            <w:tcW w:w="839" w:type="dxa"/>
            <w:tcBorders>
              <w:top w:val="nil"/>
              <w:left w:val="nil"/>
              <w:bottom w:val="nil"/>
              <w:right w:val="nil"/>
            </w:tcBorders>
            <w:vAlign w:val="bottom"/>
          </w:tcPr>
          <w:p w:rsidR="00224F8A" w:rsidRPr="008B2950" w:rsidRDefault="00224F8A" w:rsidP="008B2950">
            <w:pPr>
              <w:pStyle w:val="table1"/>
              <w:rPr>
                <w:color w:val="000000"/>
                <w:szCs w:val="22"/>
                <w:u w:color="000000"/>
              </w:rPr>
            </w:pPr>
            <w:r w:rsidRPr="008B2950">
              <w:rPr>
                <w:color w:val="000000"/>
                <w:szCs w:val="22"/>
                <w:u w:color="000000"/>
              </w:rPr>
              <w:t>4.3</w:t>
            </w:r>
          </w:p>
        </w:tc>
        <w:tc>
          <w:tcPr>
            <w:tcW w:w="851" w:type="dxa"/>
            <w:tcBorders>
              <w:top w:val="nil"/>
              <w:left w:val="nil"/>
              <w:bottom w:val="nil"/>
              <w:right w:val="nil"/>
            </w:tcBorders>
            <w:vAlign w:val="bottom"/>
          </w:tcPr>
          <w:p w:rsidR="00224F8A" w:rsidRPr="008B2950" w:rsidRDefault="00224F8A" w:rsidP="008B2950">
            <w:pPr>
              <w:pStyle w:val="table1"/>
              <w:rPr>
                <w:color w:val="000000"/>
                <w:szCs w:val="22"/>
                <w:u w:color="000000"/>
              </w:rPr>
            </w:pPr>
            <w:r w:rsidRPr="008B2950">
              <w:rPr>
                <w:color w:val="000000"/>
                <w:szCs w:val="22"/>
                <w:u w:color="000000"/>
              </w:rPr>
              <w:t>204.9</w:t>
            </w:r>
          </w:p>
        </w:tc>
      </w:tr>
      <w:tr w:rsidR="00224F8A" w:rsidRPr="008B2950" w:rsidTr="0020234B">
        <w:tc>
          <w:tcPr>
            <w:tcW w:w="425" w:type="dxa"/>
            <w:vMerge/>
            <w:tcBorders>
              <w:left w:val="nil"/>
              <w:right w:val="nil"/>
            </w:tcBorders>
          </w:tcPr>
          <w:p w:rsidR="00224F8A" w:rsidRPr="008B2950" w:rsidRDefault="00224F8A" w:rsidP="008B2950">
            <w:pPr>
              <w:pStyle w:val="table1"/>
              <w:jc w:val="center"/>
              <w:rPr>
                <w:b/>
                <w:color w:val="000000"/>
                <w:u w:color="000000"/>
              </w:rPr>
            </w:pPr>
          </w:p>
        </w:tc>
        <w:tc>
          <w:tcPr>
            <w:tcW w:w="1276" w:type="dxa"/>
            <w:gridSpan w:val="2"/>
            <w:tcBorders>
              <w:top w:val="nil"/>
              <w:left w:val="nil"/>
              <w:bottom w:val="nil"/>
              <w:right w:val="nil"/>
            </w:tcBorders>
          </w:tcPr>
          <w:p w:rsidR="00224F8A" w:rsidRPr="008B2950" w:rsidRDefault="00224F8A" w:rsidP="008B2950">
            <w:pPr>
              <w:pStyle w:val="table1"/>
              <w:rPr>
                <w:color w:val="000000"/>
                <w:szCs w:val="16"/>
                <w:u w:color="000000"/>
              </w:rPr>
            </w:pPr>
            <w:r w:rsidRPr="008B2950">
              <w:rPr>
                <w:color w:val="000000"/>
                <w:szCs w:val="16"/>
                <w:u w:color="000000"/>
              </w:rPr>
              <w:t>MW</w:t>
            </w:r>
          </w:p>
        </w:tc>
        <w:tc>
          <w:tcPr>
            <w:tcW w:w="839" w:type="dxa"/>
            <w:tcBorders>
              <w:top w:val="nil"/>
              <w:left w:val="nil"/>
              <w:bottom w:val="nil"/>
              <w:right w:val="nil"/>
            </w:tcBorders>
            <w:vAlign w:val="bottom"/>
          </w:tcPr>
          <w:p w:rsidR="00224F8A" w:rsidRPr="008B2950" w:rsidRDefault="00224F8A" w:rsidP="008B2950">
            <w:pPr>
              <w:pStyle w:val="table1"/>
              <w:rPr>
                <w:color w:val="000000"/>
                <w:szCs w:val="22"/>
                <w:u w:color="000000"/>
              </w:rPr>
            </w:pPr>
            <w:r w:rsidRPr="008B2950">
              <w:rPr>
                <w:color w:val="000000"/>
                <w:szCs w:val="22"/>
                <w:u w:color="000000"/>
              </w:rPr>
              <w:t>0.0</w:t>
            </w:r>
          </w:p>
        </w:tc>
        <w:tc>
          <w:tcPr>
            <w:tcW w:w="980" w:type="dxa"/>
            <w:tcBorders>
              <w:top w:val="nil"/>
              <w:left w:val="nil"/>
              <w:bottom w:val="nil"/>
              <w:right w:val="nil"/>
            </w:tcBorders>
            <w:vAlign w:val="bottom"/>
          </w:tcPr>
          <w:p w:rsidR="00224F8A" w:rsidRPr="008B2950" w:rsidRDefault="00224F8A" w:rsidP="008B2950">
            <w:pPr>
              <w:pStyle w:val="table1"/>
              <w:rPr>
                <w:color w:val="000000"/>
                <w:szCs w:val="22"/>
                <w:u w:color="000000"/>
              </w:rPr>
            </w:pPr>
            <w:r w:rsidRPr="008B2950">
              <w:rPr>
                <w:color w:val="000000"/>
                <w:szCs w:val="22"/>
                <w:u w:color="000000"/>
              </w:rPr>
              <w:t>259.4</w:t>
            </w:r>
          </w:p>
        </w:tc>
        <w:tc>
          <w:tcPr>
            <w:tcW w:w="981" w:type="dxa"/>
            <w:tcBorders>
              <w:top w:val="nil"/>
              <w:left w:val="nil"/>
              <w:bottom w:val="nil"/>
              <w:right w:val="nil"/>
            </w:tcBorders>
            <w:vAlign w:val="bottom"/>
          </w:tcPr>
          <w:p w:rsidR="00224F8A" w:rsidRPr="008B2950" w:rsidRDefault="00224F8A" w:rsidP="008B2950">
            <w:pPr>
              <w:pStyle w:val="table1"/>
              <w:rPr>
                <w:color w:val="000000"/>
                <w:szCs w:val="22"/>
                <w:u w:color="000000"/>
              </w:rPr>
            </w:pPr>
            <w:r w:rsidRPr="008B2950">
              <w:rPr>
                <w:color w:val="000000"/>
                <w:szCs w:val="22"/>
                <w:u w:color="000000"/>
              </w:rPr>
              <w:t>0.0</w:t>
            </w:r>
          </w:p>
        </w:tc>
        <w:tc>
          <w:tcPr>
            <w:tcW w:w="980" w:type="dxa"/>
            <w:tcBorders>
              <w:top w:val="nil"/>
              <w:left w:val="nil"/>
              <w:bottom w:val="nil"/>
              <w:right w:val="nil"/>
            </w:tcBorders>
            <w:vAlign w:val="bottom"/>
          </w:tcPr>
          <w:p w:rsidR="00224F8A" w:rsidRPr="008B2950" w:rsidRDefault="00224F8A" w:rsidP="008B2950">
            <w:pPr>
              <w:pStyle w:val="table1"/>
              <w:rPr>
                <w:color w:val="000000"/>
                <w:szCs w:val="22"/>
                <w:u w:color="000000"/>
              </w:rPr>
            </w:pPr>
            <w:r w:rsidRPr="008B2950">
              <w:rPr>
                <w:color w:val="000000"/>
                <w:szCs w:val="22"/>
                <w:u w:color="000000"/>
              </w:rPr>
              <w:t>106.4</w:t>
            </w:r>
          </w:p>
        </w:tc>
        <w:tc>
          <w:tcPr>
            <w:tcW w:w="981" w:type="dxa"/>
            <w:tcBorders>
              <w:top w:val="nil"/>
              <w:left w:val="nil"/>
              <w:bottom w:val="nil"/>
              <w:right w:val="nil"/>
            </w:tcBorders>
            <w:shd w:val="clear" w:color="auto" w:fill="D9D9D9" w:themeFill="background1" w:themeFillShade="D9"/>
            <w:vAlign w:val="bottom"/>
          </w:tcPr>
          <w:p w:rsidR="00224F8A" w:rsidRPr="008B2950" w:rsidRDefault="00224F8A" w:rsidP="008B2950">
            <w:pPr>
              <w:pStyle w:val="table1"/>
              <w:rPr>
                <w:color w:val="000000"/>
                <w:szCs w:val="22"/>
                <w:u w:color="000000"/>
              </w:rPr>
            </w:pPr>
            <w:r w:rsidRPr="008B2950">
              <w:rPr>
                <w:color w:val="000000"/>
                <w:szCs w:val="22"/>
                <w:u w:color="000000"/>
              </w:rPr>
              <w:t>692.3</w:t>
            </w:r>
          </w:p>
        </w:tc>
        <w:tc>
          <w:tcPr>
            <w:tcW w:w="980" w:type="dxa"/>
            <w:tcBorders>
              <w:top w:val="nil"/>
              <w:left w:val="nil"/>
              <w:bottom w:val="nil"/>
              <w:right w:val="nil"/>
            </w:tcBorders>
            <w:vAlign w:val="bottom"/>
          </w:tcPr>
          <w:p w:rsidR="00224F8A" w:rsidRPr="008B2950" w:rsidRDefault="00224F8A" w:rsidP="008B2950">
            <w:pPr>
              <w:pStyle w:val="table1"/>
              <w:rPr>
                <w:color w:val="000000"/>
                <w:szCs w:val="22"/>
                <w:u w:color="000000"/>
              </w:rPr>
            </w:pPr>
            <w:r w:rsidRPr="008B2950">
              <w:rPr>
                <w:color w:val="000000"/>
                <w:szCs w:val="22"/>
                <w:u w:color="000000"/>
              </w:rPr>
              <w:t>0.0</w:t>
            </w:r>
          </w:p>
        </w:tc>
        <w:tc>
          <w:tcPr>
            <w:tcW w:w="980" w:type="dxa"/>
            <w:tcBorders>
              <w:top w:val="nil"/>
              <w:left w:val="nil"/>
              <w:bottom w:val="nil"/>
              <w:right w:val="nil"/>
            </w:tcBorders>
            <w:vAlign w:val="bottom"/>
          </w:tcPr>
          <w:p w:rsidR="00224F8A" w:rsidRPr="008B2950" w:rsidRDefault="00224F8A" w:rsidP="008B2950">
            <w:pPr>
              <w:pStyle w:val="table1"/>
              <w:rPr>
                <w:color w:val="000000"/>
                <w:szCs w:val="22"/>
                <w:u w:color="000000"/>
              </w:rPr>
            </w:pPr>
            <w:r w:rsidRPr="008B2950">
              <w:rPr>
                <w:color w:val="000000"/>
                <w:szCs w:val="22"/>
                <w:u w:color="000000"/>
              </w:rPr>
              <w:t>136.0</w:t>
            </w:r>
          </w:p>
        </w:tc>
        <w:tc>
          <w:tcPr>
            <w:tcW w:w="981" w:type="dxa"/>
            <w:tcBorders>
              <w:top w:val="nil"/>
              <w:left w:val="nil"/>
              <w:bottom w:val="nil"/>
              <w:right w:val="nil"/>
            </w:tcBorders>
            <w:vAlign w:val="bottom"/>
          </w:tcPr>
          <w:p w:rsidR="00224F8A" w:rsidRPr="008B2950" w:rsidRDefault="00224F8A" w:rsidP="008B2950">
            <w:pPr>
              <w:pStyle w:val="table1"/>
              <w:rPr>
                <w:color w:val="000000"/>
                <w:szCs w:val="22"/>
                <w:u w:color="000000"/>
              </w:rPr>
            </w:pPr>
            <w:r w:rsidRPr="008B2950">
              <w:rPr>
                <w:color w:val="000000"/>
                <w:szCs w:val="22"/>
                <w:u w:color="000000"/>
              </w:rPr>
              <w:t>71.9</w:t>
            </w:r>
          </w:p>
        </w:tc>
        <w:tc>
          <w:tcPr>
            <w:tcW w:w="980" w:type="dxa"/>
            <w:tcBorders>
              <w:top w:val="nil"/>
              <w:left w:val="nil"/>
              <w:bottom w:val="nil"/>
              <w:right w:val="nil"/>
            </w:tcBorders>
            <w:vAlign w:val="bottom"/>
          </w:tcPr>
          <w:p w:rsidR="00224F8A" w:rsidRPr="008B2950" w:rsidRDefault="00224F8A" w:rsidP="008B2950">
            <w:pPr>
              <w:pStyle w:val="table1"/>
              <w:rPr>
                <w:color w:val="000000"/>
                <w:szCs w:val="22"/>
                <w:u w:color="000000"/>
              </w:rPr>
            </w:pPr>
            <w:r w:rsidRPr="008B2950">
              <w:rPr>
                <w:color w:val="000000"/>
                <w:szCs w:val="22"/>
                <w:u w:color="000000"/>
              </w:rPr>
              <w:t>13.9</w:t>
            </w:r>
          </w:p>
        </w:tc>
        <w:tc>
          <w:tcPr>
            <w:tcW w:w="981" w:type="dxa"/>
            <w:tcBorders>
              <w:top w:val="nil"/>
              <w:left w:val="nil"/>
              <w:bottom w:val="nil"/>
              <w:right w:val="nil"/>
            </w:tcBorders>
            <w:vAlign w:val="bottom"/>
          </w:tcPr>
          <w:p w:rsidR="00224F8A" w:rsidRPr="008B2950" w:rsidRDefault="00224F8A" w:rsidP="008B2950">
            <w:pPr>
              <w:pStyle w:val="table1"/>
              <w:rPr>
                <w:color w:val="000000"/>
                <w:szCs w:val="22"/>
                <w:u w:color="000000"/>
              </w:rPr>
            </w:pPr>
            <w:r w:rsidRPr="008B2950">
              <w:rPr>
                <w:color w:val="000000"/>
                <w:szCs w:val="22"/>
                <w:u w:color="000000"/>
              </w:rPr>
              <w:t>37.7</w:t>
            </w:r>
          </w:p>
        </w:tc>
        <w:tc>
          <w:tcPr>
            <w:tcW w:w="980" w:type="dxa"/>
            <w:tcBorders>
              <w:top w:val="nil"/>
              <w:left w:val="nil"/>
              <w:bottom w:val="nil"/>
              <w:right w:val="nil"/>
            </w:tcBorders>
            <w:vAlign w:val="bottom"/>
          </w:tcPr>
          <w:p w:rsidR="00224F8A" w:rsidRPr="008B2950" w:rsidRDefault="00224F8A" w:rsidP="008B2950">
            <w:pPr>
              <w:pStyle w:val="table1"/>
              <w:rPr>
                <w:color w:val="000000"/>
                <w:szCs w:val="22"/>
                <w:u w:color="000000"/>
              </w:rPr>
            </w:pPr>
            <w:r w:rsidRPr="008B2950">
              <w:rPr>
                <w:color w:val="000000"/>
                <w:szCs w:val="22"/>
                <w:u w:color="000000"/>
              </w:rPr>
              <w:t>0.0</w:t>
            </w:r>
          </w:p>
        </w:tc>
        <w:tc>
          <w:tcPr>
            <w:tcW w:w="839" w:type="dxa"/>
            <w:tcBorders>
              <w:top w:val="nil"/>
              <w:left w:val="nil"/>
              <w:bottom w:val="nil"/>
              <w:right w:val="nil"/>
            </w:tcBorders>
            <w:vAlign w:val="bottom"/>
          </w:tcPr>
          <w:p w:rsidR="00224F8A" w:rsidRPr="008B2950" w:rsidRDefault="00224F8A" w:rsidP="008B2950">
            <w:pPr>
              <w:pStyle w:val="table1"/>
              <w:rPr>
                <w:color w:val="000000"/>
                <w:szCs w:val="22"/>
                <w:u w:color="000000"/>
              </w:rPr>
            </w:pPr>
            <w:r w:rsidRPr="008B2950">
              <w:rPr>
                <w:color w:val="000000"/>
                <w:szCs w:val="22"/>
                <w:u w:color="000000"/>
              </w:rPr>
              <w:t>23.8</w:t>
            </w:r>
          </w:p>
        </w:tc>
        <w:tc>
          <w:tcPr>
            <w:tcW w:w="851" w:type="dxa"/>
            <w:tcBorders>
              <w:top w:val="nil"/>
              <w:left w:val="nil"/>
              <w:bottom w:val="nil"/>
              <w:right w:val="nil"/>
            </w:tcBorders>
            <w:vAlign w:val="bottom"/>
          </w:tcPr>
          <w:p w:rsidR="00224F8A" w:rsidRPr="008B2950" w:rsidRDefault="00224F8A" w:rsidP="008B2950">
            <w:pPr>
              <w:pStyle w:val="table1"/>
              <w:rPr>
                <w:color w:val="000000"/>
                <w:szCs w:val="22"/>
                <w:u w:color="000000"/>
              </w:rPr>
            </w:pPr>
            <w:r w:rsidRPr="008B2950">
              <w:rPr>
                <w:color w:val="000000"/>
                <w:szCs w:val="22"/>
                <w:u w:color="000000"/>
              </w:rPr>
              <w:t>1341.4</w:t>
            </w:r>
          </w:p>
        </w:tc>
      </w:tr>
      <w:tr w:rsidR="00224F8A" w:rsidRPr="008B2950" w:rsidTr="0020234B">
        <w:tc>
          <w:tcPr>
            <w:tcW w:w="425" w:type="dxa"/>
            <w:vMerge/>
            <w:tcBorders>
              <w:left w:val="nil"/>
              <w:right w:val="nil"/>
            </w:tcBorders>
          </w:tcPr>
          <w:p w:rsidR="00224F8A" w:rsidRPr="008B2950" w:rsidRDefault="00224F8A" w:rsidP="008B2950">
            <w:pPr>
              <w:pStyle w:val="table1"/>
              <w:jc w:val="center"/>
              <w:rPr>
                <w:b/>
                <w:color w:val="000000"/>
                <w:u w:color="000000"/>
              </w:rPr>
            </w:pPr>
          </w:p>
        </w:tc>
        <w:tc>
          <w:tcPr>
            <w:tcW w:w="1276" w:type="dxa"/>
            <w:gridSpan w:val="2"/>
            <w:tcBorders>
              <w:top w:val="nil"/>
              <w:left w:val="nil"/>
              <w:bottom w:val="nil"/>
              <w:right w:val="nil"/>
            </w:tcBorders>
          </w:tcPr>
          <w:p w:rsidR="00224F8A" w:rsidRPr="0020234B" w:rsidRDefault="00224F8A" w:rsidP="008B2950">
            <w:pPr>
              <w:pStyle w:val="table1"/>
              <w:rPr>
                <w:i/>
                <w:color w:val="000000"/>
                <w:szCs w:val="16"/>
                <w:u w:color="000000"/>
              </w:rPr>
            </w:pPr>
            <w:r w:rsidRPr="0020234B">
              <w:rPr>
                <w:i/>
                <w:color w:val="000000"/>
                <w:szCs w:val="16"/>
                <w:u w:color="000000"/>
              </w:rPr>
              <w:t>Nelumbo</w:t>
            </w:r>
          </w:p>
        </w:tc>
        <w:tc>
          <w:tcPr>
            <w:tcW w:w="839" w:type="dxa"/>
            <w:tcBorders>
              <w:top w:val="nil"/>
              <w:left w:val="nil"/>
              <w:bottom w:val="nil"/>
              <w:right w:val="nil"/>
            </w:tcBorders>
            <w:vAlign w:val="bottom"/>
          </w:tcPr>
          <w:p w:rsidR="00224F8A" w:rsidRPr="008B2950" w:rsidRDefault="00224F8A" w:rsidP="008B2950">
            <w:pPr>
              <w:pStyle w:val="table1"/>
              <w:rPr>
                <w:color w:val="000000"/>
                <w:szCs w:val="22"/>
                <w:u w:color="000000"/>
              </w:rPr>
            </w:pPr>
            <w:r w:rsidRPr="008B2950">
              <w:rPr>
                <w:color w:val="000000"/>
                <w:szCs w:val="22"/>
                <w:u w:color="000000"/>
              </w:rPr>
              <w:t>0.0</w:t>
            </w:r>
          </w:p>
        </w:tc>
        <w:tc>
          <w:tcPr>
            <w:tcW w:w="980" w:type="dxa"/>
            <w:tcBorders>
              <w:top w:val="nil"/>
              <w:left w:val="nil"/>
              <w:bottom w:val="nil"/>
              <w:right w:val="nil"/>
            </w:tcBorders>
            <w:vAlign w:val="bottom"/>
          </w:tcPr>
          <w:p w:rsidR="00224F8A" w:rsidRPr="008B2950" w:rsidRDefault="00224F8A" w:rsidP="008B2950">
            <w:pPr>
              <w:pStyle w:val="table1"/>
              <w:rPr>
                <w:color w:val="000000"/>
                <w:szCs w:val="22"/>
                <w:u w:color="000000"/>
              </w:rPr>
            </w:pPr>
            <w:r w:rsidRPr="008B2950">
              <w:rPr>
                <w:color w:val="000000"/>
                <w:szCs w:val="22"/>
                <w:u w:color="000000"/>
              </w:rPr>
              <w:t>36.1</w:t>
            </w:r>
          </w:p>
        </w:tc>
        <w:tc>
          <w:tcPr>
            <w:tcW w:w="981" w:type="dxa"/>
            <w:tcBorders>
              <w:top w:val="nil"/>
              <w:left w:val="nil"/>
              <w:bottom w:val="nil"/>
              <w:right w:val="nil"/>
            </w:tcBorders>
            <w:vAlign w:val="bottom"/>
          </w:tcPr>
          <w:p w:rsidR="00224F8A" w:rsidRPr="008B2950" w:rsidRDefault="00224F8A" w:rsidP="008B2950">
            <w:pPr>
              <w:pStyle w:val="table1"/>
              <w:rPr>
                <w:color w:val="000000"/>
                <w:szCs w:val="22"/>
                <w:u w:color="000000"/>
              </w:rPr>
            </w:pPr>
            <w:r w:rsidRPr="008B2950">
              <w:rPr>
                <w:color w:val="000000"/>
                <w:szCs w:val="22"/>
                <w:u w:color="000000"/>
              </w:rPr>
              <w:t>0.0</w:t>
            </w:r>
          </w:p>
        </w:tc>
        <w:tc>
          <w:tcPr>
            <w:tcW w:w="980" w:type="dxa"/>
            <w:tcBorders>
              <w:top w:val="nil"/>
              <w:left w:val="nil"/>
              <w:bottom w:val="nil"/>
              <w:right w:val="nil"/>
            </w:tcBorders>
            <w:vAlign w:val="bottom"/>
          </w:tcPr>
          <w:p w:rsidR="00224F8A" w:rsidRPr="008B2950" w:rsidRDefault="00224F8A" w:rsidP="008B2950">
            <w:pPr>
              <w:pStyle w:val="table1"/>
              <w:rPr>
                <w:color w:val="000000"/>
                <w:szCs w:val="22"/>
                <w:u w:color="000000"/>
              </w:rPr>
            </w:pPr>
            <w:r w:rsidRPr="008B2950">
              <w:rPr>
                <w:color w:val="000000"/>
                <w:szCs w:val="22"/>
                <w:u w:color="000000"/>
              </w:rPr>
              <w:t>1.3</w:t>
            </w:r>
          </w:p>
        </w:tc>
        <w:tc>
          <w:tcPr>
            <w:tcW w:w="981" w:type="dxa"/>
            <w:tcBorders>
              <w:top w:val="nil"/>
              <w:left w:val="nil"/>
              <w:bottom w:val="nil"/>
              <w:right w:val="nil"/>
            </w:tcBorders>
            <w:vAlign w:val="bottom"/>
          </w:tcPr>
          <w:p w:rsidR="00224F8A" w:rsidRPr="008B2950" w:rsidRDefault="00224F8A" w:rsidP="008B2950">
            <w:pPr>
              <w:pStyle w:val="table1"/>
              <w:rPr>
                <w:color w:val="000000"/>
                <w:szCs w:val="22"/>
                <w:u w:color="000000"/>
              </w:rPr>
            </w:pPr>
            <w:r w:rsidRPr="008B2950">
              <w:rPr>
                <w:color w:val="000000"/>
                <w:szCs w:val="22"/>
                <w:u w:color="000000"/>
              </w:rPr>
              <w:t>53.3</w:t>
            </w:r>
          </w:p>
        </w:tc>
        <w:tc>
          <w:tcPr>
            <w:tcW w:w="980" w:type="dxa"/>
            <w:tcBorders>
              <w:top w:val="nil"/>
              <w:left w:val="nil"/>
              <w:bottom w:val="nil"/>
              <w:right w:val="nil"/>
            </w:tcBorders>
            <w:shd w:val="clear" w:color="auto" w:fill="D9D9D9" w:themeFill="background1" w:themeFillShade="D9"/>
            <w:vAlign w:val="bottom"/>
          </w:tcPr>
          <w:p w:rsidR="00224F8A" w:rsidRPr="008B2950" w:rsidRDefault="00224F8A" w:rsidP="008B2950">
            <w:pPr>
              <w:pStyle w:val="table1"/>
              <w:rPr>
                <w:color w:val="000000"/>
                <w:szCs w:val="22"/>
                <w:u w:color="000000"/>
              </w:rPr>
            </w:pPr>
            <w:r w:rsidRPr="008B2950">
              <w:rPr>
                <w:color w:val="000000"/>
                <w:szCs w:val="22"/>
                <w:u w:color="000000"/>
              </w:rPr>
              <w:t>0.0</w:t>
            </w:r>
          </w:p>
        </w:tc>
        <w:tc>
          <w:tcPr>
            <w:tcW w:w="980" w:type="dxa"/>
            <w:tcBorders>
              <w:top w:val="nil"/>
              <w:left w:val="nil"/>
              <w:bottom w:val="nil"/>
              <w:right w:val="nil"/>
            </w:tcBorders>
            <w:vAlign w:val="bottom"/>
          </w:tcPr>
          <w:p w:rsidR="00224F8A" w:rsidRPr="008B2950" w:rsidRDefault="00224F8A" w:rsidP="008B2950">
            <w:pPr>
              <w:pStyle w:val="table1"/>
              <w:rPr>
                <w:color w:val="000000"/>
                <w:szCs w:val="22"/>
                <w:u w:color="000000"/>
              </w:rPr>
            </w:pPr>
            <w:r w:rsidRPr="008B2950">
              <w:rPr>
                <w:color w:val="000000"/>
                <w:szCs w:val="22"/>
                <w:u w:color="000000"/>
              </w:rPr>
              <w:t>32.0</w:t>
            </w:r>
          </w:p>
        </w:tc>
        <w:tc>
          <w:tcPr>
            <w:tcW w:w="981" w:type="dxa"/>
            <w:tcBorders>
              <w:top w:val="nil"/>
              <w:left w:val="nil"/>
              <w:bottom w:val="nil"/>
              <w:right w:val="nil"/>
            </w:tcBorders>
            <w:vAlign w:val="bottom"/>
          </w:tcPr>
          <w:p w:rsidR="00224F8A" w:rsidRPr="008B2950" w:rsidRDefault="00224F8A" w:rsidP="008B2950">
            <w:pPr>
              <w:pStyle w:val="table1"/>
              <w:rPr>
                <w:color w:val="000000"/>
                <w:szCs w:val="22"/>
                <w:u w:color="000000"/>
              </w:rPr>
            </w:pPr>
            <w:r w:rsidRPr="008B2950">
              <w:rPr>
                <w:color w:val="000000"/>
                <w:szCs w:val="22"/>
                <w:u w:color="000000"/>
              </w:rPr>
              <w:t>3.2</w:t>
            </w:r>
          </w:p>
        </w:tc>
        <w:tc>
          <w:tcPr>
            <w:tcW w:w="980" w:type="dxa"/>
            <w:tcBorders>
              <w:top w:val="nil"/>
              <w:left w:val="nil"/>
              <w:bottom w:val="nil"/>
              <w:right w:val="nil"/>
            </w:tcBorders>
            <w:vAlign w:val="bottom"/>
          </w:tcPr>
          <w:p w:rsidR="00224F8A" w:rsidRPr="008B2950" w:rsidRDefault="00224F8A" w:rsidP="008B2950">
            <w:pPr>
              <w:pStyle w:val="table1"/>
              <w:rPr>
                <w:color w:val="000000"/>
                <w:szCs w:val="22"/>
                <w:u w:color="000000"/>
              </w:rPr>
            </w:pPr>
            <w:r w:rsidRPr="008B2950">
              <w:rPr>
                <w:color w:val="000000"/>
                <w:szCs w:val="22"/>
                <w:u w:color="000000"/>
              </w:rPr>
              <w:t>0.4</w:t>
            </w:r>
          </w:p>
        </w:tc>
        <w:tc>
          <w:tcPr>
            <w:tcW w:w="981" w:type="dxa"/>
            <w:tcBorders>
              <w:top w:val="nil"/>
              <w:left w:val="nil"/>
              <w:bottom w:val="nil"/>
              <w:right w:val="nil"/>
            </w:tcBorders>
            <w:vAlign w:val="bottom"/>
          </w:tcPr>
          <w:p w:rsidR="00224F8A" w:rsidRPr="008B2950" w:rsidRDefault="00224F8A" w:rsidP="008B2950">
            <w:pPr>
              <w:pStyle w:val="table1"/>
              <w:rPr>
                <w:color w:val="000000"/>
                <w:szCs w:val="22"/>
                <w:u w:color="000000"/>
              </w:rPr>
            </w:pPr>
            <w:r w:rsidRPr="008B2950">
              <w:rPr>
                <w:color w:val="000000"/>
                <w:szCs w:val="22"/>
                <w:u w:color="000000"/>
              </w:rPr>
              <w:t>0.0</w:t>
            </w:r>
          </w:p>
        </w:tc>
        <w:tc>
          <w:tcPr>
            <w:tcW w:w="980" w:type="dxa"/>
            <w:tcBorders>
              <w:top w:val="nil"/>
              <w:left w:val="nil"/>
              <w:bottom w:val="nil"/>
              <w:right w:val="nil"/>
            </w:tcBorders>
            <w:vAlign w:val="bottom"/>
          </w:tcPr>
          <w:p w:rsidR="00224F8A" w:rsidRPr="008B2950" w:rsidRDefault="00224F8A" w:rsidP="008B2950">
            <w:pPr>
              <w:pStyle w:val="table1"/>
              <w:rPr>
                <w:color w:val="000000"/>
                <w:szCs w:val="22"/>
                <w:u w:color="000000"/>
              </w:rPr>
            </w:pPr>
            <w:r w:rsidRPr="008B2950">
              <w:rPr>
                <w:color w:val="000000"/>
                <w:szCs w:val="22"/>
                <w:u w:color="000000"/>
              </w:rPr>
              <w:t>0.0</w:t>
            </w:r>
          </w:p>
        </w:tc>
        <w:tc>
          <w:tcPr>
            <w:tcW w:w="839" w:type="dxa"/>
            <w:tcBorders>
              <w:top w:val="nil"/>
              <w:left w:val="nil"/>
              <w:bottom w:val="nil"/>
              <w:right w:val="nil"/>
            </w:tcBorders>
            <w:vAlign w:val="bottom"/>
          </w:tcPr>
          <w:p w:rsidR="00224F8A" w:rsidRPr="008B2950" w:rsidRDefault="00224F8A" w:rsidP="008B2950">
            <w:pPr>
              <w:pStyle w:val="table1"/>
              <w:rPr>
                <w:color w:val="000000"/>
                <w:szCs w:val="22"/>
                <w:u w:color="000000"/>
              </w:rPr>
            </w:pPr>
            <w:r w:rsidRPr="008B2950">
              <w:rPr>
                <w:color w:val="000000"/>
                <w:szCs w:val="22"/>
                <w:u w:color="000000"/>
              </w:rPr>
              <w:t>4.4</w:t>
            </w:r>
          </w:p>
        </w:tc>
        <w:tc>
          <w:tcPr>
            <w:tcW w:w="851" w:type="dxa"/>
            <w:tcBorders>
              <w:top w:val="nil"/>
              <w:left w:val="nil"/>
              <w:bottom w:val="nil"/>
              <w:right w:val="nil"/>
            </w:tcBorders>
            <w:vAlign w:val="bottom"/>
          </w:tcPr>
          <w:p w:rsidR="00224F8A" w:rsidRPr="008B2950" w:rsidRDefault="00224F8A" w:rsidP="008B2950">
            <w:pPr>
              <w:pStyle w:val="table1"/>
              <w:rPr>
                <w:color w:val="000000"/>
                <w:szCs w:val="22"/>
                <w:u w:color="000000"/>
              </w:rPr>
            </w:pPr>
            <w:r w:rsidRPr="008B2950">
              <w:rPr>
                <w:color w:val="000000"/>
                <w:szCs w:val="22"/>
                <w:u w:color="000000"/>
              </w:rPr>
              <w:t>130.7</w:t>
            </w:r>
          </w:p>
        </w:tc>
      </w:tr>
      <w:tr w:rsidR="00224F8A" w:rsidRPr="008B2950" w:rsidTr="0020234B">
        <w:tc>
          <w:tcPr>
            <w:tcW w:w="425" w:type="dxa"/>
            <w:vMerge/>
            <w:tcBorders>
              <w:left w:val="nil"/>
              <w:right w:val="nil"/>
            </w:tcBorders>
          </w:tcPr>
          <w:p w:rsidR="00224F8A" w:rsidRPr="008B2950" w:rsidRDefault="00224F8A" w:rsidP="008B2950">
            <w:pPr>
              <w:pStyle w:val="table1"/>
              <w:jc w:val="center"/>
              <w:rPr>
                <w:b/>
                <w:color w:val="000000"/>
                <w:u w:color="000000"/>
              </w:rPr>
            </w:pPr>
          </w:p>
        </w:tc>
        <w:tc>
          <w:tcPr>
            <w:tcW w:w="1276" w:type="dxa"/>
            <w:gridSpan w:val="2"/>
            <w:tcBorders>
              <w:top w:val="nil"/>
              <w:left w:val="nil"/>
              <w:bottom w:val="nil"/>
              <w:right w:val="nil"/>
            </w:tcBorders>
          </w:tcPr>
          <w:p w:rsidR="00224F8A" w:rsidRPr="0020234B" w:rsidRDefault="00224F8A" w:rsidP="008B2950">
            <w:pPr>
              <w:pStyle w:val="table1"/>
              <w:rPr>
                <w:i/>
                <w:color w:val="000000"/>
                <w:szCs w:val="16"/>
                <w:u w:color="000000"/>
              </w:rPr>
            </w:pPr>
            <w:r w:rsidRPr="0020234B">
              <w:rPr>
                <w:i/>
                <w:color w:val="000000"/>
                <w:szCs w:val="16"/>
                <w:u w:color="000000"/>
              </w:rPr>
              <w:t>Oryza</w:t>
            </w:r>
          </w:p>
        </w:tc>
        <w:tc>
          <w:tcPr>
            <w:tcW w:w="839" w:type="dxa"/>
            <w:tcBorders>
              <w:top w:val="nil"/>
              <w:left w:val="nil"/>
              <w:bottom w:val="nil"/>
              <w:right w:val="nil"/>
            </w:tcBorders>
            <w:vAlign w:val="bottom"/>
          </w:tcPr>
          <w:p w:rsidR="00224F8A" w:rsidRPr="008B2950" w:rsidRDefault="00224F8A" w:rsidP="008B2950">
            <w:pPr>
              <w:pStyle w:val="table1"/>
              <w:rPr>
                <w:color w:val="000000"/>
                <w:szCs w:val="22"/>
                <w:u w:color="000000"/>
              </w:rPr>
            </w:pPr>
            <w:r w:rsidRPr="008B2950">
              <w:rPr>
                <w:color w:val="000000"/>
                <w:szCs w:val="22"/>
                <w:u w:color="000000"/>
              </w:rPr>
              <w:t>0.0</w:t>
            </w:r>
          </w:p>
        </w:tc>
        <w:tc>
          <w:tcPr>
            <w:tcW w:w="980" w:type="dxa"/>
            <w:tcBorders>
              <w:top w:val="nil"/>
              <w:left w:val="nil"/>
              <w:bottom w:val="nil"/>
              <w:right w:val="nil"/>
            </w:tcBorders>
            <w:vAlign w:val="bottom"/>
          </w:tcPr>
          <w:p w:rsidR="00224F8A" w:rsidRPr="008B2950" w:rsidRDefault="00224F8A" w:rsidP="008B2950">
            <w:pPr>
              <w:pStyle w:val="table1"/>
              <w:rPr>
                <w:color w:val="000000"/>
                <w:szCs w:val="22"/>
                <w:u w:color="000000"/>
              </w:rPr>
            </w:pPr>
            <w:r w:rsidRPr="008B2950">
              <w:rPr>
                <w:color w:val="000000"/>
                <w:szCs w:val="22"/>
                <w:u w:color="000000"/>
              </w:rPr>
              <w:t>0.0</w:t>
            </w:r>
          </w:p>
        </w:tc>
        <w:tc>
          <w:tcPr>
            <w:tcW w:w="981" w:type="dxa"/>
            <w:tcBorders>
              <w:top w:val="nil"/>
              <w:left w:val="nil"/>
              <w:bottom w:val="nil"/>
              <w:right w:val="nil"/>
            </w:tcBorders>
            <w:vAlign w:val="bottom"/>
          </w:tcPr>
          <w:p w:rsidR="00224F8A" w:rsidRPr="008B2950" w:rsidRDefault="00224F8A" w:rsidP="008B2950">
            <w:pPr>
              <w:pStyle w:val="table1"/>
              <w:rPr>
                <w:color w:val="000000"/>
                <w:szCs w:val="22"/>
                <w:u w:color="000000"/>
              </w:rPr>
            </w:pPr>
            <w:r w:rsidRPr="008B2950">
              <w:rPr>
                <w:color w:val="000000"/>
                <w:szCs w:val="22"/>
                <w:u w:color="000000"/>
              </w:rPr>
              <w:t>0.0</w:t>
            </w:r>
          </w:p>
        </w:tc>
        <w:tc>
          <w:tcPr>
            <w:tcW w:w="980" w:type="dxa"/>
            <w:tcBorders>
              <w:top w:val="nil"/>
              <w:left w:val="nil"/>
              <w:bottom w:val="nil"/>
              <w:right w:val="nil"/>
            </w:tcBorders>
            <w:vAlign w:val="bottom"/>
          </w:tcPr>
          <w:p w:rsidR="00224F8A" w:rsidRPr="008B2950" w:rsidRDefault="00224F8A" w:rsidP="008B2950">
            <w:pPr>
              <w:pStyle w:val="table1"/>
              <w:rPr>
                <w:color w:val="000000"/>
                <w:szCs w:val="22"/>
                <w:u w:color="000000"/>
              </w:rPr>
            </w:pPr>
            <w:r w:rsidRPr="008B2950">
              <w:rPr>
                <w:color w:val="000000"/>
                <w:szCs w:val="22"/>
                <w:u w:color="000000"/>
              </w:rPr>
              <w:t>0.0</w:t>
            </w:r>
          </w:p>
        </w:tc>
        <w:tc>
          <w:tcPr>
            <w:tcW w:w="981" w:type="dxa"/>
            <w:tcBorders>
              <w:top w:val="nil"/>
              <w:left w:val="nil"/>
              <w:bottom w:val="nil"/>
              <w:right w:val="nil"/>
            </w:tcBorders>
            <w:vAlign w:val="bottom"/>
          </w:tcPr>
          <w:p w:rsidR="00224F8A" w:rsidRPr="008B2950" w:rsidRDefault="00224F8A" w:rsidP="008B2950">
            <w:pPr>
              <w:pStyle w:val="table1"/>
              <w:rPr>
                <w:color w:val="000000"/>
                <w:szCs w:val="22"/>
                <w:u w:color="000000"/>
              </w:rPr>
            </w:pPr>
            <w:r w:rsidRPr="008B2950">
              <w:rPr>
                <w:color w:val="000000"/>
                <w:szCs w:val="22"/>
                <w:u w:color="000000"/>
              </w:rPr>
              <w:t>0.0</w:t>
            </w:r>
          </w:p>
        </w:tc>
        <w:tc>
          <w:tcPr>
            <w:tcW w:w="980" w:type="dxa"/>
            <w:tcBorders>
              <w:top w:val="nil"/>
              <w:left w:val="nil"/>
              <w:bottom w:val="nil"/>
              <w:right w:val="nil"/>
            </w:tcBorders>
            <w:vAlign w:val="bottom"/>
          </w:tcPr>
          <w:p w:rsidR="00224F8A" w:rsidRPr="008B2950" w:rsidRDefault="00224F8A" w:rsidP="008B2950">
            <w:pPr>
              <w:pStyle w:val="table1"/>
              <w:rPr>
                <w:color w:val="000000"/>
                <w:szCs w:val="22"/>
                <w:u w:color="000000"/>
              </w:rPr>
            </w:pPr>
            <w:r w:rsidRPr="008B2950">
              <w:rPr>
                <w:color w:val="000000"/>
                <w:szCs w:val="22"/>
                <w:u w:color="000000"/>
              </w:rPr>
              <w:t>107.7</w:t>
            </w:r>
          </w:p>
        </w:tc>
        <w:tc>
          <w:tcPr>
            <w:tcW w:w="980" w:type="dxa"/>
            <w:tcBorders>
              <w:top w:val="nil"/>
              <w:left w:val="nil"/>
              <w:bottom w:val="nil"/>
              <w:right w:val="nil"/>
            </w:tcBorders>
            <w:shd w:val="clear" w:color="auto" w:fill="D9D9D9" w:themeFill="background1" w:themeFillShade="D9"/>
            <w:vAlign w:val="bottom"/>
          </w:tcPr>
          <w:p w:rsidR="00224F8A" w:rsidRPr="008B2950" w:rsidRDefault="00224F8A" w:rsidP="008B2950">
            <w:pPr>
              <w:pStyle w:val="table1"/>
              <w:rPr>
                <w:color w:val="000000"/>
                <w:szCs w:val="22"/>
                <w:u w:color="000000"/>
              </w:rPr>
            </w:pPr>
            <w:r w:rsidRPr="008B2950">
              <w:rPr>
                <w:color w:val="000000"/>
                <w:szCs w:val="22"/>
                <w:u w:color="000000"/>
              </w:rPr>
              <w:t>135.4</w:t>
            </w:r>
          </w:p>
        </w:tc>
        <w:tc>
          <w:tcPr>
            <w:tcW w:w="981" w:type="dxa"/>
            <w:tcBorders>
              <w:top w:val="nil"/>
              <w:left w:val="nil"/>
              <w:bottom w:val="nil"/>
              <w:right w:val="nil"/>
            </w:tcBorders>
            <w:vAlign w:val="bottom"/>
          </w:tcPr>
          <w:p w:rsidR="00224F8A" w:rsidRPr="008B2950" w:rsidRDefault="00224F8A" w:rsidP="008B2950">
            <w:pPr>
              <w:pStyle w:val="table1"/>
              <w:rPr>
                <w:color w:val="000000"/>
                <w:szCs w:val="22"/>
                <w:u w:color="000000"/>
              </w:rPr>
            </w:pPr>
            <w:r w:rsidRPr="008B2950">
              <w:rPr>
                <w:color w:val="000000"/>
                <w:szCs w:val="22"/>
                <w:u w:color="000000"/>
              </w:rPr>
              <w:t>14.6</w:t>
            </w:r>
          </w:p>
        </w:tc>
        <w:tc>
          <w:tcPr>
            <w:tcW w:w="980" w:type="dxa"/>
            <w:tcBorders>
              <w:top w:val="nil"/>
              <w:left w:val="nil"/>
              <w:bottom w:val="nil"/>
              <w:right w:val="nil"/>
            </w:tcBorders>
            <w:vAlign w:val="bottom"/>
          </w:tcPr>
          <w:p w:rsidR="00224F8A" w:rsidRPr="008B2950" w:rsidRDefault="00224F8A" w:rsidP="008B2950">
            <w:pPr>
              <w:pStyle w:val="table1"/>
              <w:rPr>
                <w:color w:val="000000"/>
                <w:szCs w:val="22"/>
                <w:u w:color="000000"/>
              </w:rPr>
            </w:pPr>
            <w:r w:rsidRPr="008B2950">
              <w:rPr>
                <w:color w:val="000000"/>
                <w:szCs w:val="22"/>
                <w:u w:color="000000"/>
              </w:rPr>
              <w:t>1.2</w:t>
            </w:r>
          </w:p>
        </w:tc>
        <w:tc>
          <w:tcPr>
            <w:tcW w:w="981" w:type="dxa"/>
            <w:tcBorders>
              <w:top w:val="nil"/>
              <w:left w:val="nil"/>
              <w:bottom w:val="nil"/>
              <w:right w:val="nil"/>
            </w:tcBorders>
            <w:vAlign w:val="bottom"/>
          </w:tcPr>
          <w:p w:rsidR="00224F8A" w:rsidRPr="008B2950" w:rsidRDefault="00224F8A" w:rsidP="008B2950">
            <w:pPr>
              <w:pStyle w:val="table1"/>
              <w:rPr>
                <w:color w:val="000000"/>
                <w:szCs w:val="22"/>
                <w:u w:color="000000"/>
              </w:rPr>
            </w:pPr>
            <w:r w:rsidRPr="008B2950">
              <w:rPr>
                <w:color w:val="000000"/>
                <w:szCs w:val="22"/>
                <w:u w:color="000000"/>
              </w:rPr>
              <w:t>23.9</w:t>
            </w:r>
          </w:p>
        </w:tc>
        <w:tc>
          <w:tcPr>
            <w:tcW w:w="980" w:type="dxa"/>
            <w:tcBorders>
              <w:top w:val="nil"/>
              <w:left w:val="nil"/>
              <w:bottom w:val="nil"/>
              <w:right w:val="nil"/>
            </w:tcBorders>
            <w:vAlign w:val="bottom"/>
          </w:tcPr>
          <w:p w:rsidR="00224F8A" w:rsidRPr="008B2950" w:rsidRDefault="00224F8A" w:rsidP="008B2950">
            <w:pPr>
              <w:pStyle w:val="table1"/>
              <w:rPr>
                <w:color w:val="000000"/>
                <w:szCs w:val="22"/>
                <w:u w:color="000000"/>
              </w:rPr>
            </w:pPr>
            <w:r w:rsidRPr="008B2950">
              <w:rPr>
                <w:color w:val="000000"/>
                <w:szCs w:val="22"/>
                <w:u w:color="000000"/>
              </w:rPr>
              <w:t>0.0</w:t>
            </w:r>
          </w:p>
        </w:tc>
        <w:tc>
          <w:tcPr>
            <w:tcW w:w="839" w:type="dxa"/>
            <w:tcBorders>
              <w:top w:val="nil"/>
              <w:left w:val="nil"/>
              <w:bottom w:val="nil"/>
              <w:right w:val="nil"/>
            </w:tcBorders>
            <w:vAlign w:val="bottom"/>
          </w:tcPr>
          <w:p w:rsidR="00224F8A" w:rsidRPr="008B2950" w:rsidRDefault="00224F8A" w:rsidP="008B2950">
            <w:pPr>
              <w:pStyle w:val="table1"/>
              <w:rPr>
                <w:color w:val="000000"/>
                <w:szCs w:val="22"/>
                <w:u w:color="000000"/>
              </w:rPr>
            </w:pPr>
            <w:r w:rsidRPr="008B2950">
              <w:rPr>
                <w:color w:val="000000"/>
                <w:szCs w:val="22"/>
                <w:u w:color="000000"/>
              </w:rPr>
              <w:t>5.2</w:t>
            </w:r>
          </w:p>
        </w:tc>
        <w:tc>
          <w:tcPr>
            <w:tcW w:w="851" w:type="dxa"/>
            <w:tcBorders>
              <w:top w:val="nil"/>
              <w:left w:val="nil"/>
              <w:bottom w:val="nil"/>
              <w:right w:val="nil"/>
            </w:tcBorders>
            <w:vAlign w:val="bottom"/>
          </w:tcPr>
          <w:p w:rsidR="00224F8A" w:rsidRPr="008B2950" w:rsidRDefault="00224F8A" w:rsidP="008B2950">
            <w:pPr>
              <w:pStyle w:val="table1"/>
              <w:rPr>
                <w:color w:val="000000"/>
                <w:szCs w:val="22"/>
                <w:u w:color="000000"/>
              </w:rPr>
            </w:pPr>
            <w:r w:rsidRPr="008B2950">
              <w:rPr>
                <w:color w:val="000000"/>
                <w:szCs w:val="22"/>
                <w:u w:color="000000"/>
              </w:rPr>
              <w:t>288.1</w:t>
            </w:r>
          </w:p>
        </w:tc>
      </w:tr>
      <w:tr w:rsidR="00224F8A" w:rsidRPr="008B2950" w:rsidTr="0020234B">
        <w:tc>
          <w:tcPr>
            <w:tcW w:w="425" w:type="dxa"/>
            <w:vMerge/>
            <w:tcBorders>
              <w:left w:val="nil"/>
              <w:right w:val="nil"/>
            </w:tcBorders>
          </w:tcPr>
          <w:p w:rsidR="00224F8A" w:rsidRPr="008B2950" w:rsidRDefault="00224F8A" w:rsidP="008B2950">
            <w:pPr>
              <w:pStyle w:val="table1"/>
              <w:jc w:val="center"/>
              <w:rPr>
                <w:b/>
                <w:color w:val="000000"/>
                <w:u w:color="000000"/>
              </w:rPr>
            </w:pPr>
          </w:p>
        </w:tc>
        <w:tc>
          <w:tcPr>
            <w:tcW w:w="1276" w:type="dxa"/>
            <w:gridSpan w:val="2"/>
            <w:tcBorders>
              <w:top w:val="nil"/>
              <w:left w:val="nil"/>
              <w:bottom w:val="nil"/>
              <w:right w:val="nil"/>
            </w:tcBorders>
          </w:tcPr>
          <w:p w:rsidR="00224F8A" w:rsidRPr="008B2950" w:rsidRDefault="00224F8A" w:rsidP="008B2950">
            <w:pPr>
              <w:pStyle w:val="table1"/>
              <w:rPr>
                <w:color w:val="000000"/>
                <w:szCs w:val="16"/>
                <w:u w:color="000000"/>
              </w:rPr>
            </w:pPr>
            <w:r w:rsidRPr="008B2950">
              <w:rPr>
                <w:color w:val="000000"/>
                <w:szCs w:val="16"/>
                <w:u w:color="000000"/>
              </w:rPr>
              <w:t>Para</w:t>
            </w:r>
          </w:p>
        </w:tc>
        <w:tc>
          <w:tcPr>
            <w:tcW w:w="839" w:type="dxa"/>
            <w:tcBorders>
              <w:top w:val="nil"/>
              <w:left w:val="nil"/>
              <w:bottom w:val="nil"/>
              <w:right w:val="nil"/>
            </w:tcBorders>
            <w:vAlign w:val="bottom"/>
          </w:tcPr>
          <w:p w:rsidR="00224F8A" w:rsidRPr="008B2950" w:rsidRDefault="00224F8A" w:rsidP="008B2950">
            <w:pPr>
              <w:pStyle w:val="table1"/>
              <w:rPr>
                <w:color w:val="000000"/>
                <w:szCs w:val="22"/>
                <w:u w:color="000000"/>
              </w:rPr>
            </w:pPr>
            <w:r w:rsidRPr="008B2950">
              <w:rPr>
                <w:color w:val="000000"/>
                <w:szCs w:val="22"/>
                <w:u w:color="000000"/>
              </w:rPr>
              <w:t>0.0</w:t>
            </w:r>
          </w:p>
        </w:tc>
        <w:tc>
          <w:tcPr>
            <w:tcW w:w="980" w:type="dxa"/>
            <w:tcBorders>
              <w:top w:val="nil"/>
              <w:left w:val="nil"/>
              <w:bottom w:val="nil"/>
              <w:right w:val="nil"/>
            </w:tcBorders>
            <w:vAlign w:val="bottom"/>
          </w:tcPr>
          <w:p w:rsidR="00224F8A" w:rsidRPr="008B2950" w:rsidRDefault="00224F8A" w:rsidP="008B2950">
            <w:pPr>
              <w:pStyle w:val="table1"/>
              <w:rPr>
                <w:color w:val="000000"/>
                <w:szCs w:val="22"/>
                <w:u w:color="000000"/>
              </w:rPr>
            </w:pPr>
            <w:r w:rsidRPr="008B2950">
              <w:rPr>
                <w:color w:val="000000"/>
                <w:szCs w:val="22"/>
                <w:u w:color="000000"/>
              </w:rPr>
              <w:t>109.4</w:t>
            </w:r>
          </w:p>
        </w:tc>
        <w:tc>
          <w:tcPr>
            <w:tcW w:w="981" w:type="dxa"/>
            <w:tcBorders>
              <w:top w:val="nil"/>
              <w:left w:val="nil"/>
              <w:bottom w:val="nil"/>
              <w:right w:val="nil"/>
            </w:tcBorders>
            <w:vAlign w:val="bottom"/>
          </w:tcPr>
          <w:p w:rsidR="00224F8A" w:rsidRPr="008B2950" w:rsidRDefault="00224F8A" w:rsidP="008B2950">
            <w:pPr>
              <w:pStyle w:val="table1"/>
              <w:rPr>
                <w:color w:val="000000"/>
                <w:szCs w:val="22"/>
                <w:u w:color="000000"/>
              </w:rPr>
            </w:pPr>
            <w:r w:rsidRPr="008B2950">
              <w:rPr>
                <w:color w:val="000000"/>
                <w:szCs w:val="22"/>
                <w:u w:color="000000"/>
              </w:rPr>
              <w:t>0.0</w:t>
            </w:r>
          </w:p>
        </w:tc>
        <w:tc>
          <w:tcPr>
            <w:tcW w:w="980" w:type="dxa"/>
            <w:tcBorders>
              <w:top w:val="nil"/>
              <w:left w:val="nil"/>
              <w:bottom w:val="nil"/>
              <w:right w:val="nil"/>
            </w:tcBorders>
            <w:vAlign w:val="bottom"/>
          </w:tcPr>
          <w:p w:rsidR="00224F8A" w:rsidRPr="008B2950" w:rsidRDefault="00224F8A" w:rsidP="008B2950">
            <w:pPr>
              <w:pStyle w:val="table1"/>
              <w:rPr>
                <w:color w:val="000000"/>
                <w:szCs w:val="22"/>
                <w:u w:color="000000"/>
              </w:rPr>
            </w:pPr>
            <w:r w:rsidRPr="008B2950">
              <w:rPr>
                <w:color w:val="000000"/>
                <w:szCs w:val="22"/>
                <w:u w:color="000000"/>
              </w:rPr>
              <w:t>22.4</w:t>
            </w:r>
          </w:p>
        </w:tc>
        <w:tc>
          <w:tcPr>
            <w:tcW w:w="981" w:type="dxa"/>
            <w:tcBorders>
              <w:top w:val="nil"/>
              <w:left w:val="nil"/>
              <w:bottom w:val="nil"/>
              <w:right w:val="nil"/>
            </w:tcBorders>
            <w:vAlign w:val="bottom"/>
          </w:tcPr>
          <w:p w:rsidR="00224F8A" w:rsidRPr="008B2950" w:rsidRDefault="00224F8A" w:rsidP="008B2950">
            <w:pPr>
              <w:pStyle w:val="table1"/>
              <w:rPr>
                <w:color w:val="000000"/>
                <w:szCs w:val="22"/>
                <w:u w:color="000000"/>
              </w:rPr>
            </w:pPr>
            <w:r w:rsidRPr="008B2950">
              <w:rPr>
                <w:color w:val="000000"/>
                <w:szCs w:val="22"/>
                <w:u w:color="000000"/>
              </w:rPr>
              <w:t>174.2</w:t>
            </w:r>
          </w:p>
        </w:tc>
        <w:tc>
          <w:tcPr>
            <w:tcW w:w="980" w:type="dxa"/>
            <w:tcBorders>
              <w:top w:val="nil"/>
              <w:left w:val="nil"/>
              <w:bottom w:val="nil"/>
              <w:right w:val="nil"/>
            </w:tcBorders>
            <w:vAlign w:val="bottom"/>
          </w:tcPr>
          <w:p w:rsidR="00224F8A" w:rsidRPr="008B2950" w:rsidRDefault="00224F8A" w:rsidP="008B2950">
            <w:pPr>
              <w:pStyle w:val="table1"/>
              <w:rPr>
                <w:color w:val="000000"/>
                <w:szCs w:val="22"/>
                <w:u w:color="000000"/>
              </w:rPr>
            </w:pPr>
            <w:r w:rsidRPr="008B2950">
              <w:rPr>
                <w:color w:val="000000"/>
                <w:szCs w:val="22"/>
                <w:u w:color="000000"/>
              </w:rPr>
              <w:t>0.0</w:t>
            </w:r>
          </w:p>
        </w:tc>
        <w:tc>
          <w:tcPr>
            <w:tcW w:w="980" w:type="dxa"/>
            <w:tcBorders>
              <w:top w:val="nil"/>
              <w:left w:val="nil"/>
              <w:bottom w:val="nil"/>
              <w:right w:val="nil"/>
            </w:tcBorders>
            <w:vAlign w:val="bottom"/>
          </w:tcPr>
          <w:p w:rsidR="00224F8A" w:rsidRPr="008B2950" w:rsidRDefault="00224F8A" w:rsidP="008B2950">
            <w:pPr>
              <w:pStyle w:val="table1"/>
              <w:rPr>
                <w:color w:val="000000"/>
                <w:szCs w:val="22"/>
                <w:u w:color="000000"/>
              </w:rPr>
            </w:pPr>
            <w:r w:rsidRPr="008B2950">
              <w:rPr>
                <w:color w:val="000000"/>
                <w:szCs w:val="22"/>
                <w:u w:color="000000"/>
              </w:rPr>
              <w:t>89.1</w:t>
            </w:r>
          </w:p>
        </w:tc>
        <w:tc>
          <w:tcPr>
            <w:tcW w:w="981" w:type="dxa"/>
            <w:tcBorders>
              <w:top w:val="nil"/>
              <w:left w:val="nil"/>
              <w:bottom w:val="nil"/>
              <w:right w:val="nil"/>
            </w:tcBorders>
            <w:shd w:val="clear" w:color="auto" w:fill="D9D9D9" w:themeFill="background1" w:themeFillShade="D9"/>
            <w:vAlign w:val="bottom"/>
          </w:tcPr>
          <w:p w:rsidR="00224F8A" w:rsidRPr="008B2950" w:rsidRDefault="00224F8A" w:rsidP="008B2950">
            <w:pPr>
              <w:pStyle w:val="table1"/>
              <w:rPr>
                <w:color w:val="000000"/>
                <w:szCs w:val="22"/>
                <w:u w:color="000000"/>
              </w:rPr>
            </w:pPr>
            <w:r w:rsidRPr="008B2950">
              <w:rPr>
                <w:color w:val="000000"/>
                <w:szCs w:val="22"/>
                <w:u w:color="000000"/>
              </w:rPr>
              <w:t>59.2</w:t>
            </w:r>
          </w:p>
        </w:tc>
        <w:tc>
          <w:tcPr>
            <w:tcW w:w="980" w:type="dxa"/>
            <w:tcBorders>
              <w:top w:val="nil"/>
              <w:left w:val="nil"/>
              <w:bottom w:val="nil"/>
              <w:right w:val="nil"/>
            </w:tcBorders>
            <w:vAlign w:val="bottom"/>
          </w:tcPr>
          <w:p w:rsidR="00224F8A" w:rsidRPr="008B2950" w:rsidRDefault="00224F8A" w:rsidP="008B2950">
            <w:pPr>
              <w:pStyle w:val="table1"/>
              <w:rPr>
                <w:color w:val="000000"/>
                <w:szCs w:val="22"/>
                <w:u w:color="000000"/>
              </w:rPr>
            </w:pPr>
            <w:r w:rsidRPr="008B2950">
              <w:rPr>
                <w:color w:val="000000"/>
                <w:szCs w:val="22"/>
                <w:u w:color="000000"/>
              </w:rPr>
              <w:t>1.8</w:t>
            </w:r>
          </w:p>
        </w:tc>
        <w:tc>
          <w:tcPr>
            <w:tcW w:w="981" w:type="dxa"/>
            <w:tcBorders>
              <w:top w:val="nil"/>
              <w:left w:val="nil"/>
              <w:bottom w:val="nil"/>
              <w:right w:val="nil"/>
            </w:tcBorders>
            <w:vAlign w:val="bottom"/>
          </w:tcPr>
          <w:p w:rsidR="00224F8A" w:rsidRPr="008B2950" w:rsidRDefault="00224F8A" w:rsidP="008B2950">
            <w:pPr>
              <w:pStyle w:val="table1"/>
              <w:rPr>
                <w:color w:val="000000"/>
                <w:szCs w:val="22"/>
                <w:u w:color="000000"/>
              </w:rPr>
            </w:pPr>
            <w:r w:rsidRPr="008B2950">
              <w:rPr>
                <w:color w:val="000000"/>
                <w:szCs w:val="22"/>
                <w:u w:color="000000"/>
              </w:rPr>
              <w:t>33.2</w:t>
            </w:r>
          </w:p>
        </w:tc>
        <w:tc>
          <w:tcPr>
            <w:tcW w:w="980" w:type="dxa"/>
            <w:tcBorders>
              <w:top w:val="nil"/>
              <w:left w:val="nil"/>
              <w:bottom w:val="nil"/>
              <w:right w:val="nil"/>
            </w:tcBorders>
            <w:vAlign w:val="bottom"/>
          </w:tcPr>
          <w:p w:rsidR="00224F8A" w:rsidRPr="008B2950" w:rsidRDefault="00224F8A" w:rsidP="008B2950">
            <w:pPr>
              <w:pStyle w:val="table1"/>
              <w:rPr>
                <w:color w:val="000000"/>
                <w:szCs w:val="22"/>
                <w:u w:color="000000"/>
              </w:rPr>
            </w:pPr>
            <w:r w:rsidRPr="008B2950">
              <w:rPr>
                <w:color w:val="000000"/>
                <w:szCs w:val="22"/>
                <w:u w:color="000000"/>
              </w:rPr>
              <w:t>0.0</w:t>
            </w:r>
          </w:p>
        </w:tc>
        <w:tc>
          <w:tcPr>
            <w:tcW w:w="839" w:type="dxa"/>
            <w:tcBorders>
              <w:top w:val="nil"/>
              <w:left w:val="nil"/>
              <w:bottom w:val="nil"/>
              <w:right w:val="nil"/>
            </w:tcBorders>
            <w:vAlign w:val="bottom"/>
          </w:tcPr>
          <w:p w:rsidR="00224F8A" w:rsidRPr="008B2950" w:rsidRDefault="00224F8A" w:rsidP="008B2950">
            <w:pPr>
              <w:pStyle w:val="table1"/>
              <w:rPr>
                <w:color w:val="000000"/>
                <w:szCs w:val="22"/>
                <w:u w:color="000000"/>
              </w:rPr>
            </w:pPr>
            <w:r w:rsidRPr="008B2950">
              <w:rPr>
                <w:color w:val="000000"/>
                <w:szCs w:val="22"/>
                <w:u w:color="000000"/>
              </w:rPr>
              <w:t>7.8</w:t>
            </w:r>
          </w:p>
        </w:tc>
        <w:tc>
          <w:tcPr>
            <w:tcW w:w="851" w:type="dxa"/>
            <w:tcBorders>
              <w:top w:val="nil"/>
              <w:left w:val="nil"/>
              <w:bottom w:val="nil"/>
              <w:right w:val="nil"/>
            </w:tcBorders>
            <w:vAlign w:val="bottom"/>
          </w:tcPr>
          <w:p w:rsidR="00224F8A" w:rsidRPr="008B2950" w:rsidRDefault="00224F8A" w:rsidP="008B2950">
            <w:pPr>
              <w:pStyle w:val="table1"/>
              <w:rPr>
                <w:color w:val="000000"/>
                <w:szCs w:val="22"/>
                <w:u w:color="000000"/>
              </w:rPr>
            </w:pPr>
            <w:r w:rsidRPr="008B2950">
              <w:rPr>
                <w:color w:val="000000"/>
                <w:szCs w:val="22"/>
                <w:u w:color="000000"/>
              </w:rPr>
              <w:t>497.2</w:t>
            </w:r>
          </w:p>
        </w:tc>
      </w:tr>
      <w:tr w:rsidR="00224F8A" w:rsidRPr="008B2950" w:rsidTr="0020234B">
        <w:tc>
          <w:tcPr>
            <w:tcW w:w="425" w:type="dxa"/>
            <w:vMerge/>
            <w:tcBorders>
              <w:left w:val="nil"/>
              <w:right w:val="nil"/>
            </w:tcBorders>
          </w:tcPr>
          <w:p w:rsidR="00224F8A" w:rsidRPr="008B2950" w:rsidRDefault="00224F8A" w:rsidP="008B2950">
            <w:pPr>
              <w:pStyle w:val="table1"/>
              <w:jc w:val="center"/>
              <w:rPr>
                <w:b/>
                <w:color w:val="000000"/>
                <w:u w:color="000000"/>
              </w:rPr>
            </w:pPr>
          </w:p>
        </w:tc>
        <w:tc>
          <w:tcPr>
            <w:tcW w:w="1276" w:type="dxa"/>
            <w:gridSpan w:val="2"/>
            <w:tcBorders>
              <w:top w:val="nil"/>
              <w:left w:val="nil"/>
              <w:bottom w:val="nil"/>
              <w:right w:val="nil"/>
            </w:tcBorders>
          </w:tcPr>
          <w:p w:rsidR="00224F8A" w:rsidRPr="0020234B" w:rsidRDefault="00224F8A" w:rsidP="008B2950">
            <w:pPr>
              <w:pStyle w:val="table1"/>
              <w:rPr>
                <w:i/>
                <w:color w:val="000000"/>
                <w:szCs w:val="16"/>
                <w:u w:color="000000"/>
              </w:rPr>
            </w:pPr>
            <w:r w:rsidRPr="0020234B">
              <w:rPr>
                <w:i/>
                <w:color w:val="000000"/>
                <w:szCs w:val="16"/>
                <w:u w:color="000000"/>
              </w:rPr>
              <w:t>Pseudoraphis</w:t>
            </w:r>
          </w:p>
        </w:tc>
        <w:tc>
          <w:tcPr>
            <w:tcW w:w="839" w:type="dxa"/>
            <w:tcBorders>
              <w:top w:val="nil"/>
              <w:left w:val="nil"/>
              <w:bottom w:val="nil"/>
              <w:right w:val="nil"/>
            </w:tcBorders>
            <w:vAlign w:val="bottom"/>
          </w:tcPr>
          <w:p w:rsidR="00224F8A" w:rsidRPr="008B2950" w:rsidRDefault="00224F8A" w:rsidP="008B2950">
            <w:pPr>
              <w:pStyle w:val="table1"/>
              <w:rPr>
                <w:color w:val="000000"/>
                <w:szCs w:val="22"/>
                <w:u w:color="000000"/>
              </w:rPr>
            </w:pPr>
            <w:r w:rsidRPr="008B2950">
              <w:rPr>
                <w:color w:val="000000"/>
                <w:szCs w:val="22"/>
                <w:u w:color="000000"/>
              </w:rPr>
              <w:t>0.0</w:t>
            </w:r>
          </w:p>
        </w:tc>
        <w:tc>
          <w:tcPr>
            <w:tcW w:w="980" w:type="dxa"/>
            <w:tcBorders>
              <w:top w:val="nil"/>
              <w:left w:val="nil"/>
              <w:bottom w:val="nil"/>
              <w:right w:val="nil"/>
            </w:tcBorders>
            <w:vAlign w:val="bottom"/>
          </w:tcPr>
          <w:p w:rsidR="00224F8A" w:rsidRPr="008B2950" w:rsidRDefault="00224F8A" w:rsidP="008B2950">
            <w:pPr>
              <w:pStyle w:val="table1"/>
              <w:rPr>
                <w:color w:val="000000"/>
                <w:szCs w:val="22"/>
                <w:u w:color="000000"/>
              </w:rPr>
            </w:pPr>
            <w:r w:rsidRPr="008B2950">
              <w:rPr>
                <w:color w:val="000000"/>
                <w:szCs w:val="22"/>
                <w:u w:color="000000"/>
              </w:rPr>
              <w:t>22.8</w:t>
            </w:r>
          </w:p>
        </w:tc>
        <w:tc>
          <w:tcPr>
            <w:tcW w:w="981" w:type="dxa"/>
            <w:tcBorders>
              <w:top w:val="nil"/>
              <w:left w:val="nil"/>
              <w:bottom w:val="nil"/>
              <w:right w:val="nil"/>
            </w:tcBorders>
            <w:vAlign w:val="bottom"/>
          </w:tcPr>
          <w:p w:rsidR="00224F8A" w:rsidRPr="008B2950" w:rsidRDefault="00224F8A" w:rsidP="008B2950">
            <w:pPr>
              <w:pStyle w:val="table1"/>
              <w:rPr>
                <w:color w:val="000000"/>
                <w:szCs w:val="22"/>
                <w:u w:color="000000"/>
              </w:rPr>
            </w:pPr>
            <w:r w:rsidRPr="008B2950">
              <w:rPr>
                <w:color w:val="000000"/>
                <w:szCs w:val="22"/>
                <w:u w:color="000000"/>
              </w:rPr>
              <w:t>0.0</w:t>
            </w:r>
          </w:p>
        </w:tc>
        <w:tc>
          <w:tcPr>
            <w:tcW w:w="980" w:type="dxa"/>
            <w:tcBorders>
              <w:top w:val="nil"/>
              <w:left w:val="nil"/>
              <w:bottom w:val="nil"/>
              <w:right w:val="nil"/>
            </w:tcBorders>
            <w:vAlign w:val="bottom"/>
          </w:tcPr>
          <w:p w:rsidR="00224F8A" w:rsidRPr="008B2950" w:rsidRDefault="00224F8A" w:rsidP="008B2950">
            <w:pPr>
              <w:pStyle w:val="table1"/>
              <w:rPr>
                <w:color w:val="000000"/>
                <w:szCs w:val="22"/>
                <w:u w:color="000000"/>
              </w:rPr>
            </w:pPr>
            <w:r w:rsidRPr="008B2950">
              <w:rPr>
                <w:color w:val="000000"/>
                <w:szCs w:val="22"/>
                <w:u w:color="000000"/>
              </w:rPr>
              <w:t>5.0</w:t>
            </w:r>
          </w:p>
        </w:tc>
        <w:tc>
          <w:tcPr>
            <w:tcW w:w="981" w:type="dxa"/>
            <w:tcBorders>
              <w:top w:val="nil"/>
              <w:left w:val="nil"/>
              <w:bottom w:val="nil"/>
              <w:right w:val="nil"/>
            </w:tcBorders>
            <w:vAlign w:val="bottom"/>
          </w:tcPr>
          <w:p w:rsidR="00224F8A" w:rsidRPr="008B2950" w:rsidRDefault="00224F8A" w:rsidP="008B2950">
            <w:pPr>
              <w:pStyle w:val="table1"/>
              <w:rPr>
                <w:color w:val="000000"/>
                <w:szCs w:val="22"/>
                <w:u w:color="000000"/>
              </w:rPr>
            </w:pPr>
            <w:r w:rsidRPr="008B2950">
              <w:rPr>
                <w:color w:val="000000"/>
                <w:szCs w:val="22"/>
                <w:u w:color="000000"/>
              </w:rPr>
              <w:t>34.1</w:t>
            </w:r>
          </w:p>
        </w:tc>
        <w:tc>
          <w:tcPr>
            <w:tcW w:w="980" w:type="dxa"/>
            <w:tcBorders>
              <w:top w:val="nil"/>
              <w:left w:val="nil"/>
              <w:bottom w:val="nil"/>
              <w:right w:val="nil"/>
            </w:tcBorders>
            <w:vAlign w:val="bottom"/>
          </w:tcPr>
          <w:p w:rsidR="00224F8A" w:rsidRPr="008B2950" w:rsidRDefault="00224F8A" w:rsidP="008B2950">
            <w:pPr>
              <w:pStyle w:val="table1"/>
              <w:rPr>
                <w:color w:val="000000"/>
                <w:szCs w:val="22"/>
                <w:u w:color="000000"/>
              </w:rPr>
            </w:pPr>
            <w:r w:rsidRPr="008B2950">
              <w:rPr>
                <w:color w:val="000000"/>
                <w:szCs w:val="22"/>
                <w:u w:color="000000"/>
              </w:rPr>
              <w:t>0.3</w:t>
            </w:r>
          </w:p>
        </w:tc>
        <w:tc>
          <w:tcPr>
            <w:tcW w:w="980" w:type="dxa"/>
            <w:tcBorders>
              <w:top w:val="nil"/>
              <w:left w:val="nil"/>
              <w:bottom w:val="nil"/>
              <w:right w:val="nil"/>
            </w:tcBorders>
            <w:vAlign w:val="bottom"/>
          </w:tcPr>
          <w:p w:rsidR="00224F8A" w:rsidRPr="008B2950" w:rsidRDefault="00224F8A" w:rsidP="008B2950">
            <w:pPr>
              <w:pStyle w:val="table1"/>
              <w:rPr>
                <w:color w:val="000000"/>
                <w:szCs w:val="22"/>
                <w:u w:color="000000"/>
              </w:rPr>
            </w:pPr>
            <w:r w:rsidRPr="008B2950">
              <w:rPr>
                <w:color w:val="000000"/>
                <w:szCs w:val="22"/>
                <w:u w:color="000000"/>
              </w:rPr>
              <w:t>34.9</w:t>
            </w:r>
          </w:p>
        </w:tc>
        <w:tc>
          <w:tcPr>
            <w:tcW w:w="981" w:type="dxa"/>
            <w:tcBorders>
              <w:top w:val="nil"/>
              <w:left w:val="nil"/>
              <w:bottom w:val="nil"/>
              <w:right w:val="nil"/>
            </w:tcBorders>
            <w:vAlign w:val="bottom"/>
          </w:tcPr>
          <w:p w:rsidR="00224F8A" w:rsidRPr="008B2950" w:rsidRDefault="00224F8A" w:rsidP="008B2950">
            <w:pPr>
              <w:pStyle w:val="table1"/>
              <w:rPr>
                <w:color w:val="000000"/>
                <w:szCs w:val="22"/>
                <w:u w:color="000000"/>
              </w:rPr>
            </w:pPr>
            <w:r w:rsidRPr="008B2950">
              <w:rPr>
                <w:color w:val="000000"/>
                <w:szCs w:val="22"/>
                <w:u w:color="000000"/>
              </w:rPr>
              <w:t>2.9</w:t>
            </w:r>
          </w:p>
        </w:tc>
        <w:tc>
          <w:tcPr>
            <w:tcW w:w="980" w:type="dxa"/>
            <w:tcBorders>
              <w:top w:val="nil"/>
              <w:left w:val="nil"/>
              <w:bottom w:val="nil"/>
              <w:right w:val="nil"/>
            </w:tcBorders>
            <w:shd w:val="clear" w:color="auto" w:fill="D9D9D9" w:themeFill="background1" w:themeFillShade="D9"/>
            <w:vAlign w:val="bottom"/>
          </w:tcPr>
          <w:p w:rsidR="00224F8A" w:rsidRPr="008B2950" w:rsidRDefault="00224F8A" w:rsidP="008B2950">
            <w:pPr>
              <w:pStyle w:val="table1"/>
              <w:rPr>
                <w:color w:val="000000"/>
                <w:szCs w:val="22"/>
                <w:u w:color="000000"/>
              </w:rPr>
            </w:pPr>
            <w:r w:rsidRPr="008B2950">
              <w:rPr>
                <w:color w:val="000000"/>
                <w:szCs w:val="22"/>
                <w:u w:color="000000"/>
              </w:rPr>
              <w:t>1.3</w:t>
            </w:r>
          </w:p>
        </w:tc>
        <w:tc>
          <w:tcPr>
            <w:tcW w:w="981" w:type="dxa"/>
            <w:tcBorders>
              <w:top w:val="nil"/>
              <w:left w:val="nil"/>
              <w:bottom w:val="nil"/>
              <w:right w:val="nil"/>
            </w:tcBorders>
            <w:vAlign w:val="bottom"/>
          </w:tcPr>
          <w:p w:rsidR="00224F8A" w:rsidRPr="008B2950" w:rsidRDefault="00224F8A" w:rsidP="008B2950">
            <w:pPr>
              <w:pStyle w:val="table1"/>
              <w:rPr>
                <w:color w:val="000000"/>
                <w:szCs w:val="22"/>
                <w:u w:color="000000"/>
              </w:rPr>
            </w:pPr>
            <w:r w:rsidRPr="008B2950">
              <w:rPr>
                <w:color w:val="000000"/>
                <w:szCs w:val="22"/>
                <w:u w:color="000000"/>
              </w:rPr>
              <w:t>12.3</w:t>
            </w:r>
          </w:p>
        </w:tc>
        <w:tc>
          <w:tcPr>
            <w:tcW w:w="980" w:type="dxa"/>
            <w:tcBorders>
              <w:top w:val="nil"/>
              <w:left w:val="nil"/>
              <w:bottom w:val="nil"/>
              <w:right w:val="nil"/>
            </w:tcBorders>
            <w:vAlign w:val="bottom"/>
          </w:tcPr>
          <w:p w:rsidR="00224F8A" w:rsidRPr="008B2950" w:rsidRDefault="00224F8A" w:rsidP="008B2950">
            <w:pPr>
              <w:pStyle w:val="table1"/>
              <w:rPr>
                <w:color w:val="000000"/>
                <w:szCs w:val="22"/>
                <w:u w:color="000000"/>
              </w:rPr>
            </w:pPr>
            <w:r w:rsidRPr="008B2950">
              <w:rPr>
                <w:color w:val="000000"/>
                <w:szCs w:val="22"/>
                <w:u w:color="000000"/>
              </w:rPr>
              <w:t>0.0</w:t>
            </w:r>
          </w:p>
        </w:tc>
        <w:tc>
          <w:tcPr>
            <w:tcW w:w="839" w:type="dxa"/>
            <w:tcBorders>
              <w:top w:val="nil"/>
              <w:left w:val="nil"/>
              <w:bottom w:val="nil"/>
              <w:right w:val="nil"/>
            </w:tcBorders>
            <w:vAlign w:val="bottom"/>
          </w:tcPr>
          <w:p w:rsidR="00224F8A" w:rsidRPr="008B2950" w:rsidRDefault="00224F8A" w:rsidP="008B2950">
            <w:pPr>
              <w:pStyle w:val="table1"/>
              <w:rPr>
                <w:color w:val="000000"/>
                <w:szCs w:val="22"/>
                <w:u w:color="000000"/>
              </w:rPr>
            </w:pPr>
            <w:r w:rsidRPr="008B2950">
              <w:rPr>
                <w:color w:val="000000"/>
                <w:szCs w:val="22"/>
                <w:u w:color="000000"/>
              </w:rPr>
              <w:t>3.6</w:t>
            </w:r>
          </w:p>
        </w:tc>
        <w:tc>
          <w:tcPr>
            <w:tcW w:w="851" w:type="dxa"/>
            <w:tcBorders>
              <w:top w:val="nil"/>
              <w:left w:val="nil"/>
              <w:bottom w:val="nil"/>
              <w:right w:val="nil"/>
            </w:tcBorders>
            <w:vAlign w:val="bottom"/>
          </w:tcPr>
          <w:p w:rsidR="00224F8A" w:rsidRPr="008B2950" w:rsidRDefault="00224F8A" w:rsidP="008B2950">
            <w:pPr>
              <w:pStyle w:val="table1"/>
              <w:rPr>
                <w:color w:val="000000"/>
                <w:szCs w:val="22"/>
                <w:u w:color="000000"/>
              </w:rPr>
            </w:pPr>
            <w:r w:rsidRPr="008B2950">
              <w:rPr>
                <w:color w:val="000000"/>
                <w:szCs w:val="22"/>
                <w:u w:color="000000"/>
              </w:rPr>
              <w:t>117.2</w:t>
            </w:r>
          </w:p>
        </w:tc>
      </w:tr>
      <w:tr w:rsidR="00224F8A" w:rsidRPr="008B2950" w:rsidTr="0020234B">
        <w:tc>
          <w:tcPr>
            <w:tcW w:w="425" w:type="dxa"/>
            <w:vMerge/>
            <w:tcBorders>
              <w:left w:val="nil"/>
              <w:right w:val="nil"/>
            </w:tcBorders>
          </w:tcPr>
          <w:p w:rsidR="00224F8A" w:rsidRPr="008B2950" w:rsidRDefault="00224F8A" w:rsidP="008B2950">
            <w:pPr>
              <w:pStyle w:val="table1"/>
              <w:jc w:val="center"/>
              <w:rPr>
                <w:b/>
                <w:color w:val="000000"/>
                <w:u w:color="000000"/>
              </w:rPr>
            </w:pPr>
          </w:p>
        </w:tc>
        <w:tc>
          <w:tcPr>
            <w:tcW w:w="1276" w:type="dxa"/>
            <w:gridSpan w:val="2"/>
            <w:tcBorders>
              <w:top w:val="nil"/>
              <w:left w:val="nil"/>
              <w:bottom w:val="nil"/>
              <w:right w:val="nil"/>
            </w:tcBorders>
          </w:tcPr>
          <w:p w:rsidR="00224F8A" w:rsidRPr="0020234B" w:rsidRDefault="00224F8A" w:rsidP="008B2950">
            <w:pPr>
              <w:pStyle w:val="table1"/>
              <w:rPr>
                <w:i/>
                <w:color w:val="000000"/>
                <w:szCs w:val="16"/>
                <w:u w:color="000000"/>
              </w:rPr>
            </w:pPr>
            <w:r w:rsidRPr="0020234B">
              <w:rPr>
                <w:i/>
                <w:color w:val="000000"/>
                <w:szCs w:val="16"/>
                <w:u w:color="000000"/>
              </w:rPr>
              <w:t>Pseudoraphis/ Hymenachne</w:t>
            </w:r>
          </w:p>
        </w:tc>
        <w:tc>
          <w:tcPr>
            <w:tcW w:w="839" w:type="dxa"/>
            <w:tcBorders>
              <w:top w:val="nil"/>
              <w:left w:val="nil"/>
              <w:bottom w:val="nil"/>
              <w:right w:val="nil"/>
            </w:tcBorders>
            <w:vAlign w:val="bottom"/>
          </w:tcPr>
          <w:p w:rsidR="00224F8A" w:rsidRPr="008B2950" w:rsidRDefault="00224F8A" w:rsidP="008B2950">
            <w:pPr>
              <w:pStyle w:val="table1"/>
              <w:rPr>
                <w:color w:val="000000"/>
                <w:szCs w:val="22"/>
                <w:u w:color="000000"/>
              </w:rPr>
            </w:pPr>
            <w:r w:rsidRPr="008B2950">
              <w:rPr>
                <w:color w:val="000000"/>
                <w:szCs w:val="22"/>
                <w:u w:color="000000"/>
              </w:rPr>
              <w:t>0.0</w:t>
            </w:r>
          </w:p>
        </w:tc>
        <w:tc>
          <w:tcPr>
            <w:tcW w:w="980" w:type="dxa"/>
            <w:tcBorders>
              <w:top w:val="nil"/>
              <w:left w:val="nil"/>
              <w:bottom w:val="nil"/>
              <w:right w:val="nil"/>
            </w:tcBorders>
            <w:vAlign w:val="bottom"/>
          </w:tcPr>
          <w:p w:rsidR="00224F8A" w:rsidRPr="008B2950" w:rsidRDefault="00224F8A" w:rsidP="008B2950">
            <w:pPr>
              <w:pStyle w:val="table1"/>
              <w:rPr>
                <w:color w:val="000000"/>
                <w:szCs w:val="22"/>
                <w:u w:color="000000"/>
              </w:rPr>
            </w:pPr>
            <w:r w:rsidRPr="008B2950">
              <w:rPr>
                <w:color w:val="000000"/>
                <w:szCs w:val="22"/>
                <w:u w:color="000000"/>
              </w:rPr>
              <w:t>402.8</w:t>
            </w:r>
          </w:p>
        </w:tc>
        <w:tc>
          <w:tcPr>
            <w:tcW w:w="981" w:type="dxa"/>
            <w:tcBorders>
              <w:top w:val="nil"/>
              <w:left w:val="nil"/>
              <w:bottom w:val="nil"/>
              <w:right w:val="nil"/>
            </w:tcBorders>
            <w:vAlign w:val="bottom"/>
          </w:tcPr>
          <w:p w:rsidR="00224F8A" w:rsidRPr="008B2950" w:rsidRDefault="00224F8A" w:rsidP="008B2950">
            <w:pPr>
              <w:pStyle w:val="table1"/>
              <w:rPr>
                <w:color w:val="000000"/>
                <w:szCs w:val="22"/>
                <w:u w:color="000000"/>
              </w:rPr>
            </w:pPr>
            <w:r w:rsidRPr="008B2950">
              <w:rPr>
                <w:color w:val="000000"/>
                <w:szCs w:val="22"/>
                <w:u w:color="000000"/>
              </w:rPr>
              <w:t>0.0</w:t>
            </w:r>
          </w:p>
        </w:tc>
        <w:tc>
          <w:tcPr>
            <w:tcW w:w="980" w:type="dxa"/>
            <w:tcBorders>
              <w:top w:val="nil"/>
              <w:left w:val="nil"/>
              <w:bottom w:val="nil"/>
              <w:right w:val="nil"/>
            </w:tcBorders>
            <w:vAlign w:val="bottom"/>
          </w:tcPr>
          <w:p w:rsidR="00224F8A" w:rsidRPr="008B2950" w:rsidRDefault="00224F8A" w:rsidP="008B2950">
            <w:pPr>
              <w:pStyle w:val="table1"/>
              <w:rPr>
                <w:color w:val="000000"/>
                <w:szCs w:val="22"/>
                <w:u w:color="000000"/>
              </w:rPr>
            </w:pPr>
            <w:r w:rsidRPr="008B2950">
              <w:rPr>
                <w:color w:val="000000"/>
                <w:szCs w:val="22"/>
                <w:u w:color="000000"/>
              </w:rPr>
              <w:t>14.5</w:t>
            </w:r>
          </w:p>
        </w:tc>
        <w:tc>
          <w:tcPr>
            <w:tcW w:w="981" w:type="dxa"/>
            <w:tcBorders>
              <w:top w:val="nil"/>
              <w:left w:val="nil"/>
              <w:bottom w:val="nil"/>
              <w:right w:val="nil"/>
            </w:tcBorders>
            <w:vAlign w:val="bottom"/>
          </w:tcPr>
          <w:p w:rsidR="00224F8A" w:rsidRPr="008B2950" w:rsidRDefault="00224F8A" w:rsidP="008B2950">
            <w:pPr>
              <w:pStyle w:val="table1"/>
              <w:rPr>
                <w:color w:val="000000"/>
                <w:szCs w:val="22"/>
                <w:u w:color="000000"/>
              </w:rPr>
            </w:pPr>
            <w:r w:rsidRPr="008B2950">
              <w:rPr>
                <w:color w:val="000000"/>
                <w:szCs w:val="22"/>
                <w:u w:color="000000"/>
              </w:rPr>
              <w:t>191.0</w:t>
            </w:r>
          </w:p>
        </w:tc>
        <w:tc>
          <w:tcPr>
            <w:tcW w:w="980" w:type="dxa"/>
            <w:tcBorders>
              <w:top w:val="nil"/>
              <w:left w:val="nil"/>
              <w:bottom w:val="nil"/>
              <w:right w:val="nil"/>
            </w:tcBorders>
            <w:vAlign w:val="bottom"/>
          </w:tcPr>
          <w:p w:rsidR="00224F8A" w:rsidRPr="008B2950" w:rsidRDefault="00224F8A" w:rsidP="008B2950">
            <w:pPr>
              <w:pStyle w:val="table1"/>
              <w:rPr>
                <w:color w:val="000000"/>
                <w:szCs w:val="22"/>
                <w:u w:color="000000"/>
              </w:rPr>
            </w:pPr>
            <w:r w:rsidRPr="008B2950">
              <w:rPr>
                <w:color w:val="000000"/>
                <w:szCs w:val="22"/>
                <w:u w:color="000000"/>
              </w:rPr>
              <w:t>0.5</w:t>
            </w:r>
          </w:p>
        </w:tc>
        <w:tc>
          <w:tcPr>
            <w:tcW w:w="980" w:type="dxa"/>
            <w:tcBorders>
              <w:top w:val="nil"/>
              <w:left w:val="nil"/>
              <w:bottom w:val="nil"/>
              <w:right w:val="nil"/>
            </w:tcBorders>
            <w:vAlign w:val="bottom"/>
          </w:tcPr>
          <w:p w:rsidR="00224F8A" w:rsidRPr="008B2950" w:rsidRDefault="00224F8A" w:rsidP="008B2950">
            <w:pPr>
              <w:pStyle w:val="table1"/>
              <w:rPr>
                <w:color w:val="000000"/>
                <w:szCs w:val="22"/>
                <w:u w:color="000000"/>
              </w:rPr>
            </w:pPr>
            <w:r w:rsidRPr="008B2950">
              <w:rPr>
                <w:color w:val="000000"/>
                <w:szCs w:val="22"/>
                <w:u w:color="000000"/>
              </w:rPr>
              <w:t>273.1</w:t>
            </w:r>
          </w:p>
        </w:tc>
        <w:tc>
          <w:tcPr>
            <w:tcW w:w="981" w:type="dxa"/>
            <w:tcBorders>
              <w:top w:val="nil"/>
              <w:left w:val="nil"/>
              <w:bottom w:val="nil"/>
              <w:right w:val="nil"/>
            </w:tcBorders>
            <w:vAlign w:val="bottom"/>
          </w:tcPr>
          <w:p w:rsidR="00224F8A" w:rsidRPr="008B2950" w:rsidRDefault="00224F8A" w:rsidP="008B2950">
            <w:pPr>
              <w:pStyle w:val="table1"/>
              <w:rPr>
                <w:color w:val="000000"/>
                <w:szCs w:val="22"/>
                <w:u w:color="000000"/>
              </w:rPr>
            </w:pPr>
            <w:r w:rsidRPr="008B2950">
              <w:rPr>
                <w:color w:val="000000"/>
                <w:szCs w:val="22"/>
                <w:u w:color="000000"/>
              </w:rPr>
              <w:t>59.0</w:t>
            </w:r>
          </w:p>
        </w:tc>
        <w:tc>
          <w:tcPr>
            <w:tcW w:w="980" w:type="dxa"/>
            <w:tcBorders>
              <w:top w:val="nil"/>
              <w:left w:val="nil"/>
              <w:bottom w:val="nil"/>
              <w:right w:val="nil"/>
            </w:tcBorders>
            <w:vAlign w:val="bottom"/>
          </w:tcPr>
          <w:p w:rsidR="00224F8A" w:rsidRPr="008B2950" w:rsidRDefault="00224F8A" w:rsidP="008B2950">
            <w:pPr>
              <w:pStyle w:val="table1"/>
              <w:rPr>
                <w:color w:val="000000"/>
                <w:szCs w:val="22"/>
                <w:u w:color="000000"/>
              </w:rPr>
            </w:pPr>
            <w:r w:rsidRPr="008B2950">
              <w:rPr>
                <w:color w:val="000000"/>
                <w:szCs w:val="22"/>
                <w:u w:color="000000"/>
              </w:rPr>
              <w:t>26.7</w:t>
            </w:r>
          </w:p>
        </w:tc>
        <w:tc>
          <w:tcPr>
            <w:tcW w:w="981" w:type="dxa"/>
            <w:tcBorders>
              <w:top w:val="nil"/>
              <w:left w:val="nil"/>
              <w:bottom w:val="nil"/>
              <w:right w:val="nil"/>
            </w:tcBorders>
            <w:shd w:val="clear" w:color="auto" w:fill="D9D9D9" w:themeFill="background1" w:themeFillShade="D9"/>
            <w:vAlign w:val="bottom"/>
          </w:tcPr>
          <w:p w:rsidR="00224F8A" w:rsidRPr="008B2950" w:rsidRDefault="00224F8A" w:rsidP="008B2950">
            <w:pPr>
              <w:pStyle w:val="table1"/>
              <w:rPr>
                <w:color w:val="000000"/>
                <w:szCs w:val="22"/>
                <w:u w:color="000000"/>
              </w:rPr>
            </w:pPr>
            <w:r w:rsidRPr="008B2950">
              <w:rPr>
                <w:color w:val="000000"/>
                <w:szCs w:val="22"/>
                <w:u w:color="000000"/>
              </w:rPr>
              <w:t>133.3</w:t>
            </w:r>
          </w:p>
        </w:tc>
        <w:tc>
          <w:tcPr>
            <w:tcW w:w="980" w:type="dxa"/>
            <w:tcBorders>
              <w:top w:val="nil"/>
              <w:left w:val="nil"/>
              <w:bottom w:val="nil"/>
              <w:right w:val="nil"/>
            </w:tcBorders>
            <w:vAlign w:val="bottom"/>
          </w:tcPr>
          <w:p w:rsidR="00224F8A" w:rsidRPr="008B2950" w:rsidRDefault="00224F8A" w:rsidP="008B2950">
            <w:pPr>
              <w:pStyle w:val="table1"/>
              <w:rPr>
                <w:color w:val="000000"/>
                <w:szCs w:val="22"/>
                <w:u w:color="000000"/>
              </w:rPr>
            </w:pPr>
            <w:r w:rsidRPr="008B2950">
              <w:rPr>
                <w:color w:val="000000"/>
                <w:szCs w:val="22"/>
                <w:u w:color="000000"/>
              </w:rPr>
              <w:t>0.0</w:t>
            </w:r>
          </w:p>
        </w:tc>
        <w:tc>
          <w:tcPr>
            <w:tcW w:w="839" w:type="dxa"/>
            <w:tcBorders>
              <w:top w:val="nil"/>
              <w:left w:val="nil"/>
              <w:bottom w:val="nil"/>
              <w:right w:val="nil"/>
            </w:tcBorders>
            <w:vAlign w:val="bottom"/>
          </w:tcPr>
          <w:p w:rsidR="00224F8A" w:rsidRPr="008B2950" w:rsidRDefault="00224F8A" w:rsidP="008B2950">
            <w:pPr>
              <w:pStyle w:val="table1"/>
              <w:rPr>
                <w:color w:val="000000"/>
                <w:szCs w:val="22"/>
                <w:u w:color="000000"/>
              </w:rPr>
            </w:pPr>
            <w:r w:rsidRPr="008B2950">
              <w:rPr>
                <w:color w:val="000000"/>
                <w:szCs w:val="22"/>
                <w:u w:color="000000"/>
              </w:rPr>
              <w:t>71.0</w:t>
            </w:r>
          </w:p>
        </w:tc>
        <w:tc>
          <w:tcPr>
            <w:tcW w:w="851" w:type="dxa"/>
            <w:tcBorders>
              <w:top w:val="nil"/>
              <w:left w:val="nil"/>
              <w:bottom w:val="nil"/>
              <w:right w:val="nil"/>
            </w:tcBorders>
            <w:vAlign w:val="bottom"/>
          </w:tcPr>
          <w:p w:rsidR="00224F8A" w:rsidRPr="008B2950" w:rsidRDefault="00224F8A" w:rsidP="008B2950">
            <w:pPr>
              <w:pStyle w:val="table1"/>
              <w:rPr>
                <w:color w:val="000000"/>
                <w:szCs w:val="22"/>
                <w:u w:color="000000"/>
              </w:rPr>
            </w:pPr>
            <w:r w:rsidRPr="008B2950">
              <w:rPr>
                <w:color w:val="000000"/>
                <w:szCs w:val="22"/>
                <w:u w:color="000000"/>
              </w:rPr>
              <w:t>1171.9</w:t>
            </w:r>
          </w:p>
        </w:tc>
      </w:tr>
      <w:tr w:rsidR="00224F8A" w:rsidRPr="008B2950" w:rsidTr="0020234B">
        <w:tc>
          <w:tcPr>
            <w:tcW w:w="425" w:type="dxa"/>
            <w:vMerge/>
            <w:tcBorders>
              <w:left w:val="nil"/>
              <w:right w:val="nil"/>
            </w:tcBorders>
          </w:tcPr>
          <w:p w:rsidR="00224F8A" w:rsidRPr="008B2950" w:rsidRDefault="00224F8A" w:rsidP="008B2950">
            <w:pPr>
              <w:pStyle w:val="table1"/>
              <w:jc w:val="center"/>
              <w:rPr>
                <w:b/>
                <w:color w:val="000000"/>
                <w:u w:color="000000"/>
              </w:rPr>
            </w:pPr>
          </w:p>
        </w:tc>
        <w:tc>
          <w:tcPr>
            <w:tcW w:w="1276" w:type="dxa"/>
            <w:gridSpan w:val="2"/>
            <w:tcBorders>
              <w:top w:val="nil"/>
              <w:left w:val="nil"/>
              <w:bottom w:val="nil"/>
              <w:right w:val="nil"/>
            </w:tcBorders>
          </w:tcPr>
          <w:p w:rsidR="00224F8A" w:rsidRPr="008B2950" w:rsidRDefault="00224F8A" w:rsidP="008B2950">
            <w:pPr>
              <w:pStyle w:val="table1"/>
              <w:rPr>
                <w:color w:val="000000"/>
                <w:szCs w:val="16"/>
                <w:u w:color="000000"/>
              </w:rPr>
            </w:pPr>
            <w:r w:rsidRPr="008B2950">
              <w:rPr>
                <w:color w:val="000000"/>
                <w:szCs w:val="16"/>
                <w:u w:color="000000"/>
              </w:rPr>
              <w:t>Salvinia</w:t>
            </w:r>
          </w:p>
        </w:tc>
        <w:tc>
          <w:tcPr>
            <w:tcW w:w="839" w:type="dxa"/>
            <w:tcBorders>
              <w:top w:val="nil"/>
              <w:left w:val="nil"/>
              <w:bottom w:val="nil"/>
              <w:right w:val="nil"/>
            </w:tcBorders>
            <w:vAlign w:val="bottom"/>
          </w:tcPr>
          <w:p w:rsidR="00224F8A" w:rsidRPr="008B2950" w:rsidRDefault="00224F8A" w:rsidP="008B2950">
            <w:pPr>
              <w:pStyle w:val="table1"/>
              <w:rPr>
                <w:color w:val="000000"/>
                <w:szCs w:val="22"/>
                <w:u w:color="000000"/>
              </w:rPr>
            </w:pPr>
            <w:r w:rsidRPr="008B2950">
              <w:rPr>
                <w:color w:val="000000"/>
                <w:szCs w:val="22"/>
                <w:u w:color="000000"/>
              </w:rPr>
              <w:t>0.0</w:t>
            </w:r>
          </w:p>
        </w:tc>
        <w:tc>
          <w:tcPr>
            <w:tcW w:w="980" w:type="dxa"/>
            <w:tcBorders>
              <w:top w:val="nil"/>
              <w:left w:val="nil"/>
              <w:bottom w:val="nil"/>
              <w:right w:val="nil"/>
            </w:tcBorders>
            <w:vAlign w:val="bottom"/>
          </w:tcPr>
          <w:p w:rsidR="00224F8A" w:rsidRPr="008B2950" w:rsidRDefault="00224F8A" w:rsidP="008B2950">
            <w:pPr>
              <w:pStyle w:val="table1"/>
              <w:rPr>
                <w:color w:val="000000"/>
                <w:szCs w:val="22"/>
                <w:u w:color="000000"/>
              </w:rPr>
            </w:pPr>
            <w:r w:rsidRPr="008B2950">
              <w:rPr>
                <w:color w:val="000000"/>
                <w:szCs w:val="22"/>
                <w:u w:color="000000"/>
              </w:rPr>
              <w:t>8.1</w:t>
            </w:r>
          </w:p>
        </w:tc>
        <w:tc>
          <w:tcPr>
            <w:tcW w:w="981" w:type="dxa"/>
            <w:tcBorders>
              <w:top w:val="nil"/>
              <w:left w:val="nil"/>
              <w:bottom w:val="nil"/>
              <w:right w:val="nil"/>
            </w:tcBorders>
            <w:vAlign w:val="bottom"/>
          </w:tcPr>
          <w:p w:rsidR="00224F8A" w:rsidRPr="008B2950" w:rsidRDefault="00224F8A" w:rsidP="008B2950">
            <w:pPr>
              <w:pStyle w:val="table1"/>
              <w:rPr>
                <w:color w:val="000000"/>
                <w:szCs w:val="22"/>
                <w:u w:color="000000"/>
              </w:rPr>
            </w:pPr>
            <w:r w:rsidRPr="008B2950">
              <w:rPr>
                <w:color w:val="000000"/>
                <w:szCs w:val="22"/>
                <w:u w:color="000000"/>
              </w:rPr>
              <w:t>0.0</w:t>
            </w:r>
          </w:p>
        </w:tc>
        <w:tc>
          <w:tcPr>
            <w:tcW w:w="980" w:type="dxa"/>
            <w:tcBorders>
              <w:top w:val="nil"/>
              <w:left w:val="nil"/>
              <w:bottom w:val="nil"/>
              <w:right w:val="nil"/>
            </w:tcBorders>
            <w:vAlign w:val="bottom"/>
          </w:tcPr>
          <w:p w:rsidR="00224F8A" w:rsidRPr="008B2950" w:rsidRDefault="00224F8A" w:rsidP="008B2950">
            <w:pPr>
              <w:pStyle w:val="table1"/>
              <w:rPr>
                <w:color w:val="000000"/>
                <w:szCs w:val="22"/>
                <w:u w:color="000000"/>
              </w:rPr>
            </w:pPr>
            <w:r w:rsidRPr="008B2950">
              <w:rPr>
                <w:color w:val="000000"/>
                <w:szCs w:val="22"/>
                <w:u w:color="000000"/>
              </w:rPr>
              <w:t>0.7</w:t>
            </w:r>
          </w:p>
        </w:tc>
        <w:tc>
          <w:tcPr>
            <w:tcW w:w="981" w:type="dxa"/>
            <w:tcBorders>
              <w:top w:val="nil"/>
              <w:left w:val="nil"/>
              <w:bottom w:val="nil"/>
              <w:right w:val="nil"/>
            </w:tcBorders>
            <w:vAlign w:val="bottom"/>
          </w:tcPr>
          <w:p w:rsidR="00224F8A" w:rsidRPr="008B2950" w:rsidRDefault="00224F8A" w:rsidP="008B2950">
            <w:pPr>
              <w:pStyle w:val="table1"/>
              <w:rPr>
                <w:color w:val="000000"/>
                <w:szCs w:val="22"/>
                <w:u w:color="000000"/>
              </w:rPr>
            </w:pPr>
            <w:r w:rsidRPr="008B2950">
              <w:rPr>
                <w:color w:val="000000"/>
                <w:szCs w:val="22"/>
                <w:u w:color="000000"/>
              </w:rPr>
              <w:t>34.9</w:t>
            </w:r>
          </w:p>
        </w:tc>
        <w:tc>
          <w:tcPr>
            <w:tcW w:w="980" w:type="dxa"/>
            <w:tcBorders>
              <w:top w:val="nil"/>
              <w:left w:val="nil"/>
              <w:bottom w:val="nil"/>
              <w:right w:val="nil"/>
            </w:tcBorders>
            <w:vAlign w:val="bottom"/>
          </w:tcPr>
          <w:p w:rsidR="00224F8A" w:rsidRPr="008B2950" w:rsidRDefault="00224F8A" w:rsidP="008B2950">
            <w:pPr>
              <w:pStyle w:val="table1"/>
              <w:rPr>
                <w:color w:val="000000"/>
                <w:szCs w:val="22"/>
                <w:u w:color="000000"/>
              </w:rPr>
            </w:pPr>
            <w:r w:rsidRPr="008B2950">
              <w:rPr>
                <w:color w:val="000000"/>
                <w:szCs w:val="22"/>
                <w:u w:color="000000"/>
              </w:rPr>
              <w:t>0.0</w:t>
            </w:r>
          </w:p>
        </w:tc>
        <w:tc>
          <w:tcPr>
            <w:tcW w:w="980" w:type="dxa"/>
            <w:tcBorders>
              <w:top w:val="nil"/>
              <w:left w:val="nil"/>
              <w:bottom w:val="nil"/>
              <w:right w:val="nil"/>
            </w:tcBorders>
            <w:vAlign w:val="bottom"/>
          </w:tcPr>
          <w:p w:rsidR="00224F8A" w:rsidRPr="008B2950" w:rsidRDefault="00224F8A" w:rsidP="008B2950">
            <w:pPr>
              <w:pStyle w:val="table1"/>
              <w:rPr>
                <w:color w:val="000000"/>
                <w:szCs w:val="22"/>
                <w:u w:color="000000"/>
              </w:rPr>
            </w:pPr>
            <w:r w:rsidRPr="008B2950">
              <w:rPr>
                <w:color w:val="000000"/>
                <w:szCs w:val="22"/>
                <w:u w:color="000000"/>
              </w:rPr>
              <w:t>9.9</w:t>
            </w:r>
          </w:p>
        </w:tc>
        <w:tc>
          <w:tcPr>
            <w:tcW w:w="981" w:type="dxa"/>
            <w:tcBorders>
              <w:top w:val="nil"/>
              <w:left w:val="nil"/>
              <w:bottom w:val="nil"/>
              <w:right w:val="nil"/>
            </w:tcBorders>
            <w:vAlign w:val="bottom"/>
          </w:tcPr>
          <w:p w:rsidR="00224F8A" w:rsidRPr="008B2950" w:rsidRDefault="00224F8A" w:rsidP="008B2950">
            <w:pPr>
              <w:pStyle w:val="table1"/>
              <w:rPr>
                <w:color w:val="000000"/>
                <w:szCs w:val="22"/>
                <w:u w:color="000000"/>
              </w:rPr>
            </w:pPr>
            <w:r w:rsidRPr="008B2950">
              <w:rPr>
                <w:color w:val="000000"/>
                <w:szCs w:val="22"/>
                <w:u w:color="000000"/>
              </w:rPr>
              <w:t>9.4</w:t>
            </w:r>
          </w:p>
        </w:tc>
        <w:tc>
          <w:tcPr>
            <w:tcW w:w="980" w:type="dxa"/>
            <w:tcBorders>
              <w:top w:val="nil"/>
              <w:left w:val="nil"/>
              <w:bottom w:val="nil"/>
              <w:right w:val="nil"/>
            </w:tcBorders>
            <w:vAlign w:val="bottom"/>
          </w:tcPr>
          <w:p w:rsidR="00224F8A" w:rsidRPr="008B2950" w:rsidRDefault="00224F8A" w:rsidP="008B2950">
            <w:pPr>
              <w:pStyle w:val="table1"/>
              <w:rPr>
                <w:color w:val="000000"/>
                <w:szCs w:val="22"/>
                <w:u w:color="000000"/>
              </w:rPr>
            </w:pPr>
            <w:r w:rsidRPr="008B2950">
              <w:rPr>
                <w:color w:val="000000"/>
                <w:szCs w:val="22"/>
                <w:u w:color="000000"/>
              </w:rPr>
              <w:t>0.0</w:t>
            </w:r>
          </w:p>
        </w:tc>
        <w:tc>
          <w:tcPr>
            <w:tcW w:w="981" w:type="dxa"/>
            <w:tcBorders>
              <w:top w:val="nil"/>
              <w:left w:val="nil"/>
              <w:bottom w:val="nil"/>
              <w:right w:val="nil"/>
            </w:tcBorders>
            <w:vAlign w:val="bottom"/>
          </w:tcPr>
          <w:p w:rsidR="00224F8A" w:rsidRPr="008B2950" w:rsidRDefault="00224F8A" w:rsidP="008B2950">
            <w:pPr>
              <w:pStyle w:val="table1"/>
              <w:rPr>
                <w:color w:val="000000"/>
                <w:szCs w:val="22"/>
                <w:u w:color="000000"/>
              </w:rPr>
            </w:pPr>
            <w:r w:rsidRPr="008B2950">
              <w:rPr>
                <w:color w:val="000000"/>
                <w:szCs w:val="22"/>
                <w:u w:color="000000"/>
              </w:rPr>
              <w:t>1.8</w:t>
            </w:r>
          </w:p>
        </w:tc>
        <w:tc>
          <w:tcPr>
            <w:tcW w:w="980" w:type="dxa"/>
            <w:tcBorders>
              <w:top w:val="nil"/>
              <w:left w:val="nil"/>
              <w:bottom w:val="nil"/>
              <w:right w:val="nil"/>
            </w:tcBorders>
            <w:shd w:val="clear" w:color="auto" w:fill="D9D9D9" w:themeFill="background1" w:themeFillShade="D9"/>
            <w:vAlign w:val="bottom"/>
          </w:tcPr>
          <w:p w:rsidR="00224F8A" w:rsidRPr="008B2950" w:rsidRDefault="00224F8A" w:rsidP="008B2950">
            <w:pPr>
              <w:pStyle w:val="table1"/>
              <w:rPr>
                <w:color w:val="000000"/>
                <w:szCs w:val="22"/>
                <w:u w:color="000000"/>
              </w:rPr>
            </w:pPr>
            <w:r w:rsidRPr="008B2950">
              <w:rPr>
                <w:color w:val="000000"/>
                <w:szCs w:val="22"/>
                <w:u w:color="000000"/>
              </w:rPr>
              <w:t>0.0</w:t>
            </w:r>
          </w:p>
        </w:tc>
        <w:tc>
          <w:tcPr>
            <w:tcW w:w="839" w:type="dxa"/>
            <w:tcBorders>
              <w:top w:val="nil"/>
              <w:left w:val="nil"/>
              <w:bottom w:val="nil"/>
              <w:right w:val="nil"/>
            </w:tcBorders>
            <w:vAlign w:val="bottom"/>
          </w:tcPr>
          <w:p w:rsidR="00224F8A" w:rsidRPr="008B2950" w:rsidRDefault="00224F8A" w:rsidP="008B2950">
            <w:pPr>
              <w:pStyle w:val="table1"/>
              <w:rPr>
                <w:color w:val="000000"/>
                <w:szCs w:val="22"/>
                <w:u w:color="000000"/>
              </w:rPr>
            </w:pPr>
            <w:r w:rsidRPr="008B2950">
              <w:rPr>
                <w:color w:val="000000"/>
                <w:szCs w:val="22"/>
                <w:u w:color="000000"/>
              </w:rPr>
              <w:t>0.7</w:t>
            </w:r>
          </w:p>
        </w:tc>
        <w:tc>
          <w:tcPr>
            <w:tcW w:w="851" w:type="dxa"/>
            <w:tcBorders>
              <w:top w:val="nil"/>
              <w:left w:val="nil"/>
              <w:bottom w:val="nil"/>
              <w:right w:val="nil"/>
            </w:tcBorders>
            <w:vAlign w:val="bottom"/>
          </w:tcPr>
          <w:p w:rsidR="00224F8A" w:rsidRPr="008B2950" w:rsidRDefault="00224F8A" w:rsidP="008B2950">
            <w:pPr>
              <w:pStyle w:val="table1"/>
              <w:rPr>
                <w:color w:val="000000"/>
                <w:szCs w:val="22"/>
                <w:u w:color="000000"/>
              </w:rPr>
            </w:pPr>
            <w:r w:rsidRPr="008B2950">
              <w:rPr>
                <w:color w:val="000000"/>
                <w:szCs w:val="22"/>
                <w:u w:color="000000"/>
              </w:rPr>
              <w:t>65.5</w:t>
            </w:r>
          </w:p>
        </w:tc>
      </w:tr>
      <w:tr w:rsidR="00224F8A" w:rsidRPr="008B2950" w:rsidTr="0020234B">
        <w:tc>
          <w:tcPr>
            <w:tcW w:w="425" w:type="dxa"/>
            <w:vMerge/>
            <w:tcBorders>
              <w:left w:val="nil"/>
              <w:right w:val="nil"/>
            </w:tcBorders>
          </w:tcPr>
          <w:p w:rsidR="00224F8A" w:rsidRPr="008B2950" w:rsidRDefault="00224F8A" w:rsidP="008B2950">
            <w:pPr>
              <w:pStyle w:val="table1"/>
              <w:jc w:val="center"/>
              <w:rPr>
                <w:b/>
                <w:color w:val="000000"/>
                <w:u w:color="000000"/>
              </w:rPr>
            </w:pPr>
          </w:p>
        </w:tc>
        <w:tc>
          <w:tcPr>
            <w:tcW w:w="1276" w:type="dxa"/>
            <w:gridSpan w:val="2"/>
            <w:tcBorders>
              <w:top w:val="nil"/>
              <w:left w:val="nil"/>
              <w:bottom w:val="nil"/>
              <w:right w:val="nil"/>
            </w:tcBorders>
          </w:tcPr>
          <w:p w:rsidR="00224F8A" w:rsidRPr="008B2950" w:rsidRDefault="00224F8A" w:rsidP="008B2950">
            <w:pPr>
              <w:pStyle w:val="table1"/>
              <w:rPr>
                <w:color w:val="000000"/>
                <w:szCs w:val="16"/>
                <w:u w:color="000000"/>
              </w:rPr>
            </w:pPr>
            <w:r w:rsidRPr="008B2950">
              <w:rPr>
                <w:color w:val="000000"/>
                <w:szCs w:val="16"/>
                <w:u w:color="000000"/>
              </w:rPr>
              <w:t>Water</w:t>
            </w:r>
          </w:p>
        </w:tc>
        <w:tc>
          <w:tcPr>
            <w:tcW w:w="839" w:type="dxa"/>
            <w:tcBorders>
              <w:top w:val="nil"/>
              <w:left w:val="nil"/>
              <w:bottom w:val="nil"/>
              <w:right w:val="nil"/>
            </w:tcBorders>
            <w:vAlign w:val="bottom"/>
          </w:tcPr>
          <w:p w:rsidR="00224F8A" w:rsidRPr="008B2950" w:rsidRDefault="00224F8A" w:rsidP="008B2950">
            <w:pPr>
              <w:pStyle w:val="table1"/>
              <w:rPr>
                <w:color w:val="000000"/>
                <w:szCs w:val="22"/>
                <w:u w:color="000000"/>
              </w:rPr>
            </w:pPr>
            <w:r w:rsidRPr="008B2950">
              <w:rPr>
                <w:color w:val="000000"/>
                <w:szCs w:val="22"/>
                <w:u w:color="000000"/>
              </w:rPr>
              <w:t>0.0</w:t>
            </w:r>
          </w:p>
        </w:tc>
        <w:tc>
          <w:tcPr>
            <w:tcW w:w="980" w:type="dxa"/>
            <w:tcBorders>
              <w:top w:val="nil"/>
              <w:left w:val="nil"/>
              <w:bottom w:val="nil"/>
              <w:right w:val="nil"/>
            </w:tcBorders>
            <w:vAlign w:val="bottom"/>
          </w:tcPr>
          <w:p w:rsidR="00224F8A" w:rsidRPr="008B2950" w:rsidRDefault="00224F8A" w:rsidP="008B2950">
            <w:pPr>
              <w:pStyle w:val="table1"/>
              <w:rPr>
                <w:color w:val="000000"/>
                <w:szCs w:val="22"/>
                <w:u w:color="000000"/>
              </w:rPr>
            </w:pPr>
            <w:r w:rsidRPr="008B2950">
              <w:rPr>
                <w:color w:val="000000"/>
                <w:szCs w:val="22"/>
                <w:u w:color="000000"/>
              </w:rPr>
              <w:t>174.2</w:t>
            </w:r>
          </w:p>
        </w:tc>
        <w:tc>
          <w:tcPr>
            <w:tcW w:w="981" w:type="dxa"/>
            <w:tcBorders>
              <w:top w:val="nil"/>
              <w:left w:val="nil"/>
              <w:bottom w:val="nil"/>
              <w:right w:val="nil"/>
            </w:tcBorders>
            <w:vAlign w:val="bottom"/>
          </w:tcPr>
          <w:p w:rsidR="00224F8A" w:rsidRPr="008B2950" w:rsidRDefault="00224F8A" w:rsidP="008B2950">
            <w:pPr>
              <w:pStyle w:val="table1"/>
              <w:rPr>
                <w:color w:val="000000"/>
                <w:szCs w:val="22"/>
                <w:u w:color="000000"/>
              </w:rPr>
            </w:pPr>
            <w:r w:rsidRPr="008B2950">
              <w:rPr>
                <w:color w:val="000000"/>
                <w:szCs w:val="22"/>
                <w:u w:color="000000"/>
              </w:rPr>
              <w:t>0.0</w:t>
            </w:r>
          </w:p>
        </w:tc>
        <w:tc>
          <w:tcPr>
            <w:tcW w:w="980" w:type="dxa"/>
            <w:tcBorders>
              <w:top w:val="nil"/>
              <w:left w:val="nil"/>
              <w:bottom w:val="nil"/>
              <w:right w:val="nil"/>
            </w:tcBorders>
            <w:vAlign w:val="bottom"/>
          </w:tcPr>
          <w:p w:rsidR="00224F8A" w:rsidRPr="008B2950" w:rsidRDefault="00224F8A" w:rsidP="008B2950">
            <w:pPr>
              <w:pStyle w:val="table1"/>
              <w:rPr>
                <w:color w:val="000000"/>
                <w:szCs w:val="22"/>
                <w:u w:color="000000"/>
              </w:rPr>
            </w:pPr>
            <w:r w:rsidRPr="008B2950">
              <w:rPr>
                <w:color w:val="000000"/>
                <w:szCs w:val="22"/>
                <w:u w:color="000000"/>
              </w:rPr>
              <w:t>7.0</w:t>
            </w:r>
          </w:p>
        </w:tc>
        <w:tc>
          <w:tcPr>
            <w:tcW w:w="981" w:type="dxa"/>
            <w:tcBorders>
              <w:top w:val="nil"/>
              <w:left w:val="nil"/>
              <w:bottom w:val="nil"/>
              <w:right w:val="nil"/>
            </w:tcBorders>
            <w:vAlign w:val="bottom"/>
          </w:tcPr>
          <w:p w:rsidR="00224F8A" w:rsidRPr="008B2950" w:rsidRDefault="00224F8A" w:rsidP="008B2950">
            <w:pPr>
              <w:pStyle w:val="table1"/>
              <w:rPr>
                <w:color w:val="000000"/>
                <w:szCs w:val="22"/>
                <w:u w:color="000000"/>
              </w:rPr>
            </w:pPr>
            <w:r w:rsidRPr="008B2950">
              <w:rPr>
                <w:color w:val="000000"/>
                <w:szCs w:val="22"/>
                <w:u w:color="000000"/>
              </w:rPr>
              <w:t>124.7</w:t>
            </w:r>
          </w:p>
        </w:tc>
        <w:tc>
          <w:tcPr>
            <w:tcW w:w="980" w:type="dxa"/>
            <w:tcBorders>
              <w:top w:val="nil"/>
              <w:left w:val="nil"/>
              <w:bottom w:val="nil"/>
              <w:right w:val="nil"/>
            </w:tcBorders>
            <w:vAlign w:val="bottom"/>
          </w:tcPr>
          <w:p w:rsidR="00224F8A" w:rsidRPr="008B2950" w:rsidRDefault="00224F8A" w:rsidP="008B2950">
            <w:pPr>
              <w:pStyle w:val="table1"/>
              <w:rPr>
                <w:color w:val="000000"/>
                <w:szCs w:val="22"/>
                <w:u w:color="000000"/>
              </w:rPr>
            </w:pPr>
            <w:r w:rsidRPr="008B2950">
              <w:rPr>
                <w:color w:val="000000"/>
                <w:szCs w:val="22"/>
                <w:u w:color="000000"/>
              </w:rPr>
              <w:t>4.9</w:t>
            </w:r>
          </w:p>
        </w:tc>
        <w:tc>
          <w:tcPr>
            <w:tcW w:w="980" w:type="dxa"/>
            <w:tcBorders>
              <w:top w:val="nil"/>
              <w:left w:val="nil"/>
              <w:bottom w:val="nil"/>
              <w:right w:val="nil"/>
            </w:tcBorders>
            <w:vAlign w:val="bottom"/>
          </w:tcPr>
          <w:p w:rsidR="00224F8A" w:rsidRPr="008B2950" w:rsidRDefault="00224F8A" w:rsidP="008B2950">
            <w:pPr>
              <w:pStyle w:val="table1"/>
              <w:rPr>
                <w:color w:val="000000"/>
                <w:szCs w:val="22"/>
                <w:u w:color="000000"/>
              </w:rPr>
            </w:pPr>
            <w:r w:rsidRPr="008B2950">
              <w:rPr>
                <w:color w:val="000000"/>
                <w:szCs w:val="22"/>
                <w:u w:color="000000"/>
              </w:rPr>
              <w:t>166.9</w:t>
            </w:r>
          </w:p>
        </w:tc>
        <w:tc>
          <w:tcPr>
            <w:tcW w:w="981" w:type="dxa"/>
            <w:tcBorders>
              <w:top w:val="nil"/>
              <w:left w:val="nil"/>
              <w:bottom w:val="nil"/>
              <w:right w:val="nil"/>
            </w:tcBorders>
            <w:vAlign w:val="bottom"/>
          </w:tcPr>
          <w:p w:rsidR="00224F8A" w:rsidRPr="008B2950" w:rsidRDefault="00224F8A" w:rsidP="008B2950">
            <w:pPr>
              <w:pStyle w:val="table1"/>
              <w:rPr>
                <w:color w:val="000000"/>
                <w:szCs w:val="22"/>
                <w:u w:color="000000"/>
              </w:rPr>
            </w:pPr>
            <w:r w:rsidRPr="008B2950">
              <w:rPr>
                <w:color w:val="000000"/>
                <w:szCs w:val="22"/>
                <w:u w:color="000000"/>
              </w:rPr>
              <w:t>43.5</w:t>
            </w:r>
          </w:p>
        </w:tc>
        <w:tc>
          <w:tcPr>
            <w:tcW w:w="980" w:type="dxa"/>
            <w:tcBorders>
              <w:top w:val="nil"/>
              <w:left w:val="nil"/>
              <w:bottom w:val="nil"/>
              <w:right w:val="nil"/>
            </w:tcBorders>
            <w:vAlign w:val="bottom"/>
          </w:tcPr>
          <w:p w:rsidR="00224F8A" w:rsidRPr="008B2950" w:rsidRDefault="00224F8A" w:rsidP="008B2950">
            <w:pPr>
              <w:pStyle w:val="table1"/>
              <w:rPr>
                <w:color w:val="000000"/>
                <w:szCs w:val="22"/>
                <w:u w:color="000000"/>
              </w:rPr>
            </w:pPr>
            <w:r w:rsidRPr="008B2950">
              <w:rPr>
                <w:color w:val="000000"/>
                <w:szCs w:val="22"/>
                <w:u w:color="000000"/>
              </w:rPr>
              <w:t>49.7</w:t>
            </w:r>
          </w:p>
        </w:tc>
        <w:tc>
          <w:tcPr>
            <w:tcW w:w="981" w:type="dxa"/>
            <w:tcBorders>
              <w:top w:val="nil"/>
              <w:left w:val="nil"/>
              <w:bottom w:val="nil"/>
              <w:right w:val="nil"/>
            </w:tcBorders>
            <w:vAlign w:val="bottom"/>
          </w:tcPr>
          <w:p w:rsidR="00224F8A" w:rsidRPr="008B2950" w:rsidRDefault="00224F8A" w:rsidP="008B2950">
            <w:pPr>
              <w:pStyle w:val="table1"/>
              <w:rPr>
                <w:color w:val="000000"/>
                <w:szCs w:val="22"/>
                <w:u w:color="000000"/>
              </w:rPr>
            </w:pPr>
            <w:r w:rsidRPr="008B2950">
              <w:rPr>
                <w:color w:val="000000"/>
                <w:szCs w:val="22"/>
                <w:u w:color="000000"/>
              </w:rPr>
              <w:t>115.8</w:t>
            </w:r>
          </w:p>
        </w:tc>
        <w:tc>
          <w:tcPr>
            <w:tcW w:w="980" w:type="dxa"/>
            <w:tcBorders>
              <w:top w:val="nil"/>
              <w:left w:val="nil"/>
              <w:bottom w:val="nil"/>
              <w:right w:val="nil"/>
            </w:tcBorders>
            <w:vAlign w:val="bottom"/>
          </w:tcPr>
          <w:p w:rsidR="00224F8A" w:rsidRPr="008B2950" w:rsidRDefault="00224F8A" w:rsidP="008B2950">
            <w:pPr>
              <w:pStyle w:val="table1"/>
              <w:rPr>
                <w:color w:val="000000"/>
                <w:szCs w:val="22"/>
                <w:u w:color="000000"/>
              </w:rPr>
            </w:pPr>
            <w:r w:rsidRPr="008B2950">
              <w:rPr>
                <w:color w:val="000000"/>
                <w:szCs w:val="22"/>
                <w:u w:color="000000"/>
              </w:rPr>
              <w:t>0.0</w:t>
            </w:r>
          </w:p>
        </w:tc>
        <w:tc>
          <w:tcPr>
            <w:tcW w:w="839" w:type="dxa"/>
            <w:tcBorders>
              <w:top w:val="nil"/>
              <w:left w:val="nil"/>
              <w:bottom w:val="nil"/>
              <w:right w:val="nil"/>
            </w:tcBorders>
            <w:shd w:val="clear" w:color="auto" w:fill="D9D9D9" w:themeFill="background1" w:themeFillShade="D9"/>
            <w:vAlign w:val="bottom"/>
          </w:tcPr>
          <w:p w:rsidR="00224F8A" w:rsidRPr="008B2950" w:rsidRDefault="00224F8A" w:rsidP="008B2950">
            <w:pPr>
              <w:pStyle w:val="table1"/>
              <w:rPr>
                <w:color w:val="000000"/>
                <w:szCs w:val="22"/>
                <w:u w:color="000000"/>
              </w:rPr>
            </w:pPr>
            <w:r w:rsidRPr="008B2950">
              <w:rPr>
                <w:color w:val="000000"/>
                <w:szCs w:val="22"/>
                <w:u w:color="000000"/>
              </w:rPr>
              <w:t>369.9</w:t>
            </w:r>
          </w:p>
        </w:tc>
        <w:tc>
          <w:tcPr>
            <w:tcW w:w="851" w:type="dxa"/>
            <w:tcBorders>
              <w:top w:val="nil"/>
              <w:left w:val="nil"/>
              <w:bottom w:val="nil"/>
              <w:right w:val="nil"/>
            </w:tcBorders>
            <w:vAlign w:val="bottom"/>
          </w:tcPr>
          <w:p w:rsidR="00224F8A" w:rsidRPr="008B2950" w:rsidRDefault="00224F8A" w:rsidP="008B2950">
            <w:pPr>
              <w:pStyle w:val="table1"/>
              <w:rPr>
                <w:color w:val="000000"/>
                <w:szCs w:val="22"/>
                <w:u w:color="000000"/>
              </w:rPr>
            </w:pPr>
            <w:r w:rsidRPr="008B2950">
              <w:rPr>
                <w:color w:val="000000"/>
                <w:szCs w:val="22"/>
                <w:u w:color="000000"/>
              </w:rPr>
              <w:t>1056.7</w:t>
            </w:r>
          </w:p>
        </w:tc>
      </w:tr>
      <w:tr w:rsidR="00224F8A" w:rsidRPr="008B2950" w:rsidTr="0020234B">
        <w:trPr>
          <w:trHeight w:val="393"/>
        </w:trPr>
        <w:tc>
          <w:tcPr>
            <w:tcW w:w="425" w:type="dxa"/>
            <w:vMerge/>
            <w:tcBorders>
              <w:left w:val="nil"/>
              <w:right w:val="nil"/>
            </w:tcBorders>
          </w:tcPr>
          <w:p w:rsidR="00224F8A" w:rsidRPr="008B2950" w:rsidRDefault="00224F8A" w:rsidP="008B2950">
            <w:pPr>
              <w:pStyle w:val="table1"/>
              <w:jc w:val="center"/>
              <w:rPr>
                <w:b/>
                <w:color w:val="000000"/>
                <w:u w:color="000000"/>
              </w:rPr>
            </w:pPr>
          </w:p>
        </w:tc>
        <w:tc>
          <w:tcPr>
            <w:tcW w:w="1276" w:type="dxa"/>
            <w:gridSpan w:val="2"/>
            <w:tcBorders>
              <w:top w:val="nil"/>
              <w:left w:val="nil"/>
              <w:bottom w:val="single" w:sz="4" w:space="0" w:color="auto"/>
              <w:right w:val="nil"/>
            </w:tcBorders>
          </w:tcPr>
          <w:p w:rsidR="00224F8A" w:rsidRPr="008B2950" w:rsidRDefault="00224F8A" w:rsidP="008B2950">
            <w:pPr>
              <w:pStyle w:val="table1"/>
              <w:rPr>
                <w:color w:val="000000"/>
                <w:u w:color="000000"/>
              </w:rPr>
            </w:pPr>
            <w:r w:rsidRPr="008B2950">
              <w:rPr>
                <w:color w:val="000000"/>
                <w:u w:color="000000"/>
              </w:rPr>
              <w:t>Total</w:t>
            </w:r>
          </w:p>
        </w:tc>
        <w:tc>
          <w:tcPr>
            <w:tcW w:w="839" w:type="dxa"/>
            <w:tcBorders>
              <w:top w:val="nil"/>
              <w:left w:val="nil"/>
              <w:bottom w:val="single" w:sz="4" w:space="0" w:color="auto"/>
              <w:right w:val="nil"/>
            </w:tcBorders>
            <w:vAlign w:val="bottom"/>
          </w:tcPr>
          <w:p w:rsidR="00224F8A" w:rsidRPr="008B2950" w:rsidRDefault="00224F8A" w:rsidP="008B2950">
            <w:pPr>
              <w:pStyle w:val="table1"/>
              <w:rPr>
                <w:color w:val="000000"/>
                <w:szCs w:val="22"/>
                <w:u w:color="000000"/>
              </w:rPr>
            </w:pPr>
            <w:r w:rsidRPr="008B2950">
              <w:rPr>
                <w:color w:val="000000"/>
                <w:szCs w:val="22"/>
                <w:u w:color="000000"/>
              </w:rPr>
              <w:t>0</w:t>
            </w:r>
          </w:p>
        </w:tc>
        <w:tc>
          <w:tcPr>
            <w:tcW w:w="980" w:type="dxa"/>
            <w:tcBorders>
              <w:top w:val="nil"/>
              <w:left w:val="nil"/>
              <w:bottom w:val="single" w:sz="4" w:space="0" w:color="auto"/>
              <w:right w:val="nil"/>
            </w:tcBorders>
            <w:vAlign w:val="bottom"/>
          </w:tcPr>
          <w:p w:rsidR="00224F8A" w:rsidRPr="008B2950" w:rsidRDefault="00224F8A" w:rsidP="008B2950">
            <w:pPr>
              <w:pStyle w:val="table1"/>
              <w:rPr>
                <w:color w:val="000000"/>
                <w:szCs w:val="22"/>
                <w:u w:color="000000"/>
              </w:rPr>
            </w:pPr>
            <w:r w:rsidRPr="008B2950">
              <w:rPr>
                <w:color w:val="000000"/>
                <w:szCs w:val="22"/>
                <w:u w:color="000000"/>
              </w:rPr>
              <w:t>1166</w:t>
            </w:r>
          </w:p>
        </w:tc>
        <w:tc>
          <w:tcPr>
            <w:tcW w:w="981" w:type="dxa"/>
            <w:tcBorders>
              <w:top w:val="nil"/>
              <w:left w:val="nil"/>
              <w:bottom w:val="single" w:sz="4" w:space="0" w:color="auto"/>
              <w:right w:val="nil"/>
            </w:tcBorders>
            <w:vAlign w:val="bottom"/>
          </w:tcPr>
          <w:p w:rsidR="00224F8A" w:rsidRPr="008B2950" w:rsidRDefault="00224F8A" w:rsidP="008B2950">
            <w:pPr>
              <w:pStyle w:val="table1"/>
              <w:rPr>
                <w:color w:val="000000"/>
                <w:szCs w:val="22"/>
                <w:u w:color="000000"/>
              </w:rPr>
            </w:pPr>
            <w:r w:rsidRPr="008B2950">
              <w:rPr>
                <w:color w:val="000000"/>
                <w:szCs w:val="22"/>
                <w:u w:color="000000"/>
              </w:rPr>
              <w:t>0</w:t>
            </w:r>
          </w:p>
        </w:tc>
        <w:tc>
          <w:tcPr>
            <w:tcW w:w="980" w:type="dxa"/>
            <w:tcBorders>
              <w:top w:val="nil"/>
              <w:left w:val="nil"/>
              <w:bottom w:val="single" w:sz="4" w:space="0" w:color="auto"/>
              <w:right w:val="nil"/>
            </w:tcBorders>
            <w:vAlign w:val="bottom"/>
          </w:tcPr>
          <w:p w:rsidR="00224F8A" w:rsidRPr="008B2950" w:rsidRDefault="00224F8A" w:rsidP="008B2950">
            <w:pPr>
              <w:pStyle w:val="table1"/>
              <w:rPr>
                <w:color w:val="000000"/>
                <w:szCs w:val="22"/>
                <w:u w:color="000000"/>
              </w:rPr>
            </w:pPr>
            <w:r w:rsidRPr="008B2950">
              <w:rPr>
                <w:color w:val="000000"/>
                <w:szCs w:val="22"/>
                <w:u w:color="000000"/>
              </w:rPr>
              <w:t>173</w:t>
            </w:r>
          </w:p>
        </w:tc>
        <w:tc>
          <w:tcPr>
            <w:tcW w:w="981" w:type="dxa"/>
            <w:tcBorders>
              <w:top w:val="nil"/>
              <w:left w:val="nil"/>
              <w:bottom w:val="single" w:sz="4" w:space="0" w:color="auto"/>
              <w:right w:val="nil"/>
            </w:tcBorders>
            <w:vAlign w:val="bottom"/>
          </w:tcPr>
          <w:p w:rsidR="00224F8A" w:rsidRPr="008B2950" w:rsidRDefault="00224F8A" w:rsidP="008B2950">
            <w:pPr>
              <w:pStyle w:val="table1"/>
              <w:rPr>
                <w:color w:val="000000"/>
                <w:szCs w:val="22"/>
                <w:u w:color="000000"/>
              </w:rPr>
            </w:pPr>
            <w:r w:rsidRPr="008B2950">
              <w:rPr>
                <w:color w:val="000000"/>
                <w:szCs w:val="22"/>
                <w:u w:color="000000"/>
              </w:rPr>
              <w:t>1495</w:t>
            </w:r>
          </w:p>
        </w:tc>
        <w:tc>
          <w:tcPr>
            <w:tcW w:w="980" w:type="dxa"/>
            <w:tcBorders>
              <w:top w:val="nil"/>
              <w:left w:val="nil"/>
              <w:bottom w:val="single" w:sz="4" w:space="0" w:color="auto"/>
              <w:right w:val="nil"/>
            </w:tcBorders>
            <w:vAlign w:val="bottom"/>
          </w:tcPr>
          <w:p w:rsidR="00224F8A" w:rsidRPr="008B2950" w:rsidRDefault="00224F8A" w:rsidP="008B2950">
            <w:pPr>
              <w:pStyle w:val="table1"/>
              <w:rPr>
                <w:color w:val="000000"/>
                <w:szCs w:val="22"/>
                <w:u w:color="000000"/>
              </w:rPr>
            </w:pPr>
            <w:r w:rsidRPr="008B2950">
              <w:rPr>
                <w:color w:val="000000"/>
                <w:szCs w:val="22"/>
                <w:u w:color="000000"/>
              </w:rPr>
              <w:t>113</w:t>
            </w:r>
          </w:p>
        </w:tc>
        <w:tc>
          <w:tcPr>
            <w:tcW w:w="980" w:type="dxa"/>
            <w:tcBorders>
              <w:top w:val="nil"/>
              <w:left w:val="nil"/>
              <w:bottom w:val="single" w:sz="4" w:space="0" w:color="auto"/>
              <w:right w:val="nil"/>
            </w:tcBorders>
            <w:vAlign w:val="bottom"/>
          </w:tcPr>
          <w:p w:rsidR="00224F8A" w:rsidRPr="008B2950" w:rsidRDefault="00224F8A" w:rsidP="008B2950">
            <w:pPr>
              <w:pStyle w:val="table1"/>
              <w:rPr>
                <w:color w:val="000000"/>
                <w:szCs w:val="22"/>
                <w:u w:color="000000"/>
              </w:rPr>
            </w:pPr>
            <w:r w:rsidRPr="008B2950">
              <w:rPr>
                <w:color w:val="000000"/>
                <w:szCs w:val="22"/>
                <w:u w:color="000000"/>
              </w:rPr>
              <w:t>1025</w:t>
            </w:r>
          </w:p>
        </w:tc>
        <w:tc>
          <w:tcPr>
            <w:tcW w:w="981" w:type="dxa"/>
            <w:tcBorders>
              <w:top w:val="nil"/>
              <w:left w:val="nil"/>
              <w:bottom w:val="single" w:sz="4" w:space="0" w:color="auto"/>
              <w:right w:val="nil"/>
            </w:tcBorders>
            <w:vAlign w:val="bottom"/>
          </w:tcPr>
          <w:p w:rsidR="00224F8A" w:rsidRPr="008B2950" w:rsidRDefault="00224F8A" w:rsidP="008B2950">
            <w:pPr>
              <w:pStyle w:val="table1"/>
              <w:rPr>
                <w:color w:val="000000"/>
                <w:szCs w:val="22"/>
                <w:u w:color="000000"/>
              </w:rPr>
            </w:pPr>
            <w:r w:rsidRPr="008B2950">
              <w:rPr>
                <w:color w:val="000000"/>
                <w:szCs w:val="22"/>
                <w:u w:color="000000"/>
              </w:rPr>
              <w:t>287</w:t>
            </w:r>
          </w:p>
        </w:tc>
        <w:tc>
          <w:tcPr>
            <w:tcW w:w="980" w:type="dxa"/>
            <w:tcBorders>
              <w:top w:val="nil"/>
              <w:left w:val="nil"/>
              <w:bottom w:val="single" w:sz="4" w:space="0" w:color="auto"/>
              <w:right w:val="nil"/>
            </w:tcBorders>
            <w:vAlign w:val="bottom"/>
          </w:tcPr>
          <w:p w:rsidR="00224F8A" w:rsidRPr="008B2950" w:rsidRDefault="00224F8A" w:rsidP="008B2950">
            <w:pPr>
              <w:pStyle w:val="table1"/>
              <w:rPr>
                <w:color w:val="000000"/>
                <w:szCs w:val="22"/>
                <w:u w:color="000000"/>
              </w:rPr>
            </w:pPr>
            <w:r w:rsidRPr="008B2950">
              <w:rPr>
                <w:color w:val="000000"/>
                <w:szCs w:val="22"/>
                <w:u w:color="000000"/>
              </w:rPr>
              <w:t>98</w:t>
            </w:r>
          </w:p>
        </w:tc>
        <w:tc>
          <w:tcPr>
            <w:tcW w:w="981" w:type="dxa"/>
            <w:tcBorders>
              <w:top w:val="nil"/>
              <w:left w:val="nil"/>
              <w:bottom w:val="single" w:sz="4" w:space="0" w:color="auto"/>
              <w:right w:val="nil"/>
            </w:tcBorders>
            <w:vAlign w:val="bottom"/>
          </w:tcPr>
          <w:p w:rsidR="00224F8A" w:rsidRPr="008B2950" w:rsidRDefault="00224F8A" w:rsidP="008B2950">
            <w:pPr>
              <w:pStyle w:val="table1"/>
              <w:rPr>
                <w:color w:val="000000"/>
                <w:szCs w:val="22"/>
                <w:u w:color="000000"/>
              </w:rPr>
            </w:pPr>
            <w:r w:rsidRPr="008B2950">
              <w:rPr>
                <w:color w:val="000000"/>
                <w:szCs w:val="22"/>
                <w:u w:color="000000"/>
              </w:rPr>
              <w:t>406</w:t>
            </w:r>
          </w:p>
        </w:tc>
        <w:tc>
          <w:tcPr>
            <w:tcW w:w="980" w:type="dxa"/>
            <w:tcBorders>
              <w:top w:val="nil"/>
              <w:left w:val="nil"/>
              <w:bottom w:val="single" w:sz="4" w:space="0" w:color="auto"/>
              <w:right w:val="nil"/>
            </w:tcBorders>
            <w:vAlign w:val="bottom"/>
          </w:tcPr>
          <w:p w:rsidR="00224F8A" w:rsidRPr="008B2950" w:rsidRDefault="00224F8A" w:rsidP="008B2950">
            <w:pPr>
              <w:pStyle w:val="table1"/>
              <w:rPr>
                <w:color w:val="000000"/>
                <w:szCs w:val="22"/>
                <w:u w:color="000000"/>
              </w:rPr>
            </w:pPr>
            <w:r w:rsidRPr="008B2950">
              <w:rPr>
                <w:color w:val="000000"/>
                <w:szCs w:val="22"/>
                <w:u w:color="000000"/>
              </w:rPr>
              <w:t>0</w:t>
            </w:r>
          </w:p>
        </w:tc>
        <w:tc>
          <w:tcPr>
            <w:tcW w:w="839" w:type="dxa"/>
            <w:tcBorders>
              <w:top w:val="nil"/>
              <w:left w:val="nil"/>
              <w:bottom w:val="single" w:sz="4" w:space="0" w:color="auto"/>
              <w:right w:val="nil"/>
            </w:tcBorders>
            <w:vAlign w:val="bottom"/>
          </w:tcPr>
          <w:p w:rsidR="00224F8A" w:rsidRPr="008B2950" w:rsidRDefault="00224F8A" w:rsidP="008B2950">
            <w:pPr>
              <w:pStyle w:val="table1"/>
              <w:rPr>
                <w:color w:val="000000"/>
                <w:szCs w:val="22"/>
                <w:u w:color="000000"/>
              </w:rPr>
            </w:pPr>
            <w:r w:rsidRPr="008B2950">
              <w:rPr>
                <w:color w:val="000000"/>
                <w:szCs w:val="22"/>
                <w:u w:color="000000"/>
              </w:rPr>
              <w:t>500</w:t>
            </w:r>
          </w:p>
        </w:tc>
        <w:tc>
          <w:tcPr>
            <w:tcW w:w="851" w:type="dxa"/>
            <w:tcBorders>
              <w:top w:val="nil"/>
              <w:left w:val="nil"/>
              <w:bottom w:val="single" w:sz="4" w:space="0" w:color="auto"/>
              <w:right w:val="nil"/>
            </w:tcBorders>
            <w:vAlign w:val="bottom"/>
          </w:tcPr>
          <w:p w:rsidR="00224F8A" w:rsidRPr="008B2950" w:rsidRDefault="00224F8A" w:rsidP="008B2950">
            <w:pPr>
              <w:pStyle w:val="table1"/>
              <w:rPr>
                <w:color w:val="000000"/>
                <w:szCs w:val="22"/>
                <w:u w:color="000000"/>
              </w:rPr>
            </w:pPr>
            <w:r w:rsidRPr="008B2950">
              <w:rPr>
                <w:color w:val="000000"/>
                <w:szCs w:val="22"/>
                <w:u w:color="000000"/>
              </w:rPr>
              <w:t>5262.2</w:t>
            </w:r>
          </w:p>
        </w:tc>
      </w:tr>
    </w:tbl>
    <w:p w:rsidR="00224F8A" w:rsidRDefault="00224F8A" w:rsidP="00224F8A">
      <w:pPr>
        <w:sectPr w:rsidR="00224F8A" w:rsidSect="00224F8A">
          <w:footerReference w:type="default" r:id="rId282"/>
          <w:pgSz w:w="16838" w:h="11906" w:orient="landscape" w:code="9"/>
          <w:pgMar w:top="1797" w:right="1440" w:bottom="1797" w:left="1440" w:header="1077" w:footer="833" w:gutter="0"/>
          <w:cols w:space="360"/>
          <w:noEndnote/>
          <w:docGrid w:linePitch="299"/>
        </w:sectPr>
      </w:pPr>
    </w:p>
    <w:p w:rsidR="00224F8A" w:rsidRDefault="00224F8A" w:rsidP="00224F8A">
      <w:r>
        <w:rPr>
          <w:noProof/>
          <w:lang w:eastAsia="en-AU"/>
        </w:rPr>
        <w:drawing>
          <wp:anchor distT="0" distB="0" distL="114300" distR="114300" simplePos="0" relativeHeight="251643904" behindDoc="0" locked="0" layoutInCell="1" allowOverlap="1">
            <wp:simplePos x="0" y="0"/>
            <wp:positionH relativeFrom="column">
              <wp:posOffset>5854065</wp:posOffset>
            </wp:positionH>
            <wp:positionV relativeFrom="paragraph">
              <wp:posOffset>-13335</wp:posOffset>
            </wp:positionV>
            <wp:extent cx="2794000" cy="3972560"/>
            <wp:effectExtent l="38100" t="19050" r="25400" b="27940"/>
            <wp:wrapNone/>
            <wp:docPr id="131" name="Picture 130" descr="Change_water_2012-20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nge_water_2012-2013.png"/>
                    <pic:cNvPicPr/>
                  </pic:nvPicPr>
                  <pic:blipFill>
                    <a:blip r:embed="rId283" cstate="screen"/>
                    <a:stretch>
                      <a:fillRect/>
                    </a:stretch>
                  </pic:blipFill>
                  <pic:spPr>
                    <a:xfrm>
                      <a:off x="0" y="0"/>
                      <a:ext cx="2794000" cy="3972560"/>
                    </a:xfrm>
                    <a:prstGeom prst="rect">
                      <a:avLst/>
                    </a:prstGeom>
                    <a:ln>
                      <a:solidFill>
                        <a:schemeClr val="accent1"/>
                      </a:solidFill>
                    </a:ln>
                  </pic:spPr>
                </pic:pic>
              </a:graphicData>
            </a:graphic>
          </wp:anchor>
        </w:drawing>
      </w:r>
      <w:r>
        <w:rPr>
          <w:noProof/>
          <w:lang w:eastAsia="en-AU"/>
        </w:rPr>
        <w:drawing>
          <wp:anchor distT="0" distB="0" distL="114300" distR="114300" simplePos="0" relativeHeight="251642880" behindDoc="0" locked="0" layoutInCell="1" allowOverlap="1">
            <wp:simplePos x="0" y="0"/>
            <wp:positionH relativeFrom="column">
              <wp:posOffset>2949575</wp:posOffset>
            </wp:positionH>
            <wp:positionV relativeFrom="paragraph">
              <wp:posOffset>-13335</wp:posOffset>
            </wp:positionV>
            <wp:extent cx="2786380" cy="3966210"/>
            <wp:effectExtent l="19050" t="19050" r="13970" b="15240"/>
            <wp:wrapNone/>
            <wp:docPr id="132" name="Picture 131" descr="Change_water_2011-20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nge_water_2011-2012.png"/>
                    <pic:cNvPicPr/>
                  </pic:nvPicPr>
                  <pic:blipFill>
                    <a:blip r:embed="rId284" cstate="screen"/>
                    <a:stretch>
                      <a:fillRect/>
                    </a:stretch>
                  </pic:blipFill>
                  <pic:spPr>
                    <a:xfrm>
                      <a:off x="0" y="0"/>
                      <a:ext cx="2786380" cy="3966210"/>
                    </a:xfrm>
                    <a:prstGeom prst="rect">
                      <a:avLst/>
                    </a:prstGeom>
                    <a:ln>
                      <a:solidFill>
                        <a:schemeClr val="accent1"/>
                      </a:solidFill>
                    </a:ln>
                  </pic:spPr>
                </pic:pic>
              </a:graphicData>
            </a:graphic>
          </wp:anchor>
        </w:drawing>
      </w:r>
      <w:r>
        <w:rPr>
          <w:noProof/>
          <w:lang w:eastAsia="en-AU"/>
        </w:rPr>
        <w:drawing>
          <wp:anchor distT="0" distB="0" distL="114300" distR="114300" simplePos="0" relativeHeight="251641856" behindDoc="0" locked="0" layoutInCell="1" allowOverlap="1">
            <wp:simplePos x="0" y="0"/>
            <wp:positionH relativeFrom="column">
              <wp:posOffset>-63396</wp:posOffset>
            </wp:positionH>
            <wp:positionV relativeFrom="paragraph">
              <wp:posOffset>-12772</wp:posOffset>
            </wp:positionV>
            <wp:extent cx="2788941" cy="3957288"/>
            <wp:effectExtent l="19050" t="19050" r="11409" b="24162"/>
            <wp:wrapNone/>
            <wp:docPr id="133" name="Picture 132" descr="Change_water_2010-20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nge_water_2010-2011.png"/>
                    <pic:cNvPicPr/>
                  </pic:nvPicPr>
                  <pic:blipFill>
                    <a:blip r:embed="rId285" cstate="screen"/>
                    <a:stretch>
                      <a:fillRect/>
                    </a:stretch>
                  </pic:blipFill>
                  <pic:spPr>
                    <a:xfrm>
                      <a:off x="0" y="0"/>
                      <a:ext cx="2788941" cy="3957288"/>
                    </a:xfrm>
                    <a:prstGeom prst="rect">
                      <a:avLst/>
                    </a:prstGeom>
                    <a:ln>
                      <a:solidFill>
                        <a:schemeClr val="accent1"/>
                      </a:solidFill>
                    </a:ln>
                  </pic:spPr>
                </pic:pic>
              </a:graphicData>
            </a:graphic>
          </wp:anchor>
        </w:drawing>
      </w:r>
    </w:p>
    <w:p w:rsidR="00224F8A" w:rsidRDefault="00224F8A" w:rsidP="00224F8A"/>
    <w:p w:rsidR="00224F8A" w:rsidRDefault="00224F8A" w:rsidP="00224F8A"/>
    <w:p w:rsidR="00224F8A" w:rsidRDefault="00224F8A" w:rsidP="00224F8A"/>
    <w:p w:rsidR="00224F8A" w:rsidRDefault="00224F8A" w:rsidP="00224F8A"/>
    <w:p w:rsidR="00224F8A" w:rsidRDefault="00224F8A" w:rsidP="00224F8A"/>
    <w:p w:rsidR="00224F8A" w:rsidRDefault="00224F8A" w:rsidP="00224F8A"/>
    <w:p w:rsidR="00224F8A" w:rsidRDefault="00224F8A" w:rsidP="00224F8A"/>
    <w:p w:rsidR="00224F8A" w:rsidRDefault="00224F8A" w:rsidP="00224F8A"/>
    <w:p w:rsidR="00224F8A" w:rsidRDefault="00224F8A" w:rsidP="00224F8A"/>
    <w:p w:rsidR="00224F8A" w:rsidRDefault="00224F8A" w:rsidP="00224F8A"/>
    <w:p w:rsidR="00224F8A" w:rsidRDefault="00224F8A" w:rsidP="00224F8A"/>
    <w:p w:rsidR="00224F8A" w:rsidRDefault="00224F8A" w:rsidP="00224F8A"/>
    <w:p w:rsidR="00224F8A" w:rsidRDefault="00224F8A" w:rsidP="00224F8A"/>
    <w:p w:rsidR="00224F8A" w:rsidRDefault="00224F8A" w:rsidP="00224F8A"/>
    <w:p w:rsidR="00224F8A" w:rsidRDefault="00224F8A" w:rsidP="00224F8A"/>
    <w:p w:rsidR="00224F8A" w:rsidRDefault="00224F8A" w:rsidP="00224F8A">
      <w:pPr>
        <w:pStyle w:val="figurecaption"/>
        <w:jc w:val="both"/>
      </w:pPr>
      <w:bookmarkStart w:id="286" w:name="_Ref401315280"/>
      <w:r w:rsidRPr="00F17F39">
        <w:rPr>
          <w:b/>
        </w:rPr>
        <w:t xml:space="preserve">Figure </w:t>
      </w:r>
      <w:bookmarkEnd w:id="286"/>
      <w:r w:rsidR="00A1570C">
        <w:rPr>
          <w:b/>
        </w:rPr>
        <w:t>6</w:t>
      </w:r>
      <w:r w:rsidRPr="006451B6">
        <w:t xml:space="preserve"> </w:t>
      </w:r>
      <w:r>
        <w:t>Change in open water</w:t>
      </w:r>
      <w:r w:rsidR="008B2950">
        <w:t xml:space="preserve"> </w:t>
      </w:r>
      <w:r w:rsidR="0080330B">
        <w:t>for the</w:t>
      </w:r>
      <w:r w:rsidR="008B2950">
        <w:t xml:space="preserve"> three change </w:t>
      </w:r>
      <w:r w:rsidR="0080330B">
        <w:t>periods</w:t>
      </w:r>
      <w:r w:rsidR="008B2950">
        <w:t xml:space="preserve"> (2010–2011, 2011–2012 and 2012–</w:t>
      </w:r>
      <w:r>
        <w:t xml:space="preserve">2013) Persistent water is open water detected in both </w:t>
      </w:r>
      <w:r w:rsidR="0080330B">
        <w:t>the first and second year of each map</w:t>
      </w:r>
      <w:r>
        <w:t>.</w:t>
      </w:r>
    </w:p>
    <w:p w:rsidR="00224F8A" w:rsidRDefault="00224F8A" w:rsidP="00224F8A">
      <w:pPr>
        <w:pStyle w:val="figurecaption"/>
        <w:sectPr w:rsidR="00224F8A" w:rsidSect="00224F8A">
          <w:pgSz w:w="16838" w:h="11906" w:orient="landscape" w:code="9"/>
          <w:pgMar w:top="1797" w:right="1440" w:bottom="1797" w:left="1440" w:header="1077" w:footer="833" w:gutter="0"/>
          <w:cols w:space="360"/>
          <w:noEndnote/>
        </w:sectPr>
      </w:pPr>
    </w:p>
    <w:p w:rsidR="00224F8A" w:rsidRDefault="00224F8A" w:rsidP="00224F8A">
      <w:pPr>
        <w:pStyle w:val="tablecaption"/>
      </w:pPr>
      <w:bookmarkStart w:id="287" w:name="_Ref401316829"/>
      <w:r w:rsidRPr="0019772B">
        <w:rPr>
          <w:b/>
        </w:rPr>
        <w:t xml:space="preserve">Table </w:t>
      </w:r>
      <w:bookmarkEnd w:id="287"/>
      <w:r w:rsidR="00A1570C">
        <w:rPr>
          <w:b/>
        </w:rPr>
        <w:t>5</w:t>
      </w:r>
      <w:r>
        <w:t xml:space="preserve"> Areas (ha) of water-related change between dates.</w:t>
      </w:r>
      <w:r w:rsidR="0080330B">
        <w:t xml:space="preserve"> Persistent water is open water detected in both years for each period.</w:t>
      </w:r>
    </w:p>
    <w:tbl>
      <w:tblPr>
        <w:tblW w:w="0" w:type="auto"/>
        <w:jc w:val="center"/>
        <w:tblBorders>
          <w:top w:val="single" w:sz="4" w:space="0" w:color="auto"/>
          <w:bottom w:val="single" w:sz="4" w:space="0" w:color="auto"/>
        </w:tblBorders>
        <w:tblLook w:val="04A0"/>
      </w:tblPr>
      <w:tblGrid>
        <w:gridCol w:w="4261"/>
        <w:gridCol w:w="1376"/>
        <w:gridCol w:w="1376"/>
        <w:gridCol w:w="1376"/>
      </w:tblGrid>
      <w:tr w:rsidR="006D7E38" w:rsidRPr="003C04A1" w:rsidTr="006D7E38">
        <w:trPr>
          <w:jc w:val="center"/>
        </w:trPr>
        <w:tc>
          <w:tcPr>
            <w:tcW w:w="4261" w:type="dxa"/>
            <w:tcBorders>
              <w:top w:val="nil"/>
              <w:bottom w:val="single" w:sz="4" w:space="0" w:color="auto"/>
            </w:tcBorders>
          </w:tcPr>
          <w:p w:rsidR="006D7E38" w:rsidRPr="00843352" w:rsidRDefault="006D7E38" w:rsidP="006D7E38">
            <w:pPr>
              <w:pStyle w:val="table1"/>
            </w:pPr>
          </w:p>
        </w:tc>
        <w:tc>
          <w:tcPr>
            <w:tcW w:w="1376" w:type="dxa"/>
            <w:tcBorders>
              <w:top w:val="single" w:sz="4" w:space="0" w:color="auto"/>
              <w:bottom w:val="single" w:sz="4" w:space="0" w:color="auto"/>
            </w:tcBorders>
            <w:vAlign w:val="center"/>
          </w:tcPr>
          <w:p w:rsidR="006D7E38" w:rsidRPr="003C04A1" w:rsidRDefault="006D7E38" w:rsidP="006D7E38">
            <w:pPr>
              <w:pStyle w:val="table1"/>
              <w:jc w:val="center"/>
              <w:rPr>
                <w:rFonts w:cs="Arial"/>
                <w:color w:val="000000"/>
                <w:szCs w:val="16"/>
              </w:rPr>
            </w:pPr>
          </w:p>
        </w:tc>
        <w:tc>
          <w:tcPr>
            <w:tcW w:w="1376" w:type="dxa"/>
            <w:tcBorders>
              <w:top w:val="single" w:sz="4" w:space="0" w:color="auto"/>
              <w:bottom w:val="single" w:sz="4" w:space="0" w:color="auto"/>
            </w:tcBorders>
            <w:vAlign w:val="center"/>
          </w:tcPr>
          <w:p w:rsidR="006D7E38" w:rsidRPr="003C04A1" w:rsidRDefault="006D7E38" w:rsidP="006D7E38">
            <w:pPr>
              <w:pStyle w:val="table1"/>
              <w:jc w:val="center"/>
              <w:rPr>
                <w:rFonts w:cs="Arial"/>
                <w:color w:val="000000"/>
                <w:szCs w:val="16"/>
              </w:rPr>
            </w:pPr>
            <w:r w:rsidRPr="003C04A1">
              <w:rPr>
                <w:rFonts w:cs="Arial"/>
                <w:color w:val="000000"/>
                <w:szCs w:val="16"/>
              </w:rPr>
              <w:t>Area (ha)</w:t>
            </w:r>
          </w:p>
        </w:tc>
        <w:tc>
          <w:tcPr>
            <w:tcW w:w="1376" w:type="dxa"/>
            <w:tcBorders>
              <w:top w:val="single" w:sz="4" w:space="0" w:color="auto"/>
              <w:bottom w:val="single" w:sz="4" w:space="0" w:color="auto"/>
            </w:tcBorders>
            <w:vAlign w:val="center"/>
          </w:tcPr>
          <w:p w:rsidR="006D7E38" w:rsidRPr="003C04A1" w:rsidRDefault="006D7E38" w:rsidP="006D7E38">
            <w:pPr>
              <w:pStyle w:val="table1"/>
              <w:jc w:val="center"/>
              <w:rPr>
                <w:rFonts w:cs="Arial"/>
                <w:color w:val="000000"/>
                <w:szCs w:val="16"/>
              </w:rPr>
            </w:pPr>
          </w:p>
        </w:tc>
      </w:tr>
      <w:tr w:rsidR="006D7E38" w:rsidRPr="003C04A1" w:rsidTr="006D7E38">
        <w:trPr>
          <w:jc w:val="center"/>
        </w:trPr>
        <w:tc>
          <w:tcPr>
            <w:tcW w:w="4261" w:type="dxa"/>
            <w:tcBorders>
              <w:top w:val="single" w:sz="4" w:space="0" w:color="auto"/>
              <w:bottom w:val="single" w:sz="4" w:space="0" w:color="auto"/>
            </w:tcBorders>
          </w:tcPr>
          <w:p w:rsidR="006D7E38" w:rsidRPr="00843352" w:rsidRDefault="006D7E38" w:rsidP="006D7E38">
            <w:pPr>
              <w:pStyle w:val="table1"/>
            </w:pPr>
            <w:r w:rsidRPr="00843352">
              <w:t>Condition</w:t>
            </w:r>
          </w:p>
        </w:tc>
        <w:tc>
          <w:tcPr>
            <w:tcW w:w="1376" w:type="dxa"/>
            <w:tcBorders>
              <w:top w:val="single" w:sz="4" w:space="0" w:color="auto"/>
              <w:bottom w:val="single" w:sz="4" w:space="0" w:color="auto"/>
            </w:tcBorders>
            <w:vAlign w:val="center"/>
          </w:tcPr>
          <w:p w:rsidR="006D7E38" w:rsidRPr="003C04A1" w:rsidRDefault="006D7E38" w:rsidP="006D7E38">
            <w:pPr>
              <w:pStyle w:val="table1"/>
              <w:jc w:val="center"/>
              <w:rPr>
                <w:rFonts w:cs="Arial"/>
                <w:color w:val="000000"/>
                <w:szCs w:val="16"/>
              </w:rPr>
            </w:pPr>
            <w:r>
              <w:rPr>
                <w:rFonts w:cs="Arial"/>
                <w:color w:val="000000"/>
                <w:szCs w:val="16"/>
              </w:rPr>
              <w:t>2010–2011</w:t>
            </w:r>
          </w:p>
        </w:tc>
        <w:tc>
          <w:tcPr>
            <w:tcW w:w="1376" w:type="dxa"/>
            <w:tcBorders>
              <w:top w:val="single" w:sz="4" w:space="0" w:color="auto"/>
              <w:bottom w:val="single" w:sz="4" w:space="0" w:color="auto"/>
            </w:tcBorders>
            <w:vAlign w:val="center"/>
          </w:tcPr>
          <w:p w:rsidR="006D7E38" w:rsidRPr="003C04A1" w:rsidRDefault="006D7E38" w:rsidP="006D7E38">
            <w:pPr>
              <w:pStyle w:val="table1"/>
              <w:jc w:val="center"/>
              <w:rPr>
                <w:rFonts w:cs="Arial"/>
                <w:color w:val="000000"/>
                <w:szCs w:val="16"/>
              </w:rPr>
            </w:pPr>
            <w:r>
              <w:rPr>
                <w:rFonts w:cs="Arial"/>
                <w:color w:val="000000"/>
                <w:szCs w:val="16"/>
              </w:rPr>
              <w:t>2011–2012</w:t>
            </w:r>
          </w:p>
        </w:tc>
        <w:tc>
          <w:tcPr>
            <w:tcW w:w="1376" w:type="dxa"/>
            <w:tcBorders>
              <w:top w:val="single" w:sz="4" w:space="0" w:color="auto"/>
              <w:bottom w:val="single" w:sz="4" w:space="0" w:color="auto"/>
            </w:tcBorders>
            <w:vAlign w:val="center"/>
          </w:tcPr>
          <w:p w:rsidR="006D7E38" w:rsidRPr="003C04A1" w:rsidRDefault="006D7E38" w:rsidP="006D7E38">
            <w:pPr>
              <w:pStyle w:val="table1"/>
              <w:jc w:val="center"/>
              <w:rPr>
                <w:rFonts w:cs="Arial"/>
                <w:color w:val="000000"/>
                <w:szCs w:val="16"/>
              </w:rPr>
            </w:pPr>
            <w:r>
              <w:rPr>
                <w:rFonts w:cs="Arial"/>
                <w:color w:val="000000"/>
                <w:szCs w:val="16"/>
              </w:rPr>
              <w:t>2012–2013</w:t>
            </w:r>
          </w:p>
        </w:tc>
      </w:tr>
      <w:tr w:rsidR="006D7E38" w:rsidRPr="003C04A1" w:rsidTr="006D7E38">
        <w:trPr>
          <w:jc w:val="center"/>
        </w:trPr>
        <w:tc>
          <w:tcPr>
            <w:tcW w:w="4261" w:type="dxa"/>
            <w:tcBorders>
              <w:top w:val="single" w:sz="4" w:space="0" w:color="auto"/>
            </w:tcBorders>
          </w:tcPr>
          <w:p w:rsidR="006D7E38" w:rsidRDefault="006D7E38" w:rsidP="006D7E38">
            <w:pPr>
              <w:pStyle w:val="table1"/>
            </w:pPr>
            <w:r>
              <w:t>Persistent water</w:t>
            </w:r>
          </w:p>
        </w:tc>
        <w:tc>
          <w:tcPr>
            <w:tcW w:w="1376" w:type="dxa"/>
            <w:tcBorders>
              <w:top w:val="single" w:sz="4" w:space="0" w:color="auto"/>
            </w:tcBorders>
            <w:vAlign w:val="center"/>
          </w:tcPr>
          <w:p w:rsidR="006D7E38" w:rsidRPr="003C04A1" w:rsidRDefault="006D7E38" w:rsidP="006D7E38">
            <w:pPr>
              <w:pStyle w:val="table1"/>
              <w:jc w:val="center"/>
              <w:rPr>
                <w:rFonts w:cs="Arial"/>
                <w:color w:val="000000"/>
                <w:szCs w:val="16"/>
              </w:rPr>
            </w:pPr>
            <w:r w:rsidRPr="00F75BB6">
              <w:rPr>
                <w:szCs w:val="22"/>
              </w:rPr>
              <w:t>284</w:t>
            </w:r>
          </w:p>
        </w:tc>
        <w:tc>
          <w:tcPr>
            <w:tcW w:w="1376" w:type="dxa"/>
            <w:tcBorders>
              <w:top w:val="single" w:sz="4" w:space="0" w:color="auto"/>
            </w:tcBorders>
            <w:vAlign w:val="center"/>
          </w:tcPr>
          <w:p w:rsidR="006D7E38" w:rsidRPr="003C04A1" w:rsidRDefault="006D7E38" w:rsidP="006D7E38">
            <w:pPr>
              <w:pStyle w:val="table1"/>
              <w:jc w:val="center"/>
              <w:rPr>
                <w:rFonts w:cs="Arial"/>
                <w:color w:val="000000"/>
                <w:szCs w:val="16"/>
              </w:rPr>
            </w:pPr>
            <w:r w:rsidRPr="00F75BB6">
              <w:rPr>
                <w:szCs w:val="22"/>
              </w:rPr>
              <w:t>802</w:t>
            </w:r>
          </w:p>
        </w:tc>
        <w:tc>
          <w:tcPr>
            <w:tcW w:w="1376" w:type="dxa"/>
            <w:tcBorders>
              <w:top w:val="single" w:sz="4" w:space="0" w:color="auto"/>
            </w:tcBorders>
            <w:vAlign w:val="center"/>
          </w:tcPr>
          <w:p w:rsidR="006D7E38" w:rsidRPr="003C04A1" w:rsidRDefault="006D7E38" w:rsidP="006D7E38">
            <w:pPr>
              <w:pStyle w:val="table1"/>
              <w:jc w:val="center"/>
              <w:rPr>
                <w:rFonts w:cs="Arial"/>
                <w:color w:val="000000"/>
                <w:szCs w:val="16"/>
              </w:rPr>
            </w:pPr>
            <w:r w:rsidRPr="003C04A1">
              <w:rPr>
                <w:rFonts w:cs="Arial"/>
                <w:color w:val="000000"/>
                <w:szCs w:val="16"/>
              </w:rPr>
              <w:t>370</w:t>
            </w:r>
          </w:p>
        </w:tc>
      </w:tr>
      <w:tr w:rsidR="006D7E38" w:rsidRPr="003C04A1" w:rsidTr="006D7E38">
        <w:trPr>
          <w:jc w:val="center"/>
        </w:trPr>
        <w:tc>
          <w:tcPr>
            <w:tcW w:w="4261" w:type="dxa"/>
          </w:tcPr>
          <w:p w:rsidR="006D7E38" w:rsidRDefault="006D7E38" w:rsidP="006D7E38">
            <w:pPr>
              <w:pStyle w:val="table1"/>
            </w:pPr>
            <w:r>
              <w:t>From vegetation to water</w:t>
            </w:r>
          </w:p>
        </w:tc>
        <w:tc>
          <w:tcPr>
            <w:tcW w:w="1376" w:type="dxa"/>
            <w:vAlign w:val="center"/>
          </w:tcPr>
          <w:p w:rsidR="006D7E38" w:rsidRPr="003C04A1" w:rsidRDefault="006D7E38" w:rsidP="006D7E38">
            <w:pPr>
              <w:pStyle w:val="table1"/>
              <w:jc w:val="center"/>
              <w:rPr>
                <w:rFonts w:cs="Arial"/>
                <w:color w:val="000000"/>
                <w:szCs w:val="16"/>
              </w:rPr>
            </w:pPr>
            <w:r w:rsidRPr="00F75BB6">
              <w:rPr>
                <w:szCs w:val="22"/>
              </w:rPr>
              <w:t>1308</w:t>
            </w:r>
          </w:p>
        </w:tc>
        <w:tc>
          <w:tcPr>
            <w:tcW w:w="1376" w:type="dxa"/>
            <w:vAlign w:val="center"/>
          </w:tcPr>
          <w:p w:rsidR="006D7E38" w:rsidRPr="003C04A1" w:rsidRDefault="006D7E38" w:rsidP="006D7E38">
            <w:pPr>
              <w:pStyle w:val="table1"/>
              <w:jc w:val="center"/>
              <w:rPr>
                <w:rFonts w:cs="Arial"/>
                <w:color w:val="000000"/>
                <w:szCs w:val="16"/>
              </w:rPr>
            </w:pPr>
            <w:r w:rsidRPr="00F75BB6">
              <w:rPr>
                <w:szCs w:val="22"/>
              </w:rPr>
              <w:t>187</w:t>
            </w:r>
          </w:p>
        </w:tc>
        <w:tc>
          <w:tcPr>
            <w:tcW w:w="1376" w:type="dxa"/>
            <w:vAlign w:val="center"/>
          </w:tcPr>
          <w:p w:rsidR="006D7E38" w:rsidRPr="003C04A1" w:rsidRDefault="006D7E38" w:rsidP="006D7E38">
            <w:pPr>
              <w:pStyle w:val="table1"/>
              <w:jc w:val="center"/>
              <w:rPr>
                <w:rFonts w:cs="Arial"/>
                <w:color w:val="000000"/>
                <w:szCs w:val="16"/>
              </w:rPr>
            </w:pPr>
            <w:r w:rsidRPr="003C04A1">
              <w:rPr>
                <w:rFonts w:cs="Arial"/>
                <w:color w:val="000000"/>
                <w:szCs w:val="16"/>
              </w:rPr>
              <w:t>130</w:t>
            </w:r>
          </w:p>
        </w:tc>
      </w:tr>
      <w:tr w:rsidR="006D7E38" w:rsidRPr="003C04A1" w:rsidTr="006D7E38">
        <w:trPr>
          <w:jc w:val="center"/>
        </w:trPr>
        <w:tc>
          <w:tcPr>
            <w:tcW w:w="4261" w:type="dxa"/>
          </w:tcPr>
          <w:p w:rsidR="006D7E38" w:rsidRDefault="006D7E38" w:rsidP="006D7E38">
            <w:pPr>
              <w:pStyle w:val="table1"/>
            </w:pPr>
            <w:r>
              <w:t>From water to vegetation</w:t>
            </w:r>
          </w:p>
        </w:tc>
        <w:tc>
          <w:tcPr>
            <w:tcW w:w="1376" w:type="dxa"/>
            <w:vAlign w:val="center"/>
          </w:tcPr>
          <w:p w:rsidR="006D7E38" w:rsidRPr="003C04A1" w:rsidRDefault="006D7E38" w:rsidP="006D7E38">
            <w:pPr>
              <w:pStyle w:val="table1"/>
              <w:jc w:val="center"/>
              <w:rPr>
                <w:rFonts w:cs="Arial"/>
                <w:color w:val="000000"/>
                <w:szCs w:val="16"/>
              </w:rPr>
            </w:pPr>
            <w:r w:rsidRPr="00F75BB6">
              <w:rPr>
                <w:szCs w:val="22"/>
              </w:rPr>
              <w:t>106</w:t>
            </w:r>
          </w:p>
        </w:tc>
        <w:tc>
          <w:tcPr>
            <w:tcW w:w="1376" w:type="dxa"/>
            <w:vAlign w:val="center"/>
          </w:tcPr>
          <w:p w:rsidR="006D7E38" w:rsidRPr="003C04A1" w:rsidRDefault="006D7E38" w:rsidP="006D7E38">
            <w:pPr>
              <w:pStyle w:val="table1"/>
              <w:jc w:val="center"/>
              <w:rPr>
                <w:rFonts w:cs="Arial"/>
                <w:color w:val="000000"/>
                <w:szCs w:val="16"/>
              </w:rPr>
            </w:pPr>
            <w:r w:rsidRPr="00F75BB6">
              <w:rPr>
                <w:szCs w:val="22"/>
              </w:rPr>
              <w:t>880</w:t>
            </w:r>
          </w:p>
        </w:tc>
        <w:tc>
          <w:tcPr>
            <w:tcW w:w="1376" w:type="dxa"/>
            <w:vAlign w:val="center"/>
          </w:tcPr>
          <w:p w:rsidR="006D7E38" w:rsidRPr="003C04A1" w:rsidRDefault="006D7E38" w:rsidP="006D7E38">
            <w:pPr>
              <w:pStyle w:val="table1"/>
              <w:jc w:val="center"/>
              <w:rPr>
                <w:rFonts w:cs="Arial"/>
                <w:color w:val="000000"/>
                <w:szCs w:val="16"/>
              </w:rPr>
            </w:pPr>
            <w:r w:rsidRPr="003C04A1">
              <w:rPr>
                <w:rFonts w:cs="Arial"/>
                <w:color w:val="000000"/>
                <w:szCs w:val="16"/>
              </w:rPr>
              <w:t>687</w:t>
            </w:r>
          </w:p>
        </w:tc>
      </w:tr>
    </w:tbl>
    <w:p w:rsidR="00224F8A" w:rsidRDefault="00224F8A" w:rsidP="00772EFC">
      <w:pPr>
        <w:pStyle w:val="Heading2"/>
      </w:pPr>
      <w:bookmarkStart w:id="288" w:name="_Toc401910209"/>
      <w:r>
        <w:t>Summary and further work</w:t>
      </w:r>
      <w:bookmarkEnd w:id="288"/>
    </w:p>
    <w:p w:rsidR="00224F8A" w:rsidRPr="00A63869" w:rsidRDefault="00224F8A" w:rsidP="00224F8A">
      <w:r w:rsidRPr="00A63869">
        <w:t>Th</w:t>
      </w:r>
      <w:r>
        <w:t xml:space="preserve">is study </w:t>
      </w:r>
      <w:r w:rsidRPr="00A63869">
        <w:t xml:space="preserve">shows that WV-2 imagery can be used for change detection analysis of </w:t>
      </w:r>
      <w:r>
        <w:t xml:space="preserve">a </w:t>
      </w:r>
      <w:r w:rsidRPr="00A63869">
        <w:t xml:space="preserve">spatially and temporally dynamic </w:t>
      </w:r>
      <w:r>
        <w:t>wetland</w:t>
      </w:r>
      <w:r w:rsidRPr="00A63869">
        <w:t xml:space="preserve"> such as</w:t>
      </w:r>
      <w:r>
        <w:t xml:space="preserve"> the</w:t>
      </w:r>
      <w:r w:rsidRPr="00A63869">
        <w:t xml:space="preserve"> Magela Creek floodplain. Even though the imagery is from the same time of year for all years there are a number of issues to consider when using the data. Extrinsic factors such as atmospheric effects, the sensor view angle and the influence of sub-canopy water all influence the spectral response and need to be considered. Intrinsic factors such as the variations in plant phenology due to variations in water availability are another consideration.</w:t>
      </w:r>
    </w:p>
    <w:p w:rsidR="00224F8A" w:rsidRDefault="00224F8A" w:rsidP="00224F8A">
      <w:r>
        <w:t>The data analysis shows</w:t>
      </w:r>
      <w:r w:rsidRPr="00A63869">
        <w:t xml:space="preserve"> that vegetation and water cover on the floodplain does vary dramatically from year to year. This variation is most likely related t</w:t>
      </w:r>
      <w:r>
        <w:t>o differences in floodplain</w:t>
      </w:r>
      <w:r w:rsidRPr="00A63869">
        <w:t xml:space="preserve"> </w:t>
      </w:r>
      <w:r w:rsidR="0080330B">
        <w:t>water depth and extent</w:t>
      </w:r>
      <w:r w:rsidRPr="00A63869">
        <w:t xml:space="preserve"> associated with rainfall and discharge in the catchment. This study does not show the intra-annual change that occurs on the floodplain that is related to the fluctuation of water level and availability throughout the seasons. Future monitoring needs to recognise the dynamics of the system and any assessments of environmental impacts in the region need to acknowledge the variability and that recorded change may not be the result of any degradation of the system.</w:t>
      </w:r>
      <w:r>
        <w:t xml:space="preserve"> </w:t>
      </w:r>
    </w:p>
    <w:p w:rsidR="00224F8A" w:rsidRDefault="00224F8A" w:rsidP="00224F8A">
      <w:r>
        <w:t xml:space="preserve">We now have an operational procedure to monitor change in the downstream off-site wetland environment using high resolution satellite imagery. This will become increasingly important in the years following rehabilitation of Ranger minesite. Further work will involve publication of the method and a more detailed analysis of changes, particularly when a vegetation community changes to another vegetation community. Drivers and causes of change need to be investigated so that we have an adequate baseline understanding of natural drivers compared with potential drivers from minesite rehabilitation. Imagery from June 2014 will also be processed and added to the change series. </w:t>
      </w:r>
    </w:p>
    <w:p w:rsidR="00224F8A" w:rsidRPr="00A63869" w:rsidRDefault="00224F8A" w:rsidP="00224F8A">
      <w:r>
        <w:t xml:space="preserve">With the launch of the WorldView-3 (WV-3) satellite in August 2014, we will need to look at transferring and adjusting our method to WV-3 imagery, which provides increased spatial and spectral resolution. Spatial resolution for the </w:t>
      </w:r>
      <w:proofErr w:type="gramStart"/>
      <w:r>
        <w:t>Panchromatic</w:t>
      </w:r>
      <w:proofErr w:type="gramEnd"/>
      <w:r>
        <w:t xml:space="preserve"> band is now 31 cm and 1.24 m for the 8 multispectral bands. There are also 8 Shortwave Infrared (SWIR) bands (1195 nm - 2365 nm) with a spatial resolution of 3.7 m on board WV-3, which will enable us to ‘see’ through smoke. Currently we are restricted to a very small ‘optically clear’ capture window for imagery, when there are no wet season clouds and prior to the commencement of dry season fires. The SWIR bands will enable the capture window to extend further into the dry season. More importantly, the SWIR bands will increase the amount of information we can use to classify vegetation. We plan to acquire a WV-3 scene for May-June 2015.</w:t>
      </w:r>
    </w:p>
    <w:p w:rsidR="005B7818" w:rsidRDefault="005B7818">
      <w:pPr>
        <w:spacing w:after="0" w:line="240" w:lineRule="auto"/>
        <w:jc w:val="left"/>
        <w:sectPr w:rsidR="005B7818" w:rsidSect="00D444BD">
          <w:headerReference w:type="even" r:id="rId286"/>
          <w:footerReference w:type="even" r:id="rId287"/>
          <w:footerReference w:type="default" r:id="rId288"/>
          <w:headerReference w:type="first" r:id="rId289"/>
          <w:footerReference w:type="first" r:id="rId290"/>
          <w:pgSz w:w="11906" w:h="16838" w:code="9"/>
          <w:pgMar w:top="1440" w:right="1800" w:bottom="1440" w:left="1800" w:header="1080" w:footer="835" w:gutter="0"/>
          <w:cols w:space="360"/>
          <w:noEndnote/>
        </w:sectPr>
      </w:pPr>
    </w:p>
    <w:p w:rsidR="006D7E38" w:rsidRDefault="006D7E38">
      <w:pPr>
        <w:spacing w:after="0" w:line="240" w:lineRule="auto"/>
        <w:jc w:val="left"/>
        <w:rPr>
          <w:rFonts w:ascii="Arial" w:hAnsi="Arial"/>
          <w:b/>
          <w:sz w:val="22"/>
        </w:rPr>
      </w:pPr>
    </w:p>
    <w:p w:rsidR="00224F8A" w:rsidRDefault="00224F8A" w:rsidP="005873E1">
      <w:pPr>
        <w:pStyle w:val="Heading2"/>
      </w:pPr>
      <w:r>
        <w:t>References</w:t>
      </w:r>
    </w:p>
    <w:p w:rsidR="009C5307" w:rsidRDefault="009C5307" w:rsidP="009C5307">
      <w:pPr>
        <w:pStyle w:val="referencelist1"/>
      </w:pPr>
      <w:proofErr w:type="gramStart"/>
      <w:r>
        <w:t>Baatz M &amp; Schäpe A 2000.</w:t>
      </w:r>
      <w:proofErr w:type="gramEnd"/>
      <w:r>
        <w:t xml:space="preserve"> </w:t>
      </w:r>
      <w:proofErr w:type="gramStart"/>
      <w:r>
        <w:t>Multiresolution segmentation - an optimization approach for high quality multi-scale image segmentation.</w:t>
      </w:r>
      <w:proofErr w:type="gramEnd"/>
      <w:r>
        <w:t xml:space="preserve"> In Angewandte Geographische Informationsverarbeitung XII, </w:t>
      </w:r>
      <w:proofErr w:type="gramStart"/>
      <w:r>
        <w:t>eds</w:t>
      </w:r>
      <w:proofErr w:type="gramEnd"/>
      <w:r>
        <w:t xml:space="preserve"> J Strobl, T Blaschke &amp; G Griesebner, Wichmann-Verlag, Heidelberg, 12–23.</w:t>
      </w:r>
    </w:p>
    <w:p w:rsidR="009C5307" w:rsidRDefault="009C5307" w:rsidP="009C5307">
      <w:pPr>
        <w:pStyle w:val="referencelist1"/>
      </w:pPr>
      <w:r>
        <w:t xml:space="preserve">Boyden J, Joyce KE, Boggs G &amp; Wurm P 2013. </w:t>
      </w:r>
      <w:proofErr w:type="gramStart"/>
      <w:r>
        <w:t>Object-based mapping of native vegetation and para grass (Urochloa mutica) on a monsoonal wetland of Kakadu NP using a Landsat 5 TM Dry-season time series.</w:t>
      </w:r>
      <w:proofErr w:type="gramEnd"/>
      <w:r w:rsidRPr="00BB508B">
        <w:rPr>
          <w:i/>
        </w:rPr>
        <w:t xml:space="preserve"> Journal of Spatial Science</w:t>
      </w:r>
      <w:r>
        <w:t xml:space="preserve"> 58(1), 53–77.</w:t>
      </w:r>
    </w:p>
    <w:p w:rsidR="009C5307" w:rsidRDefault="009C5307" w:rsidP="009C5307">
      <w:pPr>
        <w:pStyle w:val="referencelist1"/>
      </w:pPr>
      <w:proofErr w:type="gramStart"/>
      <w:r>
        <w:t>Bunting P &amp; Lucas R 2006.</w:t>
      </w:r>
      <w:proofErr w:type="gramEnd"/>
      <w:r>
        <w:t xml:space="preserve"> The delineation of tree crowns in Australian mixed species forests using hyperspectral Compact Airborne Spectrographic Imager (CASI) data. </w:t>
      </w:r>
      <w:r w:rsidRPr="00BB508B">
        <w:rPr>
          <w:i/>
        </w:rPr>
        <w:t>Remote Sensing of Environment</w:t>
      </w:r>
      <w:r>
        <w:t xml:space="preserve"> 101(2), 230–248.</w:t>
      </w:r>
    </w:p>
    <w:p w:rsidR="009C5307" w:rsidRDefault="009C5307" w:rsidP="009C5307">
      <w:pPr>
        <w:pStyle w:val="referencelist1"/>
      </w:pPr>
      <w:r>
        <w:t xml:space="preserve">Congalton RG &amp; Green K 2009. </w:t>
      </w:r>
      <w:proofErr w:type="gramStart"/>
      <w:r>
        <w:t>Assessing the accuracy of remotely sensed data: principles and practices.</w:t>
      </w:r>
      <w:proofErr w:type="gramEnd"/>
      <w:r>
        <w:t xml:space="preserve"> </w:t>
      </w:r>
      <w:proofErr w:type="gramStart"/>
      <w:r>
        <w:t>2nd edn, CRC Press, Boca Raton, Fl.</w:t>
      </w:r>
      <w:proofErr w:type="gramEnd"/>
    </w:p>
    <w:p w:rsidR="009C5307" w:rsidRDefault="009C5307" w:rsidP="009C5307">
      <w:pPr>
        <w:pStyle w:val="referencelist1"/>
      </w:pPr>
      <w:proofErr w:type="gramStart"/>
      <w:r>
        <w:t>Finlayson CM, Bailey BJ &amp; Cowie ID 1989.</w:t>
      </w:r>
      <w:proofErr w:type="gramEnd"/>
      <w:r>
        <w:t xml:space="preserve"> </w:t>
      </w:r>
      <w:proofErr w:type="gramStart"/>
      <w:r>
        <w:t>Macrophyte vegetation of the Magela Creek flood plain, Alligator Rivers Region, Northern Territory.</w:t>
      </w:r>
      <w:proofErr w:type="gramEnd"/>
      <w:r>
        <w:t xml:space="preserve"> </w:t>
      </w:r>
      <w:proofErr w:type="gramStart"/>
      <w:r>
        <w:t>Research Report 5, April 1989, Supervising Scientist, Canberra.</w:t>
      </w:r>
      <w:proofErr w:type="gramEnd"/>
    </w:p>
    <w:p w:rsidR="009C5307" w:rsidRDefault="009C5307" w:rsidP="009C5307">
      <w:pPr>
        <w:pStyle w:val="referencelist1"/>
      </w:pPr>
      <w:r>
        <w:t xml:space="preserve">Huete AR, Didan K, Miura T, Rodriguez EP, Gao X &amp; Ferreira LG 2002. </w:t>
      </w:r>
      <w:proofErr w:type="gramStart"/>
      <w:r>
        <w:t>Overview of the radiometric and biophysical performance of the MODIS vegetation indices.</w:t>
      </w:r>
      <w:proofErr w:type="gramEnd"/>
      <w:r>
        <w:t xml:space="preserve"> </w:t>
      </w:r>
      <w:proofErr w:type="gramStart"/>
      <w:r w:rsidRPr="00BB508B">
        <w:rPr>
          <w:i/>
        </w:rPr>
        <w:t xml:space="preserve">Remote Sensing of Environment </w:t>
      </w:r>
      <w:r>
        <w:t>83(1-2), 195–213.</w:t>
      </w:r>
      <w:proofErr w:type="gramEnd"/>
    </w:p>
    <w:p w:rsidR="009C5307" w:rsidRDefault="009C5307" w:rsidP="009C5307">
      <w:pPr>
        <w:pStyle w:val="referencelist1"/>
      </w:pPr>
      <w:r>
        <w:t xml:space="preserve">Rouse JW, Haas RH, Schell JA &amp; Deering DW 1973. </w:t>
      </w:r>
      <w:proofErr w:type="gramStart"/>
      <w:r>
        <w:t>Monitoring vegetation systems in the Great Plains with ERTS.</w:t>
      </w:r>
      <w:proofErr w:type="gramEnd"/>
      <w:r>
        <w:t xml:space="preserve"> </w:t>
      </w:r>
      <w:proofErr w:type="gramStart"/>
      <w:r>
        <w:t>In Proceedings of the 3rd ERTS Symposium.</w:t>
      </w:r>
      <w:proofErr w:type="gramEnd"/>
      <w:r>
        <w:t xml:space="preserve"> NASA, Washington, 309-317.</w:t>
      </w:r>
    </w:p>
    <w:p w:rsidR="009C5307" w:rsidRDefault="009C5307" w:rsidP="009C5307">
      <w:pPr>
        <w:pStyle w:val="referencelist1"/>
      </w:pPr>
      <w:proofErr w:type="gramStart"/>
      <w:r>
        <w:t>Sanderson NT, Koontz DV &amp; Morley AW 1983.</w:t>
      </w:r>
      <w:proofErr w:type="gramEnd"/>
      <w:r>
        <w:t xml:space="preserve"> The ecology of the vegetation of the Magela Creek floodplain: upper section from Oenpelli road crossing to Nankeen Billabong. Paper presented at Scientific Workshop on Environment Protection in the Alligator Rivers Region. Jabiru 17–20 May 1983.</w:t>
      </w:r>
    </w:p>
    <w:p w:rsidR="009C5307" w:rsidRDefault="009C5307" w:rsidP="009C5307">
      <w:pPr>
        <w:pStyle w:val="referencelist1"/>
      </w:pPr>
      <w:proofErr w:type="gramStart"/>
      <w:r>
        <w:t>Story M &amp; Congalton RG 1986.</w:t>
      </w:r>
      <w:proofErr w:type="gramEnd"/>
      <w:r>
        <w:t xml:space="preserve"> </w:t>
      </w:r>
      <w:proofErr w:type="gramStart"/>
      <w:r>
        <w:t>Accuracy assessment - a user's perspective.</w:t>
      </w:r>
      <w:proofErr w:type="gramEnd"/>
      <w:r>
        <w:t xml:space="preserve"> Photogrammetric Engineering and Remote Sensing 52(3), 397–399.</w:t>
      </w:r>
    </w:p>
    <w:p w:rsidR="009C5307" w:rsidRDefault="009C5307" w:rsidP="009C5307">
      <w:pPr>
        <w:pStyle w:val="referencelist1"/>
      </w:pPr>
      <w:proofErr w:type="gramStart"/>
      <w:r>
        <w:t>Whiteside T &amp; Bartolo R 2014.</w:t>
      </w:r>
      <w:proofErr w:type="gramEnd"/>
      <w:r>
        <w:t xml:space="preserve"> </w:t>
      </w:r>
      <w:proofErr w:type="gramStart"/>
      <w:r>
        <w:t>Vegetation map for Magela Creek floodplain using WorldView-2 multispectral image data.</w:t>
      </w:r>
      <w:proofErr w:type="gramEnd"/>
      <w:r>
        <w:t xml:space="preserve"> Internal Report 628, Supervising Scientist, Darwin.</w:t>
      </w:r>
    </w:p>
    <w:p w:rsidR="009C5307" w:rsidRDefault="009C5307" w:rsidP="009C5307">
      <w:pPr>
        <w:pStyle w:val="referencelist1"/>
      </w:pPr>
      <w:proofErr w:type="gramStart"/>
      <w:r>
        <w:t>Whiteside T, Bartolo R, Pfitzner K &amp; Staben G 2013.</w:t>
      </w:r>
      <w:proofErr w:type="gramEnd"/>
      <w:r>
        <w:t xml:space="preserve"> </w:t>
      </w:r>
      <w:proofErr w:type="gramStart"/>
      <w:r>
        <w:t>Geometric and radiometric correction of WorldView-2 satellite imagery.</w:t>
      </w:r>
      <w:proofErr w:type="gramEnd"/>
      <w:r>
        <w:t xml:space="preserve"> Internal Report 617, Supervising Scientist, Darwin.</w:t>
      </w:r>
    </w:p>
    <w:p w:rsidR="006D7E38" w:rsidRDefault="006D7E38" w:rsidP="006D7E38"/>
    <w:p w:rsidR="00FD2FC8" w:rsidRDefault="00FD2FC8" w:rsidP="006D7E38">
      <w:pPr>
        <w:sectPr w:rsidR="00FD2FC8" w:rsidSect="00D444BD">
          <w:pgSz w:w="11906" w:h="16838" w:code="9"/>
          <w:pgMar w:top="1440" w:right="1800" w:bottom="1440" w:left="1800" w:header="1080" w:footer="835" w:gutter="0"/>
          <w:cols w:space="360"/>
          <w:noEndnote/>
        </w:sectPr>
      </w:pPr>
    </w:p>
    <w:p w:rsidR="0042639C" w:rsidRDefault="0042639C" w:rsidP="006D7E38"/>
    <w:p w:rsidR="0042639C" w:rsidRDefault="0042639C" w:rsidP="006D7E38"/>
    <w:p w:rsidR="0042639C" w:rsidRDefault="0042639C" w:rsidP="0042639C">
      <w:pPr>
        <w:pStyle w:val="Heading1"/>
        <w:rPr>
          <w:snapToGrid w:val="0"/>
          <w:lang w:val="en-US"/>
        </w:rPr>
      </w:pPr>
    </w:p>
    <w:p w:rsidR="0042639C" w:rsidRDefault="0042639C" w:rsidP="0042639C">
      <w:pPr>
        <w:pStyle w:val="Heading1"/>
        <w:rPr>
          <w:snapToGrid w:val="0"/>
          <w:lang w:val="en-US"/>
        </w:rPr>
      </w:pPr>
    </w:p>
    <w:p w:rsidR="0042639C" w:rsidRDefault="0042639C" w:rsidP="0042639C">
      <w:pPr>
        <w:pStyle w:val="Heading1"/>
        <w:rPr>
          <w:snapToGrid w:val="0"/>
          <w:lang w:val="en-US"/>
        </w:rPr>
      </w:pPr>
    </w:p>
    <w:p w:rsidR="0042639C" w:rsidRDefault="0042639C" w:rsidP="0042639C">
      <w:pPr>
        <w:pStyle w:val="Heading1"/>
        <w:rPr>
          <w:snapToGrid w:val="0"/>
          <w:lang w:val="en-US"/>
        </w:rPr>
      </w:pPr>
    </w:p>
    <w:p w:rsidR="0042639C" w:rsidRDefault="0042639C" w:rsidP="0042639C">
      <w:pPr>
        <w:pStyle w:val="Heading1"/>
        <w:rPr>
          <w:snapToGrid w:val="0"/>
          <w:lang w:val="en-US"/>
        </w:rPr>
      </w:pPr>
    </w:p>
    <w:p w:rsidR="0042639C" w:rsidRDefault="0042639C" w:rsidP="0042639C">
      <w:pPr>
        <w:pStyle w:val="Heading1"/>
      </w:pPr>
      <w:bookmarkStart w:id="289" w:name="_Toc418172729"/>
      <w:r>
        <w:t>Key Knowledge Need 2.7: Risk Assessment</w:t>
      </w:r>
      <w:bookmarkEnd w:id="289"/>
    </w:p>
    <w:p w:rsidR="0042639C" w:rsidRDefault="0042639C" w:rsidP="0042639C">
      <w:pPr>
        <w:spacing w:after="0" w:line="240" w:lineRule="auto"/>
        <w:jc w:val="left"/>
      </w:pPr>
    </w:p>
    <w:p w:rsidR="0042639C" w:rsidRDefault="0042639C" w:rsidP="0042639C">
      <w:pPr>
        <w:spacing w:after="0" w:line="240" w:lineRule="auto"/>
        <w:jc w:val="left"/>
        <w:sectPr w:rsidR="0042639C" w:rsidSect="00D444BD">
          <w:headerReference w:type="default" r:id="rId291"/>
          <w:pgSz w:w="11906" w:h="16838" w:code="9"/>
          <w:pgMar w:top="1440" w:right="1800" w:bottom="1440" w:left="1800" w:header="1080" w:footer="835" w:gutter="0"/>
          <w:cols w:space="360"/>
          <w:noEndnote/>
        </w:sectPr>
      </w:pPr>
    </w:p>
    <w:p w:rsidR="00B1542E" w:rsidRDefault="00B1542E" w:rsidP="00B1542E">
      <w:pPr>
        <w:pStyle w:val="Heading1"/>
      </w:pPr>
      <w:bookmarkStart w:id="290" w:name="_Toc401910206"/>
      <w:bookmarkStart w:id="291" w:name="_Toc409772831"/>
      <w:bookmarkStart w:id="292" w:name="_Toc418172730"/>
      <w:r w:rsidRPr="009B27DC">
        <w:t>Rehabilitation</w:t>
      </w:r>
      <w:r>
        <w:t xml:space="preserve"> and closure ecological risk assessment for the Ranger uranium mine: Identification and incorporation of key ecological processes</w:t>
      </w:r>
      <w:bookmarkEnd w:id="290"/>
      <w:bookmarkEnd w:id="291"/>
      <w:bookmarkEnd w:id="292"/>
    </w:p>
    <w:p w:rsidR="00B1542E" w:rsidRPr="007D150B" w:rsidRDefault="00B1542E" w:rsidP="00B1542E">
      <w:pPr>
        <w:pStyle w:val="Heading3"/>
        <w:spacing w:before="0" w:after="480"/>
        <w:jc w:val="center"/>
      </w:pPr>
      <w:r>
        <w:t>R Bartolo, A George, R van Dam, A Harford &amp; C Humphrey</w:t>
      </w:r>
    </w:p>
    <w:p w:rsidR="00B1542E" w:rsidRDefault="00B1542E" w:rsidP="00B1542E">
      <w:pPr>
        <w:pStyle w:val="Heading2"/>
        <w:rPr>
          <w:lang w:val="en-US"/>
        </w:rPr>
      </w:pPr>
      <w:r>
        <w:rPr>
          <w:lang w:val="en-US"/>
        </w:rPr>
        <w:t>Introduction</w:t>
      </w:r>
    </w:p>
    <w:p w:rsidR="00B1542E" w:rsidRDefault="00B1542E" w:rsidP="00B1542E">
      <w:pPr>
        <w:rPr>
          <w:lang w:eastAsia="en-AU"/>
        </w:rPr>
      </w:pPr>
      <w:r>
        <w:t>Energy Resources Australia Pty Ltd (</w:t>
      </w:r>
      <w:r w:rsidRPr="00684B87">
        <w:rPr>
          <w:lang w:eastAsia="en-AU"/>
        </w:rPr>
        <w:t>ERA</w:t>
      </w:r>
      <w:r>
        <w:rPr>
          <w:lang w:eastAsia="en-AU"/>
        </w:rPr>
        <w:t>)</w:t>
      </w:r>
      <w:r w:rsidRPr="00684B87">
        <w:rPr>
          <w:lang w:eastAsia="en-AU"/>
        </w:rPr>
        <w:t xml:space="preserve"> is required to rehabilitate Ranger uranium mine by 2026 and thus a large number of research and assessment projects are underway by both </w:t>
      </w:r>
      <w:r w:rsidR="004A3C4C" w:rsidRPr="004A3C4C">
        <w:rPr>
          <w:b/>
          <w:i/>
          <w:sz w:val="26"/>
          <w:lang w:eastAsia="en-AU"/>
        </w:rPr>
        <w:t>eriss</w:t>
      </w:r>
      <w:r w:rsidRPr="00684B87">
        <w:rPr>
          <w:lang w:eastAsia="en-AU"/>
        </w:rPr>
        <w:t xml:space="preserve"> and ERA to ensure the necessary </w:t>
      </w:r>
      <w:r>
        <w:rPr>
          <w:lang w:eastAsia="en-AU"/>
        </w:rPr>
        <w:t xml:space="preserve">and appropriate </w:t>
      </w:r>
      <w:r w:rsidRPr="00684B87">
        <w:rPr>
          <w:lang w:eastAsia="en-AU"/>
        </w:rPr>
        <w:t xml:space="preserve">knowledge is available to inform the rehabilitation and closure strategy. </w:t>
      </w:r>
      <w:proofErr w:type="gramStart"/>
      <w:r w:rsidR="004A3C4C" w:rsidRPr="004A3C4C">
        <w:rPr>
          <w:b/>
          <w:i/>
          <w:sz w:val="26"/>
        </w:rPr>
        <w:t>eriss</w:t>
      </w:r>
      <w:proofErr w:type="gramEnd"/>
      <w:r w:rsidRPr="00684B87">
        <w:t xml:space="preserve"> and ERA are collaborating on an ecological risk assessment for the rehabilitation and closure of </w:t>
      </w:r>
      <w:r>
        <w:t xml:space="preserve">the </w:t>
      </w:r>
      <w:r w:rsidRPr="00684B87">
        <w:t xml:space="preserve">Ranger uranium mine. </w:t>
      </w:r>
      <w:r w:rsidRPr="00684B87">
        <w:rPr>
          <w:lang w:eastAsia="en-AU"/>
        </w:rPr>
        <w:t xml:space="preserve">The rehabilitation </w:t>
      </w:r>
      <w:r>
        <w:rPr>
          <w:lang w:eastAsia="en-AU"/>
        </w:rPr>
        <w:t xml:space="preserve">ecological </w:t>
      </w:r>
      <w:r w:rsidRPr="00684B87">
        <w:rPr>
          <w:lang w:eastAsia="en-AU"/>
        </w:rPr>
        <w:t>risk assessment provides a structured and comprehensive framework for confirming that the key issues related to ensuring the protection of the off-site environment and successful rehabilitation of the on-site environment are identified.</w:t>
      </w:r>
    </w:p>
    <w:p w:rsidR="00B1542E" w:rsidRPr="00684B87" w:rsidRDefault="00B1542E" w:rsidP="00B1542E">
      <w:pPr>
        <w:rPr>
          <w:lang w:eastAsia="en-AU"/>
        </w:rPr>
      </w:pPr>
      <w:r w:rsidRPr="00684B87">
        <w:t xml:space="preserve">The </w:t>
      </w:r>
      <w:r>
        <w:t xml:space="preserve">ecological </w:t>
      </w:r>
      <w:r w:rsidRPr="00684B87">
        <w:t>risk assessment has been broken into the following three phases: (1) Problem Formulation; (2) Risk Analysis; and (3) Interpretation of results</w:t>
      </w:r>
      <w:r>
        <w:t xml:space="preserve"> (Figure 1)</w:t>
      </w:r>
      <w:r w:rsidRPr="00684B87">
        <w:t xml:space="preserve">. The </w:t>
      </w:r>
      <w:r>
        <w:t>conceptual</w:t>
      </w:r>
      <w:r w:rsidRPr="00684B87">
        <w:t xml:space="preserve"> models produced during the Problem Formulation phase and reported </w:t>
      </w:r>
      <w:r>
        <w:t>at ARRTC 32</w:t>
      </w:r>
      <w:r w:rsidRPr="00684B87">
        <w:t xml:space="preserve"> were finalised in late 2013 and have been published in Internal Report 624 that is available on SS’s website. </w:t>
      </w:r>
      <w:r w:rsidRPr="00995D43">
        <w:t xml:space="preserve">The conceptual models were designed for the assets or components (e.g. biodiversity) which are sustained by ecological processes. Ecological processes may be a suitable assessment endpoint, but their value is derived from the direct assessment and measure of key ecological components. However, ecological processes required further definition, delineation and prioritisation to be successfully incorporated into the current ecological risk assessment. </w:t>
      </w:r>
    </w:p>
    <w:p w:rsidR="00B1542E" w:rsidRDefault="00B1542E" w:rsidP="00B1542E">
      <w:pPr>
        <w:pStyle w:val="Heading3"/>
        <w:rPr>
          <w:lang w:val="en-US"/>
        </w:rPr>
      </w:pPr>
      <w:r>
        <w:rPr>
          <w:lang w:val="en-US"/>
        </w:rPr>
        <w:t>The importance of ecological processes</w:t>
      </w:r>
    </w:p>
    <w:p w:rsidR="00B1542E" w:rsidRDefault="00B1542E" w:rsidP="00B1542E">
      <w:pPr>
        <w:sectPr w:rsidR="00B1542E" w:rsidSect="00D444BD">
          <w:headerReference w:type="default" r:id="rId292"/>
          <w:pgSz w:w="11906" w:h="16838" w:code="9"/>
          <w:pgMar w:top="1440" w:right="1800" w:bottom="1440" w:left="1800" w:header="1080" w:footer="835" w:gutter="0"/>
          <w:cols w:space="360"/>
          <w:noEndnote/>
        </w:sectPr>
      </w:pPr>
      <w:r>
        <w:t>T</w:t>
      </w:r>
      <w:r w:rsidRPr="00B05739">
        <w:t xml:space="preserve">he maintenance of ecological processes is specifically </w:t>
      </w:r>
      <w:r>
        <w:t>referenced</w:t>
      </w:r>
      <w:r w:rsidRPr="00B05739">
        <w:t xml:space="preserve"> </w:t>
      </w:r>
      <w:r>
        <w:t>in t</w:t>
      </w:r>
      <w:r w:rsidRPr="00B05739">
        <w:t>he E</w:t>
      </w:r>
      <w:r>
        <w:t xml:space="preserve">nvironmental </w:t>
      </w:r>
      <w:r w:rsidRPr="00B05739">
        <w:t>R</w:t>
      </w:r>
      <w:r>
        <w:t>equirements (ERs)</w:t>
      </w:r>
      <w:r w:rsidRPr="00B05739">
        <w:t xml:space="preserve"> as </w:t>
      </w:r>
      <w:r>
        <w:t>a primary</w:t>
      </w:r>
      <w:r w:rsidRPr="00B05739">
        <w:t xml:space="preserve"> environmental objective for protection of the environment. Ecological processes and functions were identified in the c</w:t>
      </w:r>
      <w:r>
        <w:t>onceptual</w:t>
      </w:r>
      <w:r w:rsidRPr="00B05739">
        <w:t xml:space="preserve"> models for aquatic ecosystems during the initial workshop to develop these models. However, </w:t>
      </w:r>
      <w:r>
        <w:t>the link between these assessment endpoints</w:t>
      </w:r>
      <w:r w:rsidRPr="00B05739">
        <w:t xml:space="preserve"> and </w:t>
      </w:r>
      <w:r>
        <w:t xml:space="preserve">the measurement endpoints that account for ecosystem </w:t>
      </w:r>
      <w:r w:rsidRPr="00B05739">
        <w:t xml:space="preserve">functions were not </w:t>
      </w:r>
      <w:r>
        <w:t>clear</w:t>
      </w:r>
      <w:r w:rsidRPr="00B05739">
        <w:t xml:space="preserve"> in the final </w:t>
      </w:r>
      <w:r w:rsidRPr="0034520E">
        <w:t>c</w:t>
      </w:r>
      <w:r>
        <w:t>onceptual</w:t>
      </w:r>
      <w:r w:rsidRPr="00B05739">
        <w:t xml:space="preserve"> models.</w:t>
      </w:r>
      <w:r>
        <w:t xml:space="preserve"> </w:t>
      </w:r>
      <w:r w:rsidRPr="00B05739">
        <w:t xml:space="preserve">In order to incorporate ecological processes and </w:t>
      </w:r>
      <w:r>
        <w:t xml:space="preserve">tangible </w:t>
      </w:r>
      <w:r w:rsidRPr="00B05739">
        <w:t xml:space="preserve">measurement endpoints in the </w:t>
      </w:r>
      <w:r>
        <w:t>conceptual</w:t>
      </w:r>
      <w:r w:rsidRPr="00B05739">
        <w:t xml:space="preserve"> models, further work has focused on defining and understanding the importance of ecological processes for the on-site and off-site environment. The aim of this work is to determine whether the existing </w:t>
      </w:r>
      <w:r w:rsidRPr="0034520E">
        <w:t>c</w:t>
      </w:r>
      <w:r>
        <w:t>onceptual</w:t>
      </w:r>
      <w:r w:rsidRPr="00B05739">
        <w:t xml:space="preserve"> models </w:t>
      </w:r>
      <w:r>
        <w:t xml:space="preserve">sufficiently </w:t>
      </w:r>
      <w:r w:rsidRPr="00B05739">
        <w:t xml:space="preserve">address ecological processes, or </w:t>
      </w:r>
      <w:r>
        <w:t xml:space="preserve">if </w:t>
      </w:r>
      <w:r w:rsidRPr="00B05739">
        <w:t xml:space="preserve">ecological processes </w:t>
      </w:r>
      <w:r>
        <w:t xml:space="preserve">require further articulation and characterisation. </w:t>
      </w:r>
    </w:p>
    <w:p w:rsidR="00B1542E" w:rsidRDefault="00B1542E" w:rsidP="00B1542E"/>
    <w:p w:rsidR="00B1542E" w:rsidRDefault="006B5A61" w:rsidP="00B1542E">
      <w:r>
        <w:rPr>
          <w:noProof/>
          <w:lang w:eastAsia="en-AU"/>
        </w:rPr>
        <w:pict>
          <v:group id="_x0000_s1368" style="position:absolute;left:0;text-align:left;margin-left:-50.6pt;margin-top:8.6pt;width:535.9pt;height:442.35pt;z-index:251684864" coordorigin="702,2304" coordsize="10718,8847">
            <v:shape id="_x0000_s1369" type="#_x0000_t202" style="position:absolute;left:8385;top:4531;width:3035;height:568;mso-width-relative:margin;mso-height-relative:margin" fillcolor="#c2d69b [1942]">
              <v:textbox style="mso-next-textbox:#_x0000_s1369">
                <w:txbxContent>
                  <w:p w:rsidR="00F260FF" w:rsidRPr="005C019D" w:rsidRDefault="00F260FF" w:rsidP="00B1542E">
                    <w:pPr>
                      <w:jc w:val="center"/>
                      <w:rPr>
                        <w:rFonts w:ascii="Arial" w:hAnsi="Arial" w:cs="Arial"/>
                        <w:sz w:val="20"/>
                      </w:rPr>
                    </w:pPr>
                    <w:r w:rsidRPr="005C019D">
                      <w:rPr>
                        <w:rFonts w:ascii="Arial" w:hAnsi="Arial" w:cs="Arial"/>
                        <w:sz w:val="20"/>
                      </w:rPr>
                      <w:t>PROBLEM FORMULATION</w:t>
                    </w:r>
                  </w:p>
                </w:txbxContent>
              </v:textbox>
            </v:shape>
            <v:shape id="_x0000_s1370" type="#_x0000_t202" style="position:absolute;left:4258;top:2342;width:2720;height:854;mso-height-percent:200;mso-height-percent:200;mso-width-relative:margin;mso-height-relative:margin" fillcolor="#c2d69b [1942]" strokecolor="#c0504d [3205]" strokeweight="1.5pt">
              <v:textbox style="mso-next-textbox:#_x0000_s1370;mso-fit-shape-to-text:t">
                <w:txbxContent>
                  <w:p w:rsidR="00F260FF" w:rsidRPr="005C019D" w:rsidRDefault="00F260FF" w:rsidP="00B1542E">
                    <w:pPr>
                      <w:jc w:val="center"/>
                      <w:rPr>
                        <w:rFonts w:ascii="Arial" w:hAnsi="Arial" w:cs="Arial"/>
                        <w:sz w:val="20"/>
                      </w:rPr>
                    </w:pPr>
                    <w:r w:rsidRPr="005C019D">
                      <w:rPr>
                        <w:rFonts w:ascii="Arial" w:hAnsi="Arial" w:cs="Arial"/>
                        <w:sz w:val="20"/>
                      </w:rPr>
                      <w:t>Identify values, sources and stressors</w:t>
                    </w:r>
                  </w:p>
                </w:txbxContent>
              </v:textbox>
            </v:shape>
            <v:shape id="_x0000_s1371" type="#_x0000_t202" style="position:absolute;left:4260;top:3646;width:2720;height:854;mso-height-percent:200;mso-height-percent:200;mso-width-relative:margin;mso-height-relative:margin" fillcolor="#c2d69b [1942]" strokecolor="#c0504d [3205]" strokeweight="1.5pt">
              <v:textbox style="mso-next-textbox:#_x0000_s1371;mso-fit-shape-to-text:t">
                <w:txbxContent>
                  <w:p w:rsidR="00F260FF" w:rsidRPr="005C019D" w:rsidRDefault="00F260FF" w:rsidP="00B1542E">
                    <w:pPr>
                      <w:jc w:val="center"/>
                      <w:rPr>
                        <w:rFonts w:ascii="Arial" w:hAnsi="Arial" w:cs="Arial"/>
                        <w:sz w:val="20"/>
                      </w:rPr>
                    </w:pPr>
                    <w:r w:rsidRPr="005C019D">
                      <w:rPr>
                        <w:rFonts w:ascii="Arial" w:hAnsi="Arial" w:cs="Arial"/>
                        <w:sz w:val="20"/>
                      </w:rPr>
                      <w:t>Determine ecological assessment endpoints</w:t>
                    </w:r>
                  </w:p>
                </w:txbxContent>
              </v:textbox>
            </v:shape>
            <v:shape id="_x0000_s1372" type="#_x0000_t202" style="position:absolute;left:4268;top:5136;width:2720;height:854;mso-height-percent:200;mso-height-percent:200;mso-width-relative:margin;mso-height-relative:margin" fillcolor="#c2d69b [1942]" strokecolor="#c0504d [3205]" strokeweight="1.5pt">
              <v:textbox style="mso-next-textbox:#_x0000_s1372;mso-fit-shape-to-text:t">
                <w:txbxContent>
                  <w:p w:rsidR="00F260FF" w:rsidRPr="005C019D" w:rsidRDefault="00F260FF" w:rsidP="00B1542E">
                    <w:pPr>
                      <w:jc w:val="center"/>
                      <w:rPr>
                        <w:rFonts w:ascii="Arial" w:hAnsi="Arial" w:cs="Arial"/>
                        <w:sz w:val="20"/>
                      </w:rPr>
                    </w:pPr>
                    <w:r w:rsidRPr="005C019D">
                      <w:rPr>
                        <w:rFonts w:ascii="Arial" w:hAnsi="Arial" w:cs="Arial"/>
                        <w:sz w:val="20"/>
                      </w:rPr>
                      <w:t>Develop conceptual models</w:t>
                    </w:r>
                  </w:p>
                </w:txbxContent>
              </v:textbox>
            </v:shape>
            <v:shape id="_x0000_s1373" type="#_x0000_t202" style="position:absolute;left:718;top:3460;width:2720;height:1414;mso-height-percent:200;mso-height-percent:200;mso-width-relative:margin;mso-height-relative:margin" fillcolor="#c2d69b [1942]" strokeweight="1.5pt">
              <v:stroke dashstyle="1 1"/>
              <v:textbox style="mso-next-textbox:#_x0000_s1373;mso-fit-shape-to-text:t">
                <w:txbxContent>
                  <w:p w:rsidR="00F260FF" w:rsidRPr="005C019D" w:rsidRDefault="00F260FF" w:rsidP="00B1542E">
                    <w:pPr>
                      <w:jc w:val="center"/>
                      <w:rPr>
                        <w:rFonts w:ascii="Arial" w:hAnsi="Arial" w:cs="Arial"/>
                        <w:sz w:val="20"/>
                      </w:rPr>
                    </w:pPr>
                    <w:r w:rsidRPr="005C019D">
                      <w:rPr>
                        <w:rFonts w:ascii="Arial" w:hAnsi="Arial" w:cs="Arial"/>
                        <w:sz w:val="20"/>
                      </w:rPr>
                      <w:t xml:space="preserve">Identification and incorporation of </w:t>
                    </w:r>
                    <w:r>
                      <w:rPr>
                        <w:rFonts w:ascii="Arial" w:hAnsi="Arial" w:cs="Arial"/>
                        <w:sz w:val="20"/>
                      </w:rPr>
                      <w:t xml:space="preserve">key biodiversity and </w:t>
                    </w:r>
                    <w:r w:rsidRPr="005C019D">
                      <w:rPr>
                        <w:rFonts w:ascii="Arial" w:hAnsi="Arial" w:cs="Arial"/>
                        <w:sz w:val="20"/>
                      </w:rPr>
                      <w:t>ecological processes</w:t>
                    </w:r>
                    <w:r>
                      <w:rPr>
                        <w:rFonts w:ascii="Arial" w:hAnsi="Arial" w:cs="Arial"/>
                        <w:sz w:val="20"/>
                      </w:rPr>
                      <w:t xml:space="preserve"> endpoints</w:t>
                    </w:r>
                  </w:p>
                </w:txbxContent>
              </v:textbox>
            </v:shape>
            <v:shape id="_x0000_s1374" type="#_x0000_t202" style="position:absolute;left:8410;top:8860;width:2720;height:559;mso-height-percent:200;mso-height-percent:200;mso-width-relative:margin;mso-height-relative:margin" fillcolor="#fabf8f [1945]">
              <v:textbox style="mso-next-textbox:#_x0000_s1374;mso-fit-shape-to-text:t">
                <w:txbxContent>
                  <w:p w:rsidR="00F260FF" w:rsidRPr="005C019D" w:rsidRDefault="00F260FF" w:rsidP="00B1542E">
                    <w:pPr>
                      <w:jc w:val="center"/>
                      <w:rPr>
                        <w:rFonts w:ascii="Arial" w:hAnsi="Arial" w:cs="Arial"/>
                        <w:sz w:val="20"/>
                      </w:rPr>
                    </w:pPr>
                    <w:r>
                      <w:rPr>
                        <w:rFonts w:ascii="Arial" w:hAnsi="Arial" w:cs="Arial"/>
                        <w:sz w:val="20"/>
                      </w:rPr>
                      <w:t>RISK ANALYSIS</w:t>
                    </w:r>
                  </w:p>
                </w:txbxContent>
              </v:textbox>
            </v:shape>
            <v:shape id="_x0000_s1375" type="#_x0000_t202" style="position:absolute;left:4278;top:6618;width:2720;height:1254;mso-height-percent:200;mso-height-percent:200;mso-width-relative:margin;mso-height-relative:margin" fillcolor="#c2d69b [1942]" strokecolor="#c0504d [3205]" strokeweight="1.5pt">
              <v:textbox style="mso-next-textbox:#_x0000_s1375;mso-fit-shape-to-text:t">
                <w:txbxContent>
                  <w:p w:rsidR="00F260FF" w:rsidRPr="005C019D" w:rsidRDefault="00F260FF" w:rsidP="00B1542E">
                    <w:pPr>
                      <w:jc w:val="center"/>
                      <w:rPr>
                        <w:rFonts w:ascii="Arial" w:hAnsi="Arial" w:cs="Arial"/>
                        <w:sz w:val="20"/>
                      </w:rPr>
                    </w:pPr>
                    <w:r w:rsidRPr="005C019D">
                      <w:rPr>
                        <w:rFonts w:ascii="Arial" w:hAnsi="Arial" w:cs="Arial"/>
                        <w:sz w:val="20"/>
                      </w:rPr>
                      <w:t>Risk Screening</w:t>
                    </w:r>
                    <w:r>
                      <w:rPr>
                        <w:rFonts w:ascii="Arial" w:hAnsi="Arial" w:cs="Arial"/>
                        <w:sz w:val="20"/>
                      </w:rPr>
                      <w:t xml:space="preserve"> (Rehabilitation phase)</w:t>
                    </w:r>
                  </w:p>
                  <w:p w:rsidR="00F260FF" w:rsidRPr="005C019D" w:rsidRDefault="00F260FF" w:rsidP="00B1542E">
                    <w:pPr>
                      <w:jc w:val="center"/>
                      <w:rPr>
                        <w:rFonts w:ascii="Arial" w:hAnsi="Arial" w:cs="Arial"/>
                        <w:sz w:val="20"/>
                      </w:rPr>
                    </w:pPr>
                    <w:r w:rsidRPr="005C019D">
                      <w:rPr>
                        <w:rFonts w:ascii="Arial" w:hAnsi="Arial" w:cs="Arial"/>
                        <w:sz w:val="20"/>
                      </w:rPr>
                      <w:t>(Survey of experts)</w:t>
                    </w:r>
                  </w:p>
                </w:txbxContent>
              </v:textbox>
            </v:shape>
            <v:shape id="_x0000_s1376" type="#_x0000_t202" style="position:absolute;left:728;top:6422;width:2720;height:1694;mso-height-percent:200;mso-height-percent:200;mso-width-relative:margin;mso-height-relative:margin" fillcolor="#c2d69b [1942]" strokeweight="1.5pt">
              <v:stroke dashstyle="1 1"/>
              <v:textbox style="mso-next-textbox:#_x0000_s1376;mso-fit-shape-to-text:t">
                <w:txbxContent>
                  <w:p w:rsidR="00F260FF" w:rsidRPr="005C019D" w:rsidRDefault="00F260FF" w:rsidP="00B1542E">
                    <w:pPr>
                      <w:jc w:val="center"/>
                      <w:rPr>
                        <w:rFonts w:ascii="Arial" w:hAnsi="Arial" w:cs="Arial"/>
                        <w:sz w:val="20"/>
                      </w:rPr>
                    </w:pPr>
                    <w:r w:rsidRPr="005C019D">
                      <w:rPr>
                        <w:rFonts w:ascii="Arial" w:hAnsi="Arial" w:cs="Arial"/>
                        <w:sz w:val="20"/>
                      </w:rPr>
                      <w:t>Information review for likelihood and consequence statements with high levels of uncertainty</w:t>
                    </w:r>
                  </w:p>
                </w:txbxContent>
              </v:textbox>
            </v:shape>
            <v:shape id="_x0000_s1377" type="#_x0000_t202" style="position:absolute;left:4270;top:8688;width:2720;height:839;mso-height-percent:200;mso-height-percent:200;mso-width-relative:margin;mso-height-relative:margin" fillcolor="#fabf8f [1945]">
              <v:textbox style="mso-next-textbox:#_x0000_s1377;mso-fit-shape-to-text:t">
                <w:txbxContent>
                  <w:p w:rsidR="00F260FF" w:rsidRPr="005C019D" w:rsidRDefault="00F260FF" w:rsidP="00B1542E">
                    <w:pPr>
                      <w:jc w:val="center"/>
                      <w:rPr>
                        <w:rFonts w:ascii="Arial" w:hAnsi="Arial" w:cs="Arial"/>
                        <w:sz w:val="20"/>
                      </w:rPr>
                    </w:pPr>
                    <w:r w:rsidRPr="005C019D">
                      <w:rPr>
                        <w:rFonts w:ascii="Arial" w:hAnsi="Arial" w:cs="Arial"/>
                        <w:sz w:val="20"/>
                      </w:rPr>
                      <w:t>Quantitative risk analysis for high priority risks</w:t>
                    </w:r>
                  </w:p>
                </w:txbxContent>
              </v:textbox>
            </v:shape>
            <v:shape id="_x0000_s1378" type="#_x0000_t202" style="position:absolute;left:5900;top:10592;width:3738;height:559;mso-height-percent:200;mso-height-percent:200;mso-width-relative:margin;mso-height-relative:margin" fillcolor="#95b3d7 [1940]">
              <v:textbox style="mso-next-textbox:#_x0000_s1378;mso-fit-shape-to-text:t">
                <w:txbxContent>
                  <w:p w:rsidR="00F260FF" w:rsidRPr="005C019D" w:rsidRDefault="00F260FF" w:rsidP="00B1542E">
                    <w:pPr>
                      <w:jc w:val="center"/>
                      <w:rPr>
                        <w:rFonts w:ascii="Arial" w:hAnsi="Arial" w:cs="Arial"/>
                        <w:sz w:val="20"/>
                      </w:rPr>
                    </w:pPr>
                    <w:r>
                      <w:rPr>
                        <w:rFonts w:ascii="Arial" w:hAnsi="Arial" w:cs="Arial"/>
                        <w:sz w:val="20"/>
                      </w:rPr>
                      <w:t>INTERPRETATION OF RESULTS</w:t>
                    </w:r>
                  </w:p>
                </w:txbxContent>
              </v:textbox>
            </v:shape>
            <v:shapetyp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_x0000_s1379" type="#_x0000_t88" style="position:absolute;left:7545;top:2304;width:510;height:5346" strokecolor="#7f7f7f [1612]" strokeweight="1.5pt"/>
            <v:shape id="_x0000_s1380" type="#_x0000_t88" style="position:absolute;left:7665;top:8663;width:270;height:840" strokecolor="#7f7f7f [1612]" strokeweight="1.5pt"/>
            <v:shape id="_x0000_s1381" type="#_x0000_t32" style="position:absolute;left:5490;top:3142;width:15;height:467" o:connectortype="straight" strokecolor="#7f7f7f [1612]">
              <v:stroke endarrow="block"/>
            </v:shape>
            <v:shape id="_x0000_s1382" type="#_x0000_t32" style="position:absolute;left:5505;top:4448;width:0;height:651" o:connectortype="straight" strokecolor="#7f7f7f [1612]">
              <v:stroke endarrow="block"/>
            </v:shape>
            <v:shape id="_x0000_s1383" type="#_x0000_t32" style="position:absolute;left:5505;top:5938;width:0;height:640" o:connectortype="straight" strokecolor="#7f7f7f [1612]">
              <v:stroke endarrow="block"/>
            </v:shape>
            <v:shape id="_x0000_s1384" type="#_x0000_t32" style="position:absolute;left:5505;top:7872;width:1;height:791" o:connectortype="straight" strokecolor="#7f7f7f [1612]">
              <v:stroke endarrow="block"/>
            </v:shape>
            <v:shape id="_x0000_s1385" type="#_x0000_t32" style="position:absolute;left:5505;top:9511;width:735;height:1064" o:connectortype="straight" strokecolor="#7f7f7f [1612]">
              <v:stroke endarrow="block"/>
            </v:shape>
            <v:shape id="_x0000_s1386" type="#_x0000_t32" style="position:absolute;left:3416;top:4448;width:811;height:1087" o:connectortype="straight" strokecolor="#7f7f7f [1612]">
              <v:stroke endarrow="block"/>
            </v:shape>
            <v:shape id="_x0000_s1387" type="#_x0000_t32" style="position:absolute;left:3407;top:2820;width:820;height:1020;flip:y" o:connectortype="straight" strokecolor="#7f7f7f [1612]">
              <v:stroke endarrow="block"/>
            </v:shape>
            <v:shape id="_x0000_s1388" type="#_x0000_t32" style="position:absolute;left:3416;top:7035;width:811;height:15" o:connectortype="straight" strokecolor="#7f7f7f [1612]">
              <v:stroke endarrow="block"/>
            </v:shape>
            <v:shape id="_x0000_s1389" type="#_x0000_t32" style="position:absolute;left:3416;top:7560;width:830;height:1560" o:connectortype="straight" strokecolor="#7f7f7f [1612]">
              <v:stroke endarrow="block"/>
            </v:shape>
            <v:shape id="_x0000_s1390" type="#_x0000_t202" style="position:absolute;left:702;top:5004;width:2720;height:1134;mso-height-percent:200;mso-height-percent:200;mso-width-relative:margin;mso-height-relative:margin" fillcolor="#c2d69b [1942]" strokeweight="1.5pt">
              <v:stroke dashstyle="1 1"/>
              <v:textbox style="mso-next-textbox:#_x0000_s1390;mso-fit-shape-to-text:t">
                <w:txbxContent>
                  <w:p w:rsidR="00F260FF" w:rsidRPr="005C019D" w:rsidRDefault="00F260FF" w:rsidP="00B1542E">
                    <w:pPr>
                      <w:jc w:val="center"/>
                      <w:rPr>
                        <w:rFonts w:ascii="Arial" w:hAnsi="Arial" w:cs="Arial"/>
                        <w:sz w:val="20"/>
                      </w:rPr>
                    </w:pPr>
                    <w:r>
                      <w:rPr>
                        <w:rFonts w:ascii="Arial" w:hAnsi="Arial" w:cs="Arial"/>
                        <w:sz w:val="20"/>
                      </w:rPr>
                      <w:t>Decommissioning risk screening survey of experts</w:t>
                    </w:r>
                  </w:p>
                </w:txbxContent>
              </v:textbox>
            </v:shape>
            <v:shape id="_x0000_s1391" type="#_x0000_t32" style="position:absolute;left:3438;top:5535;width:789;height:1275" o:connectortype="straight" strokecolor="#7f7f7f [1612]">
              <v:stroke endarrow="block"/>
            </v:shape>
          </v:group>
        </w:pict>
      </w:r>
    </w:p>
    <w:p w:rsidR="00B1542E" w:rsidRDefault="00B1542E" w:rsidP="00B1542E"/>
    <w:p w:rsidR="00B1542E" w:rsidRDefault="00B1542E" w:rsidP="00B1542E"/>
    <w:p w:rsidR="00B1542E" w:rsidRDefault="00B1542E" w:rsidP="00B1542E">
      <w:pPr>
        <w:pStyle w:val="figurecaption"/>
        <w:jc w:val="both"/>
        <w:rPr>
          <w:b/>
          <w:bCs/>
          <w:lang w:val="en-US"/>
        </w:rPr>
      </w:pPr>
    </w:p>
    <w:p w:rsidR="00B1542E" w:rsidRDefault="00B1542E" w:rsidP="00B1542E">
      <w:pPr>
        <w:pStyle w:val="figurecaption"/>
        <w:jc w:val="both"/>
        <w:rPr>
          <w:b/>
          <w:bCs/>
          <w:lang w:val="en-US"/>
        </w:rPr>
      </w:pPr>
    </w:p>
    <w:p w:rsidR="00B1542E" w:rsidRDefault="00B1542E" w:rsidP="00B1542E">
      <w:pPr>
        <w:pStyle w:val="figurecaption"/>
        <w:jc w:val="both"/>
        <w:rPr>
          <w:b/>
          <w:bCs/>
          <w:lang w:val="en-US"/>
        </w:rPr>
      </w:pPr>
    </w:p>
    <w:p w:rsidR="00B1542E" w:rsidRDefault="00B1542E" w:rsidP="00B1542E">
      <w:pPr>
        <w:pStyle w:val="figurecaption"/>
        <w:jc w:val="both"/>
        <w:rPr>
          <w:b/>
          <w:bCs/>
          <w:lang w:val="en-US"/>
        </w:rPr>
      </w:pPr>
    </w:p>
    <w:p w:rsidR="00B1542E" w:rsidRDefault="00B1542E" w:rsidP="00B1542E">
      <w:pPr>
        <w:pStyle w:val="figurecaption"/>
        <w:jc w:val="both"/>
        <w:rPr>
          <w:b/>
          <w:bCs/>
          <w:lang w:val="en-US"/>
        </w:rPr>
      </w:pPr>
    </w:p>
    <w:p w:rsidR="00B1542E" w:rsidRDefault="00B1542E" w:rsidP="00B1542E">
      <w:pPr>
        <w:pStyle w:val="figurecaption"/>
        <w:jc w:val="both"/>
        <w:rPr>
          <w:b/>
          <w:bCs/>
          <w:lang w:val="en-US"/>
        </w:rPr>
      </w:pPr>
    </w:p>
    <w:p w:rsidR="00B1542E" w:rsidRDefault="00B1542E" w:rsidP="00B1542E">
      <w:pPr>
        <w:pStyle w:val="figurecaption"/>
        <w:jc w:val="both"/>
        <w:rPr>
          <w:b/>
          <w:bCs/>
          <w:lang w:val="en-US"/>
        </w:rPr>
      </w:pPr>
    </w:p>
    <w:p w:rsidR="00B1542E" w:rsidRDefault="00B1542E" w:rsidP="00B1542E">
      <w:pPr>
        <w:pStyle w:val="figurecaption"/>
        <w:jc w:val="both"/>
        <w:rPr>
          <w:b/>
          <w:bCs/>
          <w:lang w:val="en-US"/>
        </w:rPr>
      </w:pPr>
    </w:p>
    <w:p w:rsidR="00B1542E" w:rsidRDefault="00B1542E" w:rsidP="00B1542E">
      <w:pPr>
        <w:pStyle w:val="figurecaption"/>
        <w:jc w:val="both"/>
        <w:rPr>
          <w:b/>
          <w:bCs/>
          <w:lang w:val="en-US"/>
        </w:rPr>
      </w:pPr>
    </w:p>
    <w:p w:rsidR="00B1542E" w:rsidRDefault="00B1542E" w:rsidP="00B1542E">
      <w:pPr>
        <w:pStyle w:val="figurecaption"/>
        <w:jc w:val="both"/>
        <w:rPr>
          <w:b/>
          <w:bCs/>
          <w:lang w:val="en-US"/>
        </w:rPr>
      </w:pPr>
    </w:p>
    <w:p w:rsidR="00B1542E" w:rsidRDefault="00B1542E" w:rsidP="00B1542E">
      <w:pPr>
        <w:pStyle w:val="figurecaption"/>
        <w:jc w:val="both"/>
        <w:rPr>
          <w:b/>
          <w:bCs/>
          <w:lang w:val="en-US"/>
        </w:rPr>
      </w:pPr>
    </w:p>
    <w:p w:rsidR="00B1542E" w:rsidRDefault="00B1542E" w:rsidP="00B1542E">
      <w:pPr>
        <w:pStyle w:val="figurecaption"/>
        <w:jc w:val="both"/>
        <w:rPr>
          <w:b/>
          <w:bCs/>
          <w:lang w:val="en-US"/>
        </w:rPr>
      </w:pPr>
    </w:p>
    <w:p w:rsidR="00B1542E" w:rsidRDefault="00B1542E" w:rsidP="00B1542E">
      <w:pPr>
        <w:pStyle w:val="figurecaption"/>
        <w:jc w:val="both"/>
        <w:rPr>
          <w:b/>
          <w:bCs/>
          <w:lang w:val="en-US"/>
        </w:rPr>
      </w:pPr>
    </w:p>
    <w:p w:rsidR="00B1542E" w:rsidRDefault="00B1542E" w:rsidP="00B1542E">
      <w:pPr>
        <w:pStyle w:val="figurecaption"/>
        <w:jc w:val="both"/>
        <w:rPr>
          <w:b/>
          <w:bCs/>
          <w:lang w:val="en-US"/>
        </w:rPr>
      </w:pPr>
    </w:p>
    <w:p w:rsidR="00B1542E" w:rsidRDefault="00B1542E" w:rsidP="00B1542E">
      <w:pPr>
        <w:pStyle w:val="figurecaption"/>
        <w:jc w:val="both"/>
        <w:rPr>
          <w:b/>
          <w:bCs/>
          <w:lang w:val="en-US"/>
        </w:rPr>
      </w:pPr>
    </w:p>
    <w:p w:rsidR="00B1542E" w:rsidRDefault="00B1542E" w:rsidP="00B1542E">
      <w:pPr>
        <w:pStyle w:val="figurecaption"/>
        <w:jc w:val="both"/>
        <w:rPr>
          <w:b/>
          <w:bCs/>
          <w:lang w:val="en-US"/>
        </w:rPr>
      </w:pPr>
    </w:p>
    <w:p w:rsidR="00B1542E" w:rsidRDefault="00B1542E" w:rsidP="00B1542E">
      <w:pPr>
        <w:pStyle w:val="figurecaption"/>
        <w:jc w:val="both"/>
        <w:rPr>
          <w:b/>
          <w:bCs/>
          <w:lang w:val="en-US"/>
        </w:rPr>
      </w:pPr>
    </w:p>
    <w:p w:rsidR="009A0A84" w:rsidRDefault="00B1542E" w:rsidP="009A0A84">
      <w:pPr>
        <w:pStyle w:val="figurecaption"/>
      </w:pPr>
      <w:r>
        <w:rPr>
          <w:b/>
          <w:bCs/>
          <w:lang w:val="en-US"/>
        </w:rPr>
        <w:t>F</w:t>
      </w:r>
      <w:r w:rsidRPr="00164A2E">
        <w:rPr>
          <w:b/>
          <w:bCs/>
          <w:lang w:val="en-US"/>
        </w:rPr>
        <w:t xml:space="preserve">igure </w:t>
      </w:r>
      <w:r>
        <w:rPr>
          <w:b/>
          <w:bCs/>
          <w:lang w:val="en-US"/>
        </w:rPr>
        <w:t>1</w:t>
      </w:r>
      <w:r w:rsidRPr="00164A2E">
        <w:rPr>
          <w:b/>
          <w:bCs/>
          <w:lang w:val="en-US"/>
        </w:rPr>
        <w:t xml:space="preserve"> </w:t>
      </w:r>
      <w:r>
        <w:t>The phases of the ecological risk assessment showing progress to date. Those boxes outlined in red have been completed, whilst those boxes with dashed outlines are in progress.</w:t>
      </w:r>
    </w:p>
    <w:p w:rsidR="009A0A84" w:rsidRDefault="009A0A84" w:rsidP="00B1542E">
      <w:pPr>
        <w:jc w:val="left"/>
      </w:pPr>
    </w:p>
    <w:p w:rsidR="009A0A84" w:rsidRDefault="00B1542E" w:rsidP="00B1542E">
      <w:pPr>
        <w:jc w:val="left"/>
        <w:sectPr w:rsidR="009A0A84" w:rsidSect="00D444BD">
          <w:headerReference w:type="even" r:id="rId293"/>
          <w:footerReference w:type="even" r:id="rId294"/>
          <w:footerReference w:type="default" r:id="rId295"/>
          <w:headerReference w:type="first" r:id="rId296"/>
          <w:footerReference w:type="first" r:id="rId297"/>
          <w:pgSz w:w="11906" w:h="16838" w:code="9"/>
          <w:pgMar w:top="1440" w:right="1800" w:bottom="1440" w:left="1800" w:header="1080" w:footer="835" w:gutter="0"/>
          <w:cols w:space="360"/>
          <w:noEndnote/>
        </w:sectPr>
      </w:pPr>
      <w:r>
        <w:t>Candidate a</w:t>
      </w:r>
      <w:r w:rsidRPr="00BA019D">
        <w:t>biotic and biotic processes were</w:t>
      </w:r>
      <w:r>
        <w:t xml:space="preserve"> initially</w:t>
      </w:r>
      <w:r w:rsidRPr="00BA019D">
        <w:t xml:space="preserve"> </w:t>
      </w:r>
      <w:r>
        <w:t xml:space="preserve">compiled and </w:t>
      </w:r>
      <w:r w:rsidRPr="00BA019D">
        <w:t xml:space="preserve">defined for the on-site and off-site environment </w:t>
      </w:r>
      <w:r>
        <w:t>(</w:t>
      </w:r>
      <w:r w:rsidRPr="00BA019D">
        <w:t>Table</w:t>
      </w:r>
      <w:r>
        <w:t> 1)</w:t>
      </w:r>
      <w:r w:rsidRPr="00BA019D">
        <w:t xml:space="preserve">. </w:t>
      </w:r>
      <w:r>
        <w:t>Following this,</w:t>
      </w:r>
      <w:r w:rsidRPr="00BA019D">
        <w:t xml:space="preserve"> their importance in habitats w</w:t>
      </w:r>
      <w:r>
        <w:t>as</w:t>
      </w:r>
      <w:r w:rsidRPr="00BA019D">
        <w:t xml:space="preserve"> ranked overall</w:t>
      </w:r>
      <w:r>
        <w:t>,</w:t>
      </w:r>
      <w:r w:rsidRPr="00BA019D">
        <w:t xml:space="preserve"> and then </w:t>
      </w:r>
      <w:r>
        <w:t xml:space="preserve">separately </w:t>
      </w:r>
      <w:r w:rsidRPr="00BA019D">
        <w:t>for the dry season and wet season</w:t>
      </w:r>
      <w:r>
        <w:t>, during a workshop held in February 2014</w:t>
      </w:r>
      <w:r w:rsidRPr="00BA019D">
        <w:t xml:space="preserve">. The ranking of importance </w:t>
      </w:r>
      <w:r>
        <w:t xml:space="preserve">of the process to each habitat </w:t>
      </w:r>
      <w:r w:rsidRPr="00BA019D">
        <w:t xml:space="preserve">was assigned </w:t>
      </w:r>
      <w:r>
        <w:t>to a three p</w:t>
      </w:r>
      <w:r w:rsidR="009A0A84">
        <w:t>oint scale based on activity</w:t>
      </w:r>
      <w:r>
        <w:t>.</w:t>
      </w:r>
    </w:p>
    <w:p w:rsidR="00B1542E" w:rsidRPr="00BA019D" w:rsidRDefault="00B1542E" w:rsidP="00B1542E">
      <w:pPr>
        <w:jc w:val="left"/>
      </w:pPr>
    </w:p>
    <w:p w:rsidR="00B1542E" w:rsidRDefault="00B1542E" w:rsidP="00B1542E">
      <w:pPr>
        <w:spacing w:after="0" w:line="240" w:lineRule="auto"/>
        <w:rPr>
          <w:rStyle w:val="tablecaptionChar"/>
        </w:rPr>
      </w:pPr>
      <w:r w:rsidRPr="00BA019D">
        <w:rPr>
          <w:rStyle w:val="tablecaptionChar"/>
          <w:b/>
          <w:bCs/>
        </w:rPr>
        <w:t xml:space="preserve">Table </w:t>
      </w:r>
      <w:proofErr w:type="gramStart"/>
      <w:r w:rsidRPr="00BA019D">
        <w:rPr>
          <w:rStyle w:val="tablecaptionChar"/>
          <w:b/>
          <w:bCs/>
        </w:rPr>
        <w:t>1</w:t>
      </w:r>
      <w:r w:rsidRPr="007D6F14">
        <w:t xml:space="preserve">  </w:t>
      </w:r>
      <w:r>
        <w:rPr>
          <w:rStyle w:val="tablecaptionChar"/>
        </w:rPr>
        <w:t>Abiotic</w:t>
      </w:r>
      <w:proofErr w:type="gramEnd"/>
      <w:r>
        <w:rPr>
          <w:rStyle w:val="tablecaptionChar"/>
        </w:rPr>
        <w:t xml:space="preserve"> and biotic processes for the on-site and off-site environment identified for the initial processes ranking.</w:t>
      </w:r>
    </w:p>
    <w:p w:rsidR="00B1542E" w:rsidRDefault="00B1542E" w:rsidP="00B1542E">
      <w:pPr>
        <w:spacing w:after="0" w:line="240" w:lineRule="auto"/>
        <w:rPr>
          <w:rStyle w:val="tablecaptionChar"/>
        </w:rPr>
      </w:pPr>
    </w:p>
    <w:tbl>
      <w:tblPr>
        <w:tblW w:w="6629" w:type="dxa"/>
        <w:jc w:val="center"/>
        <w:tblLook w:val="0000"/>
      </w:tblPr>
      <w:tblGrid>
        <w:gridCol w:w="2660"/>
        <w:gridCol w:w="3969"/>
      </w:tblGrid>
      <w:tr w:rsidR="00B1542E" w:rsidTr="00B1542E">
        <w:trPr>
          <w:trHeight w:val="264"/>
          <w:jc w:val="center"/>
        </w:trPr>
        <w:tc>
          <w:tcPr>
            <w:tcW w:w="2660" w:type="dxa"/>
            <w:tcBorders>
              <w:top w:val="single" w:sz="4" w:space="0" w:color="auto"/>
              <w:left w:val="nil"/>
              <w:bottom w:val="single" w:sz="8" w:space="0" w:color="C0C0C0"/>
              <w:right w:val="nil"/>
            </w:tcBorders>
            <w:shd w:val="clear" w:color="auto" w:fill="auto"/>
            <w:noWrap/>
            <w:vAlign w:val="bottom"/>
          </w:tcPr>
          <w:p w:rsidR="00B1542E" w:rsidRDefault="00B1542E" w:rsidP="00B1542E">
            <w:pPr>
              <w:pStyle w:val="table1"/>
              <w:rPr>
                <w:b/>
                <w:lang w:eastAsia="en-AU"/>
              </w:rPr>
            </w:pPr>
            <w:bookmarkStart w:id="293" w:name="_Hlk269112837"/>
            <w:r>
              <w:rPr>
                <w:b/>
                <w:lang w:eastAsia="en-AU"/>
              </w:rPr>
              <w:t>Abiotic</w:t>
            </w:r>
          </w:p>
        </w:tc>
        <w:tc>
          <w:tcPr>
            <w:tcW w:w="3969" w:type="dxa"/>
            <w:tcBorders>
              <w:top w:val="single" w:sz="4" w:space="0" w:color="auto"/>
              <w:left w:val="nil"/>
              <w:bottom w:val="single" w:sz="8" w:space="0" w:color="C0C0C0"/>
              <w:right w:val="nil"/>
            </w:tcBorders>
            <w:shd w:val="clear" w:color="auto" w:fill="auto"/>
            <w:noWrap/>
            <w:vAlign w:val="bottom"/>
          </w:tcPr>
          <w:p w:rsidR="00B1542E" w:rsidRDefault="00B1542E" w:rsidP="00B1542E">
            <w:pPr>
              <w:pStyle w:val="table1"/>
              <w:jc w:val="center"/>
              <w:rPr>
                <w:b/>
                <w:lang w:eastAsia="en-AU"/>
              </w:rPr>
            </w:pPr>
            <w:r>
              <w:rPr>
                <w:b/>
                <w:lang w:eastAsia="en-AU"/>
              </w:rPr>
              <w:t>Biotic</w:t>
            </w:r>
          </w:p>
        </w:tc>
      </w:tr>
      <w:tr w:rsidR="00B1542E" w:rsidTr="00B1542E">
        <w:trPr>
          <w:trHeight w:val="264"/>
          <w:jc w:val="center"/>
        </w:trPr>
        <w:tc>
          <w:tcPr>
            <w:tcW w:w="2660" w:type="dxa"/>
            <w:tcBorders>
              <w:top w:val="single" w:sz="8" w:space="0" w:color="C0C0C0"/>
              <w:left w:val="nil"/>
              <w:bottom w:val="nil"/>
              <w:right w:val="nil"/>
            </w:tcBorders>
            <w:shd w:val="clear" w:color="auto" w:fill="auto"/>
            <w:noWrap/>
            <w:vAlign w:val="bottom"/>
          </w:tcPr>
          <w:p w:rsidR="00B1542E" w:rsidRDefault="00B1542E" w:rsidP="00B1542E">
            <w:pPr>
              <w:pStyle w:val="table1"/>
              <w:rPr>
                <w:lang w:eastAsia="en-AU"/>
              </w:rPr>
            </w:pPr>
            <w:r>
              <w:rPr>
                <w:lang w:eastAsia="en-AU"/>
              </w:rPr>
              <w:t>Formation of habitat</w:t>
            </w:r>
          </w:p>
        </w:tc>
        <w:tc>
          <w:tcPr>
            <w:tcW w:w="3969" w:type="dxa"/>
            <w:tcBorders>
              <w:top w:val="single" w:sz="8" w:space="0" w:color="C0C0C0"/>
              <w:left w:val="nil"/>
              <w:bottom w:val="nil"/>
              <w:right w:val="nil"/>
            </w:tcBorders>
            <w:shd w:val="clear" w:color="auto" w:fill="auto"/>
            <w:noWrap/>
            <w:vAlign w:val="bottom"/>
          </w:tcPr>
          <w:p w:rsidR="00B1542E" w:rsidRDefault="00B1542E" w:rsidP="00B1542E">
            <w:pPr>
              <w:pStyle w:val="table1"/>
              <w:tabs>
                <w:tab w:val="decimal" w:pos="720"/>
              </w:tabs>
              <w:rPr>
                <w:lang w:eastAsia="en-AU"/>
              </w:rPr>
            </w:pPr>
            <w:r>
              <w:rPr>
                <w:lang w:eastAsia="en-AU"/>
              </w:rPr>
              <w:t>Movement of organisms: Recruitment, regeneration and dispersal</w:t>
            </w:r>
          </w:p>
        </w:tc>
      </w:tr>
      <w:tr w:rsidR="00B1542E" w:rsidTr="00B1542E">
        <w:trPr>
          <w:trHeight w:val="264"/>
          <w:jc w:val="center"/>
        </w:trPr>
        <w:tc>
          <w:tcPr>
            <w:tcW w:w="2660" w:type="dxa"/>
            <w:tcBorders>
              <w:top w:val="nil"/>
              <w:left w:val="nil"/>
              <w:bottom w:val="nil"/>
              <w:right w:val="nil"/>
            </w:tcBorders>
            <w:shd w:val="clear" w:color="auto" w:fill="auto"/>
            <w:noWrap/>
            <w:vAlign w:val="bottom"/>
          </w:tcPr>
          <w:p w:rsidR="00B1542E" w:rsidRDefault="00B1542E" w:rsidP="00B1542E">
            <w:pPr>
              <w:pStyle w:val="table1"/>
              <w:rPr>
                <w:lang w:eastAsia="en-AU"/>
              </w:rPr>
            </w:pPr>
            <w:r>
              <w:rPr>
                <w:lang w:eastAsia="en-AU"/>
              </w:rPr>
              <w:t>Chemical processes</w:t>
            </w:r>
          </w:p>
        </w:tc>
        <w:tc>
          <w:tcPr>
            <w:tcW w:w="3969" w:type="dxa"/>
            <w:tcBorders>
              <w:top w:val="nil"/>
              <w:left w:val="nil"/>
              <w:bottom w:val="nil"/>
              <w:right w:val="nil"/>
            </w:tcBorders>
            <w:shd w:val="clear" w:color="auto" w:fill="auto"/>
            <w:noWrap/>
            <w:vAlign w:val="bottom"/>
          </w:tcPr>
          <w:p w:rsidR="00B1542E" w:rsidRDefault="00B1542E" w:rsidP="00B1542E">
            <w:pPr>
              <w:pStyle w:val="table1"/>
              <w:tabs>
                <w:tab w:val="decimal" w:pos="720"/>
              </w:tabs>
              <w:rPr>
                <w:lang w:eastAsia="en-AU"/>
              </w:rPr>
            </w:pPr>
            <w:r>
              <w:rPr>
                <w:lang w:eastAsia="en-AU"/>
              </w:rPr>
              <w:t>Primary Productivity: Phytoplankton and Macrophytes</w:t>
            </w:r>
          </w:p>
        </w:tc>
      </w:tr>
      <w:tr w:rsidR="00B1542E" w:rsidTr="00B1542E">
        <w:trPr>
          <w:trHeight w:val="264"/>
          <w:jc w:val="center"/>
        </w:trPr>
        <w:tc>
          <w:tcPr>
            <w:tcW w:w="2660" w:type="dxa"/>
            <w:tcBorders>
              <w:top w:val="nil"/>
              <w:left w:val="nil"/>
              <w:right w:val="nil"/>
            </w:tcBorders>
            <w:shd w:val="clear" w:color="auto" w:fill="auto"/>
            <w:noWrap/>
            <w:vAlign w:val="bottom"/>
          </w:tcPr>
          <w:p w:rsidR="00B1542E" w:rsidRDefault="00B1542E" w:rsidP="00B1542E">
            <w:pPr>
              <w:pStyle w:val="table1"/>
              <w:rPr>
                <w:lang w:eastAsia="en-AU"/>
              </w:rPr>
            </w:pPr>
            <w:r>
              <w:rPr>
                <w:lang w:eastAsia="en-AU"/>
              </w:rPr>
              <w:t>Hydrological processes</w:t>
            </w:r>
          </w:p>
        </w:tc>
        <w:tc>
          <w:tcPr>
            <w:tcW w:w="3969" w:type="dxa"/>
            <w:tcBorders>
              <w:top w:val="nil"/>
              <w:left w:val="nil"/>
              <w:right w:val="nil"/>
            </w:tcBorders>
            <w:shd w:val="clear" w:color="auto" w:fill="auto"/>
            <w:noWrap/>
            <w:vAlign w:val="bottom"/>
          </w:tcPr>
          <w:p w:rsidR="00B1542E" w:rsidRDefault="00B1542E" w:rsidP="00B1542E">
            <w:pPr>
              <w:pStyle w:val="table1"/>
              <w:tabs>
                <w:tab w:val="decimal" w:pos="720"/>
              </w:tabs>
              <w:rPr>
                <w:lang w:eastAsia="en-AU"/>
              </w:rPr>
            </w:pPr>
            <w:r>
              <w:rPr>
                <w:lang w:eastAsia="en-AU"/>
              </w:rPr>
              <w:t>Predation, herbivory, competition, parasitism, mutualism</w:t>
            </w:r>
          </w:p>
        </w:tc>
      </w:tr>
      <w:tr w:rsidR="00B1542E" w:rsidTr="00B1542E">
        <w:trPr>
          <w:trHeight w:val="264"/>
          <w:jc w:val="center"/>
        </w:trPr>
        <w:tc>
          <w:tcPr>
            <w:tcW w:w="2660" w:type="dxa"/>
            <w:tcBorders>
              <w:top w:val="nil"/>
              <w:left w:val="nil"/>
              <w:bottom w:val="nil"/>
              <w:right w:val="nil"/>
            </w:tcBorders>
            <w:shd w:val="clear" w:color="auto" w:fill="auto"/>
            <w:noWrap/>
            <w:vAlign w:val="bottom"/>
          </w:tcPr>
          <w:p w:rsidR="00B1542E" w:rsidRDefault="00B1542E" w:rsidP="00B1542E">
            <w:pPr>
              <w:pStyle w:val="table1"/>
              <w:rPr>
                <w:lang w:eastAsia="en-AU"/>
              </w:rPr>
            </w:pPr>
            <w:r>
              <w:rPr>
                <w:lang w:eastAsia="en-AU"/>
              </w:rPr>
              <w:t>Natural disturbance – Fire, cyclone, drought and flood</w:t>
            </w:r>
          </w:p>
        </w:tc>
        <w:tc>
          <w:tcPr>
            <w:tcW w:w="3969" w:type="dxa"/>
            <w:tcBorders>
              <w:top w:val="nil"/>
              <w:left w:val="nil"/>
              <w:bottom w:val="nil"/>
              <w:right w:val="nil"/>
            </w:tcBorders>
            <w:shd w:val="clear" w:color="auto" w:fill="auto"/>
            <w:noWrap/>
            <w:vAlign w:val="bottom"/>
          </w:tcPr>
          <w:p w:rsidR="00B1542E" w:rsidRDefault="00B1542E" w:rsidP="00B1542E">
            <w:pPr>
              <w:pStyle w:val="table1"/>
              <w:tabs>
                <w:tab w:val="decimal" w:pos="720"/>
              </w:tabs>
              <w:rPr>
                <w:lang w:eastAsia="en-AU"/>
              </w:rPr>
            </w:pPr>
          </w:p>
        </w:tc>
      </w:tr>
      <w:tr w:rsidR="00B1542E" w:rsidTr="00B1542E">
        <w:trPr>
          <w:trHeight w:val="264"/>
          <w:jc w:val="center"/>
        </w:trPr>
        <w:tc>
          <w:tcPr>
            <w:tcW w:w="2660" w:type="dxa"/>
            <w:tcBorders>
              <w:top w:val="nil"/>
              <w:left w:val="nil"/>
              <w:bottom w:val="single" w:sz="8" w:space="0" w:color="C0C0C0"/>
              <w:right w:val="nil"/>
            </w:tcBorders>
            <w:shd w:val="clear" w:color="auto" w:fill="auto"/>
            <w:noWrap/>
            <w:vAlign w:val="bottom"/>
          </w:tcPr>
          <w:p w:rsidR="00B1542E" w:rsidRDefault="00B1542E" w:rsidP="00B1542E">
            <w:pPr>
              <w:pStyle w:val="table1"/>
              <w:rPr>
                <w:lang w:eastAsia="en-AU"/>
              </w:rPr>
            </w:pPr>
            <w:r>
              <w:rPr>
                <w:lang w:eastAsia="en-AU"/>
              </w:rPr>
              <w:t>Geomorphic processes</w:t>
            </w:r>
          </w:p>
        </w:tc>
        <w:tc>
          <w:tcPr>
            <w:tcW w:w="3969" w:type="dxa"/>
            <w:tcBorders>
              <w:top w:val="nil"/>
              <w:left w:val="nil"/>
              <w:bottom w:val="single" w:sz="8" w:space="0" w:color="C0C0C0"/>
              <w:right w:val="nil"/>
            </w:tcBorders>
            <w:shd w:val="clear" w:color="auto" w:fill="auto"/>
            <w:noWrap/>
            <w:vAlign w:val="bottom"/>
          </w:tcPr>
          <w:p w:rsidR="00B1542E" w:rsidRDefault="00B1542E" w:rsidP="00B1542E">
            <w:pPr>
              <w:pStyle w:val="table1"/>
              <w:tabs>
                <w:tab w:val="decimal" w:pos="720"/>
              </w:tabs>
              <w:rPr>
                <w:lang w:eastAsia="en-AU"/>
              </w:rPr>
            </w:pPr>
          </w:p>
        </w:tc>
      </w:tr>
      <w:bookmarkEnd w:id="293"/>
    </w:tbl>
    <w:p w:rsidR="00B1542E" w:rsidRPr="005873E1" w:rsidRDefault="00B1542E" w:rsidP="00B1542E">
      <w:pPr>
        <w:rPr>
          <w:spacing w:val="-10"/>
        </w:rPr>
      </w:pPr>
    </w:p>
    <w:p w:rsidR="00B1542E" w:rsidRPr="0026324F" w:rsidRDefault="00B1542E" w:rsidP="00B1542E">
      <w:pPr>
        <w:rPr>
          <w:spacing w:val="-4"/>
          <w:szCs w:val="22"/>
        </w:rPr>
      </w:pPr>
      <w:r w:rsidRPr="0026324F">
        <w:rPr>
          <w:spacing w:val="-4"/>
        </w:rPr>
        <w:t>During a workshop in late September 2014, the key stressors were assigned across the habitats and ecological processes, and an assessment was made as to whether the stressors will vary between the dry and wet season. The workshop participants also reviewed a list of additional ecological processes</w:t>
      </w:r>
      <w:r w:rsidRPr="0026324F">
        <w:rPr>
          <w:spacing w:val="-4"/>
          <w:szCs w:val="22"/>
        </w:rPr>
        <w:t xml:space="preserve"> for aquatic and terrestrial ecosystems</w:t>
      </w:r>
      <w:r w:rsidRPr="0026324F">
        <w:rPr>
          <w:spacing w:val="-4"/>
        </w:rPr>
        <w:t xml:space="preserve">, which were identified from literature searches subsequent to initial compilation and assessment. The additional processes were reviewed and, where possible, reconciled (e.g. merged) with the previous processes. </w:t>
      </w:r>
      <w:r w:rsidRPr="0026324F">
        <w:rPr>
          <w:spacing w:val="-4"/>
          <w:szCs w:val="22"/>
        </w:rPr>
        <w:t>An additional requirement of the agreed, final list of processes is that they represent the full spectrum of spatial and temporal scales, and thereby provide a landscape approach to ecosystem rehabilitation. Although the processes are divided into abiotic and biotic processes, it is well recognised that ecological processes are inherently interconnected and that often a process can be interpreted as either abiotic or biotic, or both (e.g. nutrient dynamics).</w:t>
      </w:r>
    </w:p>
    <w:p w:rsidR="00B1542E" w:rsidRPr="0026324F" w:rsidRDefault="00B1542E" w:rsidP="00B1542E">
      <w:pPr>
        <w:jc w:val="left"/>
        <w:rPr>
          <w:spacing w:val="-4"/>
        </w:rPr>
      </w:pPr>
      <w:r w:rsidRPr="0026324F">
        <w:rPr>
          <w:spacing w:val="-4"/>
        </w:rPr>
        <w:t xml:space="preserve">Once the revised list of ecological processes has been agreed to, methods for monitoring these processes will be investigated and reported. This will include an evaluation of the extent to which existing monitoring </w:t>
      </w:r>
      <w:r w:rsidR="00E16AC4">
        <w:rPr>
          <w:spacing w:val="-4"/>
        </w:rPr>
        <w:t>programme</w:t>
      </w:r>
      <w:r w:rsidRPr="0026324F">
        <w:rPr>
          <w:spacing w:val="-4"/>
        </w:rPr>
        <w:t>s act as surrogates for the key ecological processes.</w:t>
      </w:r>
    </w:p>
    <w:p w:rsidR="00B1542E" w:rsidRPr="0026324F" w:rsidRDefault="00B1542E" w:rsidP="00B1542E">
      <w:pPr>
        <w:pStyle w:val="Heading3"/>
        <w:rPr>
          <w:spacing w:val="-4"/>
          <w:lang w:val="en-US"/>
        </w:rPr>
      </w:pPr>
      <w:r w:rsidRPr="0026324F">
        <w:rPr>
          <w:spacing w:val="-4"/>
          <w:lang w:val="en-US"/>
        </w:rPr>
        <w:t>Risk screening</w:t>
      </w:r>
    </w:p>
    <w:p w:rsidR="00B1542E" w:rsidRPr="0026324F" w:rsidRDefault="00B1542E" w:rsidP="00B1542E">
      <w:pPr>
        <w:rPr>
          <w:spacing w:val="-4"/>
          <w:lang w:val="en-US"/>
        </w:rPr>
      </w:pPr>
      <w:r w:rsidRPr="0026324F">
        <w:rPr>
          <w:spacing w:val="-4"/>
        </w:rPr>
        <w:t>The results of the risk screening are currently under final review. Information has recently been collated on those responses for likelihood and consequence statements that had high levels of uncertainty. This information is being summarised and used to populate a literature database. A follow-up survey is currently being underway to obtain scores for consequence and likelihood statements focused on the decommissioning phase. These scores will be analysed and reported in the same manner as for the post-decommissioning timeframe.</w:t>
      </w:r>
    </w:p>
    <w:p w:rsidR="00B1542E" w:rsidRPr="0026324F" w:rsidRDefault="00B1542E" w:rsidP="00B1542E">
      <w:pPr>
        <w:pStyle w:val="Heading3"/>
        <w:rPr>
          <w:spacing w:val="-4"/>
          <w:lang w:val="en-US"/>
        </w:rPr>
      </w:pPr>
      <w:r w:rsidRPr="0026324F">
        <w:rPr>
          <w:spacing w:val="-4"/>
          <w:lang w:val="en-US"/>
        </w:rPr>
        <w:t>Further work</w:t>
      </w:r>
    </w:p>
    <w:p w:rsidR="00B1542E" w:rsidRDefault="00B1542E" w:rsidP="00B1542E">
      <w:pPr>
        <w:jc w:val="left"/>
        <w:sectPr w:rsidR="00B1542E" w:rsidSect="00D444BD">
          <w:pgSz w:w="11906" w:h="16838" w:code="9"/>
          <w:pgMar w:top="1440" w:right="1800" w:bottom="1440" w:left="1800" w:header="1080" w:footer="835" w:gutter="0"/>
          <w:cols w:space="360"/>
          <w:noEndnote/>
        </w:sectPr>
      </w:pPr>
      <w:r w:rsidRPr="0026324F">
        <w:rPr>
          <w:spacing w:val="-4"/>
          <w:lang w:val="en-US"/>
        </w:rPr>
        <w:t xml:space="preserve">Once the risk screening work is finalized and completed, we will commence the risk analysis phase. </w:t>
      </w:r>
      <w:r w:rsidRPr="0026324F">
        <w:rPr>
          <w:spacing w:val="-4"/>
        </w:rPr>
        <w:t xml:space="preserve">A review of quantitative risk analysis methods will be completed prior to determining those risks that require a quantitative assessment. The details and results of this work will be published in </w:t>
      </w:r>
      <w:proofErr w:type="gramStart"/>
      <w:r w:rsidRPr="0026324F">
        <w:rPr>
          <w:spacing w:val="-4"/>
        </w:rPr>
        <w:t>the per</w:t>
      </w:r>
      <w:proofErr w:type="gramEnd"/>
      <w:r w:rsidRPr="0026324F">
        <w:rPr>
          <w:spacing w:val="-4"/>
        </w:rPr>
        <w:t xml:space="preserve"> reviewed literature</w:t>
      </w:r>
      <w:r>
        <w:t>.</w:t>
      </w:r>
    </w:p>
    <w:p w:rsidR="000A341E" w:rsidRPr="000A341E" w:rsidRDefault="000A341E" w:rsidP="000A341E">
      <w:pPr>
        <w:pStyle w:val="Heading1"/>
      </w:pPr>
      <w:bookmarkStart w:id="294" w:name="_Toc401910210"/>
    </w:p>
    <w:p w:rsidR="000A341E" w:rsidRPr="000A341E" w:rsidRDefault="000A341E" w:rsidP="000A341E">
      <w:pPr>
        <w:pStyle w:val="Heading1"/>
      </w:pPr>
    </w:p>
    <w:p w:rsidR="000A341E" w:rsidRPr="000A341E" w:rsidRDefault="000A341E" w:rsidP="000A341E">
      <w:pPr>
        <w:pStyle w:val="Heading1"/>
      </w:pPr>
    </w:p>
    <w:p w:rsidR="000A341E" w:rsidRPr="000A341E" w:rsidRDefault="000A341E" w:rsidP="000A341E">
      <w:pPr>
        <w:pStyle w:val="Heading1"/>
      </w:pPr>
    </w:p>
    <w:p w:rsidR="000A341E" w:rsidRPr="000A341E" w:rsidRDefault="000A341E" w:rsidP="000A341E">
      <w:pPr>
        <w:pStyle w:val="Heading1"/>
      </w:pPr>
    </w:p>
    <w:p w:rsidR="003D2E73" w:rsidRDefault="002C3C23" w:rsidP="000A341E">
      <w:pPr>
        <w:pStyle w:val="Heading1"/>
        <w:sectPr w:rsidR="003D2E73" w:rsidSect="00D444BD">
          <w:headerReference w:type="default" r:id="rId298"/>
          <w:pgSz w:w="11906" w:h="16838" w:code="9"/>
          <w:pgMar w:top="1440" w:right="1800" w:bottom="1440" w:left="1800" w:header="1080" w:footer="835" w:gutter="0"/>
          <w:cols w:space="360"/>
          <w:noEndnote/>
        </w:sectPr>
      </w:pPr>
      <w:bookmarkStart w:id="295" w:name="_Toc409772835"/>
      <w:bookmarkStart w:id="296" w:name="_Toc418172731"/>
      <w:r w:rsidRPr="000A341E">
        <w:t>Part 3: Jabiluka</w:t>
      </w:r>
      <w:bookmarkEnd w:id="295"/>
      <w:bookmarkEnd w:id="296"/>
    </w:p>
    <w:p w:rsidR="000A341E" w:rsidRDefault="003D2E73" w:rsidP="000A341E">
      <w:pPr>
        <w:pStyle w:val="Heading1"/>
      </w:pPr>
      <w:bookmarkStart w:id="297" w:name="_Toc418172732"/>
      <w:r>
        <w:t>Surface Water Quality Monitoring</w:t>
      </w:r>
      <w:r w:rsidR="001725F8">
        <w:t>: Jabiluka</w:t>
      </w:r>
      <w:bookmarkEnd w:id="297"/>
    </w:p>
    <w:p w:rsidR="003D2E73" w:rsidRPr="003D2E73" w:rsidRDefault="003D2E73" w:rsidP="003A673B">
      <w:pPr>
        <w:pStyle w:val="Heading3"/>
        <w:spacing w:after="480"/>
        <w:jc w:val="center"/>
      </w:pPr>
      <w:r>
        <w:t>A Sinclair</w:t>
      </w:r>
    </w:p>
    <w:p w:rsidR="003D2E73" w:rsidRPr="00F74DC1" w:rsidRDefault="003D2E73" w:rsidP="003D2E73">
      <w:r w:rsidRPr="00F74DC1">
        <w:t>Flow was first recorded at the Ngarradj (Swift Creek) monitoring station on 27 November 2013 and was very low at the st</w:t>
      </w:r>
      <w:r>
        <w:t xml:space="preserve">art of the wet season with the </w:t>
      </w:r>
      <w:r w:rsidRPr="00F74DC1">
        <w:t>multiprobes only submerged for short periods of time when the water level was sufficiently high. Increased flow from 9 January 2014 resulted in the multiprobes being fully submerged. EC dec</w:t>
      </w:r>
      <w:r>
        <w:t xml:space="preserve">reased and remained below 20 µS </w:t>
      </w:r>
      <w:r w:rsidRPr="00F74DC1">
        <w:t>cm</w:t>
      </w:r>
      <w:r w:rsidRPr="00D72E9C">
        <w:rPr>
          <w:vertAlign w:val="superscript"/>
        </w:rPr>
        <w:t xml:space="preserve">-1 </w:t>
      </w:r>
      <w:r w:rsidR="00957CF2">
        <w:t>(Figure 1</w:t>
      </w:r>
      <w:r w:rsidRPr="00F74DC1">
        <w:t>).</w:t>
      </w:r>
    </w:p>
    <w:p w:rsidR="003D2E73" w:rsidRPr="00F74DC1" w:rsidRDefault="003D2E73" w:rsidP="003D2E73">
      <w:pPr>
        <w:spacing w:line="260" w:lineRule="atLeast"/>
        <w:jc w:val="center"/>
      </w:pPr>
      <w:r w:rsidRPr="007E37C9">
        <w:rPr>
          <w:noProof/>
          <w:lang w:eastAsia="en-AU"/>
        </w:rPr>
        <w:drawing>
          <wp:inline distT="0" distB="0" distL="0" distR="0">
            <wp:extent cx="4476750" cy="2707609"/>
            <wp:effectExtent l="19050" t="0" r="0" b="0"/>
            <wp:docPr id="11"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99" cstate="screen"/>
                    <a:srcRect/>
                    <a:stretch>
                      <a:fillRect/>
                    </a:stretch>
                  </pic:blipFill>
                  <pic:spPr bwMode="auto">
                    <a:xfrm>
                      <a:off x="0" y="0"/>
                      <a:ext cx="4476750" cy="2705100"/>
                    </a:xfrm>
                    <a:prstGeom prst="rect">
                      <a:avLst/>
                    </a:prstGeom>
                    <a:noFill/>
                    <a:ln w="9525">
                      <a:noFill/>
                      <a:miter lim="800000"/>
                      <a:headEnd/>
                      <a:tailEnd/>
                    </a:ln>
                  </pic:spPr>
                </pic:pic>
              </a:graphicData>
            </a:graphic>
          </wp:inline>
        </w:drawing>
      </w:r>
    </w:p>
    <w:p w:rsidR="003D2E73" w:rsidRPr="00F74DC1" w:rsidRDefault="003D2E73" w:rsidP="003D2E73">
      <w:pPr>
        <w:pStyle w:val="figurecaption"/>
      </w:pPr>
      <w:r w:rsidRPr="007E37C9">
        <w:rPr>
          <w:b/>
        </w:rPr>
        <w:t xml:space="preserve">Figure </w:t>
      </w:r>
      <w:proofErr w:type="gramStart"/>
      <w:r w:rsidR="00957CF2">
        <w:rPr>
          <w:b/>
        </w:rPr>
        <w:t>1</w:t>
      </w:r>
      <w:r w:rsidRPr="007E37C9">
        <w:t xml:space="preserve">  Ngarradj</w:t>
      </w:r>
      <w:proofErr w:type="gramEnd"/>
      <w:r w:rsidRPr="007E37C9">
        <w:t xml:space="preserve"> (Swift Creek) continuous EC monitoring data during the 2013–14 wet season</w:t>
      </w:r>
      <w:r>
        <w:t>.</w:t>
      </w:r>
    </w:p>
    <w:p w:rsidR="003D2E73" w:rsidRDefault="003D2E73" w:rsidP="003D2E73">
      <w:r w:rsidRPr="00F74DC1">
        <w:t xml:space="preserve">On 26 January 2014 a turbidity event </w:t>
      </w:r>
      <w:r>
        <w:t xml:space="preserve">of </w:t>
      </w:r>
      <w:r w:rsidRPr="00F74DC1">
        <w:t>occurred during a 90 mm rainfall event at the site (F</w:t>
      </w:r>
      <w:r w:rsidR="00957CF2">
        <w:t>igure 2</w:t>
      </w:r>
      <w:r w:rsidRPr="00F74DC1">
        <w:t>)</w:t>
      </w:r>
      <w:r>
        <w:t>.</w:t>
      </w:r>
      <w:r w:rsidRPr="00F74DC1">
        <w:t xml:space="preserve"> Trigger values for turbidity within Ngarradj (Swift Creek) were not included within the Water Quality Objectives as determined by the Jabiluka Minesite Technical Committee on 21 September 2001. However, baseline values for the physical and chemical characteristics of streams within the Jabiluka lease were established by Cusbert et al. in 1998</w:t>
      </w:r>
      <w:r w:rsidR="00BE58AB">
        <w:rPr>
          <w:rStyle w:val="FootnoteReference"/>
        </w:rPr>
        <w:footnoteReference w:id="17"/>
      </w:r>
      <w:r w:rsidRPr="00F74DC1">
        <w:t xml:space="preserve"> including 'low risk trigger value' ranges for ecosystem protection. The trigger value range proposed for turbidity was 4.0</w:t>
      </w:r>
      <w:r>
        <w:t>–</w:t>
      </w:r>
      <w:r w:rsidRPr="00F74DC1">
        <w:t>105, with non-compliance being turbidity events due to mining activity &lt;</w:t>
      </w:r>
      <w:r>
        <w:t xml:space="preserve"> </w:t>
      </w:r>
      <w:r w:rsidRPr="00F74DC1">
        <w:t>4.0 NTU or &gt;</w:t>
      </w:r>
      <w:r>
        <w:t xml:space="preserve"> </w:t>
      </w:r>
      <w:r w:rsidRPr="00F74DC1">
        <w:t>105 NTU. Thus</w:t>
      </w:r>
      <w:r>
        <w:t>,</w:t>
      </w:r>
      <w:r w:rsidRPr="00F74DC1">
        <w:t xml:space="preserve"> the turbidity event of 26 January 2014 of 56.5 NTU falls in the middle of this 'acceptable' range. There have previously been 20 turbidity events &gt; 50 NTU at Ngarradj since continuous monitoring of turbidity began in the 2003–04 wet season.</w:t>
      </w:r>
    </w:p>
    <w:p w:rsidR="003D2E73" w:rsidRDefault="003D2E73" w:rsidP="003D2E73">
      <w:r>
        <w:t xml:space="preserve">Another turbidity event occurred on 10 April 2014 </w:t>
      </w:r>
      <w:r w:rsidRPr="00F74DC1">
        <w:t>during a 90 mm rainfall event at the site</w:t>
      </w:r>
      <w:r>
        <w:t xml:space="preserve"> and peaked at 112 NTU. This peak was above the upper guideline level for the ‘acceptable’ range (105 NTU) </w:t>
      </w:r>
      <w:proofErr w:type="gramStart"/>
      <w:r>
        <w:t>for  less</w:t>
      </w:r>
      <w:proofErr w:type="gramEnd"/>
      <w:r>
        <w:t xml:space="preserve"> than 10 minutes. </w:t>
      </w:r>
      <w:r w:rsidRPr="00F74DC1">
        <w:t xml:space="preserve">There have previously been </w:t>
      </w:r>
      <w:r>
        <w:t>3</w:t>
      </w:r>
      <w:r w:rsidRPr="00F74DC1">
        <w:t xml:space="preserve"> turbidity events &gt;</w:t>
      </w:r>
      <w:r>
        <w:t> 105</w:t>
      </w:r>
      <w:r w:rsidRPr="00F74DC1">
        <w:t xml:space="preserve"> NTU at Ngarradj since continuous monitoring of turbidity began in the 2003–04 wet season.</w:t>
      </w:r>
    </w:p>
    <w:p w:rsidR="003D2E73" w:rsidRDefault="003D2E73" w:rsidP="003D2E73"/>
    <w:p w:rsidR="003D2E73" w:rsidRPr="00F74DC1" w:rsidRDefault="003D2E73" w:rsidP="003D2E73">
      <w:pPr>
        <w:spacing w:line="260" w:lineRule="atLeast"/>
        <w:jc w:val="center"/>
      </w:pPr>
      <w:r w:rsidRPr="00F74DC1">
        <w:rPr>
          <w:noProof/>
          <w:lang w:eastAsia="en-AU"/>
        </w:rPr>
        <w:drawing>
          <wp:inline distT="0" distB="0" distL="0" distR="0">
            <wp:extent cx="4076700" cy="2467262"/>
            <wp:effectExtent l="19050" t="0" r="0" b="0"/>
            <wp:docPr id="1012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0" cstate="screen"/>
                    <a:srcRect/>
                    <a:stretch>
                      <a:fillRect/>
                    </a:stretch>
                  </pic:blipFill>
                  <pic:spPr bwMode="auto">
                    <a:xfrm>
                      <a:off x="0" y="0"/>
                      <a:ext cx="4098288" cy="2480328"/>
                    </a:xfrm>
                    <a:prstGeom prst="rect">
                      <a:avLst/>
                    </a:prstGeom>
                    <a:noFill/>
                    <a:ln w="9525">
                      <a:noFill/>
                      <a:miter lim="800000"/>
                      <a:headEnd/>
                      <a:tailEnd/>
                    </a:ln>
                  </pic:spPr>
                </pic:pic>
              </a:graphicData>
            </a:graphic>
          </wp:inline>
        </w:drawing>
      </w:r>
    </w:p>
    <w:p w:rsidR="003D2E73" w:rsidRPr="00F74DC1" w:rsidRDefault="003D2E73" w:rsidP="003D2E73">
      <w:pPr>
        <w:pStyle w:val="figurecaption"/>
      </w:pPr>
      <w:r w:rsidRPr="00F74DC1">
        <w:rPr>
          <w:b/>
        </w:rPr>
        <w:t xml:space="preserve">Figure </w:t>
      </w:r>
      <w:r w:rsidR="00957CF2">
        <w:rPr>
          <w:b/>
        </w:rPr>
        <w:t>2</w:t>
      </w:r>
      <w:r w:rsidRPr="00F74DC1">
        <w:t xml:space="preserve"> Ngarradj (Swift Creek) continuous turbidity monitoring data during the 2013–14 wet season.</w:t>
      </w:r>
    </w:p>
    <w:p w:rsidR="003D2E73" w:rsidRPr="00F74DC1" w:rsidRDefault="003D2E73" w:rsidP="003D2E73">
      <w:pPr>
        <w:spacing w:line="260" w:lineRule="atLeast"/>
        <w:rPr>
          <w:b/>
        </w:rPr>
      </w:pPr>
      <w:r w:rsidRPr="00F74DC1">
        <w:t xml:space="preserve">During late February and March 2014 the water levels within Ngarradj decreased leading to gradually increasing EC levels, fluctuating with each rainfall event. Conductivity stabilised in Ngarradj through April and May with the creek entering its recessional flow period. </w:t>
      </w:r>
    </w:p>
    <w:p w:rsidR="003D2E73" w:rsidRPr="00F74DC1" w:rsidRDefault="003D2E73" w:rsidP="003D2E73">
      <w:pPr>
        <w:spacing w:line="260" w:lineRule="atLeast"/>
      </w:pPr>
      <w:r w:rsidRPr="00F74DC1">
        <w:t>Continuous monitoring of Ngarradj continued until 12 June 2014 when the multiprobes were out of the water and could not be lowered any further. Cease to flow was agreed by stakeholders on 13 June 2014.</w:t>
      </w:r>
    </w:p>
    <w:p w:rsidR="003D2E73" w:rsidRPr="00F74DC1" w:rsidRDefault="003D2E73" w:rsidP="003D2E73">
      <w:r w:rsidRPr="00F74DC1">
        <w:t>Overall, once flow commenced in the creek, the water quality measured in Ngarradj for the 2013–14 wet season was comparable with p</w:t>
      </w:r>
      <w:r w:rsidR="00957CF2">
        <w:t>revious wet seasons (Figure 3</w:t>
      </w:r>
      <w:r w:rsidRPr="00F74DC1">
        <w:t>).</w:t>
      </w:r>
    </w:p>
    <w:p w:rsidR="003D2E73" w:rsidRDefault="003D2E73" w:rsidP="003D2E73">
      <w:pPr>
        <w:spacing w:line="260" w:lineRule="atLeast"/>
        <w:jc w:val="center"/>
        <w:rPr>
          <w:b/>
        </w:rPr>
      </w:pPr>
      <w:r w:rsidRPr="007E37C9">
        <w:rPr>
          <w:noProof/>
          <w:lang w:eastAsia="en-AU"/>
        </w:rPr>
        <w:drawing>
          <wp:inline distT="0" distB="0" distL="0" distR="0">
            <wp:extent cx="4126133" cy="2495550"/>
            <wp:effectExtent l="19050" t="0" r="7717" b="0"/>
            <wp:docPr id="12"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01" cstate="screen"/>
                    <a:srcRect/>
                    <a:stretch>
                      <a:fillRect/>
                    </a:stretch>
                  </pic:blipFill>
                  <pic:spPr bwMode="auto">
                    <a:xfrm>
                      <a:off x="0" y="0"/>
                      <a:ext cx="4142338" cy="2505351"/>
                    </a:xfrm>
                    <a:prstGeom prst="rect">
                      <a:avLst/>
                    </a:prstGeom>
                    <a:noFill/>
                    <a:ln w="9525">
                      <a:noFill/>
                      <a:miter lim="800000"/>
                      <a:headEnd/>
                      <a:tailEnd/>
                    </a:ln>
                  </pic:spPr>
                </pic:pic>
              </a:graphicData>
            </a:graphic>
          </wp:inline>
        </w:drawing>
      </w:r>
    </w:p>
    <w:p w:rsidR="003D2E73" w:rsidRPr="00F74DC1" w:rsidRDefault="003D2E73" w:rsidP="003D2E73">
      <w:pPr>
        <w:pStyle w:val="figurecaption"/>
      </w:pPr>
      <w:r w:rsidRPr="007E37C9">
        <w:rPr>
          <w:b/>
        </w:rPr>
        <w:t>Figure 3</w:t>
      </w:r>
      <w:r w:rsidRPr="007E37C9">
        <w:t xml:space="preserve"> Continuous electrical conductivity and water level (lower trace) in Ngarradj (Swift Creek) for each wet season between September 2010 and June 2014 (values averaged over a 90 minute period of measurement)</w:t>
      </w:r>
      <w:r>
        <w:t>.</w:t>
      </w:r>
    </w:p>
    <w:p w:rsidR="004F69BA" w:rsidRDefault="004F69BA" w:rsidP="003D2E73"/>
    <w:p w:rsidR="004F69BA" w:rsidRDefault="004F69BA" w:rsidP="003D2E73">
      <w:pPr>
        <w:sectPr w:rsidR="004F69BA" w:rsidSect="00DD3DAE">
          <w:headerReference w:type="default" r:id="rId302"/>
          <w:footnotePr>
            <w:numRestart w:val="eachSect"/>
          </w:footnotePr>
          <w:pgSz w:w="11906" w:h="16838" w:code="9"/>
          <w:pgMar w:top="1440" w:right="1800" w:bottom="1440" w:left="1800" w:header="1080" w:footer="835" w:gutter="0"/>
          <w:cols w:space="360"/>
          <w:noEndnote/>
          <w:docGrid w:linePitch="326"/>
        </w:sectPr>
      </w:pPr>
    </w:p>
    <w:p w:rsidR="004F69BA" w:rsidRDefault="004F69BA" w:rsidP="004F69BA">
      <w:pPr>
        <w:pStyle w:val="Heading1"/>
      </w:pPr>
      <w:bookmarkStart w:id="298" w:name="_Toc409773776"/>
      <w:bookmarkStart w:id="299" w:name="_Toc418172733"/>
      <w:r>
        <w:t>Sediment movement off the rehabilitated Jabiluka minesite</w:t>
      </w:r>
      <w:bookmarkEnd w:id="298"/>
      <w:bookmarkEnd w:id="299"/>
    </w:p>
    <w:p w:rsidR="004F69BA" w:rsidRPr="008F3FE2" w:rsidRDefault="00957CF2" w:rsidP="004F69BA">
      <w:pPr>
        <w:pStyle w:val="Heading3"/>
        <w:spacing w:after="480"/>
        <w:jc w:val="center"/>
      </w:pPr>
      <w:bookmarkStart w:id="300" w:name="_Toc409772816"/>
      <w:r>
        <w:t>M Saynor and W</w:t>
      </w:r>
      <w:r w:rsidR="004F69BA">
        <w:t xml:space="preserve"> Erskine</w:t>
      </w:r>
      <w:r w:rsidR="004F69BA">
        <w:rPr>
          <w:rStyle w:val="FootnoteReference"/>
        </w:rPr>
        <w:footnoteReference w:id="18"/>
      </w:r>
      <w:r w:rsidR="004F69BA">
        <w:rPr>
          <w:rStyle w:val="FootnoteReference"/>
        </w:rPr>
        <w:footnoteReference w:id="19"/>
      </w:r>
      <w:bookmarkEnd w:id="300"/>
    </w:p>
    <w:p w:rsidR="004F69BA" w:rsidRDefault="004F69BA" w:rsidP="004F69BA">
      <w:pPr>
        <w:pStyle w:val="Heading2"/>
        <w:spacing w:before="120" w:after="0"/>
      </w:pPr>
      <w:r>
        <w:t>Background</w:t>
      </w:r>
    </w:p>
    <w:p w:rsidR="004F69BA" w:rsidRDefault="004F69BA" w:rsidP="004F69BA">
      <w:r>
        <w:t xml:space="preserve">The Jabiluka mine site remains in long-term care and maintenance. The removal of the Interim Water Management pond (IWMP) was completed in October 2013. As of February 2014, 36000 individual tube stock had been planted within the Jabiluka mine site footprint with survival of 48% noted during the June 2014 Routine Periodic Inspection (RPI) (Supervising Scientist 2014). </w:t>
      </w:r>
    </w:p>
    <w:p w:rsidR="004F69BA" w:rsidRPr="00EE5EA2" w:rsidRDefault="004F69BA" w:rsidP="004F69BA">
      <w:pPr>
        <w:pStyle w:val="Heading3"/>
        <w:spacing w:before="240" w:after="120"/>
      </w:pPr>
      <w:r w:rsidRPr="00EE5EA2">
        <w:t>Jabiluka mine site RPI visit 20 February 2014</w:t>
      </w:r>
    </w:p>
    <w:p w:rsidR="004F69BA" w:rsidRDefault="004F69BA" w:rsidP="004F69BA">
      <w:r>
        <w:t xml:space="preserve">An RPI was completed on 20 February 2014 to look at the wet season impacts on the rehabilitation works at the Jabiluka mine site. </w:t>
      </w:r>
      <w:proofErr w:type="gramStart"/>
      <w:r w:rsidRPr="00BF581B">
        <w:rPr>
          <w:rFonts w:ascii="Times New Roman" w:hAnsi="Times New Roman"/>
          <w:b/>
          <w:i/>
          <w:sz w:val="26"/>
        </w:rPr>
        <w:t>eriss</w:t>
      </w:r>
      <w:proofErr w:type="gramEnd"/>
      <w:r>
        <w:t xml:space="preserve"> staff (Mike Saynor and Wayne Erskine) joined the RPI team at the Jabiluka mine site. On the approach to land at the site, water could be seen on the surface of the lower half of the slope (previously where the IWMP had been located</w:t>
      </w:r>
      <w:proofErr w:type="gramStart"/>
      <w:r>
        <w:t>)(</w:t>
      </w:r>
      <w:proofErr w:type="gramEnd"/>
      <w:r>
        <w:t xml:space="preserve">Figure 1). The water was not associated with any visible drainage depressions and was general seepage in the area. The flow of water would not impact on the erosion rates of sediment but could potentially waterlog/drown the tube stock. Also on the approach by helicopter to the Jabiluka mine site areas of sand build up could be seen at locations across the site. </w:t>
      </w:r>
    </w:p>
    <w:p w:rsidR="004F69BA" w:rsidRDefault="004F69BA" w:rsidP="004F69BA">
      <w:r>
        <w:rPr>
          <w:noProof/>
          <w:lang w:eastAsia="en-AU"/>
        </w:rPr>
        <w:drawing>
          <wp:inline distT="0" distB="0" distL="0" distR="0">
            <wp:extent cx="4810125" cy="3205355"/>
            <wp:effectExtent l="19050" t="0" r="9525" b="0"/>
            <wp:docPr id="5" name="Picture 4" descr="X:\2014 HGCP images\2014-02-20 Flight to Jabiluka\HGCP Camera\IMG_30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X:\2014 HGCP images\2014-02-20 Flight to Jabiluka\HGCP Camera\IMG_3074.JPG"/>
                    <pic:cNvPicPr>
                      <a:picLocks noChangeAspect="1" noChangeArrowheads="1"/>
                    </pic:cNvPicPr>
                  </pic:nvPicPr>
                  <pic:blipFill>
                    <a:blip r:embed="rId303" cstate="screen"/>
                    <a:srcRect/>
                    <a:stretch>
                      <a:fillRect/>
                    </a:stretch>
                  </pic:blipFill>
                  <pic:spPr bwMode="auto">
                    <a:xfrm>
                      <a:off x="0" y="0"/>
                      <a:ext cx="4809524" cy="3204954"/>
                    </a:xfrm>
                    <a:prstGeom prst="rect">
                      <a:avLst/>
                    </a:prstGeom>
                    <a:noFill/>
                    <a:ln w="9525">
                      <a:noFill/>
                      <a:miter lim="800000"/>
                      <a:headEnd/>
                      <a:tailEnd/>
                    </a:ln>
                  </pic:spPr>
                </pic:pic>
              </a:graphicData>
            </a:graphic>
          </wp:inline>
        </w:drawing>
      </w:r>
    </w:p>
    <w:p w:rsidR="004F69BA" w:rsidRDefault="004F69BA" w:rsidP="004F69BA">
      <w:pPr>
        <w:pStyle w:val="figurecaption"/>
        <w:sectPr w:rsidR="004F69BA" w:rsidSect="00DD3DAE">
          <w:footnotePr>
            <w:numRestart w:val="eachSect"/>
          </w:footnotePr>
          <w:pgSz w:w="11906" w:h="16838" w:code="9"/>
          <w:pgMar w:top="1440" w:right="1800" w:bottom="1440" w:left="1800" w:header="1080" w:footer="835" w:gutter="0"/>
          <w:cols w:space="360"/>
          <w:noEndnote/>
          <w:docGrid w:linePitch="326"/>
        </w:sectPr>
      </w:pPr>
      <w:r w:rsidRPr="00D02F66">
        <w:rPr>
          <w:b/>
        </w:rPr>
        <w:t>Figure 1</w:t>
      </w:r>
      <w:r>
        <w:t xml:space="preserve"> Aerial view looking east over the rehabilitated IWMP. Water on the lower half of the slopes </w:t>
      </w:r>
      <w:proofErr w:type="gramStart"/>
      <w:r>
        <w:t>suggest</w:t>
      </w:r>
      <w:proofErr w:type="gramEnd"/>
      <w:r>
        <w:t xml:space="preserve"> a seep where water is coming out of the ground. </w:t>
      </w:r>
      <w:proofErr w:type="gramStart"/>
      <w:r>
        <w:t>Image taken 20-2-2014.</w:t>
      </w:r>
      <w:proofErr w:type="gramEnd"/>
    </w:p>
    <w:p w:rsidR="004F69BA" w:rsidRDefault="004F69BA" w:rsidP="004F69BA">
      <w:pPr>
        <w:pStyle w:val="figurecaption"/>
      </w:pPr>
    </w:p>
    <w:p w:rsidR="004F69BA" w:rsidRDefault="004F69BA" w:rsidP="004F69BA">
      <w:r>
        <w:rPr>
          <w:noProof/>
          <w:lang w:eastAsia="en-AU"/>
        </w:rPr>
        <w:drawing>
          <wp:inline distT="0" distB="0" distL="0" distR="0">
            <wp:extent cx="8410575" cy="4507543"/>
            <wp:effectExtent l="19050" t="0" r="9525" b="0"/>
            <wp:docPr id="64" name="Picture 7" descr="Location diagr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cation diagram.jpg"/>
                    <pic:cNvPicPr/>
                  </pic:nvPicPr>
                  <pic:blipFill>
                    <a:blip r:embed="rId304" cstate="screen"/>
                    <a:srcRect/>
                    <a:stretch>
                      <a:fillRect/>
                    </a:stretch>
                  </pic:blipFill>
                  <pic:spPr>
                    <a:xfrm>
                      <a:off x="0" y="0"/>
                      <a:ext cx="8410575" cy="4507543"/>
                    </a:xfrm>
                    <a:prstGeom prst="rect">
                      <a:avLst/>
                    </a:prstGeom>
                  </pic:spPr>
                </pic:pic>
              </a:graphicData>
            </a:graphic>
          </wp:inline>
        </w:drawing>
      </w:r>
    </w:p>
    <w:p w:rsidR="004F69BA" w:rsidRDefault="004F69BA" w:rsidP="004F69BA">
      <w:pPr>
        <w:pStyle w:val="figurecaption"/>
      </w:pPr>
      <w:r w:rsidRPr="00C9064C">
        <w:rPr>
          <w:b/>
        </w:rPr>
        <w:t>Figure 2</w:t>
      </w:r>
      <w:r>
        <w:t xml:space="preserve"> Jabiluka mine site April 2014. Letters refer to photo locations in the document.</w:t>
      </w:r>
    </w:p>
    <w:p w:rsidR="004F69BA" w:rsidRDefault="004F69BA" w:rsidP="004F69BA">
      <w:pPr>
        <w:sectPr w:rsidR="004F69BA" w:rsidSect="00861BAF">
          <w:footnotePr>
            <w:numRestart w:val="eachSect"/>
          </w:footnotePr>
          <w:pgSz w:w="16838" w:h="11906" w:orient="landscape" w:code="9"/>
          <w:pgMar w:top="1800" w:right="1440" w:bottom="1800" w:left="1440" w:header="1080" w:footer="835" w:gutter="0"/>
          <w:cols w:space="360"/>
          <w:noEndnote/>
          <w:docGrid w:linePitch="326"/>
        </w:sectPr>
      </w:pPr>
    </w:p>
    <w:p w:rsidR="004F69BA" w:rsidRDefault="004F69BA" w:rsidP="004F69BA">
      <w:r>
        <w:t xml:space="preserve">Ground inspections at the Jabiluka mine site showed many areas where sand had been eroded from steeper slopes and deposited on the more gentle slopes below. Figure 2 is an oblique aerial image taken by Unmanned Aerial Vehicle (UAV) in April 2014. </w:t>
      </w:r>
      <w:r w:rsidR="007F5AF7">
        <w:t>Annotated</w:t>
      </w:r>
      <w:r>
        <w:t xml:space="preserve"> letters on Figure 2 show the location of the following images.</w:t>
      </w:r>
    </w:p>
    <w:p w:rsidR="004F69BA" w:rsidRDefault="004F69BA" w:rsidP="004F69BA">
      <w:r>
        <w:t>Figure 3 shows sand deposited below the steeper area at the north western end of the steeper slope (Site A on Figure 2). Figure 4 also shows sand deposited on the steeper slope at Site B, but in the jute cloth which was placed as a crude erosion control measure.</w:t>
      </w:r>
    </w:p>
    <w:p w:rsidR="004F69BA" w:rsidRDefault="004F69BA" w:rsidP="004F69BA"/>
    <w:p w:rsidR="004F69BA" w:rsidRDefault="004F69BA" w:rsidP="004F69BA"/>
    <w:p w:rsidR="004F69BA" w:rsidRDefault="004F69BA" w:rsidP="004F69BA">
      <w:r>
        <w:rPr>
          <w:noProof/>
          <w:lang w:eastAsia="en-AU"/>
        </w:rPr>
        <w:drawing>
          <wp:inline distT="0" distB="0" distL="0" distR="0">
            <wp:extent cx="5274310" cy="3514972"/>
            <wp:effectExtent l="19050" t="0" r="2540" b="0"/>
            <wp:docPr id="130" name="Picture 5" descr="X:\2014 HGCP images\2014-02-20 Flight to Jabiluka\HGCP Camera\IMG_30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X:\2014 HGCP images\2014-02-20 Flight to Jabiluka\HGCP Camera\IMG_3083.JPG"/>
                    <pic:cNvPicPr>
                      <a:picLocks noChangeAspect="1" noChangeArrowheads="1"/>
                    </pic:cNvPicPr>
                  </pic:nvPicPr>
                  <pic:blipFill>
                    <a:blip r:embed="rId305" cstate="screen"/>
                    <a:srcRect/>
                    <a:stretch>
                      <a:fillRect/>
                    </a:stretch>
                  </pic:blipFill>
                  <pic:spPr bwMode="auto">
                    <a:xfrm>
                      <a:off x="0" y="0"/>
                      <a:ext cx="5274310" cy="3514972"/>
                    </a:xfrm>
                    <a:prstGeom prst="rect">
                      <a:avLst/>
                    </a:prstGeom>
                    <a:noFill/>
                    <a:ln w="9525">
                      <a:noFill/>
                      <a:miter lim="800000"/>
                      <a:headEnd/>
                      <a:tailEnd/>
                    </a:ln>
                  </pic:spPr>
                </pic:pic>
              </a:graphicData>
            </a:graphic>
          </wp:inline>
        </w:drawing>
      </w:r>
    </w:p>
    <w:p w:rsidR="004F69BA" w:rsidRDefault="004F69BA" w:rsidP="004F69BA">
      <w:pPr>
        <w:pStyle w:val="figurecaption"/>
      </w:pPr>
      <w:r w:rsidRPr="0006384C">
        <w:rPr>
          <w:b/>
        </w:rPr>
        <w:t xml:space="preserve">Figure </w:t>
      </w:r>
      <w:r>
        <w:rPr>
          <w:b/>
        </w:rPr>
        <w:t>3</w:t>
      </w:r>
      <w:r>
        <w:t xml:space="preserve"> Sediment deposited below the steeper slope in the north western area of the Jabiluka mine site area. </w:t>
      </w:r>
      <w:proofErr w:type="gramStart"/>
      <w:r>
        <w:t>Image taken 20-2-2014.</w:t>
      </w:r>
      <w:proofErr w:type="gramEnd"/>
    </w:p>
    <w:p w:rsidR="004F69BA" w:rsidRDefault="004F69BA" w:rsidP="004F69BA"/>
    <w:p w:rsidR="004F69BA" w:rsidRDefault="004F69BA" w:rsidP="004F69BA"/>
    <w:p w:rsidR="004F69BA" w:rsidRDefault="004F69BA" w:rsidP="004F69BA">
      <w:r>
        <w:t>Erosion at the site was generally from the steeper slopes, transported down the slope and then deposited on the less steep slopes, this occurred at the following areas shown on Figure 2, C, D, E &amp; F.</w:t>
      </w:r>
    </w:p>
    <w:p w:rsidR="004F69BA" w:rsidRDefault="004F69BA" w:rsidP="004F69BA">
      <w:pPr>
        <w:jc w:val="left"/>
        <w:sectPr w:rsidR="004F69BA" w:rsidSect="00224F8A">
          <w:footerReference w:type="default" r:id="rId306"/>
          <w:pgSz w:w="11906" w:h="16838" w:code="9"/>
          <w:pgMar w:top="1440" w:right="1797" w:bottom="1440" w:left="1797" w:header="1077" w:footer="833" w:gutter="0"/>
          <w:cols w:space="360"/>
          <w:noEndnote/>
          <w:docGrid w:linePitch="299"/>
        </w:sectPr>
      </w:pPr>
      <w:r>
        <w:t>Pedestal erosion was present at the site, either larger rocks protecting sediment while the sediment adjacent is eroded (Figure 5) or protective matting around the tube stock (Figure 5) acting as a surface protection.</w:t>
      </w:r>
    </w:p>
    <w:p w:rsidR="004F69BA" w:rsidRDefault="004F69BA" w:rsidP="004F69BA">
      <w:r w:rsidRPr="0006384C">
        <w:rPr>
          <w:noProof/>
          <w:lang w:eastAsia="en-AU"/>
        </w:rPr>
        <w:drawing>
          <wp:inline distT="0" distB="0" distL="0" distR="0">
            <wp:extent cx="5274310" cy="3514972"/>
            <wp:effectExtent l="19050" t="0" r="2540" b="0"/>
            <wp:docPr id="137" name="Picture 7" descr="X:\2014 HGCP images\2014-02-20 Flight to Jabiluka\HGCP Camera\IMG_3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X:\2014 HGCP images\2014-02-20 Flight to Jabiluka\HGCP Camera\IMG_3104.JPG"/>
                    <pic:cNvPicPr>
                      <a:picLocks noChangeAspect="1" noChangeArrowheads="1"/>
                    </pic:cNvPicPr>
                  </pic:nvPicPr>
                  <pic:blipFill>
                    <a:blip r:embed="rId307" cstate="screen"/>
                    <a:srcRect/>
                    <a:stretch>
                      <a:fillRect/>
                    </a:stretch>
                  </pic:blipFill>
                  <pic:spPr bwMode="auto">
                    <a:xfrm>
                      <a:off x="0" y="0"/>
                      <a:ext cx="5274310" cy="3514972"/>
                    </a:xfrm>
                    <a:prstGeom prst="rect">
                      <a:avLst/>
                    </a:prstGeom>
                    <a:noFill/>
                    <a:ln w="9525">
                      <a:noFill/>
                      <a:miter lim="800000"/>
                      <a:headEnd/>
                      <a:tailEnd/>
                    </a:ln>
                  </pic:spPr>
                </pic:pic>
              </a:graphicData>
            </a:graphic>
          </wp:inline>
        </w:drawing>
      </w:r>
    </w:p>
    <w:p w:rsidR="004F69BA" w:rsidRDefault="004F69BA" w:rsidP="004F69BA">
      <w:pPr>
        <w:pStyle w:val="figurecaption"/>
      </w:pPr>
      <w:r w:rsidRPr="0006384C">
        <w:rPr>
          <w:b/>
        </w:rPr>
        <w:t xml:space="preserve">Figure </w:t>
      </w:r>
      <w:r>
        <w:rPr>
          <w:b/>
        </w:rPr>
        <w:t>4</w:t>
      </w:r>
      <w:r>
        <w:t xml:space="preserve"> Sand sediment on the steeper slope, some caught in the jute, some being transport downslope across the jute. </w:t>
      </w:r>
      <w:proofErr w:type="gramStart"/>
      <w:r>
        <w:t>Image taken 20-2-2014.</w:t>
      </w:r>
      <w:proofErr w:type="gramEnd"/>
    </w:p>
    <w:p w:rsidR="004F69BA" w:rsidRDefault="004F69BA" w:rsidP="004F69BA"/>
    <w:p w:rsidR="004F69BA" w:rsidRPr="00EE5EA2" w:rsidRDefault="004F69BA" w:rsidP="004F69BA"/>
    <w:p w:rsidR="004F69BA" w:rsidRDefault="004F69BA" w:rsidP="004F69BA">
      <w:r w:rsidRPr="008E52AB">
        <w:rPr>
          <w:noProof/>
          <w:lang w:eastAsia="en-AU"/>
        </w:rPr>
        <w:drawing>
          <wp:inline distT="0" distB="0" distL="0" distR="0">
            <wp:extent cx="5040000" cy="3358553"/>
            <wp:effectExtent l="19050" t="0" r="8250" b="0"/>
            <wp:docPr id="138" name="Picture 23" descr="X:\2014 HGCP images\2014-02-20 Flight to Jabiluka\HGCP Camera\IMG_31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X:\2014 HGCP images\2014-02-20 Flight to Jabiluka\HGCP Camera\IMG_3198.JPG"/>
                    <pic:cNvPicPr>
                      <a:picLocks noChangeAspect="1" noChangeArrowheads="1"/>
                    </pic:cNvPicPr>
                  </pic:nvPicPr>
                  <pic:blipFill>
                    <a:blip r:embed="rId308" cstate="screen"/>
                    <a:srcRect/>
                    <a:stretch>
                      <a:fillRect/>
                    </a:stretch>
                  </pic:blipFill>
                  <pic:spPr bwMode="auto">
                    <a:xfrm>
                      <a:off x="0" y="0"/>
                      <a:ext cx="5040000" cy="3358553"/>
                    </a:xfrm>
                    <a:prstGeom prst="rect">
                      <a:avLst/>
                    </a:prstGeom>
                    <a:noFill/>
                    <a:ln w="9525">
                      <a:noFill/>
                      <a:miter lim="800000"/>
                      <a:headEnd/>
                      <a:tailEnd/>
                    </a:ln>
                  </pic:spPr>
                </pic:pic>
              </a:graphicData>
            </a:graphic>
          </wp:inline>
        </w:drawing>
      </w:r>
    </w:p>
    <w:p w:rsidR="004F69BA" w:rsidRDefault="004F69BA" w:rsidP="004F69BA">
      <w:pPr>
        <w:pStyle w:val="figurecaption"/>
        <w:sectPr w:rsidR="004F69BA" w:rsidSect="00224F8A">
          <w:headerReference w:type="default" r:id="rId309"/>
          <w:pgSz w:w="11906" w:h="16838" w:code="9"/>
          <w:pgMar w:top="1440" w:right="1797" w:bottom="1440" w:left="1797" w:header="1077" w:footer="833" w:gutter="0"/>
          <w:cols w:space="360"/>
          <w:noEndnote/>
          <w:docGrid w:linePitch="299"/>
        </w:sectPr>
      </w:pPr>
      <w:r w:rsidRPr="00A64BD6">
        <w:rPr>
          <w:b/>
        </w:rPr>
        <w:t xml:space="preserve">Figure </w:t>
      </w:r>
      <w:r>
        <w:rPr>
          <w:b/>
        </w:rPr>
        <w:t>5</w:t>
      </w:r>
      <w:r>
        <w:t xml:space="preserve"> Pedestals cause by large rocks protecting the sediment underneath whilst adjacent sediment is eroded. Image taken 20-2-2014</w:t>
      </w:r>
    </w:p>
    <w:p w:rsidR="004F69BA" w:rsidRDefault="004F69BA" w:rsidP="004F69BA">
      <w:r w:rsidRPr="00A64BD6">
        <w:rPr>
          <w:noProof/>
          <w:lang w:eastAsia="en-AU"/>
        </w:rPr>
        <w:drawing>
          <wp:inline distT="0" distB="0" distL="0" distR="0">
            <wp:extent cx="5040000" cy="3356866"/>
            <wp:effectExtent l="19050" t="0" r="8250" b="0"/>
            <wp:docPr id="139" name="Picture 9" descr="X:\2014 HGCP images\2014-02-20 Flight to Jabiluka\HGCP Camera\IMG_3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X:\2014 HGCP images\2014-02-20 Flight to Jabiluka\HGCP Camera\IMG_3121.JPG"/>
                    <pic:cNvPicPr>
                      <a:picLocks noChangeAspect="1" noChangeArrowheads="1"/>
                    </pic:cNvPicPr>
                  </pic:nvPicPr>
                  <pic:blipFill>
                    <a:blip r:embed="rId310" cstate="screen"/>
                    <a:srcRect/>
                    <a:stretch>
                      <a:fillRect/>
                    </a:stretch>
                  </pic:blipFill>
                  <pic:spPr bwMode="auto">
                    <a:xfrm>
                      <a:off x="0" y="0"/>
                      <a:ext cx="5040000" cy="3356866"/>
                    </a:xfrm>
                    <a:prstGeom prst="rect">
                      <a:avLst/>
                    </a:prstGeom>
                    <a:noFill/>
                    <a:ln w="9525">
                      <a:noFill/>
                      <a:miter lim="800000"/>
                      <a:headEnd/>
                      <a:tailEnd/>
                    </a:ln>
                  </pic:spPr>
                </pic:pic>
              </a:graphicData>
            </a:graphic>
          </wp:inline>
        </w:drawing>
      </w:r>
    </w:p>
    <w:p w:rsidR="004F69BA" w:rsidRDefault="004F69BA" w:rsidP="004F69BA">
      <w:pPr>
        <w:pStyle w:val="figurecaption"/>
      </w:pPr>
      <w:r w:rsidRPr="00A64BD6">
        <w:rPr>
          <w:b/>
        </w:rPr>
        <w:t xml:space="preserve">Figure </w:t>
      </w:r>
      <w:r>
        <w:rPr>
          <w:b/>
        </w:rPr>
        <w:t>6</w:t>
      </w:r>
      <w:r>
        <w:t xml:space="preserve"> Protective matting has prevented the erosion of sediment underneath it, whilst surrounding sediment has been transported away. Image taken 20-2-2014</w:t>
      </w:r>
    </w:p>
    <w:p w:rsidR="004F69BA" w:rsidRDefault="004F69BA" w:rsidP="004F69BA">
      <w:proofErr w:type="gramStart"/>
      <w:r>
        <w:t>Figures 7 and 8 show sand that has been deposited in the area of Site F (Figure 2).</w:t>
      </w:r>
      <w:proofErr w:type="gramEnd"/>
      <w:r>
        <w:t xml:space="preserve"> Sand has also been deposited further down the slope at Sites E &amp; D (Figure 2). </w:t>
      </w:r>
    </w:p>
    <w:p w:rsidR="004F69BA" w:rsidRDefault="004F69BA" w:rsidP="004F69BA"/>
    <w:p w:rsidR="004F69BA" w:rsidRDefault="004F69BA" w:rsidP="004F69BA">
      <w:r w:rsidRPr="00925A98">
        <w:rPr>
          <w:noProof/>
          <w:lang w:eastAsia="en-AU"/>
        </w:rPr>
        <w:drawing>
          <wp:inline distT="0" distB="0" distL="0" distR="0">
            <wp:extent cx="5274310" cy="3514972"/>
            <wp:effectExtent l="19050" t="0" r="2540" b="0"/>
            <wp:docPr id="140" name="Picture 15" descr="X:\2014 HGCP images\2014-02-20 Flight to Jabiluka\HGCP Camera\IMG_31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X:\2014 HGCP images\2014-02-20 Flight to Jabiluka\HGCP Camera\IMG_3140.JPG"/>
                    <pic:cNvPicPr>
                      <a:picLocks noChangeAspect="1" noChangeArrowheads="1"/>
                    </pic:cNvPicPr>
                  </pic:nvPicPr>
                  <pic:blipFill>
                    <a:blip r:embed="rId311" cstate="screen"/>
                    <a:srcRect/>
                    <a:stretch>
                      <a:fillRect/>
                    </a:stretch>
                  </pic:blipFill>
                  <pic:spPr bwMode="auto">
                    <a:xfrm>
                      <a:off x="0" y="0"/>
                      <a:ext cx="5274310" cy="3514972"/>
                    </a:xfrm>
                    <a:prstGeom prst="rect">
                      <a:avLst/>
                    </a:prstGeom>
                    <a:noFill/>
                    <a:ln w="9525">
                      <a:noFill/>
                      <a:miter lim="800000"/>
                      <a:headEnd/>
                      <a:tailEnd/>
                    </a:ln>
                  </pic:spPr>
                </pic:pic>
              </a:graphicData>
            </a:graphic>
          </wp:inline>
        </w:drawing>
      </w:r>
    </w:p>
    <w:p w:rsidR="004F69BA" w:rsidRDefault="004F69BA" w:rsidP="004F69BA">
      <w:pPr>
        <w:pStyle w:val="figurecaption"/>
      </w:pPr>
      <w:r w:rsidRPr="00CD5843">
        <w:rPr>
          <w:b/>
        </w:rPr>
        <w:t xml:space="preserve">Figure </w:t>
      </w:r>
      <w:r>
        <w:rPr>
          <w:b/>
        </w:rPr>
        <w:t>7</w:t>
      </w:r>
      <w:r>
        <w:t xml:space="preserve"> Sand deposited on the lower slope which has </w:t>
      </w:r>
      <w:proofErr w:type="gramStart"/>
      <w:r>
        <w:t>less angle</w:t>
      </w:r>
      <w:proofErr w:type="gramEnd"/>
      <w:r>
        <w:t xml:space="preserve">. </w:t>
      </w:r>
      <w:proofErr w:type="gramStart"/>
      <w:r>
        <w:t>Image taken 20-2-2014 looking south toward Site F on Figure 2.</w:t>
      </w:r>
      <w:proofErr w:type="gramEnd"/>
    </w:p>
    <w:p w:rsidR="004F69BA" w:rsidRDefault="004F69BA" w:rsidP="004F69BA">
      <w:r w:rsidRPr="00925A98">
        <w:rPr>
          <w:noProof/>
          <w:lang w:eastAsia="en-AU"/>
        </w:rPr>
        <w:drawing>
          <wp:inline distT="0" distB="0" distL="0" distR="0">
            <wp:extent cx="5274310" cy="3514972"/>
            <wp:effectExtent l="19050" t="0" r="2540" b="0"/>
            <wp:docPr id="141" name="Picture 16" descr="X:\2014 HGCP images\2014-02-20 Flight to Jabiluka\HGCP Camera\IMG_31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X:\2014 HGCP images\2014-02-20 Flight to Jabiluka\HGCP Camera\IMG_3145.JPG"/>
                    <pic:cNvPicPr>
                      <a:picLocks noChangeAspect="1" noChangeArrowheads="1"/>
                    </pic:cNvPicPr>
                  </pic:nvPicPr>
                  <pic:blipFill>
                    <a:blip r:embed="rId312" cstate="screen"/>
                    <a:srcRect/>
                    <a:stretch>
                      <a:fillRect/>
                    </a:stretch>
                  </pic:blipFill>
                  <pic:spPr bwMode="auto">
                    <a:xfrm>
                      <a:off x="0" y="0"/>
                      <a:ext cx="5274310" cy="3514972"/>
                    </a:xfrm>
                    <a:prstGeom prst="rect">
                      <a:avLst/>
                    </a:prstGeom>
                    <a:noFill/>
                    <a:ln w="9525">
                      <a:noFill/>
                      <a:miter lim="800000"/>
                      <a:headEnd/>
                      <a:tailEnd/>
                    </a:ln>
                  </pic:spPr>
                </pic:pic>
              </a:graphicData>
            </a:graphic>
          </wp:inline>
        </w:drawing>
      </w:r>
    </w:p>
    <w:p w:rsidR="004F69BA" w:rsidRDefault="004F69BA" w:rsidP="004F69BA">
      <w:pPr>
        <w:pStyle w:val="figurecaption"/>
      </w:pPr>
      <w:r w:rsidRPr="00CD5843">
        <w:rPr>
          <w:b/>
        </w:rPr>
        <w:t xml:space="preserve">Figure </w:t>
      </w:r>
      <w:r>
        <w:rPr>
          <w:b/>
        </w:rPr>
        <w:t>8</w:t>
      </w:r>
      <w:r>
        <w:t xml:space="preserve"> Sand deposited on the lower slope which has </w:t>
      </w:r>
      <w:proofErr w:type="gramStart"/>
      <w:r>
        <w:t>less angle</w:t>
      </w:r>
      <w:proofErr w:type="gramEnd"/>
      <w:r>
        <w:t xml:space="preserve">. </w:t>
      </w:r>
      <w:proofErr w:type="gramStart"/>
      <w:r>
        <w:t>Image taken 20-2-2014 looking east in the vicinity of Site E on Figure 2.</w:t>
      </w:r>
      <w:proofErr w:type="gramEnd"/>
    </w:p>
    <w:p w:rsidR="004F69BA" w:rsidRPr="00957CF2" w:rsidRDefault="004F69BA" w:rsidP="004F69BA">
      <w:pPr>
        <w:rPr>
          <w:spacing w:val="-4"/>
        </w:rPr>
      </w:pPr>
      <w:r w:rsidRPr="00957CF2">
        <w:rPr>
          <w:spacing w:val="-4"/>
        </w:rPr>
        <w:t>Sand has not only been eroded, transported and deposited on the Jabiluka mine site but has been transported into the two mine site tributaries, Tributary North and Tributary Central. Figure 9 shows sand that has been deposited near to Tributary North (Site G on Figure 2) and Figure 10 shows the creek at the same location. Sand can be seen in the creek bed amongst the rocks that have been used to line the part of the creek that was realigned during construction of the Jabiluka mine site. Figure 11 shows another part of Tributary North with large amounts of sand deposited amongst the rocks, almost covering and swamping them.</w:t>
      </w:r>
    </w:p>
    <w:p w:rsidR="00957CF2" w:rsidRPr="00957CF2" w:rsidRDefault="00957CF2" w:rsidP="00957CF2">
      <w:pPr>
        <w:rPr>
          <w:spacing w:val="-4"/>
        </w:rPr>
      </w:pPr>
      <w:r w:rsidRPr="00957CF2">
        <w:rPr>
          <w:spacing w:val="-4"/>
        </w:rPr>
        <w:t xml:space="preserve">After the visit on 20 February 2014, </w:t>
      </w:r>
      <w:r w:rsidRPr="00957CF2">
        <w:rPr>
          <w:rFonts w:ascii="Times New Roman" w:hAnsi="Times New Roman"/>
          <w:b/>
          <w:i/>
          <w:spacing w:val="-4"/>
          <w:sz w:val="26"/>
        </w:rPr>
        <w:t>eriss</w:t>
      </w:r>
      <w:r w:rsidRPr="00957CF2">
        <w:rPr>
          <w:rFonts w:ascii="Times New Roman" w:hAnsi="Times New Roman"/>
          <w:spacing w:val="-4"/>
        </w:rPr>
        <w:t xml:space="preserve"> </w:t>
      </w:r>
      <w:proofErr w:type="gramStart"/>
      <w:r w:rsidRPr="00957CF2">
        <w:rPr>
          <w:spacing w:val="-4"/>
        </w:rPr>
        <w:t>staff were</w:t>
      </w:r>
      <w:proofErr w:type="gramEnd"/>
      <w:r w:rsidRPr="00957CF2">
        <w:rPr>
          <w:spacing w:val="-4"/>
        </w:rPr>
        <w:t xml:space="preserve"> concerned that there would be large amounts of sand transported </w:t>
      </w:r>
      <w:r w:rsidR="002A08DE" w:rsidRPr="00957CF2">
        <w:rPr>
          <w:spacing w:val="-4"/>
        </w:rPr>
        <w:t>downstream</w:t>
      </w:r>
      <w:r w:rsidRPr="00957CF2">
        <w:rPr>
          <w:spacing w:val="-4"/>
        </w:rPr>
        <w:t xml:space="preserve"> by the two mine site tributaries, from the Jabiluka mine site. A dry season visit was undertaken to determine how far downstream the sediment had moved.</w:t>
      </w:r>
    </w:p>
    <w:p w:rsidR="00957CF2" w:rsidRPr="00957CF2" w:rsidRDefault="00957CF2" w:rsidP="00957CF2">
      <w:pPr>
        <w:pStyle w:val="Heading3"/>
        <w:rPr>
          <w:spacing w:val="-4"/>
        </w:rPr>
      </w:pPr>
      <w:r w:rsidRPr="00957CF2">
        <w:rPr>
          <w:spacing w:val="-4"/>
        </w:rPr>
        <w:t>Dry Season field trip to Jabiluka mine site</w:t>
      </w:r>
    </w:p>
    <w:p w:rsidR="00957CF2" w:rsidRPr="00957CF2" w:rsidRDefault="00957CF2" w:rsidP="00957CF2">
      <w:pPr>
        <w:rPr>
          <w:spacing w:val="-4"/>
        </w:rPr>
      </w:pPr>
      <w:r w:rsidRPr="00957CF2">
        <w:rPr>
          <w:spacing w:val="-4"/>
        </w:rPr>
        <w:t xml:space="preserve">During the week beginning 14 July 2014, </w:t>
      </w:r>
      <w:r w:rsidRPr="00957CF2">
        <w:rPr>
          <w:rFonts w:ascii="Times New Roman" w:hAnsi="Times New Roman"/>
          <w:b/>
          <w:i/>
          <w:spacing w:val="-4"/>
          <w:sz w:val="26"/>
        </w:rPr>
        <w:t>eriss</w:t>
      </w:r>
      <w:r w:rsidRPr="00957CF2">
        <w:rPr>
          <w:spacing w:val="-4"/>
        </w:rPr>
        <w:t xml:space="preserve"> staff (Mike Saynor, Wayne Erskine and Richard Houghton) visited the two mine site tributaries at Jabiluka mine site. A gauging station is located on each of the mine site tributaries just </w:t>
      </w:r>
      <w:r w:rsidR="002A08DE" w:rsidRPr="00957CF2">
        <w:rPr>
          <w:spacing w:val="-4"/>
        </w:rPr>
        <w:t>downstream</w:t>
      </w:r>
      <w:r w:rsidRPr="00957CF2">
        <w:rPr>
          <w:spacing w:val="-4"/>
        </w:rPr>
        <w:t xml:space="preserve"> of the Jabiluka mine site. Both of these gauging stations have a concrete weir structure (to enable the station be </w:t>
      </w:r>
      <w:proofErr w:type="gramStart"/>
      <w:r w:rsidRPr="00957CF2">
        <w:rPr>
          <w:spacing w:val="-4"/>
        </w:rPr>
        <w:t>to</w:t>
      </w:r>
      <w:proofErr w:type="gramEnd"/>
      <w:r w:rsidRPr="00957CF2">
        <w:rPr>
          <w:spacing w:val="-4"/>
        </w:rPr>
        <w:t xml:space="preserve"> rated to calculate discharge) with an upstream weir pool (an area of the creek bed upstream of the weir is also concreted). </w:t>
      </w:r>
      <w:proofErr w:type="gramStart"/>
      <w:r w:rsidRPr="00957CF2">
        <w:rPr>
          <w:rFonts w:ascii="Times New Roman" w:hAnsi="Times New Roman"/>
          <w:b/>
          <w:i/>
          <w:spacing w:val="-4"/>
          <w:sz w:val="26"/>
        </w:rPr>
        <w:t>eriss</w:t>
      </w:r>
      <w:proofErr w:type="gramEnd"/>
      <w:r w:rsidRPr="00957CF2">
        <w:rPr>
          <w:rFonts w:ascii="Times New Roman" w:hAnsi="Times New Roman"/>
          <w:spacing w:val="-4"/>
        </w:rPr>
        <w:t xml:space="preserve"> </w:t>
      </w:r>
      <w:r w:rsidRPr="00957CF2">
        <w:rPr>
          <w:spacing w:val="-4"/>
        </w:rPr>
        <w:t xml:space="preserve">staff thought that these weir pools would be full of sand and that the sand would have been transported further downstream. </w:t>
      </w:r>
    </w:p>
    <w:p w:rsidR="00957CF2" w:rsidRPr="00957CF2" w:rsidRDefault="00957CF2" w:rsidP="00957CF2">
      <w:pPr>
        <w:rPr>
          <w:spacing w:val="-4"/>
        </w:rPr>
      </w:pPr>
      <w:r w:rsidRPr="00957CF2">
        <w:rPr>
          <w:spacing w:val="-4"/>
        </w:rPr>
        <w:t xml:space="preserve">Both of these gauging stations were visited and neither of the weir pools had any sand deposited in the weir pool. On Tributary North the sand was located approximately 30 m upstream of the weir pool (Figures 12 &amp; 13). Tributary Central was not investigated to see where the sand was due to time of </w:t>
      </w:r>
      <w:proofErr w:type="gramStart"/>
      <w:r w:rsidRPr="00957CF2">
        <w:rPr>
          <w:spacing w:val="-4"/>
        </w:rPr>
        <w:t>day,</w:t>
      </w:r>
      <w:proofErr w:type="gramEnd"/>
      <w:r w:rsidRPr="00957CF2">
        <w:rPr>
          <w:spacing w:val="-4"/>
        </w:rPr>
        <w:t xml:space="preserve"> however it had not yet reached the weir pool at the gauging station.</w:t>
      </w:r>
    </w:p>
    <w:p w:rsidR="004F69BA" w:rsidRDefault="004F69BA" w:rsidP="004F69BA">
      <w:r w:rsidRPr="00925A98">
        <w:rPr>
          <w:noProof/>
          <w:lang w:eastAsia="en-AU"/>
        </w:rPr>
        <w:drawing>
          <wp:inline distT="0" distB="0" distL="0" distR="0">
            <wp:extent cx="5274310" cy="3514972"/>
            <wp:effectExtent l="19050" t="0" r="2540" b="0"/>
            <wp:docPr id="142" name="Picture 17" descr="X:\2014 HGCP images\2014-02-20 Flight to Jabiluka\HGCP Camera\IMG_31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X:\2014 HGCP images\2014-02-20 Flight to Jabiluka\HGCP Camera\IMG_3152.JPG"/>
                    <pic:cNvPicPr>
                      <a:picLocks noChangeAspect="1" noChangeArrowheads="1"/>
                    </pic:cNvPicPr>
                  </pic:nvPicPr>
                  <pic:blipFill>
                    <a:blip r:embed="rId313" cstate="screen"/>
                    <a:srcRect/>
                    <a:stretch>
                      <a:fillRect/>
                    </a:stretch>
                  </pic:blipFill>
                  <pic:spPr bwMode="auto">
                    <a:xfrm>
                      <a:off x="0" y="0"/>
                      <a:ext cx="5274310" cy="3514972"/>
                    </a:xfrm>
                    <a:prstGeom prst="rect">
                      <a:avLst/>
                    </a:prstGeom>
                    <a:noFill/>
                    <a:ln w="9525">
                      <a:noFill/>
                      <a:miter lim="800000"/>
                      <a:headEnd/>
                      <a:tailEnd/>
                    </a:ln>
                  </pic:spPr>
                </pic:pic>
              </a:graphicData>
            </a:graphic>
          </wp:inline>
        </w:drawing>
      </w:r>
    </w:p>
    <w:p w:rsidR="004F69BA" w:rsidRDefault="004F69BA" w:rsidP="004F69BA">
      <w:pPr>
        <w:pStyle w:val="figurecaption"/>
      </w:pPr>
      <w:r w:rsidRPr="00CD5843">
        <w:rPr>
          <w:b/>
        </w:rPr>
        <w:t xml:space="preserve">Figure </w:t>
      </w:r>
      <w:r>
        <w:rPr>
          <w:b/>
        </w:rPr>
        <w:t>9</w:t>
      </w:r>
      <w:r>
        <w:t xml:space="preserve"> Sand deposited on the area just upslope of the bank of Tributary North at Site G on Figure 2. </w:t>
      </w:r>
      <w:proofErr w:type="gramStart"/>
      <w:r>
        <w:t>Image taken 20-2-2014.</w:t>
      </w:r>
      <w:proofErr w:type="gramEnd"/>
    </w:p>
    <w:p w:rsidR="004F69BA" w:rsidRDefault="004F69BA" w:rsidP="004F69BA"/>
    <w:p w:rsidR="004F69BA" w:rsidRDefault="004F69BA" w:rsidP="004F69BA">
      <w:r w:rsidRPr="00925A98">
        <w:rPr>
          <w:noProof/>
          <w:lang w:eastAsia="en-AU"/>
        </w:rPr>
        <w:drawing>
          <wp:inline distT="0" distB="0" distL="0" distR="0">
            <wp:extent cx="5274310" cy="3514972"/>
            <wp:effectExtent l="19050" t="0" r="2540" b="0"/>
            <wp:docPr id="144" name="Picture 18" descr="X:\2014 HGCP images\2014-02-20 Flight to Jabiluka\HGCP Camera\IMG_31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X:\2014 HGCP images\2014-02-20 Flight to Jabiluka\HGCP Camera\IMG_3153.JPG"/>
                    <pic:cNvPicPr>
                      <a:picLocks noChangeAspect="1" noChangeArrowheads="1"/>
                    </pic:cNvPicPr>
                  </pic:nvPicPr>
                  <pic:blipFill>
                    <a:blip r:embed="rId314" cstate="screen"/>
                    <a:srcRect/>
                    <a:stretch>
                      <a:fillRect/>
                    </a:stretch>
                  </pic:blipFill>
                  <pic:spPr bwMode="auto">
                    <a:xfrm>
                      <a:off x="0" y="0"/>
                      <a:ext cx="5274310" cy="3514972"/>
                    </a:xfrm>
                    <a:prstGeom prst="rect">
                      <a:avLst/>
                    </a:prstGeom>
                    <a:noFill/>
                    <a:ln w="9525">
                      <a:noFill/>
                      <a:miter lim="800000"/>
                      <a:headEnd/>
                      <a:tailEnd/>
                    </a:ln>
                  </pic:spPr>
                </pic:pic>
              </a:graphicData>
            </a:graphic>
          </wp:inline>
        </w:drawing>
      </w:r>
    </w:p>
    <w:p w:rsidR="004F69BA" w:rsidRDefault="004F69BA" w:rsidP="004F69BA">
      <w:pPr>
        <w:pStyle w:val="figurecaption"/>
      </w:pPr>
      <w:r w:rsidRPr="00CD5843">
        <w:rPr>
          <w:b/>
        </w:rPr>
        <w:t xml:space="preserve">Figure </w:t>
      </w:r>
      <w:r>
        <w:rPr>
          <w:b/>
        </w:rPr>
        <w:t>10</w:t>
      </w:r>
      <w:r>
        <w:t xml:space="preserve"> Sand deposited in the </w:t>
      </w:r>
      <w:proofErr w:type="gramStart"/>
      <w:r>
        <w:t>creek  down</w:t>
      </w:r>
      <w:proofErr w:type="gramEnd"/>
      <w:r>
        <w:t xml:space="preserve"> from Figure 9. </w:t>
      </w:r>
      <w:proofErr w:type="gramStart"/>
      <w:r>
        <w:t>Image taken 20-2-2014.</w:t>
      </w:r>
      <w:proofErr w:type="gramEnd"/>
    </w:p>
    <w:p w:rsidR="004F69BA" w:rsidRDefault="004F69BA" w:rsidP="004F69BA">
      <w:r w:rsidRPr="009E04E5">
        <w:rPr>
          <w:noProof/>
          <w:lang w:eastAsia="en-AU"/>
        </w:rPr>
        <w:drawing>
          <wp:inline distT="0" distB="0" distL="0" distR="0">
            <wp:extent cx="5274310" cy="3514972"/>
            <wp:effectExtent l="19050" t="0" r="2540" b="0"/>
            <wp:docPr id="145" name="Picture 20" descr="X:\2014 HGCP images\2014-02-20 Flight to Jabiluka\HGCP Camera\IMG_31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X:\2014 HGCP images\2014-02-20 Flight to Jabiluka\HGCP Camera\IMG_3162.JPG"/>
                    <pic:cNvPicPr>
                      <a:picLocks noChangeAspect="1" noChangeArrowheads="1"/>
                    </pic:cNvPicPr>
                  </pic:nvPicPr>
                  <pic:blipFill>
                    <a:blip r:embed="rId315" cstate="screen"/>
                    <a:srcRect/>
                    <a:stretch>
                      <a:fillRect/>
                    </a:stretch>
                  </pic:blipFill>
                  <pic:spPr bwMode="auto">
                    <a:xfrm>
                      <a:off x="0" y="0"/>
                      <a:ext cx="5274310" cy="3514972"/>
                    </a:xfrm>
                    <a:prstGeom prst="rect">
                      <a:avLst/>
                    </a:prstGeom>
                    <a:noFill/>
                    <a:ln w="9525">
                      <a:noFill/>
                      <a:miter lim="800000"/>
                      <a:headEnd/>
                      <a:tailEnd/>
                    </a:ln>
                  </pic:spPr>
                </pic:pic>
              </a:graphicData>
            </a:graphic>
          </wp:inline>
        </w:drawing>
      </w:r>
    </w:p>
    <w:p w:rsidR="004F69BA" w:rsidRDefault="004F69BA" w:rsidP="004F69BA">
      <w:pPr>
        <w:pStyle w:val="figurecaption"/>
      </w:pPr>
      <w:r w:rsidRPr="00CD5843">
        <w:rPr>
          <w:b/>
        </w:rPr>
        <w:t xml:space="preserve">Figure </w:t>
      </w:r>
      <w:r>
        <w:rPr>
          <w:b/>
        </w:rPr>
        <w:t>11</w:t>
      </w:r>
      <w:r>
        <w:t xml:space="preserve"> Sand deposited in Tributary North. </w:t>
      </w:r>
      <w:proofErr w:type="gramStart"/>
      <w:r>
        <w:t>Image taken 20-2-2014.</w:t>
      </w:r>
      <w:proofErr w:type="gramEnd"/>
    </w:p>
    <w:p w:rsidR="004F69BA" w:rsidRDefault="004F69BA" w:rsidP="004F69BA"/>
    <w:p w:rsidR="004F69BA" w:rsidRDefault="004F69BA" w:rsidP="004F69BA">
      <w:r>
        <w:rPr>
          <w:noProof/>
          <w:lang w:eastAsia="en-AU"/>
        </w:rPr>
        <w:drawing>
          <wp:inline distT="0" distB="0" distL="0" distR="0">
            <wp:extent cx="5274310" cy="3515995"/>
            <wp:effectExtent l="19050" t="0" r="2540" b="0"/>
            <wp:docPr id="10081" name="Picture 0" descr="Trib North D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ib North DS.jpg"/>
                    <pic:cNvPicPr/>
                  </pic:nvPicPr>
                  <pic:blipFill>
                    <a:blip r:embed="rId316" cstate="screen"/>
                    <a:stretch>
                      <a:fillRect/>
                    </a:stretch>
                  </pic:blipFill>
                  <pic:spPr>
                    <a:xfrm>
                      <a:off x="0" y="0"/>
                      <a:ext cx="5274310" cy="3515995"/>
                    </a:xfrm>
                    <a:prstGeom prst="rect">
                      <a:avLst/>
                    </a:prstGeom>
                  </pic:spPr>
                </pic:pic>
              </a:graphicData>
            </a:graphic>
          </wp:inline>
        </w:drawing>
      </w:r>
    </w:p>
    <w:p w:rsidR="004F69BA" w:rsidRDefault="004F69BA" w:rsidP="004F69BA">
      <w:pPr>
        <w:pStyle w:val="figurecaption"/>
      </w:pPr>
      <w:r>
        <w:rPr>
          <w:b/>
        </w:rPr>
        <w:t>F</w:t>
      </w:r>
      <w:r w:rsidRPr="00521703">
        <w:rPr>
          <w:b/>
        </w:rPr>
        <w:t>igure 12</w:t>
      </w:r>
      <w:r>
        <w:t xml:space="preserve"> Tributary North looking downstream towards the gauging station. </w:t>
      </w:r>
      <w:proofErr w:type="gramStart"/>
      <w:r>
        <w:t>Image taken 17-7-14.</w:t>
      </w:r>
      <w:proofErr w:type="gramEnd"/>
      <w:r>
        <w:t xml:space="preserve"> </w:t>
      </w:r>
    </w:p>
    <w:p w:rsidR="004F69BA" w:rsidRDefault="004F69BA" w:rsidP="004F69BA"/>
    <w:p w:rsidR="004F69BA" w:rsidRDefault="004F69BA" w:rsidP="004F69BA">
      <w:r w:rsidRPr="007472A0">
        <w:rPr>
          <w:noProof/>
          <w:lang w:eastAsia="en-AU"/>
        </w:rPr>
        <w:drawing>
          <wp:inline distT="0" distB="0" distL="0" distR="0">
            <wp:extent cx="5274310" cy="3515995"/>
            <wp:effectExtent l="19050" t="0" r="2540" b="0"/>
            <wp:docPr id="10126" name="Picture 5" descr="Trib North 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ib North US.jpg"/>
                    <pic:cNvPicPr/>
                  </pic:nvPicPr>
                  <pic:blipFill>
                    <a:blip r:embed="rId317" cstate="screen"/>
                    <a:stretch>
                      <a:fillRect/>
                    </a:stretch>
                  </pic:blipFill>
                  <pic:spPr>
                    <a:xfrm>
                      <a:off x="0" y="0"/>
                      <a:ext cx="5274310" cy="3515995"/>
                    </a:xfrm>
                    <a:prstGeom prst="rect">
                      <a:avLst/>
                    </a:prstGeom>
                  </pic:spPr>
                </pic:pic>
              </a:graphicData>
            </a:graphic>
          </wp:inline>
        </w:drawing>
      </w:r>
    </w:p>
    <w:p w:rsidR="004F69BA" w:rsidRDefault="004F69BA" w:rsidP="004F69BA">
      <w:pPr>
        <w:pStyle w:val="figurecaption"/>
      </w:pPr>
      <w:r w:rsidRPr="00521703">
        <w:rPr>
          <w:b/>
        </w:rPr>
        <w:t>Figure 1</w:t>
      </w:r>
      <w:r>
        <w:rPr>
          <w:b/>
        </w:rPr>
        <w:t>3</w:t>
      </w:r>
      <w:r>
        <w:t xml:space="preserve"> Tributary North looking upstream at the front of the sand slug. The open spaces of the rehabilitated area can be seen through trees at the top left of the image. </w:t>
      </w:r>
      <w:proofErr w:type="gramStart"/>
      <w:r>
        <w:t>Image taken 17-7-14.</w:t>
      </w:r>
      <w:proofErr w:type="gramEnd"/>
      <w:r>
        <w:t xml:space="preserve">  </w:t>
      </w:r>
    </w:p>
    <w:p w:rsidR="004F69BA" w:rsidRDefault="004F69BA" w:rsidP="004F69BA">
      <w:r>
        <w:t xml:space="preserve">Figure 14 shows the sand that has been deposited towards the bottom of the Jabiluka mine site at Site D. A mass of sand can be seen as well as tress and low ground cover shrubs. </w:t>
      </w:r>
    </w:p>
    <w:p w:rsidR="004F69BA" w:rsidRDefault="004F69BA" w:rsidP="004F69BA"/>
    <w:p w:rsidR="004F69BA" w:rsidRDefault="004F69BA" w:rsidP="004F69BA">
      <w:r w:rsidRPr="00577E84">
        <w:rPr>
          <w:noProof/>
          <w:lang w:eastAsia="en-AU"/>
        </w:rPr>
        <w:drawing>
          <wp:inline distT="0" distB="0" distL="0" distR="0">
            <wp:extent cx="5274310" cy="3514972"/>
            <wp:effectExtent l="19050" t="0" r="2540" b="0"/>
            <wp:docPr id="10127" name="Picture 34" descr="I:\HGCP photos\2014 HGCP images\2014-07 Ngarradj bars\IMG_6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I:\HGCP photos\2014 HGCP images\2014-07 Ngarradj bars\IMG_6242.JPG"/>
                    <pic:cNvPicPr>
                      <a:picLocks noChangeAspect="1" noChangeArrowheads="1"/>
                    </pic:cNvPicPr>
                  </pic:nvPicPr>
                  <pic:blipFill>
                    <a:blip r:embed="rId318" cstate="screen"/>
                    <a:srcRect/>
                    <a:stretch>
                      <a:fillRect/>
                    </a:stretch>
                  </pic:blipFill>
                  <pic:spPr bwMode="auto">
                    <a:xfrm>
                      <a:off x="0" y="0"/>
                      <a:ext cx="5274310" cy="3514972"/>
                    </a:xfrm>
                    <a:prstGeom prst="rect">
                      <a:avLst/>
                    </a:prstGeom>
                    <a:noFill/>
                    <a:ln w="9525">
                      <a:noFill/>
                      <a:miter lim="800000"/>
                      <a:headEnd/>
                      <a:tailEnd/>
                    </a:ln>
                  </pic:spPr>
                </pic:pic>
              </a:graphicData>
            </a:graphic>
          </wp:inline>
        </w:drawing>
      </w:r>
    </w:p>
    <w:p w:rsidR="004F69BA" w:rsidRDefault="004F69BA" w:rsidP="004F69BA">
      <w:pPr>
        <w:pStyle w:val="figurecaption"/>
      </w:pPr>
      <w:r w:rsidRPr="00521703">
        <w:rPr>
          <w:b/>
        </w:rPr>
        <w:t xml:space="preserve">Figure </w:t>
      </w:r>
      <w:proofErr w:type="gramStart"/>
      <w:r w:rsidRPr="00521703">
        <w:rPr>
          <w:b/>
        </w:rPr>
        <w:t>1</w:t>
      </w:r>
      <w:r>
        <w:rPr>
          <w:b/>
        </w:rPr>
        <w:t>4</w:t>
      </w:r>
      <w:r>
        <w:t xml:space="preserve">  Looking</w:t>
      </w:r>
      <w:proofErr w:type="gramEnd"/>
      <w:r>
        <w:t xml:space="preserve"> west up the Jabiluka mine site from the fenceline over Site D (Figure 2). Areas of sand have been deposited towards the bottom of the slope. </w:t>
      </w:r>
      <w:proofErr w:type="gramStart"/>
      <w:r>
        <w:t>Image taken 17-7-14.</w:t>
      </w:r>
      <w:proofErr w:type="gramEnd"/>
      <w:r>
        <w:t xml:space="preserve">  </w:t>
      </w:r>
    </w:p>
    <w:p w:rsidR="004F69BA" w:rsidRDefault="004F69BA" w:rsidP="004F69BA">
      <w:pPr>
        <w:pStyle w:val="Heading2"/>
        <w:spacing w:after="0"/>
      </w:pPr>
      <w:r w:rsidRPr="00A21817">
        <w:t>Conclusions and Recommendation</w:t>
      </w:r>
    </w:p>
    <w:p w:rsidR="004F69BA" w:rsidRDefault="004F69BA" w:rsidP="004F69BA">
      <w:r>
        <w:t xml:space="preserve">There has been a large amount of erosion and sediment movement of sand on the rehabilitated Jabiluka mine site during the 2014–2015 wet </w:t>
      </w:r>
      <w:proofErr w:type="gramStart"/>
      <w:r>
        <w:t>season</w:t>
      </w:r>
      <w:proofErr w:type="gramEnd"/>
      <w:r>
        <w:t xml:space="preserve">. Most of the erosion was of sand which was eroded off the steeper slopes at the site. The eroded material was deposited on the lower (less angled) slopes, and some of the sand was transported into the two mine site tributaries. The sand had not moved as far downstream as was expected. On Tributary North the sand front was approximately 30 m upstream of the Tributary North Gauging Station. Given the nature of the sandstone parent material and the type of sediment that is being transported (medium to coarse sand) there would not be much fine sediment available to be transported. </w:t>
      </w:r>
    </w:p>
    <w:p w:rsidR="004F69BA" w:rsidRDefault="004F69BA" w:rsidP="004F69BA">
      <w:r>
        <w:t>A turbidity probe has been in intermittent operation at the Swift Creek Gauging station (approximately 1.2 km downstream of the Jabiluka mine site) since 2004. A cursory look at the turbidity data does not suggest elevated turbidity values compared to previous wet seasons. The largest turbidity value of 112 NTU’s occurred on 10/4/14 and was associated with a storm event of 62 mm. Several other turbidity events of this magnitude have occurred in previous years.</w:t>
      </w:r>
    </w:p>
    <w:p w:rsidR="004F69BA" w:rsidRDefault="004F69BA" w:rsidP="004F69BA">
      <w:r>
        <w:t xml:space="preserve">It is recommended that the two mine site tributaries be inspected during the 2015 dry season to see how far the sand has moved during the 2014–2015 wet </w:t>
      </w:r>
      <w:proofErr w:type="gramStart"/>
      <w:r>
        <w:t>season</w:t>
      </w:r>
      <w:proofErr w:type="gramEnd"/>
      <w:r>
        <w:t xml:space="preserve">. Sediment samples should also be taken from the inchannel sediment and the depositional areas on the rehabilitated Jabiluka mine site for particle size comparisons. </w:t>
      </w:r>
    </w:p>
    <w:p w:rsidR="004F69BA" w:rsidRPr="00A21817" w:rsidRDefault="004F69BA" w:rsidP="004F69BA">
      <w:pPr>
        <w:pStyle w:val="Heading2"/>
      </w:pPr>
      <w:r w:rsidRPr="00A21817">
        <w:t>Reference</w:t>
      </w:r>
      <w:r w:rsidR="00E54B20">
        <w:t>s</w:t>
      </w:r>
    </w:p>
    <w:p w:rsidR="003D2E73" w:rsidRPr="003D2E73" w:rsidRDefault="004F69BA" w:rsidP="004F69BA">
      <w:pPr>
        <w:pStyle w:val="referencelist1"/>
        <w:sectPr w:rsidR="003D2E73" w:rsidRPr="003D2E73" w:rsidSect="00D444BD">
          <w:footnotePr>
            <w:numRestart w:val="eachPage"/>
          </w:footnotePr>
          <w:pgSz w:w="11906" w:h="16838" w:code="9"/>
          <w:pgMar w:top="1440" w:right="1800" w:bottom="1440" w:left="1800" w:header="1080" w:footer="835" w:gutter="0"/>
          <w:cols w:space="360"/>
          <w:noEndnote/>
        </w:sectPr>
      </w:pPr>
      <w:proofErr w:type="gramStart"/>
      <w:r>
        <w:t>Supervising Scientist 2014.</w:t>
      </w:r>
      <w:proofErr w:type="gramEnd"/>
      <w:r>
        <w:t xml:space="preserve"> Annual Report 2013-2014. </w:t>
      </w:r>
      <w:proofErr w:type="gramStart"/>
      <w:r>
        <w:t>Supervising Scientist, Darwin.</w:t>
      </w:r>
      <w:proofErr w:type="gramEnd"/>
    </w:p>
    <w:bookmarkEnd w:id="294"/>
    <w:p w:rsidR="00A75EBE" w:rsidRPr="00BE58AB" w:rsidRDefault="00A75EBE" w:rsidP="00BE58AB">
      <w:pPr>
        <w:spacing w:after="0" w:line="240" w:lineRule="auto"/>
        <w:jc w:val="left"/>
        <w:rPr>
          <w:rFonts w:ascii="Times New Roman" w:hAnsi="Times New Roman"/>
          <w:noProof/>
          <w:sz w:val="22"/>
          <w:szCs w:val="22"/>
        </w:rPr>
      </w:pPr>
    </w:p>
    <w:p w:rsidR="00D97567" w:rsidRPr="00BE58AB" w:rsidRDefault="00D97567" w:rsidP="00BE58AB">
      <w:pPr>
        <w:pStyle w:val="Heading1"/>
      </w:pPr>
      <w:bookmarkStart w:id="301" w:name="_Toc418172734"/>
      <w:r w:rsidRPr="00BE58AB">
        <w:t>Appendix 1</w:t>
      </w:r>
      <w:bookmarkEnd w:id="301"/>
    </w:p>
    <w:p w:rsidR="00BE58AB" w:rsidRDefault="002A08DE" w:rsidP="00BE58AB">
      <w:pPr>
        <w:pStyle w:val="Heading1"/>
      </w:pPr>
      <w:bookmarkStart w:id="302" w:name="_Toc416693491"/>
      <w:bookmarkStart w:id="303" w:name="_Toc416700167"/>
      <w:bookmarkStart w:id="304" w:name="_Toc416704138"/>
      <w:bookmarkStart w:id="305" w:name="_Toc418172735"/>
      <w:bookmarkStart w:id="306" w:name="_Toc308710374"/>
      <w:bookmarkStart w:id="307" w:name="_Toc370812630"/>
      <w:bookmarkStart w:id="308" w:name="_Toc372540244"/>
      <w:bookmarkStart w:id="309" w:name="_Toc401910213"/>
      <w:bookmarkStart w:id="310" w:name="_Toc409772838"/>
      <w:r>
        <w:t>Supervising</w:t>
      </w:r>
      <w:r w:rsidR="00BE58AB">
        <w:t xml:space="preserve"> Scientist publications and presentations for December 2013 to July 2014</w:t>
      </w:r>
      <w:bookmarkEnd w:id="302"/>
      <w:bookmarkEnd w:id="303"/>
      <w:bookmarkEnd w:id="304"/>
      <w:bookmarkEnd w:id="305"/>
    </w:p>
    <w:p w:rsidR="00BE58AB" w:rsidRPr="00B447E5" w:rsidRDefault="00BE58AB" w:rsidP="00BE58AB"/>
    <w:p w:rsidR="00BE58AB" w:rsidRPr="0020510D" w:rsidRDefault="00BE58AB" w:rsidP="00BE58AB">
      <w:pPr>
        <w:pStyle w:val="Heading2"/>
      </w:pPr>
      <w:r w:rsidRPr="0020510D">
        <w:t>Journal Papers (in press or published)</w:t>
      </w:r>
    </w:p>
    <w:p w:rsidR="00BE58AB" w:rsidRDefault="00BE58AB" w:rsidP="00BE58AB">
      <w:pPr>
        <w:pStyle w:val="referencelist1"/>
      </w:pPr>
      <w:r w:rsidRPr="002F728A">
        <w:t xml:space="preserve">Bollhöfer A, Beraldo A, Pfitzner K, Esparon A &amp; Doering C 2014. </w:t>
      </w:r>
      <w:proofErr w:type="gramStart"/>
      <w:r w:rsidRPr="002F728A">
        <w:t>Determining a pre-mining radiological baseline from historic airborne gamma surveys: A case study.</w:t>
      </w:r>
      <w:proofErr w:type="gramEnd"/>
      <w:r w:rsidRPr="002F728A">
        <w:t xml:space="preserve"> </w:t>
      </w:r>
      <w:r w:rsidRPr="002F728A">
        <w:rPr>
          <w:i/>
        </w:rPr>
        <w:t>Science of the Total Environment</w:t>
      </w:r>
      <w:r w:rsidRPr="002F728A">
        <w:t xml:space="preserve"> 468–469, 764–773.</w:t>
      </w:r>
    </w:p>
    <w:p w:rsidR="00BE58AB" w:rsidRPr="002F728A" w:rsidRDefault="00BE58AB" w:rsidP="00BE58AB">
      <w:pPr>
        <w:pStyle w:val="referencelist1"/>
      </w:pPr>
      <w:r w:rsidRPr="002F728A">
        <w:t xml:space="preserve">Bollhöfer A, Schlosser C, Ross JO, Sartorius H &amp; Schmid S 2014. Variability of atmospheric Kr-85 activity concentrations observed close to the ITCZ in the Southern Hemisphere. </w:t>
      </w:r>
      <w:r w:rsidRPr="002F728A">
        <w:rPr>
          <w:i/>
        </w:rPr>
        <w:t>Journal of Environmental Radioactivity</w:t>
      </w:r>
      <w:r w:rsidRPr="002F728A">
        <w:t xml:space="preserve"> 127, 111–118</w:t>
      </w:r>
      <w:r>
        <w:t>.</w:t>
      </w:r>
    </w:p>
    <w:p w:rsidR="00BE58AB" w:rsidRDefault="00BE58AB" w:rsidP="00BE58AB">
      <w:pPr>
        <w:pStyle w:val="referencelist1"/>
      </w:pPr>
      <w:proofErr w:type="gramStart"/>
      <w:r w:rsidRPr="0071764C">
        <w:t>Doering C &amp; Saey P 2014.</w:t>
      </w:r>
      <w:proofErr w:type="gramEnd"/>
      <w:r w:rsidRPr="0071764C">
        <w:t xml:space="preserve"> Hadley cell influence on 7Be activity concentrations at</w:t>
      </w:r>
      <w:r w:rsidRPr="002F728A">
        <w:t xml:space="preserve"> Australian mainland IMS radionuclide particulate stations. </w:t>
      </w:r>
      <w:r w:rsidRPr="002F728A">
        <w:rPr>
          <w:i/>
        </w:rPr>
        <w:t xml:space="preserve">Journal of Environmental Radioactivity </w:t>
      </w:r>
      <w:r w:rsidRPr="002F728A">
        <w:t>127, 88–94</w:t>
      </w:r>
      <w:r>
        <w:t>.</w:t>
      </w:r>
    </w:p>
    <w:p w:rsidR="00BE58AB" w:rsidRPr="002F728A" w:rsidRDefault="00BE58AB" w:rsidP="00BE58AB">
      <w:pPr>
        <w:pStyle w:val="referencelist1"/>
      </w:pPr>
      <w:r w:rsidRPr="00BF4180">
        <w:t>Hancock GR, Willgoose GR, Lowry J 2014. Transient landscapes: gully development and</w:t>
      </w:r>
      <w:r>
        <w:t xml:space="preserve"> </w:t>
      </w:r>
      <w:r w:rsidRPr="00BF4180">
        <w:t xml:space="preserve">evolution using a landscape evolution model. </w:t>
      </w:r>
      <w:r w:rsidRPr="00BF4180">
        <w:rPr>
          <w:i/>
        </w:rPr>
        <w:t>Stochastic Environmental Research and</w:t>
      </w:r>
      <w:r>
        <w:rPr>
          <w:i/>
        </w:rPr>
        <w:t xml:space="preserve"> </w:t>
      </w:r>
      <w:r w:rsidRPr="00BF4180">
        <w:rPr>
          <w:i/>
        </w:rPr>
        <w:t xml:space="preserve">Risk Assessment </w:t>
      </w:r>
      <w:r>
        <w:t>28</w:t>
      </w:r>
      <w:r w:rsidRPr="00BF4180">
        <w:t>(1), 83–98.</w:t>
      </w:r>
    </w:p>
    <w:p w:rsidR="00BE58AB" w:rsidRDefault="00BE58AB" w:rsidP="00BE58AB">
      <w:pPr>
        <w:pStyle w:val="referencelist1"/>
      </w:pPr>
      <w:proofErr w:type="gramStart"/>
      <w:r w:rsidRPr="00AA3B41">
        <w:t>Harford AJ, Hogan AC, Jones DR &amp; van Dam RA (in press).</w:t>
      </w:r>
      <w:proofErr w:type="gramEnd"/>
      <w:r w:rsidRPr="00AA3B41">
        <w:t xml:space="preserve"> Ecotoxicology of actively treated mine waters. </w:t>
      </w:r>
      <w:r w:rsidRPr="00AA3B41">
        <w:rPr>
          <w:i/>
        </w:rPr>
        <w:t>Mine Water and the Environment</w:t>
      </w:r>
      <w:r w:rsidRPr="00AA3B41">
        <w:t>.</w:t>
      </w:r>
    </w:p>
    <w:p w:rsidR="00BE58AB" w:rsidRPr="00231FD2" w:rsidRDefault="00BE58AB" w:rsidP="00BE58AB">
      <w:pPr>
        <w:pStyle w:val="referencelist1"/>
      </w:pPr>
      <w:r>
        <w:t xml:space="preserve">Heenkenda M, Joyce K, Maier SW &amp; Bartolo B 2014. Mangrove Species Identification: Comparing WorldView-2 with Aerial Photographs. </w:t>
      </w:r>
      <w:r>
        <w:rPr>
          <w:i/>
          <w:iCs/>
        </w:rPr>
        <w:t>Remote Sensing</w:t>
      </w:r>
      <w:r>
        <w:t xml:space="preserve"> 6 (7),</w:t>
      </w:r>
      <w:r w:rsidR="00A15089">
        <w:t xml:space="preserve"> </w:t>
      </w:r>
      <w:r>
        <w:t>6064-6088.</w:t>
      </w:r>
    </w:p>
    <w:p w:rsidR="00BE58AB" w:rsidRDefault="00BE58AB" w:rsidP="00BE58AB">
      <w:pPr>
        <w:pStyle w:val="referencelist1"/>
      </w:pPr>
      <w:r w:rsidRPr="002F728A">
        <w:t xml:space="preserve">Johansen MP, Child DP, Davis E, Doering C, Harrison JJ, Hotchkis MAC, Payne TE, Thiruvoth S, Twining JR &amp; Wood MD 2014. Plutonium in wildlife and soils at the Maralinga legacy site: persistence over decadal time scales. </w:t>
      </w:r>
      <w:r w:rsidRPr="00A10056">
        <w:rPr>
          <w:i/>
        </w:rPr>
        <w:t>Journal of Environmental Radioactivity</w:t>
      </w:r>
      <w:r>
        <w:t xml:space="preserve"> 131, 72–80.</w:t>
      </w:r>
    </w:p>
    <w:p w:rsidR="00BE58AB" w:rsidRPr="001B0912" w:rsidRDefault="00BE58AB" w:rsidP="00BE58AB">
      <w:pPr>
        <w:pStyle w:val="referencelist1"/>
      </w:pPr>
      <w:r w:rsidRPr="00AA3B41">
        <w:t xml:space="preserve">Medley P, Martin P, Bollhöfer </w:t>
      </w:r>
      <w:proofErr w:type="gramStart"/>
      <w:r w:rsidRPr="00AA3B41">
        <w:t>A</w:t>
      </w:r>
      <w:proofErr w:type="gramEnd"/>
      <w:r w:rsidRPr="00AA3B41">
        <w:t xml:space="preserve"> &amp; Parry D (in press). </w:t>
      </w:r>
      <w:proofErr w:type="gramStart"/>
      <w:r w:rsidRPr="00AA3B41">
        <w:rPr>
          <w:vertAlign w:val="superscript"/>
        </w:rPr>
        <w:t>228</w:t>
      </w:r>
      <w:r w:rsidRPr="00AA3B41">
        <w:t xml:space="preserve">Ra and </w:t>
      </w:r>
      <w:r w:rsidRPr="00AA3B41">
        <w:rPr>
          <w:vertAlign w:val="superscript"/>
        </w:rPr>
        <w:t>226</w:t>
      </w:r>
      <w:r w:rsidRPr="00AA3B41">
        <w:t>Ra measurement on a BaSO</w:t>
      </w:r>
      <w:r w:rsidRPr="00AA3B41">
        <w:rPr>
          <w:vertAlign w:val="subscript"/>
        </w:rPr>
        <w:t>4</w:t>
      </w:r>
      <w:r w:rsidRPr="00AA3B41">
        <w:t xml:space="preserve"> co-precipitation source.</w:t>
      </w:r>
      <w:proofErr w:type="gramEnd"/>
      <w:r w:rsidRPr="00AA3B41">
        <w:t xml:space="preserve"> </w:t>
      </w:r>
      <w:proofErr w:type="gramStart"/>
      <w:r w:rsidRPr="00AA3B41">
        <w:rPr>
          <w:i/>
          <w:iCs/>
        </w:rPr>
        <w:t>Applied Radiation and Isotopes</w:t>
      </w:r>
      <w:r w:rsidRPr="00AA3B41">
        <w:t>.</w:t>
      </w:r>
      <w:proofErr w:type="gramEnd"/>
      <w:r w:rsidRPr="00AA3B41">
        <w:t xml:space="preserve"> </w:t>
      </w:r>
    </w:p>
    <w:p w:rsidR="00BE58AB" w:rsidRPr="002F728A" w:rsidRDefault="00BE58AB" w:rsidP="00BE58AB">
      <w:pPr>
        <w:pStyle w:val="referencelist1"/>
      </w:pPr>
      <w:r w:rsidRPr="002F728A">
        <w:t>Merrington G, An Y-J,·Grist EPM, Jeong S-W, Rattikansukha C, Roe S, Schneider U, Sthiannopkao S, Suter GW,</w:t>
      </w:r>
      <w:r>
        <w:t xml:space="preserve"> </w:t>
      </w:r>
      <w:r w:rsidRPr="002F728A" w:rsidDel="00AE707B">
        <w:t xml:space="preserve"> </w:t>
      </w:r>
      <w:r w:rsidRPr="002F728A">
        <w:t>van Dam R, Van Sprang P, Wang J-Y, W</w:t>
      </w:r>
      <w:r>
        <w:t>arne MStJ, Yillia PT, Zhang X-W &amp;</w:t>
      </w:r>
      <w:r w:rsidRPr="002F728A">
        <w:t xml:space="preserve"> Leung KMY 2013. Water quality guidelines for chemicals: learning lessons to deliver meaningful environmental metrics.</w:t>
      </w:r>
      <w:r>
        <w:rPr>
          <w:i/>
        </w:rPr>
        <w:t xml:space="preserve"> Environmental S</w:t>
      </w:r>
      <w:r w:rsidRPr="00A10056">
        <w:rPr>
          <w:i/>
        </w:rPr>
        <w:t xml:space="preserve">cience and Pollution Research </w:t>
      </w:r>
      <w:r>
        <w:t>21, 6–</w:t>
      </w:r>
      <w:r w:rsidRPr="002F728A">
        <w:t>16.</w:t>
      </w:r>
    </w:p>
    <w:p w:rsidR="00BE58AB" w:rsidRPr="00DE3A05" w:rsidRDefault="00BE58AB" w:rsidP="00BE58AB">
      <w:pPr>
        <w:pStyle w:val="referencelist1"/>
        <w:rPr>
          <w:szCs w:val="24"/>
          <w:lang w:val="en-US"/>
        </w:rPr>
      </w:pPr>
      <w:r>
        <w:rPr>
          <w:szCs w:val="24"/>
          <w:lang w:val="en-US"/>
        </w:rPr>
        <w:t>Sim A, Thomsen KJ, Murray</w:t>
      </w:r>
      <w:r w:rsidRPr="00473948">
        <w:rPr>
          <w:szCs w:val="24"/>
          <w:lang w:val="en-US"/>
        </w:rPr>
        <w:t xml:space="preserve"> A</w:t>
      </w:r>
      <w:r w:rsidR="00A15089">
        <w:rPr>
          <w:szCs w:val="24"/>
          <w:lang w:val="en-US"/>
        </w:rPr>
        <w:t>S, Jacobsen G, Drysdale R &amp;</w:t>
      </w:r>
      <w:r>
        <w:rPr>
          <w:szCs w:val="24"/>
          <w:lang w:val="en-US"/>
        </w:rPr>
        <w:t xml:space="preserve"> Erskine WD</w:t>
      </w:r>
      <w:r w:rsidRPr="00473948">
        <w:rPr>
          <w:szCs w:val="24"/>
          <w:lang w:val="en-US"/>
        </w:rPr>
        <w:t xml:space="preserve">, 2014. </w:t>
      </w:r>
      <w:proofErr w:type="gramStart"/>
      <w:r w:rsidRPr="00473948">
        <w:rPr>
          <w:szCs w:val="24"/>
          <w:lang w:val="en-US"/>
        </w:rPr>
        <w:t>Dating recent floodplain sediments in the Hawkesbury-Nepean River system using single grain OSL.</w:t>
      </w:r>
      <w:proofErr w:type="gramEnd"/>
      <w:r w:rsidRPr="00473948">
        <w:rPr>
          <w:szCs w:val="24"/>
          <w:lang w:val="en-US"/>
        </w:rPr>
        <w:t xml:space="preserve"> </w:t>
      </w:r>
      <w:r w:rsidRPr="00473948">
        <w:rPr>
          <w:i/>
          <w:szCs w:val="24"/>
          <w:lang w:val="en-US"/>
        </w:rPr>
        <w:t>Boreas</w:t>
      </w:r>
      <w:r w:rsidRPr="00473948">
        <w:rPr>
          <w:szCs w:val="24"/>
          <w:lang w:val="en-US"/>
        </w:rPr>
        <w:t xml:space="preserve"> 43, 1</w:t>
      </w:r>
      <w:r>
        <w:rPr>
          <w:szCs w:val="24"/>
          <w:lang w:val="en-US"/>
        </w:rPr>
        <w:t>–</w:t>
      </w:r>
      <w:r w:rsidRPr="00473948">
        <w:rPr>
          <w:szCs w:val="24"/>
          <w:lang w:val="en-US"/>
        </w:rPr>
        <w:t>21</w:t>
      </w:r>
      <w:r>
        <w:rPr>
          <w:szCs w:val="24"/>
          <w:lang w:val="en-US"/>
        </w:rPr>
        <w:t>.</w:t>
      </w:r>
    </w:p>
    <w:p w:rsidR="00BE58AB" w:rsidRDefault="00BE58AB" w:rsidP="00BE58AB">
      <w:pPr>
        <w:pStyle w:val="referencelist1"/>
      </w:pPr>
      <w:r w:rsidRPr="002F728A">
        <w:t>Sinclair A, Tayler K, van Dam R</w:t>
      </w:r>
      <w:r>
        <w:t xml:space="preserve"> &amp;</w:t>
      </w:r>
      <w:r w:rsidRPr="002F728A">
        <w:t xml:space="preserve"> Hogan </w:t>
      </w:r>
      <w:proofErr w:type="gramStart"/>
      <w:r w:rsidRPr="002F728A">
        <w:t>A</w:t>
      </w:r>
      <w:proofErr w:type="gramEnd"/>
      <w:r w:rsidRPr="002F728A">
        <w:t xml:space="preserve"> 2014. Site-specific water quality guidelines: 2. Development of a water quality regulation framework for pulse exposures of mine water discharges at </w:t>
      </w:r>
      <w:proofErr w:type="gramStart"/>
      <w:r w:rsidRPr="002F728A">
        <w:t>a uranium</w:t>
      </w:r>
      <w:proofErr w:type="gramEnd"/>
      <w:r w:rsidRPr="002F728A">
        <w:t xml:space="preserve"> mine in northern Australia. </w:t>
      </w:r>
      <w:r w:rsidRPr="00A10056">
        <w:rPr>
          <w:i/>
        </w:rPr>
        <w:t xml:space="preserve">Environmental Science and Pollution Research </w:t>
      </w:r>
      <w:r w:rsidRPr="002F728A">
        <w:t>21, 131–140.</w:t>
      </w:r>
    </w:p>
    <w:p w:rsidR="00BE58AB" w:rsidRPr="002F728A" w:rsidRDefault="00BE58AB" w:rsidP="00BE58AB">
      <w:pPr>
        <w:pStyle w:val="referencelist1"/>
      </w:pPr>
      <w:proofErr w:type="gramStart"/>
      <w:r w:rsidRPr="007405C4">
        <w:t>va</w:t>
      </w:r>
      <w:r w:rsidR="00A15089">
        <w:t>n</w:t>
      </w:r>
      <w:proofErr w:type="gramEnd"/>
      <w:r w:rsidR="00A15089">
        <w:t xml:space="preserve"> Dam RA, Harford AJ, Lunn S &amp;</w:t>
      </w:r>
      <w:r w:rsidRPr="007405C4">
        <w:t xml:space="preserve"> Gagnon MM 2014</w:t>
      </w:r>
      <w:r>
        <w:t>.</w:t>
      </w:r>
      <w:r w:rsidRPr="007405C4">
        <w:t xml:space="preserve"> Identifying the cause of toxicity in a saline mine water. </w:t>
      </w:r>
      <w:proofErr w:type="gramStart"/>
      <w:r w:rsidRPr="00A73935">
        <w:rPr>
          <w:i/>
        </w:rPr>
        <w:t xml:space="preserve">PLoS </w:t>
      </w:r>
      <w:r>
        <w:rPr>
          <w:i/>
        </w:rPr>
        <w:t>ONE</w:t>
      </w:r>
      <w:r w:rsidRPr="007405C4">
        <w:t xml:space="preserve"> 9(9) e106857.</w:t>
      </w:r>
      <w:proofErr w:type="gramEnd"/>
    </w:p>
    <w:p w:rsidR="00BE58AB" w:rsidRPr="002F728A" w:rsidRDefault="00BE58AB" w:rsidP="00BE58AB">
      <w:pPr>
        <w:pStyle w:val="referencelist1"/>
      </w:pPr>
      <w:proofErr w:type="gramStart"/>
      <w:r w:rsidRPr="002F728A">
        <w:t>van</w:t>
      </w:r>
      <w:proofErr w:type="gramEnd"/>
      <w:r w:rsidRPr="002F728A">
        <w:t xml:space="preserve"> Dam RA, Humphrey CL, Harford AJ, Sinclair A, Jones DR, Davies S</w:t>
      </w:r>
      <w:r>
        <w:t xml:space="preserve"> &amp;</w:t>
      </w:r>
      <w:r w:rsidRPr="002F728A">
        <w:t xml:space="preserve"> Storey AW 2013. Site-specific water quality guidelines: 1. Derivation approaches based on physico-chemical, ecotoxicological and ecological data. </w:t>
      </w:r>
      <w:r w:rsidRPr="002F728A">
        <w:rPr>
          <w:i/>
        </w:rPr>
        <w:t>Environmental Science and Pollution Research</w:t>
      </w:r>
      <w:r>
        <w:t xml:space="preserve"> 21, 118–</w:t>
      </w:r>
      <w:r w:rsidRPr="002F728A">
        <w:t>130.</w:t>
      </w:r>
    </w:p>
    <w:p w:rsidR="00BE58AB" w:rsidRDefault="00BE58AB" w:rsidP="00BE58AB">
      <w:pPr>
        <w:pStyle w:val="referencelist1"/>
      </w:pPr>
      <w:r w:rsidRPr="002F728A">
        <w:t xml:space="preserve">Warne MStJ, Batley GE, Braga O, Chapman JC, Fox DR, Hickey CW, Stauber JL, </w:t>
      </w:r>
      <w:r>
        <w:t>&amp;</w:t>
      </w:r>
      <w:r w:rsidRPr="002F728A">
        <w:t xml:space="preserve"> van Dam R 2013. </w:t>
      </w:r>
      <w:proofErr w:type="gramStart"/>
      <w:r w:rsidRPr="002F728A">
        <w:t>Revisions to the derivation of the Australian and New Zealand guidelines for toxicants in fresh and marine waters.</w:t>
      </w:r>
      <w:proofErr w:type="gramEnd"/>
      <w:r w:rsidRPr="002F728A">
        <w:t xml:space="preserve"> </w:t>
      </w:r>
      <w:r w:rsidRPr="00A10056">
        <w:rPr>
          <w:i/>
        </w:rPr>
        <w:t>Environmental Science and Pollution Research</w:t>
      </w:r>
      <w:r>
        <w:t xml:space="preserve"> 21, 51–</w:t>
      </w:r>
      <w:r w:rsidRPr="002F728A">
        <w:t>60.</w:t>
      </w:r>
    </w:p>
    <w:p w:rsidR="00BE58AB" w:rsidRDefault="00BE58AB" w:rsidP="00BE58AB">
      <w:pPr>
        <w:pStyle w:val="referencelist1"/>
      </w:pPr>
      <w:proofErr w:type="gramStart"/>
      <w:r w:rsidRPr="002F728A">
        <w:t>Whiteside T &amp; Bartolo R 2014.</w:t>
      </w:r>
      <w:proofErr w:type="gramEnd"/>
      <w:r w:rsidRPr="002F728A">
        <w:t xml:space="preserve"> </w:t>
      </w:r>
      <w:proofErr w:type="gramStart"/>
      <w:r w:rsidRPr="002F728A">
        <w:t>Object-based analysis of interannual variation within RAMSAR wetlands using time-series WorldView-2 multispectral imagery.</w:t>
      </w:r>
      <w:proofErr w:type="gramEnd"/>
      <w:r w:rsidRPr="002F728A">
        <w:t xml:space="preserve"> South-Eastern European </w:t>
      </w:r>
      <w:r w:rsidRPr="00A10056">
        <w:rPr>
          <w:i/>
        </w:rPr>
        <w:t>Journal of Earth Observation and Geomatics</w:t>
      </w:r>
      <w:r w:rsidRPr="002F728A">
        <w:t xml:space="preserve"> 3(2S), 753–756.</w:t>
      </w:r>
    </w:p>
    <w:p w:rsidR="00BE58AB" w:rsidRPr="002F728A" w:rsidRDefault="00BE58AB" w:rsidP="00BE58AB">
      <w:pPr>
        <w:pStyle w:val="referencelist1"/>
      </w:pPr>
      <w:proofErr w:type="gramStart"/>
      <w:r w:rsidRPr="002F728A">
        <w:t>Whiteside TG, Maier SW &amp; Boggs GS 2014.</w:t>
      </w:r>
      <w:proofErr w:type="gramEnd"/>
      <w:r w:rsidRPr="002F728A">
        <w:t xml:space="preserve"> Area-based and location-based validation of classified image objects. </w:t>
      </w:r>
      <w:r w:rsidRPr="002F728A">
        <w:rPr>
          <w:i/>
        </w:rPr>
        <w:t xml:space="preserve">International Journal of Applied Earth Observation and Geoinformation </w:t>
      </w:r>
      <w:r w:rsidRPr="002F728A">
        <w:t>28, 117–130.</w:t>
      </w:r>
    </w:p>
    <w:p w:rsidR="00BE58AB" w:rsidRPr="002F728A" w:rsidRDefault="00BE58AB" w:rsidP="00BE58AB">
      <w:pPr>
        <w:pStyle w:val="referencelist1"/>
      </w:pPr>
      <w:r w:rsidRPr="002F728A">
        <w:t xml:space="preserve">Whiteside T, Bartolo, R, Erskine, P &amp; Fletcher </w:t>
      </w:r>
      <w:proofErr w:type="gramStart"/>
      <w:r w:rsidRPr="002F728A">
        <w:t>A</w:t>
      </w:r>
      <w:proofErr w:type="gramEnd"/>
      <w:r w:rsidRPr="002F728A">
        <w:t xml:space="preserve"> 2014. Object-based characterisation of reference sites for mine site closure using hyperspatial multispectral UAV imagery. </w:t>
      </w:r>
      <w:r w:rsidRPr="00381BF0">
        <w:rPr>
          <w:i/>
        </w:rPr>
        <w:t>South-Eastern European Journal of Earth Observation and Geomatics</w:t>
      </w:r>
      <w:r w:rsidRPr="002F728A">
        <w:t>, 3(2S), 119–123.</w:t>
      </w:r>
    </w:p>
    <w:p w:rsidR="00BE58AB" w:rsidRPr="00D56045" w:rsidRDefault="00BE58AB" w:rsidP="00BE58AB"/>
    <w:p w:rsidR="00BE58AB" w:rsidRPr="00863FB3" w:rsidRDefault="00BE58AB" w:rsidP="00BE58AB">
      <w:pPr>
        <w:pStyle w:val="Heading2"/>
      </w:pPr>
      <w:r w:rsidRPr="009D6B1E">
        <w:t>Conference papers</w:t>
      </w:r>
      <w:r>
        <w:t xml:space="preserve"> and presentations</w:t>
      </w:r>
      <w:r w:rsidRPr="009D6B1E">
        <w:t xml:space="preserve"> </w:t>
      </w:r>
    </w:p>
    <w:p w:rsidR="00BE58AB" w:rsidRDefault="00BE58AB" w:rsidP="00BE58AB">
      <w:pPr>
        <w:pStyle w:val="referencelist1"/>
      </w:pPr>
      <w:proofErr w:type="gramStart"/>
      <w:r w:rsidRPr="00381BF0">
        <w:t>Bartolo, R, Whiteside T, Erskine, P, Fletcher, A &amp; Doshi, A. 2014.</w:t>
      </w:r>
      <w:proofErr w:type="gramEnd"/>
      <w:r w:rsidRPr="00381BF0">
        <w:t xml:space="preserve"> </w:t>
      </w:r>
      <w:proofErr w:type="gramStart"/>
      <w:r w:rsidRPr="00381BF0">
        <w:t>Utility of unmanned aerial systems for environmental monitoring of wetlands.</w:t>
      </w:r>
      <w:proofErr w:type="gramEnd"/>
      <w:r w:rsidRPr="00381BF0">
        <w:t xml:space="preserve"> Paper presented at ASFB &amp; ASL Congress, 30 June–3 July 2014, Darwin Australia.</w:t>
      </w:r>
    </w:p>
    <w:p w:rsidR="00BE58AB" w:rsidRPr="00DB40A1" w:rsidRDefault="00BE58AB" w:rsidP="00BE58AB">
      <w:pPr>
        <w:pStyle w:val="referencelist1"/>
        <w:rPr>
          <w:lang w:val="es-ES_tradnl"/>
        </w:rPr>
      </w:pPr>
      <w:r w:rsidRPr="009C4CFF">
        <w:rPr>
          <w:lang w:val="es-ES_tradnl"/>
        </w:rPr>
        <w:t>Bollhöfer, A 2014. The South Pacific Environmental Radioactivity Association (SPERA). Paper presented at the International Union o</w:t>
      </w:r>
      <w:r>
        <w:rPr>
          <w:lang w:val="es-ES_tradnl"/>
        </w:rPr>
        <w:t>f</w:t>
      </w:r>
      <w:r w:rsidRPr="009C4CFF">
        <w:rPr>
          <w:lang w:val="es-ES_tradnl"/>
        </w:rPr>
        <w:t xml:space="preserve"> Radioecology (IUR) International Workshop on Worldwide Harmonization of Radioecology Networks. La Baume, Aix en Provence, France, June 2014.</w:t>
      </w:r>
    </w:p>
    <w:p w:rsidR="00BE58AB" w:rsidRDefault="00BE58AB" w:rsidP="00BE58AB">
      <w:pPr>
        <w:pStyle w:val="referencelist1"/>
      </w:pPr>
      <w:proofErr w:type="gramStart"/>
      <w:r w:rsidRPr="00367608">
        <w:t>Chandler L, Humphrey C &amp; George A 2014.</w:t>
      </w:r>
      <w:proofErr w:type="gramEnd"/>
      <w:r w:rsidRPr="00367608">
        <w:t xml:space="preserve"> </w:t>
      </w:r>
      <w:proofErr w:type="gramStart"/>
      <w:r w:rsidRPr="00367608">
        <w:t>Examination of sampling processing methods for macroinvertebrate community monitoring in tropical shallow billabongs.</w:t>
      </w:r>
      <w:proofErr w:type="gramEnd"/>
      <w:r w:rsidRPr="00367608">
        <w:t xml:space="preserve"> Paper presented at ASFB &amp; ASL Congress, 30 June–3 July 2014, Darwin Australia.</w:t>
      </w:r>
    </w:p>
    <w:p w:rsidR="00BE58AB" w:rsidRPr="00381BF0" w:rsidRDefault="00BE58AB" w:rsidP="00BE58AB">
      <w:pPr>
        <w:pStyle w:val="referencelist1"/>
      </w:pPr>
      <w:proofErr w:type="gramStart"/>
      <w:r w:rsidRPr="00381BF0">
        <w:t>Erskine, W, Saynor, MJ, Turner, K, Whiteside, T &amp; Evans, K 2014.</w:t>
      </w:r>
      <w:proofErr w:type="gramEnd"/>
      <w:r w:rsidRPr="00381BF0">
        <w:t xml:space="preserve"> How efficient is wetland vegetation at tapping suspended sediment and bedload on Magela Creek in northern Australia? Paper presented at </w:t>
      </w:r>
      <w:r w:rsidRPr="00DF1444">
        <w:t>ASFB &amp; ASL Congress</w:t>
      </w:r>
      <w:r w:rsidRPr="00381BF0">
        <w:t>, 30 June–3 July 2014, Darwin Australia.</w:t>
      </w:r>
    </w:p>
    <w:p w:rsidR="00BE58AB" w:rsidRPr="00DF1444" w:rsidRDefault="00BE58AB" w:rsidP="00BE58AB">
      <w:pPr>
        <w:pStyle w:val="referencelist1"/>
        <w:rPr>
          <w:szCs w:val="24"/>
        </w:rPr>
      </w:pPr>
      <w:r w:rsidRPr="00DF1444">
        <w:rPr>
          <w:rFonts w:cs="Arial"/>
          <w:szCs w:val="24"/>
        </w:rPr>
        <w:t xml:space="preserve">Erskine WD, Saynor MJ, Turner K, Whiteside T, Boyden JM &amp; Evans KG 2014. </w:t>
      </w:r>
      <w:proofErr w:type="gramStart"/>
      <w:r w:rsidRPr="00DF1444">
        <w:rPr>
          <w:rStyle w:val="publication-title3"/>
          <w:rFonts w:cs="Helvetica"/>
          <w:szCs w:val="24"/>
        </w:rPr>
        <w:t>Suspended sediment and bedload discontinuities along Magela Creek, northern Australia</w:t>
      </w:r>
      <w:r w:rsidRPr="00DF1444">
        <w:rPr>
          <w:szCs w:val="24"/>
        </w:rPr>
        <w:t>.</w:t>
      </w:r>
      <w:proofErr w:type="gramEnd"/>
      <w:r w:rsidRPr="00DF1444">
        <w:rPr>
          <w:szCs w:val="24"/>
        </w:rPr>
        <w:t xml:space="preserve"> Paper presented at 7</w:t>
      </w:r>
      <w:r w:rsidRPr="00DF1444">
        <w:rPr>
          <w:szCs w:val="24"/>
          <w:vertAlign w:val="superscript"/>
        </w:rPr>
        <w:t>th</w:t>
      </w:r>
      <w:r w:rsidRPr="00DF1444">
        <w:rPr>
          <w:szCs w:val="24"/>
        </w:rPr>
        <w:t xml:space="preserve"> Australian Stream Management </w:t>
      </w:r>
      <w:r w:rsidR="002A08DE" w:rsidRPr="00DF1444">
        <w:rPr>
          <w:szCs w:val="24"/>
        </w:rPr>
        <w:t>Conference</w:t>
      </w:r>
      <w:r w:rsidRPr="00DF1444">
        <w:rPr>
          <w:szCs w:val="24"/>
        </w:rPr>
        <w:t>, 28</w:t>
      </w:r>
      <w:r>
        <w:rPr>
          <w:szCs w:val="24"/>
        </w:rPr>
        <w:t>–</w:t>
      </w:r>
      <w:r w:rsidRPr="00DF1444">
        <w:rPr>
          <w:szCs w:val="24"/>
        </w:rPr>
        <w:t>30 July, Townsville, Australia.</w:t>
      </w:r>
    </w:p>
    <w:p w:rsidR="00BE58AB" w:rsidRPr="00367608" w:rsidRDefault="00BE58AB" w:rsidP="00BE58AB">
      <w:pPr>
        <w:pStyle w:val="referencelist1"/>
      </w:pPr>
      <w:proofErr w:type="gramStart"/>
      <w:r w:rsidRPr="00367608">
        <w:t>George A &amp; Humphrey C 2013.</w:t>
      </w:r>
      <w:proofErr w:type="gramEnd"/>
      <w:r w:rsidRPr="00367608">
        <w:t xml:space="preserve"> </w:t>
      </w:r>
      <w:proofErr w:type="gramStart"/>
      <w:r w:rsidRPr="00367608">
        <w:t>Developing turbidity closure criteria for receiving surface waters at Ranger minesite.</w:t>
      </w:r>
      <w:proofErr w:type="gramEnd"/>
      <w:r w:rsidRPr="00367608">
        <w:t xml:space="preserve"> Paper presented at 52</w:t>
      </w:r>
      <w:r w:rsidRPr="00740FC1">
        <w:rPr>
          <w:vertAlign w:val="superscript"/>
        </w:rPr>
        <w:t>nd</w:t>
      </w:r>
      <w:r w:rsidRPr="00367608">
        <w:t xml:space="preserve"> Annual Congress of Australian Society for Limnology, 2–5 Dec 2013, Canberra Australia.</w:t>
      </w:r>
    </w:p>
    <w:p w:rsidR="00BE58AB" w:rsidRDefault="00BE58AB" w:rsidP="00BE58AB">
      <w:pPr>
        <w:pStyle w:val="referencelist1"/>
      </w:pPr>
      <w:proofErr w:type="gramStart"/>
      <w:r w:rsidRPr="00367608">
        <w:t>George A, Ba</w:t>
      </w:r>
      <w:r>
        <w:t>rtolo R, Humphrey C &amp; Harford A</w:t>
      </w:r>
      <w:r w:rsidRPr="00367608">
        <w:t xml:space="preserve"> 2014.</w:t>
      </w:r>
      <w:proofErr w:type="gramEnd"/>
      <w:r w:rsidRPr="00367608">
        <w:t xml:space="preserve"> Defining ecosystem processes for rehabilitation of Ranger uranium mine (NT). Paper presented at ASFB &amp; ASL Congress, 30 June–3 July 2014, Darwin Australia.</w:t>
      </w:r>
    </w:p>
    <w:p w:rsidR="00BE58AB" w:rsidRPr="00367608" w:rsidRDefault="00BE58AB" w:rsidP="00BE58AB">
      <w:pPr>
        <w:pStyle w:val="referencelist1"/>
      </w:pPr>
      <w:proofErr w:type="gramStart"/>
      <w:r w:rsidRPr="00367608">
        <w:t>Humphrey C &amp; Ellis M 2014.</w:t>
      </w:r>
      <w:proofErr w:type="gramEnd"/>
      <w:r w:rsidRPr="00367608">
        <w:t xml:space="preserve"> Toxicity monitoring of water quality using the freshwater snail, </w:t>
      </w:r>
      <w:r w:rsidRPr="00740FC1">
        <w:rPr>
          <w:i/>
        </w:rPr>
        <w:t>Amerianna cumingi</w:t>
      </w:r>
      <w:r w:rsidRPr="00367608">
        <w:t>: Investigative studies used to improve annual interpretation of wet season results. Paper presented at ASFB &amp; ASL Congress, 30 June–3 July 2014, Darwin Australia.</w:t>
      </w:r>
      <w:r>
        <w:t xml:space="preserve"> </w:t>
      </w:r>
    </w:p>
    <w:p w:rsidR="00BE58AB" w:rsidRPr="00367608" w:rsidRDefault="00BE58AB" w:rsidP="00BE58AB">
      <w:pPr>
        <w:pStyle w:val="referencelist1"/>
      </w:pPr>
      <w:r>
        <w:t xml:space="preserve">Lowry J, Hancock G &amp; Coulthard T 2014. </w:t>
      </w:r>
      <w:proofErr w:type="gramStart"/>
      <w:r>
        <w:t xml:space="preserve">Using the </w:t>
      </w:r>
      <w:r w:rsidRPr="00C54599">
        <w:rPr>
          <w:i/>
        </w:rPr>
        <w:t>CAESAR-Lisflood</w:t>
      </w:r>
      <w:r>
        <w:t xml:space="preserve"> and SIBERIA landform evolution models to assess the evolution of a post-mining landscape at millennial time scales.</w:t>
      </w:r>
      <w:proofErr w:type="gramEnd"/>
      <w:r>
        <w:t xml:space="preserve"> Paper presented at European Geosciences Union General Assembly 2014, 27 April – 2 May 2014, Vienna Austria. </w:t>
      </w:r>
    </w:p>
    <w:p w:rsidR="00BE58AB" w:rsidRDefault="00BE58AB" w:rsidP="00BE58AB">
      <w:pPr>
        <w:pStyle w:val="referencelist1"/>
      </w:pPr>
      <w:proofErr w:type="gramStart"/>
      <w:r w:rsidRPr="00367608">
        <w:t>Medley P 2014.</w:t>
      </w:r>
      <w:proofErr w:type="gramEnd"/>
      <w:r w:rsidRPr="00367608">
        <w:t xml:space="preserve"> </w:t>
      </w:r>
      <w:proofErr w:type="gramStart"/>
      <w:r w:rsidRPr="00367608">
        <w:t>Optimising a method for low-level analysis of 210Pb via Liquid Scintillation Counting.</w:t>
      </w:r>
      <w:proofErr w:type="gramEnd"/>
      <w:r w:rsidRPr="00367608">
        <w:t xml:space="preserve"> Paper presented at the 17</w:t>
      </w:r>
      <w:r w:rsidRPr="00141E11">
        <w:rPr>
          <w:vertAlign w:val="superscript"/>
        </w:rPr>
        <w:t>th</w:t>
      </w:r>
      <w:r w:rsidRPr="00367608">
        <w:t xml:space="preserve"> Radiochemical Conference, 11–16 May, Mariánské Lázně, Czech Republic.</w:t>
      </w:r>
    </w:p>
    <w:p w:rsidR="00BE58AB" w:rsidRPr="006B6A83" w:rsidRDefault="00BE58AB" w:rsidP="00BE58AB">
      <w:pPr>
        <w:pStyle w:val="referencelist1"/>
        <w:rPr>
          <w:szCs w:val="24"/>
          <w:lang w:val="en-US"/>
        </w:rPr>
      </w:pPr>
      <w:r w:rsidRPr="005901BA">
        <w:rPr>
          <w:szCs w:val="24"/>
          <w:lang w:val="en-US"/>
        </w:rPr>
        <w:t>Saynor MJ &amp; Erskine WD 2014 Downstream Changes in river reaches from the catchment to the sea in the East Alligator River Basin, Northern Australia. Paper submitted to 7</w:t>
      </w:r>
      <w:r w:rsidRPr="005901BA">
        <w:rPr>
          <w:szCs w:val="24"/>
          <w:vertAlign w:val="superscript"/>
          <w:lang w:val="en-US"/>
        </w:rPr>
        <w:t>th</w:t>
      </w:r>
      <w:r w:rsidRPr="005901BA">
        <w:rPr>
          <w:szCs w:val="24"/>
          <w:lang w:val="en-US"/>
        </w:rPr>
        <w:t xml:space="preserve"> Australian Stream Management Conference, 27</w:t>
      </w:r>
      <w:r>
        <w:rPr>
          <w:szCs w:val="24"/>
          <w:lang w:val="en-US"/>
        </w:rPr>
        <w:t>–</w:t>
      </w:r>
      <w:r w:rsidRPr="005901BA">
        <w:rPr>
          <w:szCs w:val="24"/>
          <w:lang w:val="en-US"/>
        </w:rPr>
        <w:t>30 July 2014 Townsville.</w:t>
      </w:r>
    </w:p>
    <w:p w:rsidR="00BE58AB" w:rsidRDefault="00BE58AB" w:rsidP="00BE58AB">
      <w:pPr>
        <w:pStyle w:val="referencelist1"/>
      </w:pPr>
      <w:r w:rsidRPr="00367608">
        <w:t xml:space="preserve">Sinclair A, Tayler K, van Dam R &amp; Hogan </w:t>
      </w:r>
      <w:proofErr w:type="gramStart"/>
      <w:r w:rsidRPr="00367608">
        <w:t>A</w:t>
      </w:r>
      <w:proofErr w:type="gramEnd"/>
      <w:r w:rsidRPr="00367608">
        <w:t xml:space="preserve"> 2013. From leading practice technology to regulation – the development of a framework for regulating short-term pulse exposures to mine water. Paper presented at 12</w:t>
      </w:r>
      <w:r w:rsidRPr="00740FC1">
        <w:rPr>
          <w:vertAlign w:val="superscript"/>
        </w:rPr>
        <w:t>th</w:t>
      </w:r>
      <w:r w:rsidRPr="00367608">
        <w:t xml:space="preserve"> Australia Institute of Mining and </w:t>
      </w:r>
      <w:proofErr w:type="gramStart"/>
      <w:r w:rsidRPr="00367608">
        <w:t>Metallurgy  (</w:t>
      </w:r>
      <w:proofErr w:type="gramEnd"/>
      <w:r w:rsidRPr="00367608">
        <w:t>AUSIMM) International Uranium conference, 11–12 June 2013, Darwin Australia.</w:t>
      </w:r>
    </w:p>
    <w:p w:rsidR="00BE58AB" w:rsidRPr="00367608" w:rsidRDefault="00BE58AB" w:rsidP="00BE58AB">
      <w:pPr>
        <w:pStyle w:val="referencelist1"/>
      </w:pPr>
      <w:proofErr w:type="gramStart"/>
      <w:r>
        <w:t xml:space="preserve">Whiteside T &amp; Bartolo R </w:t>
      </w:r>
      <w:r w:rsidRPr="00367608">
        <w:t>2014.</w:t>
      </w:r>
      <w:proofErr w:type="gramEnd"/>
      <w:r w:rsidRPr="00367608">
        <w:t xml:space="preserve"> </w:t>
      </w:r>
      <w:proofErr w:type="gramStart"/>
      <w:r w:rsidRPr="00367608">
        <w:t>Object-based analysis of interannual variation within RAMSAR wetlands using time-series WorldView-2 multispectral imagery.</w:t>
      </w:r>
      <w:proofErr w:type="gramEnd"/>
      <w:r w:rsidRPr="00367608">
        <w:t xml:space="preserve"> Paper presented at GEOBIA 2014: 5</w:t>
      </w:r>
      <w:r w:rsidRPr="00740FC1">
        <w:rPr>
          <w:vertAlign w:val="superscript"/>
        </w:rPr>
        <w:t>th</w:t>
      </w:r>
      <w:r w:rsidRPr="00367608">
        <w:t xml:space="preserve"> International Conference of Geographic Object -based Image Analysis, 21–24 May 2014</w:t>
      </w:r>
      <w:proofErr w:type="gramStart"/>
      <w:r w:rsidRPr="00367608">
        <w:t>,Thessaloniki</w:t>
      </w:r>
      <w:proofErr w:type="gramEnd"/>
      <w:r w:rsidRPr="00367608">
        <w:t>, Greece.</w:t>
      </w:r>
    </w:p>
    <w:p w:rsidR="00BE58AB" w:rsidRDefault="00BE58AB" w:rsidP="00BE58AB">
      <w:pPr>
        <w:pStyle w:val="referencelist1"/>
      </w:pPr>
      <w:r>
        <w:t>Whiteside T, Bartolo R, Erskine</w:t>
      </w:r>
      <w:r w:rsidRPr="00367608">
        <w:t xml:space="preserve"> P &amp; Fletcher, </w:t>
      </w:r>
      <w:proofErr w:type="gramStart"/>
      <w:r w:rsidRPr="00367608">
        <w:t>A</w:t>
      </w:r>
      <w:proofErr w:type="gramEnd"/>
      <w:r w:rsidRPr="00367608">
        <w:t xml:space="preserve"> 2014. Object-based characterisation of reference sites for mine site closure using hyperspatial multispectral UAV imagery. Paper presented at GEOBIA 2014: 5</w:t>
      </w:r>
      <w:r w:rsidRPr="00740FC1">
        <w:rPr>
          <w:vertAlign w:val="superscript"/>
        </w:rPr>
        <w:t>th</w:t>
      </w:r>
      <w:r w:rsidRPr="00367608">
        <w:t xml:space="preserve"> International Conference of Geographic Object-based Image Analysis, 21–24 May 2014</w:t>
      </w:r>
      <w:proofErr w:type="gramStart"/>
      <w:r w:rsidRPr="00367608">
        <w:t>,Thessaloniki</w:t>
      </w:r>
      <w:proofErr w:type="gramEnd"/>
      <w:r w:rsidRPr="00367608">
        <w:t>, Greece.</w:t>
      </w:r>
    </w:p>
    <w:p w:rsidR="00BE58AB" w:rsidRPr="00D56045" w:rsidRDefault="00BE58AB" w:rsidP="00BE58AB">
      <w:pPr>
        <w:pStyle w:val="referencelist1"/>
      </w:pPr>
      <w:r w:rsidRPr="00381BF0">
        <w:t>Whiteside T &amp; Bartolo R</w:t>
      </w:r>
      <w:proofErr w:type="gramStart"/>
      <w:r w:rsidRPr="00381BF0">
        <w:t>  2014</w:t>
      </w:r>
      <w:proofErr w:type="gramEnd"/>
      <w:r w:rsidRPr="00381BF0">
        <w:t>. Quantifying changes in tropical wetland vegetation using time series high resolution satellite imagery. Paper presented at ASFB &amp; ASL Congress, 30 June–3 July 2014, Darwin Australia.</w:t>
      </w:r>
    </w:p>
    <w:p w:rsidR="00BE58AB" w:rsidRDefault="00BE58AB" w:rsidP="00BE58AB">
      <w:pPr>
        <w:pStyle w:val="Heading2"/>
      </w:pPr>
      <w:r w:rsidRPr="00C80E60">
        <w:t>Books and external reports</w:t>
      </w:r>
    </w:p>
    <w:p w:rsidR="00BE58AB" w:rsidRDefault="00BE58AB" w:rsidP="00BE58AB">
      <w:pPr>
        <w:pStyle w:val="referencelist1"/>
        <w:rPr>
          <w:lang w:eastAsia="en-AU"/>
        </w:rPr>
      </w:pPr>
      <w:r>
        <w:rPr>
          <w:szCs w:val="24"/>
        </w:rPr>
        <w:t xml:space="preserve">Bollhöfer </w:t>
      </w:r>
      <w:proofErr w:type="gramStart"/>
      <w:r>
        <w:rPr>
          <w:szCs w:val="24"/>
        </w:rPr>
        <w:t>A</w:t>
      </w:r>
      <w:proofErr w:type="gramEnd"/>
      <w:r>
        <w:rPr>
          <w:szCs w:val="24"/>
        </w:rPr>
        <w:t xml:space="preserve"> &amp; Doering (in press) </w:t>
      </w:r>
      <w:r w:rsidRPr="00EC687D">
        <w:rPr>
          <w:i/>
          <w:lang w:eastAsia="en-AU"/>
        </w:rPr>
        <w:t>Wetlands and Human Health.</w:t>
      </w:r>
      <w:r>
        <w:rPr>
          <w:lang w:eastAsia="en-AU"/>
        </w:rPr>
        <w:t xml:space="preserve"> Box Case Study in Chapter 5: </w:t>
      </w:r>
      <w:r w:rsidRPr="00DF1444">
        <w:rPr>
          <w:lang w:eastAsia="en-AU"/>
        </w:rPr>
        <w:t>Wetland ecosystems and human exposures to pollutants and toxicants</w:t>
      </w:r>
      <w:r>
        <w:rPr>
          <w:i/>
          <w:lang w:eastAsia="en-AU"/>
        </w:rPr>
        <w:t>.</w:t>
      </w:r>
      <w:r>
        <w:rPr>
          <w:lang w:eastAsia="en-AU"/>
        </w:rPr>
        <w:t xml:space="preserve"> Finlayson CM, Horwitz P &amp; Weinstein P, (</w:t>
      </w:r>
      <w:proofErr w:type="gramStart"/>
      <w:r>
        <w:rPr>
          <w:lang w:eastAsia="en-AU"/>
        </w:rPr>
        <w:t>eds</w:t>
      </w:r>
      <w:proofErr w:type="gramEnd"/>
      <w:r>
        <w:rPr>
          <w:lang w:eastAsia="en-AU"/>
        </w:rPr>
        <w:t>), Springer Publishing.</w:t>
      </w:r>
    </w:p>
    <w:p w:rsidR="00BE58AB" w:rsidRPr="00997963" w:rsidRDefault="00BE58AB" w:rsidP="00BE58AB">
      <w:pPr>
        <w:pStyle w:val="referencelist1"/>
        <w:rPr>
          <w:szCs w:val="24"/>
          <w:lang w:val="en-US"/>
        </w:rPr>
      </w:pPr>
      <w:r w:rsidRPr="00997963">
        <w:rPr>
          <w:szCs w:val="24"/>
          <w:lang w:val="en-US"/>
        </w:rPr>
        <w:t>Lowry, J</w:t>
      </w:r>
      <w:proofErr w:type="gramStart"/>
      <w:r w:rsidRPr="00997963">
        <w:rPr>
          <w:szCs w:val="24"/>
          <w:lang w:val="en-US"/>
        </w:rPr>
        <w:t>,</w:t>
      </w:r>
      <w:r w:rsidRPr="00997963">
        <w:rPr>
          <w:rFonts w:ascii="Times New Roman" w:hAnsi="Times New Roman"/>
          <w:szCs w:val="24"/>
          <w:lang w:val="en-US"/>
        </w:rPr>
        <w:t> </w:t>
      </w:r>
      <w:proofErr w:type="gramEnd"/>
      <w:r w:rsidRPr="00997963">
        <w:rPr>
          <w:rFonts w:cs="Garamond"/>
          <w:szCs w:val="24"/>
          <w:lang w:val="en-US"/>
        </w:rPr>
        <w:t>Saynor, M,</w:t>
      </w:r>
      <w:r w:rsidRPr="00997963">
        <w:rPr>
          <w:rFonts w:ascii="Times New Roman" w:hAnsi="Times New Roman"/>
          <w:szCs w:val="24"/>
          <w:lang w:val="en-US"/>
        </w:rPr>
        <w:t> </w:t>
      </w:r>
      <w:r w:rsidR="00A15089">
        <w:rPr>
          <w:rFonts w:cs="Garamond"/>
          <w:szCs w:val="24"/>
          <w:lang w:val="en-US"/>
        </w:rPr>
        <w:t>Erskine, W, Coulthard, T &amp;</w:t>
      </w:r>
      <w:r w:rsidRPr="00997963">
        <w:rPr>
          <w:rFonts w:cs="Garamond"/>
          <w:szCs w:val="24"/>
          <w:lang w:val="en-US"/>
        </w:rPr>
        <w:t xml:space="preserve"> Hanc</w:t>
      </w:r>
      <w:r w:rsidRPr="00997963">
        <w:rPr>
          <w:szCs w:val="24"/>
          <w:lang w:val="en-US"/>
        </w:rPr>
        <w:t xml:space="preserve">ock, G, 2014. </w:t>
      </w:r>
      <w:proofErr w:type="gramStart"/>
      <w:r w:rsidRPr="00997963">
        <w:rPr>
          <w:szCs w:val="24"/>
          <w:lang w:val="en-US"/>
        </w:rPr>
        <w:t xml:space="preserve">A multi-year assessment of landform evolution model predictions for a trial rehabilitated landform, in </w:t>
      </w:r>
      <w:r w:rsidRPr="00997963">
        <w:rPr>
          <w:i/>
          <w:szCs w:val="24"/>
          <w:lang w:val="en-US"/>
        </w:rPr>
        <w:t>Proceedings: Life-of-Mine 2014</w:t>
      </w:r>
      <w:r>
        <w:rPr>
          <w:szCs w:val="24"/>
          <w:lang w:val="en-US"/>
        </w:rPr>
        <w:t xml:space="preserve">, </w:t>
      </w:r>
      <w:r w:rsidRPr="00997963">
        <w:rPr>
          <w:szCs w:val="24"/>
          <w:lang w:val="en-US"/>
        </w:rPr>
        <w:t>The Australasian Ins</w:t>
      </w:r>
      <w:r>
        <w:rPr>
          <w:szCs w:val="24"/>
          <w:lang w:val="en-US"/>
        </w:rPr>
        <w:t>titute of Mining and Metallurgy, Melbourne</w:t>
      </w:r>
      <w:r w:rsidRPr="00997963">
        <w:rPr>
          <w:szCs w:val="24"/>
          <w:lang w:val="en-US"/>
        </w:rPr>
        <w:t>.</w:t>
      </w:r>
      <w:proofErr w:type="gramEnd"/>
      <w:r w:rsidRPr="00997963">
        <w:rPr>
          <w:szCs w:val="24"/>
          <w:lang w:val="en-US"/>
        </w:rPr>
        <w:t xml:space="preserve"> </w:t>
      </w:r>
    </w:p>
    <w:p w:rsidR="00BE58AB" w:rsidRPr="001B0912" w:rsidRDefault="00BE58AB" w:rsidP="00BE58AB">
      <w:pPr>
        <w:pStyle w:val="referencelist1"/>
      </w:pPr>
      <w:proofErr w:type="gramStart"/>
      <w:r w:rsidRPr="00671570">
        <w:t>Supervising Scientist 2014.</w:t>
      </w:r>
      <w:proofErr w:type="gramEnd"/>
      <w:r w:rsidRPr="00671570">
        <w:t xml:space="preserve"> </w:t>
      </w:r>
      <w:r w:rsidRPr="00671570">
        <w:rPr>
          <w:i/>
        </w:rPr>
        <w:t>Interim Report:</w:t>
      </w:r>
      <w:r w:rsidRPr="00671570">
        <w:t xml:space="preserve"> </w:t>
      </w:r>
      <w:r w:rsidRPr="00671570">
        <w:rPr>
          <w:i/>
        </w:rPr>
        <w:t>Investigation into the environmental impacts of the leach tank failure at Ranger uranium mine, December 2013</w:t>
      </w:r>
      <w:r w:rsidRPr="00671570">
        <w:t>. Supervising Scientist Report 206, Supervising Scientist, Darwin NT.</w:t>
      </w:r>
      <w:r>
        <w:t xml:space="preserve"> </w:t>
      </w:r>
    </w:p>
    <w:p w:rsidR="00BE58AB" w:rsidRPr="001B0912" w:rsidRDefault="00BE58AB" w:rsidP="00BE58AB">
      <w:pPr>
        <w:pStyle w:val="referencelist1"/>
      </w:pPr>
      <w:proofErr w:type="gramStart"/>
      <w:r w:rsidRPr="00671570">
        <w:t>Supervising Scientist 2014.</w:t>
      </w:r>
      <w:proofErr w:type="gramEnd"/>
      <w:r w:rsidRPr="00671570">
        <w:t xml:space="preserve"> </w:t>
      </w:r>
      <w:proofErr w:type="gramStart"/>
      <w:r w:rsidRPr="00671570">
        <w:rPr>
          <w:i/>
        </w:rPr>
        <w:t>Investigation into the environmental impacts of the leach tank failure at Ranger uranium mine, December 2013</w:t>
      </w:r>
      <w:r w:rsidRPr="00671570">
        <w:t>.</w:t>
      </w:r>
      <w:proofErr w:type="gramEnd"/>
      <w:r w:rsidRPr="00671570">
        <w:t xml:space="preserve"> Supervising Scientist Report 20</w:t>
      </w:r>
      <w:r>
        <w:t>7</w:t>
      </w:r>
      <w:r w:rsidRPr="00671570">
        <w:t>, Supervising Scientist, Darwin NT.</w:t>
      </w:r>
      <w:r>
        <w:t xml:space="preserve"> </w:t>
      </w:r>
    </w:p>
    <w:p w:rsidR="00BE58AB" w:rsidRDefault="00BE58AB" w:rsidP="00BE58AB">
      <w:pPr>
        <w:pStyle w:val="referencelist1"/>
      </w:pPr>
      <w:proofErr w:type="gramStart"/>
      <w:r w:rsidRPr="00671570">
        <w:t>Supervising Scientist 2014.</w:t>
      </w:r>
      <w:proofErr w:type="gramEnd"/>
      <w:r w:rsidRPr="00671570">
        <w:t xml:space="preserve"> </w:t>
      </w:r>
      <w:proofErr w:type="gramStart"/>
      <w:r>
        <w:rPr>
          <w:i/>
        </w:rPr>
        <w:t>Annual report 2013–14.</w:t>
      </w:r>
      <w:proofErr w:type="gramEnd"/>
      <w:r w:rsidRPr="00671570">
        <w:t xml:space="preserve"> </w:t>
      </w:r>
      <w:proofErr w:type="gramStart"/>
      <w:r w:rsidRPr="00671570">
        <w:t>Supervising Scientist, Darwin NT.</w:t>
      </w:r>
      <w:r>
        <w:t xml:space="preserve"> </w:t>
      </w:r>
      <w:r w:rsidRPr="001B0912">
        <w:t>Supervising Scientist 2014.</w:t>
      </w:r>
      <w:proofErr w:type="gramEnd"/>
      <w:r w:rsidRPr="001B0912">
        <w:t xml:space="preserve"> </w:t>
      </w:r>
      <w:proofErr w:type="gramStart"/>
      <w:r w:rsidRPr="00A15089">
        <w:rPr>
          <w:rFonts w:ascii="Times New Roman" w:hAnsi="Times New Roman"/>
          <w:b/>
          <w:bCs/>
          <w:i/>
          <w:iCs/>
          <w:sz w:val="26"/>
          <w:szCs w:val="26"/>
        </w:rPr>
        <w:t>eriss</w:t>
      </w:r>
      <w:proofErr w:type="gramEnd"/>
      <w:r w:rsidRPr="00A15089">
        <w:rPr>
          <w:rFonts w:ascii="Times New Roman" w:hAnsi="Times New Roman"/>
          <w:b/>
          <w:bCs/>
          <w:i/>
          <w:iCs/>
          <w:sz w:val="26"/>
          <w:szCs w:val="26"/>
        </w:rPr>
        <w:t xml:space="preserve"> </w:t>
      </w:r>
      <w:r w:rsidRPr="001B0912">
        <w:rPr>
          <w:i/>
          <w:iCs/>
        </w:rPr>
        <w:t>research summary 2012–2013</w:t>
      </w:r>
      <w:r w:rsidRPr="001B0912">
        <w:t xml:space="preserve">. Supervising Scientist Report 205, Supervising Scientist, Darwin NT. </w:t>
      </w:r>
    </w:p>
    <w:p w:rsidR="00BE58AB" w:rsidRDefault="00BE58AB" w:rsidP="00BE58AB">
      <w:pPr>
        <w:pStyle w:val="referencelist1"/>
      </w:pPr>
      <w:proofErr w:type="gramStart"/>
      <w:r w:rsidRPr="00671570">
        <w:t>Supervising Scientist 2014.</w:t>
      </w:r>
      <w:proofErr w:type="gramEnd"/>
      <w:r w:rsidRPr="00671570">
        <w:t xml:space="preserve"> Interim Report: Investigation into the environmental impacts of the leach tank failure at Ranger uranium mine, December 2013. Supervising Scientist Report 206, Supervising Scientist, Darwin NT.</w:t>
      </w:r>
    </w:p>
    <w:p w:rsidR="00BE58AB" w:rsidRPr="001959A6" w:rsidRDefault="00BE58AB" w:rsidP="00BE58AB">
      <w:pPr>
        <w:pStyle w:val="referencelist1"/>
        <w:ind w:left="0" w:firstLine="0"/>
      </w:pPr>
    </w:p>
    <w:p w:rsidR="00BE58AB" w:rsidRDefault="00BE58AB" w:rsidP="00BE58AB">
      <w:pPr>
        <w:pStyle w:val="Heading2"/>
      </w:pPr>
      <w:r w:rsidRPr="00B26E77">
        <w:t>Internal reports</w:t>
      </w:r>
    </w:p>
    <w:p w:rsidR="00BE58AB" w:rsidRPr="008E41A2" w:rsidRDefault="00BE58AB" w:rsidP="00BE58AB">
      <w:pPr>
        <w:pStyle w:val="referencelist1"/>
      </w:pPr>
      <w:proofErr w:type="gramStart"/>
      <w:r>
        <w:t>Saynor M &amp; Erskine W 2014.</w:t>
      </w:r>
      <w:proofErr w:type="gramEnd"/>
      <w:r>
        <w:t xml:space="preserve"> </w:t>
      </w:r>
      <w:proofErr w:type="gramStart"/>
      <w:r>
        <w:t>Erosional and depositional effects of the 2007 extreme flood on the East Alligator River.</w:t>
      </w:r>
      <w:proofErr w:type="gramEnd"/>
      <w:r>
        <w:t xml:space="preserve"> </w:t>
      </w:r>
      <w:proofErr w:type="gramStart"/>
      <w:r>
        <w:t>Supervising Scientist Note, Supervising Scientist Division, Darwin, NT, Unpublished paper.</w:t>
      </w:r>
      <w:proofErr w:type="gramEnd"/>
    </w:p>
    <w:p w:rsidR="00BE58AB" w:rsidRDefault="00BE58AB" w:rsidP="00BE58AB">
      <w:pPr>
        <w:pStyle w:val="referencelist1"/>
      </w:pPr>
      <w:r>
        <w:t xml:space="preserve">Bartolo R, Parker S, Van Dam  RA, Bollhöfer A, Humphrey C &amp; Jones D 2013. Conceptual models of stressor pathways for the operational phase of Ranger Uranium Mine. </w:t>
      </w:r>
      <w:proofErr w:type="gramStart"/>
      <w:r>
        <w:t>Internal report 612, January 2013, Supervising Scientist Division, Darwin, Unpublished paper.</w:t>
      </w:r>
      <w:proofErr w:type="gramEnd"/>
    </w:p>
    <w:p w:rsidR="00BE58AB" w:rsidRPr="00E85569" w:rsidRDefault="00BE58AB" w:rsidP="00BE58AB">
      <w:pPr>
        <w:pStyle w:val="referencelist1"/>
      </w:pPr>
      <w:r>
        <w:t xml:space="preserve">Bollhöfer A, Beraldo A, Pfitzner  J, Esparon A &amp; Carr G 2013. </w:t>
      </w:r>
      <w:proofErr w:type="gramStart"/>
      <w:r>
        <w:t>Pre-mining radiological conditions in the Ranger Project Area.</w:t>
      </w:r>
      <w:proofErr w:type="gramEnd"/>
      <w:r>
        <w:t xml:space="preserve"> </w:t>
      </w:r>
      <w:proofErr w:type="gramStart"/>
      <w:r>
        <w:t xml:space="preserve">Internal report 616, </w:t>
      </w:r>
      <w:r w:rsidR="002A08DE">
        <w:t>February</w:t>
      </w:r>
      <w:r>
        <w:t>, Supervising Scientists, Darwin, Unpublished paper.</w:t>
      </w:r>
      <w:proofErr w:type="gramEnd"/>
    </w:p>
    <w:p w:rsidR="00BE58AB" w:rsidRPr="001B0912" w:rsidRDefault="00BE58AB" w:rsidP="00BE58AB">
      <w:pPr>
        <w:pStyle w:val="referencelist1"/>
      </w:pPr>
      <w:r w:rsidRPr="001B0912">
        <w:t xml:space="preserve">Harford AJ, Trenfield MA, Cheng KL &amp; van Dam RA 2014. </w:t>
      </w:r>
      <w:proofErr w:type="gramStart"/>
      <w:r w:rsidRPr="001B0912">
        <w:t>Ecotoxicological assessment of manganese.</w:t>
      </w:r>
      <w:proofErr w:type="gramEnd"/>
      <w:r w:rsidRPr="001B0912">
        <w:t xml:space="preserve"> </w:t>
      </w:r>
      <w:proofErr w:type="gramStart"/>
      <w:r w:rsidRPr="001B0912">
        <w:t>Internal Report 630, April, Supervising Scientist, Darwin</w:t>
      </w:r>
      <w:r>
        <w:t>, NT</w:t>
      </w:r>
      <w:r w:rsidRPr="001B0912">
        <w:t>.</w:t>
      </w:r>
      <w:proofErr w:type="gramEnd"/>
    </w:p>
    <w:p w:rsidR="00BE58AB" w:rsidRPr="001B0912" w:rsidRDefault="00BE58AB" w:rsidP="00BE58AB">
      <w:pPr>
        <w:pStyle w:val="referencelist1"/>
      </w:pPr>
      <w:proofErr w:type="gramStart"/>
      <w:r w:rsidRPr="001B0912">
        <w:t>Medley P 2013</w:t>
      </w:r>
      <w:r>
        <w:t xml:space="preserve"> (in press)</w:t>
      </w:r>
      <w:r w:rsidRPr="001B0912">
        <w:t>.</w:t>
      </w:r>
      <w:proofErr w:type="gramEnd"/>
      <w:r w:rsidRPr="001B0912">
        <w:t xml:space="preserve"> </w:t>
      </w:r>
      <w:proofErr w:type="gramStart"/>
      <w:r w:rsidRPr="001B0912">
        <w:t>Environmental Radioactivity Laboratory Manual.</w:t>
      </w:r>
      <w:proofErr w:type="gramEnd"/>
      <w:r w:rsidRPr="001B0912">
        <w:t xml:space="preserve"> Internal Report 581, Supervising Scientist. </w:t>
      </w:r>
    </w:p>
    <w:p w:rsidR="00BE58AB" w:rsidRDefault="00BE58AB" w:rsidP="00BE58AB">
      <w:pPr>
        <w:pStyle w:val="referencelist1"/>
      </w:pPr>
      <w:proofErr w:type="gramStart"/>
      <w:r w:rsidRPr="001B0912">
        <w:t>Pickup G 2014.</w:t>
      </w:r>
      <w:proofErr w:type="gramEnd"/>
      <w:r w:rsidRPr="001B0912">
        <w:t xml:space="preserve"> Review of the </w:t>
      </w:r>
      <w:r w:rsidRPr="00A15089">
        <w:rPr>
          <w:rFonts w:ascii="Times New Roman" w:hAnsi="Times New Roman"/>
          <w:b/>
          <w:bCs/>
          <w:i/>
          <w:iCs/>
          <w:sz w:val="26"/>
          <w:szCs w:val="26"/>
        </w:rPr>
        <w:t>eriss</w:t>
      </w:r>
      <w:r w:rsidRPr="00A15089">
        <w:rPr>
          <w:rFonts w:ascii="Times New Roman" w:hAnsi="Times New Roman"/>
          <w:sz w:val="26"/>
          <w:szCs w:val="26"/>
        </w:rPr>
        <w:t xml:space="preserve"> </w:t>
      </w:r>
      <w:r w:rsidRPr="001B0912">
        <w:t xml:space="preserve">Hydrologic, Geomorphic and Chemical Processes program with the </w:t>
      </w:r>
      <w:r w:rsidRPr="001B0912">
        <w:rPr>
          <w:i/>
        </w:rPr>
        <w:t>CAESAR-Lisflood</w:t>
      </w:r>
      <w:r w:rsidRPr="001B0912">
        <w:t xml:space="preserve"> sediment model. Internal Report </w:t>
      </w:r>
      <w:proofErr w:type="gramStart"/>
      <w:r w:rsidRPr="001B0912">
        <w:t>629,</w:t>
      </w:r>
      <w:proofErr w:type="gramEnd"/>
      <w:r w:rsidRPr="001B0912">
        <w:t xml:space="preserve"> May, Supervising Scientist, Darwin</w:t>
      </w:r>
      <w:r>
        <w:t>, NT</w:t>
      </w:r>
      <w:r w:rsidRPr="001B0912">
        <w:t>.</w:t>
      </w:r>
    </w:p>
    <w:p w:rsidR="00BE58AB" w:rsidRDefault="00BE58AB" w:rsidP="00BE58AB">
      <w:pPr>
        <w:pStyle w:val="referencelist1"/>
      </w:pPr>
      <w:proofErr w:type="gramStart"/>
      <w:r>
        <w:t>Whiteside T &amp; Bartolo 2014.</w:t>
      </w:r>
      <w:proofErr w:type="gramEnd"/>
      <w:r>
        <w:t xml:space="preserve"> </w:t>
      </w:r>
      <w:proofErr w:type="gramStart"/>
      <w:r w:rsidRPr="00003A5D">
        <w:t>Vegetation map for Magela Creek floodplain using WorldView - 2 multispectral image data</w:t>
      </w:r>
      <w:r>
        <w:t>.</w:t>
      </w:r>
      <w:proofErr w:type="gramEnd"/>
      <w:r>
        <w:t xml:space="preserve"> April 2014. </w:t>
      </w:r>
      <w:proofErr w:type="gramStart"/>
      <w:r>
        <w:t xml:space="preserve">Internal Report 628, April, </w:t>
      </w:r>
      <w:r w:rsidRPr="001B0912">
        <w:t>Supervising Scientist, Darwin</w:t>
      </w:r>
      <w:r>
        <w:t>, NT</w:t>
      </w:r>
      <w:r w:rsidRPr="001B0912">
        <w:t>.</w:t>
      </w:r>
      <w:proofErr w:type="gramEnd"/>
      <w:r w:rsidRPr="001B0912">
        <w:t xml:space="preserve"> </w:t>
      </w:r>
    </w:p>
    <w:p w:rsidR="00BE58AB" w:rsidRPr="00B447E5" w:rsidRDefault="00BE58AB" w:rsidP="00BE58AB">
      <w:pPr>
        <w:pStyle w:val="referencelist1"/>
      </w:pPr>
      <w:proofErr w:type="gramStart"/>
      <w:r w:rsidRPr="002408E3">
        <w:t>Winderlich S &amp; Woinarski J (ed</w:t>
      </w:r>
      <w:r>
        <w:t>s.</w:t>
      </w:r>
      <w:r w:rsidRPr="002408E3">
        <w:t>) 2014.</w:t>
      </w:r>
      <w:proofErr w:type="gramEnd"/>
      <w:r w:rsidRPr="002408E3">
        <w:t xml:space="preserve"> </w:t>
      </w:r>
      <w:proofErr w:type="gramStart"/>
      <w:r w:rsidRPr="002408E3">
        <w:t>Kakadu National Park Landscape Symposia Series.</w:t>
      </w:r>
      <w:proofErr w:type="gramEnd"/>
      <w:r w:rsidRPr="002408E3">
        <w:t xml:space="preserve"> Symposium </w:t>
      </w:r>
      <w:r>
        <w:t>7</w:t>
      </w:r>
      <w:r w:rsidRPr="002408E3">
        <w:t>: Conserv</w:t>
      </w:r>
      <w:r>
        <w:t>ation of threatened species, 26–</w:t>
      </w:r>
      <w:r w:rsidRPr="002408E3">
        <w:t xml:space="preserve">27 March 2013, Bowali Visitor Centre, Kakadu National Park. </w:t>
      </w:r>
      <w:proofErr w:type="gramStart"/>
      <w:r w:rsidRPr="002408E3">
        <w:t xml:space="preserve">Internal Report 623, </w:t>
      </w:r>
      <w:r>
        <w:t xml:space="preserve">June, </w:t>
      </w:r>
      <w:r w:rsidRPr="002408E3">
        <w:t>Supervising Scientist, Darwin</w:t>
      </w:r>
      <w:r>
        <w:t>, NT</w:t>
      </w:r>
      <w:r w:rsidRPr="002408E3">
        <w:t>.</w:t>
      </w:r>
      <w:proofErr w:type="gramEnd"/>
      <w:r w:rsidRPr="000D0856">
        <w:t xml:space="preserve"> </w:t>
      </w:r>
    </w:p>
    <w:p w:rsidR="00BE58AB" w:rsidRPr="00D56045" w:rsidRDefault="00BE58AB" w:rsidP="00BE58AB"/>
    <w:p w:rsidR="00BE58AB" w:rsidRDefault="00BE58AB" w:rsidP="00A15089">
      <w:pPr>
        <w:pStyle w:val="Heading2"/>
      </w:pPr>
      <w:r w:rsidRPr="00B26E77">
        <w:t>Consultancy reports</w:t>
      </w:r>
    </w:p>
    <w:p w:rsidR="00BE58AB" w:rsidRPr="0084612D" w:rsidRDefault="00BE58AB" w:rsidP="00A15089">
      <w:pPr>
        <w:pStyle w:val="referencelist1"/>
        <w:rPr>
          <w:bCs/>
          <w:iCs/>
        </w:rPr>
      </w:pPr>
      <w:proofErr w:type="gramStart"/>
      <w:r w:rsidRPr="002155BE">
        <w:rPr>
          <w:bCs/>
          <w:iCs/>
        </w:rPr>
        <w:t>Ladson A, Tilleard J, Erskine W &amp; Cheetham M 2013.</w:t>
      </w:r>
      <w:proofErr w:type="gramEnd"/>
      <w:r w:rsidRPr="002155BE">
        <w:rPr>
          <w:bCs/>
          <w:iCs/>
        </w:rPr>
        <w:t xml:space="preserve"> </w:t>
      </w:r>
      <w:proofErr w:type="gramStart"/>
      <w:r w:rsidRPr="002155BE">
        <w:rPr>
          <w:bCs/>
          <w:iCs/>
        </w:rPr>
        <w:t>Geomorphology of the Yea and Acheron Rivers.</w:t>
      </w:r>
      <w:proofErr w:type="gramEnd"/>
      <w:r w:rsidRPr="002155BE">
        <w:rPr>
          <w:bCs/>
          <w:iCs/>
        </w:rPr>
        <w:t xml:space="preserve"> Report for Goulburn-Broken Catchment Management Authority by Moroka Pty Ltd.</w:t>
      </w:r>
    </w:p>
    <w:p w:rsidR="00BE58AB" w:rsidRPr="00863FB3" w:rsidRDefault="00BE58AB" w:rsidP="00BE58AB">
      <w:pPr>
        <w:spacing w:before="240" w:after="140" w:line="276" w:lineRule="auto"/>
        <w:jc w:val="left"/>
        <w:rPr>
          <w:rFonts w:ascii="Arial" w:hAnsi="Arial" w:cs="Arial"/>
          <w:b/>
          <w:sz w:val="28"/>
          <w:szCs w:val="28"/>
        </w:rPr>
      </w:pPr>
      <w:r>
        <w:rPr>
          <w:rFonts w:ascii="Arial" w:hAnsi="Arial" w:cs="Arial"/>
          <w:b/>
          <w:sz w:val="28"/>
          <w:szCs w:val="28"/>
        </w:rPr>
        <w:t>Submitted</w:t>
      </w:r>
    </w:p>
    <w:p w:rsidR="00BE58AB" w:rsidRPr="00863FB3" w:rsidRDefault="00BE58AB" w:rsidP="00BE58AB">
      <w:pPr>
        <w:pStyle w:val="referencelist1"/>
        <w:rPr>
          <w:szCs w:val="24"/>
          <w:lang w:val="en-US"/>
        </w:rPr>
      </w:pPr>
      <w:r w:rsidRPr="008E41A2">
        <w:rPr>
          <w:szCs w:val="24"/>
          <w:lang w:val="en-US"/>
        </w:rPr>
        <w:t>Bartolo, R, Parker S, van Dam R, Boll</w:t>
      </w:r>
      <w:r w:rsidRPr="008E41A2">
        <w:rPr>
          <w:szCs w:val="24"/>
        </w:rPr>
        <w:t xml:space="preserve">höfer A, Kai-Nielson K, Erskine W, Harford A, Humphrey C &amp; Jones D. in prep. Development of conceptual risk models for the operational phase of </w:t>
      </w:r>
      <w:proofErr w:type="gramStart"/>
      <w:r w:rsidRPr="008E41A2">
        <w:rPr>
          <w:szCs w:val="24"/>
        </w:rPr>
        <w:t>a uranium</w:t>
      </w:r>
      <w:proofErr w:type="gramEnd"/>
      <w:r w:rsidRPr="008E41A2">
        <w:rPr>
          <w:szCs w:val="24"/>
        </w:rPr>
        <w:t xml:space="preserve"> mine. To be submitted to </w:t>
      </w:r>
      <w:r w:rsidRPr="008E41A2">
        <w:rPr>
          <w:i/>
          <w:szCs w:val="24"/>
        </w:rPr>
        <w:t>Environment International</w:t>
      </w:r>
      <w:r w:rsidRPr="008E41A2">
        <w:rPr>
          <w:szCs w:val="24"/>
        </w:rPr>
        <w:t xml:space="preserve">. </w:t>
      </w:r>
    </w:p>
    <w:p w:rsidR="00BE58AB" w:rsidRPr="00863FB3" w:rsidRDefault="00BE58AB" w:rsidP="00BE58AB">
      <w:pPr>
        <w:pStyle w:val="referencelist1"/>
        <w:rPr>
          <w:szCs w:val="24"/>
        </w:rPr>
      </w:pPr>
      <w:r w:rsidRPr="008E41A2">
        <w:rPr>
          <w:szCs w:val="24"/>
        </w:rPr>
        <w:t xml:space="preserve">Stark, K, Andersson, P, Beresford, NA, Yankovich, TL, Wood, MD, Johansen, MP, Batlle, JV, Twining J, Keum, DK, Bollhöfer A, Doering, C, Ryan, B, Grzechnik,M &amp; Vandenhove, H (submitted). Predicting exposure of wildlife in radionuclide contaminated wetland ecosystems: </w:t>
      </w:r>
      <w:r w:rsidRPr="008E41A2">
        <w:t>An international biota dose model inter-comparison,</w:t>
      </w:r>
      <w:r>
        <w:t xml:space="preserve"> </w:t>
      </w:r>
      <w:r w:rsidRPr="008E41A2">
        <w:rPr>
          <w:i/>
        </w:rPr>
        <w:t>Science of the Total Environment</w:t>
      </w:r>
      <w:r w:rsidRPr="008E41A2">
        <w:t>.</w:t>
      </w:r>
    </w:p>
    <w:p w:rsidR="00BE58AB" w:rsidRDefault="00BE58AB" w:rsidP="00BE58AB">
      <w:pPr>
        <w:pStyle w:val="referencelist1"/>
        <w:rPr>
          <w:szCs w:val="24"/>
          <w:lang w:val="en-US"/>
        </w:rPr>
      </w:pPr>
      <w:r w:rsidRPr="008E41A2">
        <w:rPr>
          <w:szCs w:val="24"/>
          <w:lang w:val="en-US"/>
        </w:rPr>
        <w:t>Tracy CR, McWhorter TJ, Gienger CM, Starck JM, Medley P, Manolis SC, Webb GJW &amp; Christian KA (submitted). Alligators and crocodiles have high paracellular absorption of nutrients, but differ in digestive morphology and physiolog</w:t>
      </w:r>
      <w:r>
        <w:rPr>
          <w:szCs w:val="24"/>
          <w:lang w:val="en-US"/>
        </w:rPr>
        <w:t>y,</w:t>
      </w:r>
      <w:r w:rsidRPr="008E41A2">
        <w:rPr>
          <w:szCs w:val="24"/>
          <w:lang w:val="en-US"/>
        </w:rPr>
        <w:t xml:space="preserve"> </w:t>
      </w:r>
      <w:r w:rsidRPr="008E41A2">
        <w:rPr>
          <w:i/>
          <w:szCs w:val="24"/>
          <w:lang w:val="en-US"/>
        </w:rPr>
        <w:t>The Journal of Environmental Biology</w:t>
      </w:r>
      <w:r>
        <w:rPr>
          <w:szCs w:val="24"/>
          <w:lang w:val="en-US"/>
        </w:rPr>
        <w:t>.</w:t>
      </w:r>
    </w:p>
    <w:p w:rsidR="00BE58AB" w:rsidRPr="00327A04" w:rsidRDefault="00BE58AB" w:rsidP="00BE58AB"/>
    <w:p w:rsidR="00BE58AB" w:rsidRPr="00327A04" w:rsidRDefault="00BE58AB" w:rsidP="00BE58AB"/>
    <w:p w:rsidR="00BE58AB" w:rsidRDefault="00892578" w:rsidP="00BE58AB">
      <w:pPr>
        <w:pStyle w:val="Heading2"/>
      </w:pPr>
      <w:r>
        <w:t>Further information about Supervising Scientist</w:t>
      </w:r>
      <w:r w:rsidR="00BE58AB" w:rsidRPr="00C80E60">
        <w:t xml:space="preserve"> publications</w:t>
      </w:r>
    </w:p>
    <w:p w:rsidR="00BE58AB" w:rsidRPr="00505F07" w:rsidRDefault="00892578" w:rsidP="00BE58AB">
      <w:pPr>
        <w:spacing w:line="276" w:lineRule="auto"/>
        <w:jc w:val="left"/>
        <w:rPr>
          <w:b/>
        </w:rPr>
      </w:pPr>
      <w:r>
        <w:rPr>
          <w:b/>
        </w:rPr>
        <w:t>SS</w:t>
      </w:r>
      <w:r w:rsidR="00BE58AB" w:rsidRPr="00505F07">
        <w:rPr>
          <w:b/>
        </w:rPr>
        <w:t xml:space="preserve"> publications on the web</w:t>
      </w:r>
    </w:p>
    <w:p w:rsidR="00892578" w:rsidRDefault="006B5A61" w:rsidP="00892578">
      <w:pPr>
        <w:spacing w:line="276" w:lineRule="auto"/>
        <w:jc w:val="left"/>
      </w:pPr>
      <w:hyperlink r:id="rId319" w:history="1">
        <w:r w:rsidR="00892578" w:rsidRPr="00DD79E3">
          <w:rPr>
            <w:rStyle w:val="Hyperlink"/>
          </w:rPr>
          <w:t>http://www.environment.gov.au/science/supervising-scientist/publications</w:t>
        </w:r>
      </w:hyperlink>
      <w:r w:rsidR="00892578" w:rsidRPr="00484A2F">
        <w:t xml:space="preserve"> </w:t>
      </w:r>
    </w:p>
    <w:p w:rsidR="00892578" w:rsidRPr="00594006" w:rsidRDefault="00892578" w:rsidP="00892578">
      <w:pPr>
        <w:spacing w:line="276" w:lineRule="auto"/>
        <w:jc w:val="left"/>
        <w:rPr>
          <w:b/>
        </w:rPr>
      </w:pPr>
      <w:r>
        <w:rPr>
          <w:b/>
        </w:rPr>
        <w:t>SS</w:t>
      </w:r>
      <w:r w:rsidRPr="00594006">
        <w:rPr>
          <w:b/>
        </w:rPr>
        <w:t xml:space="preserve"> annual reports</w:t>
      </w:r>
    </w:p>
    <w:p w:rsidR="00892578" w:rsidRPr="00594006" w:rsidRDefault="006B5A61" w:rsidP="00892578">
      <w:pPr>
        <w:spacing w:line="276" w:lineRule="auto"/>
        <w:jc w:val="left"/>
      </w:pPr>
      <w:hyperlink r:id="rId320" w:anchor="annual" w:history="1">
        <w:r w:rsidR="00892578" w:rsidRPr="00F1530D">
          <w:rPr>
            <w:rStyle w:val="Hyperlink"/>
          </w:rPr>
          <w:t>http://www.environment.gov.au/science/supervising-scientist/publications#annual</w:t>
        </w:r>
      </w:hyperlink>
    </w:p>
    <w:p w:rsidR="00892578" w:rsidRPr="00594006" w:rsidRDefault="00892578" w:rsidP="00892578">
      <w:pPr>
        <w:spacing w:line="276" w:lineRule="auto"/>
        <w:jc w:val="left"/>
        <w:rPr>
          <w:b/>
        </w:rPr>
      </w:pPr>
      <w:r w:rsidRPr="00594006">
        <w:rPr>
          <w:b/>
        </w:rPr>
        <w:t>Supervising Scientist Report series</w:t>
      </w:r>
    </w:p>
    <w:p w:rsidR="00892578" w:rsidRDefault="006B5A61" w:rsidP="00892578">
      <w:pPr>
        <w:spacing w:line="276" w:lineRule="auto"/>
        <w:jc w:val="left"/>
      </w:pPr>
      <w:hyperlink r:id="rId321" w:history="1">
        <w:r w:rsidR="00892578" w:rsidRPr="00F1530D">
          <w:rPr>
            <w:rStyle w:val="Hyperlink"/>
          </w:rPr>
          <w:t>http://www.environment.gov.au/science/supervising-scientist/publications/ssr</w:t>
        </w:r>
      </w:hyperlink>
    </w:p>
    <w:p w:rsidR="00892578" w:rsidRPr="00594006" w:rsidRDefault="00892578" w:rsidP="00892578">
      <w:pPr>
        <w:spacing w:line="276" w:lineRule="auto"/>
        <w:jc w:val="left"/>
        <w:rPr>
          <w:b/>
        </w:rPr>
      </w:pPr>
      <w:r w:rsidRPr="00594006">
        <w:rPr>
          <w:b/>
        </w:rPr>
        <w:t>Consolidated list of publications 1978 – March 2014</w:t>
      </w:r>
    </w:p>
    <w:p w:rsidR="00BE58AB" w:rsidRDefault="006B5A61" w:rsidP="00892578">
      <w:pPr>
        <w:spacing w:line="276" w:lineRule="auto"/>
        <w:jc w:val="left"/>
        <w:sectPr w:rsidR="00BE58AB" w:rsidSect="00D444BD">
          <w:headerReference w:type="even" r:id="rId322"/>
          <w:headerReference w:type="default" r:id="rId323"/>
          <w:footerReference w:type="even" r:id="rId324"/>
          <w:footerReference w:type="default" r:id="rId325"/>
          <w:headerReference w:type="first" r:id="rId326"/>
          <w:footerReference w:type="first" r:id="rId327"/>
          <w:pgSz w:w="11906" w:h="16838" w:code="9"/>
          <w:pgMar w:top="1440" w:right="1800" w:bottom="1440" w:left="1800" w:header="1080" w:footer="835" w:gutter="0"/>
          <w:cols w:space="360"/>
          <w:noEndnote/>
        </w:sectPr>
      </w:pPr>
      <w:hyperlink r:id="rId328" w:history="1">
        <w:r w:rsidR="00892578" w:rsidRPr="00F1530D">
          <w:rPr>
            <w:rStyle w:val="Hyperlink"/>
          </w:rPr>
          <w:t>http://www.environment.gov.au/science/supervising-scientist/publications/ss-bibliography-2014</w:t>
        </w:r>
      </w:hyperlink>
      <w:r w:rsidR="00BE58AB" w:rsidRPr="00C23CF9">
        <w:t xml:space="preserve"> </w:t>
      </w:r>
    </w:p>
    <w:p w:rsidR="00BE58AB" w:rsidRPr="00C23CF9" w:rsidRDefault="00BE58AB" w:rsidP="00BE58AB">
      <w:pPr>
        <w:spacing w:line="276" w:lineRule="auto"/>
        <w:jc w:val="left"/>
      </w:pPr>
    </w:p>
    <w:p w:rsidR="00FF09DF" w:rsidRPr="009E3B44" w:rsidRDefault="00FF09DF" w:rsidP="00CA6184">
      <w:pPr>
        <w:pStyle w:val="Heading1"/>
        <w:spacing w:after="120"/>
        <w:rPr>
          <w:rFonts w:cs="Arial"/>
          <w:spacing w:val="-2"/>
        </w:rPr>
      </w:pPr>
      <w:bookmarkStart w:id="311" w:name="_Toc418172736"/>
      <w:r w:rsidRPr="009E3B44">
        <w:rPr>
          <w:rFonts w:cs="Arial"/>
          <w:spacing w:val="-2"/>
        </w:rPr>
        <w:t xml:space="preserve">Appendix </w:t>
      </w:r>
      <w:bookmarkEnd w:id="306"/>
      <w:r w:rsidR="00D97567">
        <w:rPr>
          <w:rFonts w:cs="Arial"/>
          <w:spacing w:val="-2"/>
        </w:rPr>
        <w:t>2</w:t>
      </w:r>
      <w:r w:rsidRPr="009E3B44">
        <w:rPr>
          <w:rFonts w:cs="Arial"/>
          <w:spacing w:val="-2"/>
        </w:rPr>
        <w:br/>
        <w:t>List of inactive</w:t>
      </w:r>
      <w:r>
        <w:rPr>
          <w:rFonts w:cs="Arial"/>
          <w:spacing w:val="-2"/>
        </w:rPr>
        <w:t>,</w:t>
      </w:r>
      <w:r w:rsidR="002A08DE">
        <w:rPr>
          <w:rFonts w:cs="Arial"/>
          <w:spacing w:val="-2"/>
        </w:rPr>
        <w:t xml:space="preserve"> </w:t>
      </w:r>
      <w:r w:rsidRPr="009E3B44">
        <w:rPr>
          <w:rFonts w:cs="Arial"/>
          <w:spacing w:val="-2"/>
        </w:rPr>
        <w:t xml:space="preserve">delayed </w:t>
      </w:r>
      <w:r>
        <w:rPr>
          <w:rFonts w:cs="Arial"/>
          <w:spacing w:val="-2"/>
        </w:rPr>
        <w:t xml:space="preserve">or other </w:t>
      </w:r>
      <w:r w:rsidRPr="009E3B44">
        <w:rPr>
          <w:rFonts w:cs="Arial"/>
          <w:spacing w:val="-2"/>
        </w:rPr>
        <w:t>projects for which summaries are not provided in this report</w:t>
      </w:r>
      <w:bookmarkStart w:id="312" w:name="_Toc409772773"/>
      <w:bookmarkStart w:id="313" w:name="_Toc409773750"/>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07"/>
      <w:bookmarkEnd w:id="308"/>
      <w:bookmarkEnd w:id="309"/>
      <w:bookmarkEnd w:id="310"/>
      <w:bookmarkEnd w:id="311"/>
    </w:p>
    <w:tbl>
      <w:tblPr>
        <w:tblW w:w="0" w:type="auto"/>
        <w:tblLook w:val="04A0"/>
      </w:tblPr>
      <w:tblGrid>
        <w:gridCol w:w="3652"/>
        <w:gridCol w:w="4122"/>
      </w:tblGrid>
      <w:tr w:rsidR="00FF09DF" w:rsidRPr="00BD0581" w:rsidTr="00BC0372">
        <w:tc>
          <w:tcPr>
            <w:tcW w:w="3652" w:type="dxa"/>
            <w:tcBorders>
              <w:top w:val="single" w:sz="4" w:space="0" w:color="auto"/>
              <w:bottom w:val="single" w:sz="4" w:space="0" w:color="auto"/>
            </w:tcBorders>
          </w:tcPr>
          <w:p w:rsidR="00FF09DF" w:rsidRPr="00BD0581" w:rsidRDefault="00FF09DF" w:rsidP="00BC0372">
            <w:pPr>
              <w:pStyle w:val="table1"/>
              <w:rPr>
                <w:rFonts w:cs="Arial"/>
                <w:b/>
              </w:rPr>
            </w:pPr>
            <w:r w:rsidRPr="00BD0581">
              <w:rPr>
                <w:rFonts w:cs="Arial"/>
                <w:b/>
              </w:rPr>
              <w:t>KKN / Project</w:t>
            </w:r>
          </w:p>
        </w:tc>
        <w:tc>
          <w:tcPr>
            <w:tcW w:w="4122" w:type="dxa"/>
            <w:tcBorders>
              <w:top w:val="single" w:sz="4" w:space="0" w:color="auto"/>
              <w:bottom w:val="single" w:sz="4" w:space="0" w:color="auto"/>
            </w:tcBorders>
          </w:tcPr>
          <w:p w:rsidR="00FF09DF" w:rsidRPr="00BD0581" w:rsidRDefault="00FF09DF" w:rsidP="00BC0372">
            <w:pPr>
              <w:pStyle w:val="table1"/>
              <w:rPr>
                <w:rFonts w:cs="Arial"/>
                <w:b/>
              </w:rPr>
            </w:pPr>
            <w:r w:rsidRPr="00BD0581">
              <w:rPr>
                <w:rFonts w:cs="Arial"/>
                <w:b/>
              </w:rPr>
              <w:t>Comments</w:t>
            </w:r>
          </w:p>
        </w:tc>
      </w:tr>
      <w:tr w:rsidR="00FF09DF" w:rsidRPr="00BD0581" w:rsidTr="00BC0372">
        <w:tc>
          <w:tcPr>
            <w:tcW w:w="7774" w:type="dxa"/>
            <w:gridSpan w:val="2"/>
            <w:tcBorders>
              <w:top w:val="single" w:sz="4" w:space="0" w:color="auto"/>
            </w:tcBorders>
          </w:tcPr>
          <w:p w:rsidR="00FF09DF" w:rsidRPr="00F03396" w:rsidRDefault="00FF09DF" w:rsidP="00CA6184">
            <w:pPr>
              <w:pStyle w:val="table1"/>
              <w:spacing w:after="0"/>
              <w:rPr>
                <w:rFonts w:cs="Arial"/>
              </w:rPr>
            </w:pPr>
            <w:r w:rsidRPr="00F03396">
              <w:rPr>
                <w:rFonts w:cs="Arial"/>
                <w:b/>
              </w:rPr>
              <w:t>KKN 1.2.4  Ecotoxicology</w:t>
            </w:r>
          </w:p>
        </w:tc>
      </w:tr>
      <w:tr w:rsidR="00FF09DF" w:rsidRPr="00BD0581" w:rsidTr="00BC0372">
        <w:tc>
          <w:tcPr>
            <w:tcW w:w="3652" w:type="dxa"/>
          </w:tcPr>
          <w:p w:rsidR="00FF09DF" w:rsidRPr="00F03396" w:rsidRDefault="00FF09DF" w:rsidP="00CA6184">
            <w:pPr>
              <w:pStyle w:val="table1"/>
              <w:spacing w:after="0"/>
              <w:rPr>
                <w:rFonts w:cs="Arial"/>
              </w:rPr>
            </w:pPr>
            <w:r w:rsidRPr="00F03396">
              <w:rPr>
                <w:rFonts w:cs="Arial"/>
              </w:rPr>
              <w:t>The direct effects of suspended sediment on tropical freshwater biota</w:t>
            </w:r>
          </w:p>
        </w:tc>
        <w:tc>
          <w:tcPr>
            <w:tcW w:w="4122" w:type="dxa"/>
          </w:tcPr>
          <w:p w:rsidR="00FF09DF" w:rsidRPr="00F03396" w:rsidRDefault="00FF09DF" w:rsidP="00CA6184">
            <w:pPr>
              <w:pStyle w:val="table1"/>
              <w:spacing w:after="0"/>
              <w:rPr>
                <w:rFonts w:cs="Arial"/>
              </w:rPr>
            </w:pPr>
            <w:r>
              <w:rPr>
                <w:rFonts w:cs="Arial"/>
              </w:rPr>
              <w:t>Project suspended due to higher priorities and resource constraints.</w:t>
            </w:r>
          </w:p>
        </w:tc>
      </w:tr>
      <w:tr w:rsidR="00FF09DF" w:rsidRPr="00BD0581" w:rsidTr="00BC0372">
        <w:tc>
          <w:tcPr>
            <w:tcW w:w="3652" w:type="dxa"/>
            <w:tcBorders>
              <w:bottom w:val="single" w:sz="4" w:space="0" w:color="A6A6A6" w:themeColor="background1" w:themeShade="A6"/>
            </w:tcBorders>
          </w:tcPr>
          <w:p w:rsidR="00FF09DF" w:rsidRPr="00F03396" w:rsidRDefault="00FF09DF" w:rsidP="00CA6184">
            <w:pPr>
              <w:pStyle w:val="table1"/>
              <w:spacing w:after="0"/>
              <w:rPr>
                <w:rFonts w:cs="Arial"/>
              </w:rPr>
            </w:pPr>
            <w:r w:rsidRPr="001412D5">
              <w:rPr>
                <w:rFonts w:cs="Arial"/>
              </w:rPr>
              <w:t>Re-analysis of existing uranium freshwater chronic toxicity data to calculate low effect concentrations</w:t>
            </w:r>
          </w:p>
        </w:tc>
        <w:tc>
          <w:tcPr>
            <w:tcW w:w="4122" w:type="dxa"/>
            <w:tcBorders>
              <w:bottom w:val="single" w:sz="4" w:space="0" w:color="A6A6A6" w:themeColor="background1" w:themeShade="A6"/>
            </w:tcBorders>
          </w:tcPr>
          <w:p w:rsidR="00FF09DF" w:rsidRPr="00F03396" w:rsidRDefault="00FF09DF" w:rsidP="00CA6184">
            <w:pPr>
              <w:pStyle w:val="table1"/>
              <w:spacing w:after="0"/>
              <w:rPr>
                <w:rFonts w:cs="Arial"/>
              </w:rPr>
            </w:pPr>
            <w:r>
              <w:rPr>
                <w:rFonts w:cs="Arial"/>
              </w:rPr>
              <w:t xml:space="preserve">Revision of site-specific uranium trigger values delayed due to need to conduct further chronic toxicity testing for the snail, </w:t>
            </w:r>
            <w:r w:rsidRPr="001412D5">
              <w:rPr>
                <w:rFonts w:cs="Arial"/>
                <w:i/>
              </w:rPr>
              <w:t>Amerianna cumingi</w:t>
            </w:r>
            <w:r>
              <w:rPr>
                <w:rFonts w:cs="Arial"/>
              </w:rPr>
              <w:t>. Completion will be in early 2015.</w:t>
            </w:r>
          </w:p>
        </w:tc>
      </w:tr>
      <w:tr w:rsidR="00FF09DF" w:rsidRPr="00E61C9D" w:rsidTr="00BC0372">
        <w:tc>
          <w:tcPr>
            <w:tcW w:w="7774" w:type="dxa"/>
            <w:gridSpan w:val="2"/>
          </w:tcPr>
          <w:p w:rsidR="00FF09DF" w:rsidRPr="00E61C9D" w:rsidRDefault="00FF09DF" w:rsidP="00CA6184">
            <w:pPr>
              <w:spacing w:after="0"/>
              <w:jc w:val="left"/>
              <w:rPr>
                <w:rFonts w:ascii="Arial" w:hAnsi="Arial" w:cs="Arial"/>
                <w:b/>
                <w:sz w:val="16"/>
                <w:szCs w:val="16"/>
              </w:rPr>
            </w:pPr>
            <w:r w:rsidRPr="00E61C9D">
              <w:rPr>
                <w:rFonts w:ascii="Arial" w:hAnsi="Arial" w:cs="Arial"/>
                <w:b/>
                <w:sz w:val="16"/>
                <w:szCs w:val="16"/>
              </w:rPr>
              <w:t>KKN 2.6.1</w:t>
            </w:r>
            <w:r>
              <w:rPr>
                <w:rFonts w:ascii="Arial" w:hAnsi="Arial" w:cs="Arial"/>
                <w:b/>
                <w:sz w:val="16"/>
                <w:szCs w:val="16"/>
              </w:rPr>
              <w:t>-</w:t>
            </w:r>
            <w:r w:rsidRPr="00E61C9D">
              <w:rPr>
                <w:rFonts w:ascii="Arial" w:hAnsi="Arial" w:cs="Arial"/>
                <w:b/>
                <w:sz w:val="16"/>
                <w:szCs w:val="16"/>
              </w:rPr>
              <w:t>Monitoring of the rehabilitated landform</w:t>
            </w:r>
          </w:p>
        </w:tc>
      </w:tr>
      <w:tr w:rsidR="00FF09DF" w:rsidTr="00BC0372">
        <w:tc>
          <w:tcPr>
            <w:tcW w:w="3652" w:type="dxa"/>
          </w:tcPr>
          <w:p w:rsidR="00FF09DF" w:rsidRPr="00D26F65" w:rsidRDefault="00FF09DF" w:rsidP="00BC0372">
            <w:pPr>
              <w:spacing w:line="240" w:lineRule="auto"/>
              <w:jc w:val="left"/>
              <w:rPr>
                <w:rFonts w:ascii="Arial" w:hAnsi="Arial" w:cs="Arial"/>
              </w:rPr>
            </w:pPr>
            <w:r w:rsidRPr="00D26F65">
              <w:rPr>
                <w:rFonts w:ascii="Arial" w:hAnsi="Arial" w:cs="Arial"/>
                <w:sz w:val="16"/>
                <w:szCs w:val="16"/>
              </w:rPr>
              <w:t>Development of a spectral library for minesite rehabilitation assessment – vegetation components</w:t>
            </w:r>
          </w:p>
        </w:tc>
        <w:tc>
          <w:tcPr>
            <w:tcW w:w="4122" w:type="dxa"/>
          </w:tcPr>
          <w:p w:rsidR="00FF09DF" w:rsidRPr="00124DA2" w:rsidRDefault="00FF09DF" w:rsidP="00BC0372">
            <w:pPr>
              <w:spacing w:line="240" w:lineRule="auto"/>
              <w:rPr>
                <w:rFonts w:ascii="Arial" w:hAnsi="Arial" w:cs="Arial"/>
                <w:sz w:val="16"/>
                <w:szCs w:val="16"/>
              </w:rPr>
            </w:pPr>
            <w:r>
              <w:rPr>
                <w:rFonts w:ascii="Arial" w:hAnsi="Arial" w:cs="Arial"/>
                <w:sz w:val="16"/>
                <w:szCs w:val="16"/>
              </w:rPr>
              <w:t>All work on this project has been finalised and a</w:t>
            </w:r>
            <w:r w:rsidRPr="00124DA2">
              <w:rPr>
                <w:rFonts w:ascii="Arial" w:hAnsi="Arial" w:cs="Arial"/>
                <w:sz w:val="16"/>
                <w:szCs w:val="16"/>
              </w:rPr>
              <w:t xml:space="preserve">n internal report is currently in </w:t>
            </w:r>
            <w:r>
              <w:rPr>
                <w:rFonts w:ascii="Arial" w:hAnsi="Arial" w:cs="Arial"/>
                <w:sz w:val="16"/>
                <w:szCs w:val="16"/>
              </w:rPr>
              <w:t>publication</w:t>
            </w:r>
            <w:r w:rsidRPr="00124DA2">
              <w:rPr>
                <w:rFonts w:ascii="Arial" w:hAnsi="Arial" w:cs="Arial"/>
                <w:sz w:val="16"/>
                <w:szCs w:val="16"/>
              </w:rPr>
              <w:t>.</w:t>
            </w:r>
          </w:p>
        </w:tc>
      </w:tr>
      <w:tr w:rsidR="00FF09DF" w:rsidTr="00BC0372">
        <w:tc>
          <w:tcPr>
            <w:tcW w:w="3652" w:type="dxa"/>
          </w:tcPr>
          <w:p w:rsidR="00FF09DF" w:rsidRPr="00D26F65" w:rsidRDefault="00FF09DF" w:rsidP="00CA6184">
            <w:pPr>
              <w:spacing w:after="60" w:line="240" w:lineRule="auto"/>
              <w:jc w:val="left"/>
              <w:rPr>
                <w:rFonts w:ascii="Arial" w:hAnsi="Arial" w:cs="Arial"/>
                <w:sz w:val="16"/>
                <w:szCs w:val="16"/>
              </w:rPr>
            </w:pPr>
            <w:r w:rsidRPr="00D26F65">
              <w:rPr>
                <w:rFonts w:ascii="Arial" w:hAnsi="Arial" w:cs="Arial"/>
                <w:sz w:val="16"/>
                <w:szCs w:val="16"/>
              </w:rPr>
              <w:t>Development and implementation of a remote sensing framework for environmental monitoring within the Alligator Rivers Region (focus on the Magela Floodplain)</w:t>
            </w:r>
          </w:p>
        </w:tc>
        <w:tc>
          <w:tcPr>
            <w:tcW w:w="4122" w:type="dxa"/>
          </w:tcPr>
          <w:p w:rsidR="00FF09DF" w:rsidRPr="00124DA2" w:rsidRDefault="00FF09DF" w:rsidP="00CA6184">
            <w:pPr>
              <w:spacing w:after="60" w:line="240" w:lineRule="auto"/>
              <w:rPr>
                <w:rFonts w:ascii="Arial" w:hAnsi="Arial" w:cs="Arial"/>
                <w:sz w:val="16"/>
                <w:szCs w:val="16"/>
              </w:rPr>
            </w:pPr>
            <w:r>
              <w:rPr>
                <w:rFonts w:ascii="Arial" w:hAnsi="Arial" w:cs="Arial"/>
                <w:sz w:val="16"/>
                <w:szCs w:val="16"/>
              </w:rPr>
              <w:t>All work on this project has been finalised and a</w:t>
            </w:r>
            <w:r w:rsidRPr="00124DA2">
              <w:rPr>
                <w:rFonts w:ascii="Arial" w:hAnsi="Arial" w:cs="Arial"/>
                <w:sz w:val="16"/>
                <w:szCs w:val="16"/>
              </w:rPr>
              <w:t xml:space="preserve">n internal report is currently in </w:t>
            </w:r>
            <w:r>
              <w:rPr>
                <w:rFonts w:ascii="Arial" w:hAnsi="Arial" w:cs="Arial"/>
                <w:sz w:val="16"/>
                <w:szCs w:val="16"/>
              </w:rPr>
              <w:t>publication</w:t>
            </w:r>
            <w:r w:rsidRPr="00124DA2">
              <w:rPr>
                <w:rFonts w:ascii="Arial" w:hAnsi="Arial" w:cs="Arial"/>
                <w:sz w:val="16"/>
                <w:szCs w:val="16"/>
              </w:rPr>
              <w:t>.</w:t>
            </w:r>
          </w:p>
        </w:tc>
      </w:tr>
      <w:tr w:rsidR="00FF09DF" w:rsidTr="00BC0372">
        <w:tc>
          <w:tcPr>
            <w:tcW w:w="3652" w:type="dxa"/>
          </w:tcPr>
          <w:p w:rsidR="00FF09DF" w:rsidRPr="00D26F65" w:rsidRDefault="00FF09DF" w:rsidP="00CA6184">
            <w:pPr>
              <w:spacing w:after="60" w:line="240" w:lineRule="auto"/>
              <w:jc w:val="left"/>
              <w:rPr>
                <w:rFonts w:ascii="Arial" w:hAnsi="Arial" w:cs="Arial"/>
                <w:sz w:val="16"/>
                <w:szCs w:val="16"/>
              </w:rPr>
            </w:pPr>
            <w:r w:rsidRPr="00D26F65">
              <w:rPr>
                <w:rFonts w:ascii="Arial" w:hAnsi="Arial" w:cs="Arial"/>
                <w:sz w:val="16"/>
                <w:szCs w:val="16"/>
              </w:rPr>
              <w:t>Geological province of fine suspended sediment within the Magela Creek catchment</w:t>
            </w:r>
          </w:p>
        </w:tc>
        <w:tc>
          <w:tcPr>
            <w:tcW w:w="4122" w:type="dxa"/>
          </w:tcPr>
          <w:p w:rsidR="00FF09DF" w:rsidRPr="00D26F65" w:rsidRDefault="00FF09DF" w:rsidP="00CA6184">
            <w:pPr>
              <w:spacing w:after="60" w:line="240" w:lineRule="auto"/>
              <w:rPr>
                <w:rFonts w:ascii="Arial" w:hAnsi="Arial" w:cs="Arial"/>
                <w:sz w:val="16"/>
                <w:szCs w:val="16"/>
              </w:rPr>
            </w:pPr>
            <w:r w:rsidRPr="00D26F65">
              <w:rPr>
                <w:rFonts w:ascii="Arial" w:hAnsi="Arial" w:cs="Arial"/>
                <w:sz w:val="16"/>
                <w:szCs w:val="16"/>
              </w:rPr>
              <w:t>Project suspended due to higher priorities and resource constraints.</w:t>
            </w:r>
          </w:p>
        </w:tc>
      </w:tr>
      <w:tr w:rsidR="00FF09DF" w:rsidTr="00BC0372">
        <w:tc>
          <w:tcPr>
            <w:tcW w:w="3652" w:type="dxa"/>
          </w:tcPr>
          <w:p w:rsidR="00FF09DF" w:rsidRPr="00D26F65" w:rsidRDefault="00FF09DF" w:rsidP="00CA6184">
            <w:pPr>
              <w:spacing w:after="60" w:line="240" w:lineRule="auto"/>
              <w:rPr>
                <w:rFonts w:ascii="Arial" w:hAnsi="Arial" w:cs="Arial"/>
                <w:sz w:val="16"/>
                <w:szCs w:val="16"/>
              </w:rPr>
            </w:pPr>
            <w:r w:rsidRPr="00D26F65">
              <w:rPr>
                <w:rFonts w:ascii="Arial" w:hAnsi="Arial" w:cs="Arial"/>
                <w:sz w:val="16"/>
                <w:szCs w:val="16"/>
              </w:rPr>
              <w:t>Analysis of landscape change on the Ranger site pre-mine using historical aerial photography</w:t>
            </w:r>
          </w:p>
        </w:tc>
        <w:tc>
          <w:tcPr>
            <w:tcW w:w="4122" w:type="dxa"/>
          </w:tcPr>
          <w:p w:rsidR="00FF09DF" w:rsidRPr="00BC5A80" w:rsidRDefault="00FF09DF" w:rsidP="00CA6184">
            <w:pPr>
              <w:spacing w:after="60" w:line="240" w:lineRule="auto"/>
              <w:rPr>
                <w:rFonts w:ascii="Arial" w:hAnsi="Arial" w:cs="Arial"/>
                <w:sz w:val="16"/>
                <w:szCs w:val="16"/>
              </w:rPr>
            </w:pPr>
            <w:r>
              <w:rPr>
                <w:rFonts w:ascii="Arial" w:hAnsi="Arial" w:cs="Arial"/>
                <w:sz w:val="16"/>
                <w:szCs w:val="16"/>
              </w:rPr>
              <w:t>Data has been prepared however a</w:t>
            </w:r>
            <w:r w:rsidRPr="00BC5A80">
              <w:rPr>
                <w:rFonts w:ascii="Arial" w:hAnsi="Arial" w:cs="Arial"/>
                <w:sz w:val="16"/>
                <w:szCs w:val="16"/>
              </w:rPr>
              <w:t>nalysis has yet to commence</w:t>
            </w:r>
            <w:r>
              <w:rPr>
                <w:rFonts w:ascii="Arial" w:hAnsi="Arial" w:cs="Arial"/>
                <w:sz w:val="16"/>
                <w:szCs w:val="16"/>
              </w:rPr>
              <w:t>.</w:t>
            </w:r>
          </w:p>
        </w:tc>
      </w:tr>
      <w:tr w:rsidR="00FF09DF" w:rsidTr="00BC0372">
        <w:tc>
          <w:tcPr>
            <w:tcW w:w="3652" w:type="dxa"/>
          </w:tcPr>
          <w:p w:rsidR="00FF09DF" w:rsidRPr="00D26F65" w:rsidRDefault="00FF09DF" w:rsidP="00CA6184">
            <w:pPr>
              <w:spacing w:after="60" w:line="240" w:lineRule="auto"/>
              <w:jc w:val="left"/>
              <w:rPr>
                <w:rFonts w:ascii="Arial" w:hAnsi="Arial" w:cs="Arial"/>
              </w:rPr>
            </w:pPr>
            <w:r w:rsidRPr="00D26F65">
              <w:rPr>
                <w:rFonts w:ascii="Arial" w:hAnsi="Arial" w:cs="Arial"/>
                <w:sz w:val="16"/>
                <w:szCs w:val="16"/>
              </w:rPr>
              <w:t>Development of a method for continuous monitoring of vegetation regrowth on a rehabilitated minesite using a simple LED spectroradiometer</w:t>
            </w:r>
          </w:p>
        </w:tc>
        <w:tc>
          <w:tcPr>
            <w:tcW w:w="4122" w:type="dxa"/>
          </w:tcPr>
          <w:p w:rsidR="00FF09DF" w:rsidRPr="00D26F65" w:rsidRDefault="00FF09DF" w:rsidP="00CA6184">
            <w:pPr>
              <w:spacing w:after="60" w:line="240" w:lineRule="auto"/>
              <w:rPr>
                <w:rFonts w:ascii="Arial" w:hAnsi="Arial" w:cs="Arial"/>
                <w:sz w:val="16"/>
                <w:szCs w:val="16"/>
              </w:rPr>
            </w:pPr>
            <w:r>
              <w:rPr>
                <w:rFonts w:ascii="Arial" w:hAnsi="Arial" w:cs="Arial"/>
                <w:sz w:val="16"/>
                <w:szCs w:val="16"/>
              </w:rPr>
              <w:t>Project was presented in ARRTC31, sensors have been deployed on the TLF and e</w:t>
            </w:r>
            <w:r w:rsidRPr="00D26F65">
              <w:rPr>
                <w:rFonts w:ascii="Arial" w:hAnsi="Arial" w:cs="Arial"/>
                <w:sz w:val="16"/>
                <w:szCs w:val="16"/>
              </w:rPr>
              <w:t>xperiments are currently being conducted</w:t>
            </w:r>
            <w:r>
              <w:rPr>
                <w:rFonts w:ascii="Arial" w:hAnsi="Arial" w:cs="Arial"/>
                <w:sz w:val="16"/>
                <w:szCs w:val="16"/>
              </w:rPr>
              <w:t>.</w:t>
            </w:r>
          </w:p>
        </w:tc>
      </w:tr>
      <w:tr w:rsidR="00FF09DF" w:rsidRPr="00B97F6E" w:rsidTr="00BC0372">
        <w:tc>
          <w:tcPr>
            <w:tcW w:w="7774" w:type="dxa"/>
            <w:gridSpan w:val="2"/>
            <w:tcBorders>
              <w:top w:val="single" w:sz="4" w:space="0" w:color="A6A6A6" w:themeColor="background1" w:themeShade="A6"/>
            </w:tcBorders>
          </w:tcPr>
          <w:p w:rsidR="00FF09DF" w:rsidRPr="00B97F6E" w:rsidRDefault="00FF09DF" w:rsidP="00CA6184">
            <w:pPr>
              <w:pStyle w:val="table1"/>
              <w:spacing w:after="0"/>
              <w:rPr>
                <w:rFonts w:cs="Arial"/>
                <w:b/>
              </w:rPr>
            </w:pPr>
            <w:r w:rsidRPr="00B97F6E">
              <w:rPr>
                <w:rFonts w:cs="Arial"/>
                <w:b/>
              </w:rPr>
              <w:t>KKN 2.6.2  Off-site monitoring during and following rehabilitation</w:t>
            </w:r>
          </w:p>
        </w:tc>
      </w:tr>
      <w:tr w:rsidR="00FF09DF" w:rsidRPr="008E0817" w:rsidTr="00BC0372">
        <w:tc>
          <w:tcPr>
            <w:tcW w:w="3652" w:type="dxa"/>
            <w:tcBorders>
              <w:bottom w:val="single" w:sz="4" w:space="0" w:color="A6A6A6" w:themeColor="background1" w:themeShade="A6"/>
            </w:tcBorders>
          </w:tcPr>
          <w:p w:rsidR="00FF09DF" w:rsidRPr="00B97F6E" w:rsidRDefault="00FF09DF" w:rsidP="00CA6184">
            <w:pPr>
              <w:pStyle w:val="table1"/>
              <w:spacing w:after="0"/>
              <w:rPr>
                <w:rFonts w:cs="Arial"/>
              </w:rPr>
            </w:pPr>
            <w:bookmarkStart w:id="314" w:name="_Toc211403538"/>
            <w:r w:rsidRPr="00B97F6E">
              <w:rPr>
                <w:rFonts w:cs="Arial"/>
              </w:rPr>
              <w:t>Assessment of the significance of extreme events in the Alligator Rivers Region – impact of Cyclone Monica on Gulungul Creek catchment, Ranger mine site and Nabarlek area.</w:t>
            </w:r>
            <w:bookmarkEnd w:id="314"/>
          </w:p>
        </w:tc>
        <w:tc>
          <w:tcPr>
            <w:tcW w:w="4122" w:type="dxa"/>
            <w:tcBorders>
              <w:bottom w:val="single" w:sz="4" w:space="0" w:color="A6A6A6" w:themeColor="background1" w:themeShade="A6"/>
            </w:tcBorders>
          </w:tcPr>
          <w:p w:rsidR="00FF09DF" w:rsidRPr="00BD0581" w:rsidRDefault="00FF09DF" w:rsidP="00CA6184">
            <w:pPr>
              <w:pStyle w:val="table1"/>
              <w:spacing w:after="0"/>
              <w:rPr>
                <w:rFonts w:cs="Arial"/>
              </w:rPr>
            </w:pPr>
            <w:r>
              <w:rPr>
                <w:rFonts w:cs="Arial"/>
              </w:rPr>
              <w:t>Project suspended due to higher priorities and resource constraints.</w:t>
            </w:r>
          </w:p>
        </w:tc>
      </w:tr>
      <w:tr w:rsidR="00FF09DF" w:rsidRPr="008E0817" w:rsidTr="00BC0372">
        <w:tc>
          <w:tcPr>
            <w:tcW w:w="7774" w:type="dxa"/>
            <w:gridSpan w:val="2"/>
            <w:tcBorders>
              <w:top w:val="single" w:sz="4" w:space="0" w:color="A6A6A6" w:themeColor="background1" w:themeShade="A6"/>
            </w:tcBorders>
          </w:tcPr>
          <w:p w:rsidR="00FF09DF" w:rsidRPr="006140B3" w:rsidRDefault="00FF09DF" w:rsidP="00CA6184">
            <w:pPr>
              <w:pStyle w:val="table1"/>
              <w:spacing w:after="0"/>
              <w:rPr>
                <w:rFonts w:cs="Arial"/>
                <w:b/>
              </w:rPr>
            </w:pPr>
            <w:r w:rsidRPr="006140B3">
              <w:rPr>
                <w:rFonts w:cs="Arial"/>
                <w:b/>
              </w:rPr>
              <w:t>KKN 5.1.1  Develop a landscape-scale ecological risk assessment framework for the Magela catchment</w:t>
            </w:r>
          </w:p>
        </w:tc>
      </w:tr>
      <w:tr w:rsidR="00FF09DF" w:rsidRPr="009E3B44" w:rsidTr="00BC0372">
        <w:tc>
          <w:tcPr>
            <w:tcW w:w="3652" w:type="dxa"/>
            <w:tcBorders>
              <w:bottom w:val="single" w:sz="4" w:space="0" w:color="A6A6A6" w:themeColor="background1" w:themeShade="A6"/>
            </w:tcBorders>
          </w:tcPr>
          <w:p w:rsidR="00FF09DF" w:rsidRPr="006140B3" w:rsidRDefault="00FF09DF" w:rsidP="00CA6184">
            <w:pPr>
              <w:pStyle w:val="table1"/>
              <w:spacing w:after="0"/>
              <w:rPr>
                <w:rFonts w:cs="Arial"/>
              </w:rPr>
            </w:pPr>
            <w:r w:rsidRPr="006140B3">
              <w:rPr>
                <w:rFonts w:cs="Arial"/>
              </w:rPr>
              <w:t>Use of LiDAR and other Digital Elevation Data to develop a landscape model of the Magela catchment</w:t>
            </w:r>
          </w:p>
        </w:tc>
        <w:tc>
          <w:tcPr>
            <w:tcW w:w="4122" w:type="dxa"/>
            <w:tcBorders>
              <w:bottom w:val="single" w:sz="4" w:space="0" w:color="A6A6A6" w:themeColor="background1" w:themeShade="A6"/>
            </w:tcBorders>
          </w:tcPr>
          <w:p w:rsidR="00FF09DF" w:rsidRPr="006140B3" w:rsidRDefault="00FF09DF" w:rsidP="00CA6184">
            <w:pPr>
              <w:pStyle w:val="table1"/>
              <w:spacing w:after="0"/>
              <w:rPr>
                <w:rFonts w:cs="Arial"/>
              </w:rPr>
            </w:pPr>
            <w:r>
              <w:rPr>
                <w:rFonts w:cs="Arial"/>
              </w:rPr>
              <w:t>Project no longer required. A product was developed by CSIRO through the NERP Northern Australia hub. We have the product but are yet to validate/use it.</w:t>
            </w:r>
          </w:p>
        </w:tc>
      </w:tr>
      <w:tr w:rsidR="00FF09DF" w:rsidRPr="008E0817" w:rsidTr="00BC0372">
        <w:tc>
          <w:tcPr>
            <w:tcW w:w="7774" w:type="dxa"/>
            <w:gridSpan w:val="2"/>
            <w:tcBorders>
              <w:top w:val="single" w:sz="4" w:space="0" w:color="A6A6A6" w:themeColor="background1" w:themeShade="A6"/>
            </w:tcBorders>
          </w:tcPr>
          <w:p w:rsidR="00FF09DF" w:rsidRPr="006140B3" w:rsidRDefault="00FF09DF" w:rsidP="00CA6184">
            <w:pPr>
              <w:pStyle w:val="table1"/>
              <w:spacing w:after="0"/>
              <w:rPr>
                <w:rFonts w:cs="Arial"/>
                <w:b/>
              </w:rPr>
            </w:pPr>
            <w:r w:rsidRPr="006140B3">
              <w:rPr>
                <w:rFonts w:cs="Arial"/>
                <w:b/>
              </w:rPr>
              <w:t xml:space="preserve">KKN </w:t>
            </w:r>
            <w:r w:rsidRPr="00DD658E">
              <w:rPr>
                <w:rFonts w:cs="Arial"/>
                <w:b/>
              </w:rPr>
              <w:t>5.2.1  Assessment of past mining and milling sites in the South Alligator River valley</w:t>
            </w:r>
          </w:p>
        </w:tc>
      </w:tr>
      <w:tr w:rsidR="00FF09DF" w:rsidRPr="009E3B44" w:rsidTr="00517E66">
        <w:tc>
          <w:tcPr>
            <w:tcW w:w="3652" w:type="dxa"/>
          </w:tcPr>
          <w:p w:rsidR="00FF09DF" w:rsidRPr="006140B3" w:rsidRDefault="00FF09DF" w:rsidP="00CA6184">
            <w:pPr>
              <w:pStyle w:val="table1"/>
              <w:spacing w:after="0"/>
              <w:rPr>
                <w:rFonts w:cs="Arial"/>
              </w:rPr>
            </w:pPr>
            <w:r w:rsidRPr="009F4586">
              <w:rPr>
                <w:rFonts w:cs="Arial"/>
              </w:rPr>
              <w:t xml:space="preserve">Radiological monitoring and assessment of </w:t>
            </w:r>
            <w:r>
              <w:rPr>
                <w:rFonts w:cs="Arial"/>
              </w:rPr>
              <w:t xml:space="preserve"> </w:t>
            </w:r>
            <w:r w:rsidRPr="009F4586">
              <w:rPr>
                <w:rFonts w:cs="Arial"/>
              </w:rPr>
              <w:t>the El Sherana containment</w:t>
            </w:r>
          </w:p>
        </w:tc>
        <w:tc>
          <w:tcPr>
            <w:tcW w:w="4122" w:type="dxa"/>
          </w:tcPr>
          <w:p w:rsidR="00FF09DF" w:rsidRPr="006140B3" w:rsidRDefault="00FF09DF" w:rsidP="00CA6184">
            <w:pPr>
              <w:pStyle w:val="table1"/>
              <w:spacing w:after="0"/>
              <w:rPr>
                <w:rFonts w:cs="Arial"/>
              </w:rPr>
            </w:pPr>
            <w:r>
              <w:rPr>
                <w:rFonts w:cs="Arial"/>
              </w:rPr>
              <w:t>Biennial radiological monitoring is required. Results from September 2013 reported in last ARRTC report. Measurements planned for early dry season 2015.</w:t>
            </w:r>
          </w:p>
        </w:tc>
      </w:tr>
      <w:tr w:rsidR="00517E66" w:rsidRPr="008E0817" w:rsidTr="00517E66">
        <w:tc>
          <w:tcPr>
            <w:tcW w:w="7774" w:type="dxa"/>
            <w:gridSpan w:val="2"/>
            <w:tcBorders>
              <w:top w:val="single" w:sz="4" w:space="0" w:color="A6A6A6" w:themeColor="background1" w:themeShade="A6"/>
            </w:tcBorders>
          </w:tcPr>
          <w:p w:rsidR="00517E66" w:rsidRPr="006140B3" w:rsidRDefault="00517E66" w:rsidP="00CA6184">
            <w:pPr>
              <w:pStyle w:val="table1"/>
              <w:spacing w:after="0"/>
              <w:rPr>
                <w:rFonts w:cs="Arial"/>
                <w:b/>
              </w:rPr>
            </w:pPr>
            <w:r w:rsidRPr="006140B3">
              <w:rPr>
                <w:rFonts w:cs="Arial"/>
                <w:b/>
              </w:rPr>
              <w:t>KKN 5.1.1  Develop a landscape-scale ecological risk assessment framework for the Magela catchment</w:t>
            </w:r>
          </w:p>
        </w:tc>
      </w:tr>
      <w:tr w:rsidR="00517E66" w:rsidRPr="009E3B44" w:rsidTr="00517E66">
        <w:tc>
          <w:tcPr>
            <w:tcW w:w="3652" w:type="dxa"/>
            <w:tcBorders>
              <w:bottom w:val="single" w:sz="4" w:space="0" w:color="A6A6A6" w:themeColor="background1" w:themeShade="A6"/>
            </w:tcBorders>
          </w:tcPr>
          <w:p w:rsidR="00517E66" w:rsidRPr="006140B3" w:rsidRDefault="00517E66" w:rsidP="00CA6184">
            <w:pPr>
              <w:pStyle w:val="table1"/>
              <w:spacing w:after="0"/>
              <w:rPr>
                <w:rFonts w:cs="Arial"/>
              </w:rPr>
            </w:pPr>
            <w:r w:rsidRPr="006140B3">
              <w:rPr>
                <w:rFonts w:cs="Arial"/>
              </w:rPr>
              <w:t>Use of LiDAR and other Digital Elevation Data to develop a landscape model of the Magela catchment</w:t>
            </w:r>
          </w:p>
        </w:tc>
        <w:tc>
          <w:tcPr>
            <w:tcW w:w="4122" w:type="dxa"/>
            <w:tcBorders>
              <w:bottom w:val="single" w:sz="4" w:space="0" w:color="A6A6A6" w:themeColor="background1" w:themeShade="A6"/>
            </w:tcBorders>
          </w:tcPr>
          <w:p w:rsidR="00517E66" w:rsidRPr="006140B3" w:rsidRDefault="00517E66" w:rsidP="00CA6184">
            <w:pPr>
              <w:pStyle w:val="table1"/>
              <w:spacing w:after="0"/>
              <w:rPr>
                <w:rFonts w:cs="Arial"/>
              </w:rPr>
            </w:pPr>
            <w:r>
              <w:rPr>
                <w:rFonts w:cs="Arial"/>
              </w:rPr>
              <w:t>Project no longer required. A product was developed by CSIRO through the NERP Northern Australia hub. We have the product but are yet to validate/use it.</w:t>
            </w:r>
          </w:p>
        </w:tc>
      </w:tr>
      <w:tr w:rsidR="00517E66" w:rsidRPr="008E0817" w:rsidTr="00517E66">
        <w:tc>
          <w:tcPr>
            <w:tcW w:w="7774" w:type="dxa"/>
            <w:gridSpan w:val="2"/>
            <w:tcBorders>
              <w:top w:val="single" w:sz="4" w:space="0" w:color="A6A6A6" w:themeColor="background1" w:themeShade="A6"/>
            </w:tcBorders>
          </w:tcPr>
          <w:p w:rsidR="00517E66" w:rsidRPr="006140B3" w:rsidRDefault="00517E66" w:rsidP="00CA6184">
            <w:pPr>
              <w:pStyle w:val="table1"/>
              <w:spacing w:after="0"/>
              <w:rPr>
                <w:rFonts w:cs="Arial"/>
                <w:b/>
              </w:rPr>
            </w:pPr>
            <w:r w:rsidRPr="006140B3">
              <w:rPr>
                <w:rFonts w:cs="Arial"/>
                <w:b/>
              </w:rPr>
              <w:t xml:space="preserve">KKN </w:t>
            </w:r>
            <w:r>
              <w:rPr>
                <w:rFonts w:cs="Arial"/>
                <w:b/>
              </w:rPr>
              <w:t>2.5.3</w:t>
            </w:r>
            <w:r w:rsidRPr="00DD658E">
              <w:rPr>
                <w:rFonts w:cs="Arial"/>
                <w:b/>
              </w:rPr>
              <w:t xml:space="preserve">  </w:t>
            </w:r>
            <w:r>
              <w:rPr>
                <w:rFonts w:cs="Arial"/>
                <w:b/>
                <w:bCs/>
                <w:szCs w:val="16"/>
              </w:rPr>
              <w:t>Establishment and sustainability of ecosystems on mine landform</w:t>
            </w:r>
          </w:p>
        </w:tc>
      </w:tr>
      <w:tr w:rsidR="00517E66" w:rsidRPr="009E3B44" w:rsidTr="00517E66">
        <w:tc>
          <w:tcPr>
            <w:tcW w:w="3652" w:type="dxa"/>
          </w:tcPr>
          <w:p w:rsidR="00517E66" w:rsidRPr="009F4586" w:rsidRDefault="00517E66" w:rsidP="00CA6184">
            <w:pPr>
              <w:pStyle w:val="table1"/>
              <w:spacing w:after="0"/>
              <w:rPr>
                <w:rFonts w:cs="Arial"/>
              </w:rPr>
            </w:pPr>
            <w:r>
              <w:rPr>
                <w:rFonts w:cs="Arial"/>
                <w:szCs w:val="16"/>
              </w:rPr>
              <w:t>Aquatic ecosystem establishment</w:t>
            </w:r>
          </w:p>
        </w:tc>
        <w:tc>
          <w:tcPr>
            <w:tcW w:w="4122" w:type="dxa"/>
          </w:tcPr>
          <w:p w:rsidR="00517E66" w:rsidRDefault="00517E66" w:rsidP="00E914B2">
            <w:pPr>
              <w:pStyle w:val="table1"/>
              <w:spacing w:after="0"/>
              <w:rPr>
                <w:rFonts w:cs="Arial"/>
              </w:rPr>
            </w:pPr>
            <w:r>
              <w:rPr>
                <w:rFonts w:cs="Arial"/>
                <w:szCs w:val="16"/>
              </w:rPr>
              <w:t xml:space="preserve">Limited progress on the literature review and aquatic vegetation analyses was possible in 2013–14 due to higher priorities and resource constraints. Progress and revised research proposals arising from ERISS-ERA consultations were presented to ARRTC33. New focus and direction has commenced on aquatic vegetation communities and will be reported on in the next </w:t>
            </w:r>
            <w:r w:rsidR="00E914B2">
              <w:rPr>
                <w:rFonts w:cs="Arial"/>
                <w:szCs w:val="16"/>
              </w:rPr>
              <w:t>a</w:t>
            </w:r>
            <w:r>
              <w:rPr>
                <w:rFonts w:cs="Arial"/>
                <w:szCs w:val="16"/>
              </w:rPr>
              <w:t xml:space="preserve">nnual </w:t>
            </w:r>
            <w:r w:rsidR="00E914B2">
              <w:rPr>
                <w:rFonts w:cs="Arial"/>
                <w:szCs w:val="16"/>
              </w:rPr>
              <w:t xml:space="preserve">research summary </w:t>
            </w:r>
            <w:r>
              <w:rPr>
                <w:rFonts w:cs="Arial"/>
                <w:szCs w:val="16"/>
              </w:rPr>
              <w:t>(2014-15).</w:t>
            </w:r>
          </w:p>
        </w:tc>
      </w:tr>
      <w:tr w:rsidR="00517E66" w:rsidRPr="009E3B44" w:rsidTr="00BC0372">
        <w:tc>
          <w:tcPr>
            <w:tcW w:w="3652" w:type="dxa"/>
            <w:tcBorders>
              <w:bottom w:val="single" w:sz="4" w:space="0" w:color="auto"/>
            </w:tcBorders>
          </w:tcPr>
          <w:p w:rsidR="00517E66" w:rsidRPr="009F4586" w:rsidRDefault="00517E66" w:rsidP="00517E66">
            <w:pPr>
              <w:pStyle w:val="table1"/>
              <w:spacing w:before="0" w:after="0"/>
              <w:rPr>
                <w:rFonts w:cs="Arial"/>
              </w:rPr>
            </w:pPr>
          </w:p>
        </w:tc>
        <w:tc>
          <w:tcPr>
            <w:tcW w:w="4122" w:type="dxa"/>
            <w:tcBorders>
              <w:bottom w:val="single" w:sz="4" w:space="0" w:color="auto"/>
            </w:tcBorders>
          </w:tcPr>
          <w:p w:rsidR="00517E66" w:rsidRDefault="00517E66" w:rsidP="00517E66">
            <w:pPr>
              <w:pStyle w:val="table1"/>
              <w:spacing w:before="0" w:after="0"/>
              <w:rPr>
                <w:rFonts w:cs="Arial"/>
              </w:rPr>
            </w:pPr>
          </w:p>
        </w:tc>
      </w:tr>
    </w:tbl>
    <w:p w:rsidR="00933FC5" w:rsidRDefault="00D97567" w:rsidP="00933FC5">
      <w:pPr>
        <w:pStyle w:val="Heading1"/>
        <w:rPr>
          <w:lang w:val="en-US"/>
        </w:rPr>
      </w:pPr>
      <w:bookmarkStart w:id="315" w:name="_Toc418172737"/>
      <w:r w:rsidRPr="009E3B44">
        <w:rPr>
          <w:rFonts w:cs="Arial"/>
          <w:spacing w:val="-2"/>
        </w:rPr>
        <w:t xml:space="preserve">Appendix </w:t>
      </w:r>
      <w:r>
        <w:rPr>
          <w:rFonts w:cs="Arial"/>
          <w:spacing w:val="-2"/>
        </w:rPr>
        <w:t>3</w:t>
      </w:r>
      <w:r w:rsidRPr="009E3B44">
        <w:rPr>
          <w:rFonts w:cs="Arial"/>
          <w:spacing w:val="-2"/>
        </w:rPr>
        <w:br/>
      </w:r>
      <w:bookmarkEnd w:id="312"/>
      <w:bookmarkEnd w:id="313"/>
      <w:r w:rsidR="00933FC5">
        <w:t>Alligator Rivers Region Technical Committee Key Knowledge Needs 2008–2010: Uranium mining in the Alligator Rivers Region</w:t>
      </w:r>
      <w:bookmarkEnd w:id="315"/>
    </w:p>
    <w:p w:rsidR="00933FC5" w:rsidRPr="00DF3061" w:rsidRDefault="00933FC5" w:rsidP="00933FC5">
      <w:bookmarkStart w:id="316" w:name="_Toc84153408"/>
      <w:bookmarkStart w:id="317" w:name="_Toc84215369"/>
      <w:bookmarkStart w:id="318" w:name="_Toc85011171"/>
      <w:bookmarkStart w:id="319" w:name="_Toc113179088"/>
      <w:bookmarkStart w:id="320" w:name="_Toc113354043"/>
      <w:bookmarkStart w:id="321" w:name="_Toc113872181"/>
      <w:bookmarkStart w:id="322" w:name="_Toc114547307"/>
      <w:bookmarkStart w:id="323" w:name="_Toc114630162"/>
      <w:bookmarkStart w:id="324" w:name="_Toc115254235"/>
      <w:bookmarkStart w:id="325" w:name="_Toc115599511"/>
      <w:bookmarkStart w:id="326" w:name="_Toc116123219"/>
      <w:bookmarkStart w:id="327" w:name="_Toc146345131"/>
      <w:bookmarkStart w:id="328" w:name="_Toc146537742"/>
      <w:bookmarkStart w:id="329" w:name="_Toc146537917"/>
      <w:bookmarkStart w:id="330" w:name="_Toc146626931"/>
      <w:bookmarkStart w:id="331" w:name="_Toc176745428"/>
      <w:bookmarkStart w:id="332" w:name="_Toc176757080"/>
      <w:bookmarkStart w:id="333" w:name="_Toc176775516"/>
      <w:r>
        <w:t>T</w:t>
      </w:r>
      <w:r w:rsidRPr="00DF3061">
        <w:t xml:space="preserve">he Alligator Rivers Region Technical Committee (ARRTC) </w:t>
      </w:r>
      <w:r>
        <w:t xml:space="preserve">last revised the KKNs in 2007-2008, with the resultant (2008-2010) KKNs reproduced below. </w:t>
      </w:r>
      <w:r w:rsidRPr="00DF3061">
        <w:t xml:space="preserve">Although the 2008–2010 KKNs are still being reported against, given their date range they are currently under review again. The revision </w:t>
      </w:r>
      <w:r>
        <w:t>is being</w:t>
      </w:r>
      <w:r w:rsidRPr="00DF3061">
        <w:t xml:space="preserve"> largely informed by an ecological risk assessment of the rehabilitation and closure phases of Ranger, </w:t>
      </w:r>
      <w:r>
        <w:t>the screening phase of which will be completed by the end of 2014-2015</w:t>
      </w:r>
      <w:r w:rsidRPr="00DF3061">
        <w:t xml:space="preserve">. It is expected that a revised list of KKNs will be finalised by the end of </w:t>
      </w:r>
      <w:r>
        <w:t>2015</w:t>
      </w:r>
      <w:r w:rsidRPr="00DF3061">
        <w:t>.</w:t>
      </w:r>
    </w:p>
    <w:p w:rsidR="00933FC5" w:rsidRDefault="00933FC5" w:rsidP="00933FC5">
      <w:pPr>
        <w:pStyle w:val="Heading2"/>
      </w:pPr>
      <w:bookmarkStart w:id="334" w:name="_Toc209513827"/>
      <w:bookmarkStart w:id="335" w:name="_Toc209842555"/>
      <w:bookmarkStart w:id="336" w:name="_Toc282084790"/>
      <w:bookmarkStart w:id="337" w:name="_Toc316985466"/>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r>
        <w:t>Overall objective</w:t>
      </w:r>
      <w:bookmarkEnd w:id="334"/>
      <w:bookmarkEnd w:id="335"/>
      <w:bookmarkEnd w:id="336"/>
      <w:bookmarkEnd w:id="337"/>
    </w:p>
    <w:p w:rsidR="00933FC5" w:rsidRDefault="00933FC5" w:rsidP="00933FC5">
      <w:r>
        <w:t>To undertake relevant research that will generate knowledge leading to improved management and protection of the ARR and monitoring that will be sufficiently sensitive to assess whether or not the environment is protected to the high standard demanded by the Australian Government and community.</w:t>
      </w:r>
    </w:p>
    <w:p w:rsidR="00933FC5" w:rsidRDefault="00933FC5" w:rsidP="00933FC5">
      <w:pPr>
        <w:pStyle w:val="Heading2"/>
      </w:pPr>
      <w:bookmarkStart w:id="338" w:name="_Toc209513828"/>
      <w:bookmarkStart w:id="339" w:name="_Toc209842556"/>
      <w:bookmarkStart w:id="340" w:name="_Toc282084791"/>
      <w:bookmarkStart w:id="341" w:name="_Toc316985467"/>
      <w:r>
        <w:t>Background</w:t>
      </w:r>
      <w:bookmarkEnd w:id="338"/>
      <w:bookmarkEnd w:id="339"/>
      <w:bookmarkEnd w:id="340"/>
      <w:bookmarkEnd w:id="341"/>
    </w:p>
    <w:p w:rsidR="00933FC5" w:rsidRDefault="00933FC5" w:rsidP="00933FC5">
      <w:r>
        <w:t>In assessing the Key Knowledge Needs for research and monitoring in the Alligator Rivers Region, ARRTC has taken into account current mining plans in the region and the standards for environmental protection and rehabilitation determined by the Australian Government. The assumptions made for uranium mining operations in the region are:</w:t>
      </w:r>
    </w:p>
    <w:p w:rsidR="00933FC5" w:rsidRDefault="00933FC5" w:rsidP="00933FC5">
      <w:pPr>
        <w:pStyle w:val="Quote0"/>
      </w:pPr>
      <w:proofErr w:type="gramStart"/>
      <w:r>
        <w:t>mining</w:t>
      </w:r>
      <w:proofErr w:type="gramEnd"/>
      <w:r>
        <w:t xml:space="preserve"> of uranium at Ranger is expected to cease in about 2012. This will be followed by milling until about 2020 and final rehabilitation expected to be completed by about 2026;</w:t>
      </w:r>
    </w:p>
    <w:p w:rsidR="00933FC5" w:rsidRDefault="00933FC5" w:rsidP="00933FC5">
      <w:pPr>
        <w:pStyle w:val="Quote0"/>
      </w:pPr>
      <w:r>
        <w:t>Nabarlek is decommissioned but has not reached a status where the NT Government will agree to issue a Revegetation Certificate to the mine operator. Assessment of the success of rehabilitation at Nabarlek is ongoing and may provide valuable data for consideration in the design and implementation of rehabilitation at Ranger;</w:t>
      </w:r>
    </w:p>
    <w:p w:rsidR="00933FC5" w:rsidRDefault="00933FC5" w:rsidP="00933FC5">
      <w:pPr>
        <w:pStyle w:val="Quote0"/>
      </w:pPr>
      <w:r>
        <w:t>Jabiluka will remain in a care and maintenance condition for some years. ERA, the project owner, has stated that further mining will not occur without the agreement of the traditional owners; and</w:t>
      </w:r>
    </w:p>
    <w:p w:rsidR="00933FC5" w:rsidRDefault="00933FC5" w:rsidP="00933FC5">
      <w:pPr>
        <w:pStyle w:val="Quote0"/>
      </w:pPr>
      <w:proofErr w:type="gramStart"/>
      <w:r>
        <w:t>grant</w:t>
      </w:r>
      <w:proofErr w:type="gramEnd"/>
      <w:r>
        <w:t xml:space="preserve"> of an exploration title at Koongarra is required under the terms of the </w:t>
      </w:r>
      <w:r>
        <w:rPr>
          <w:lang w:val="en-US"/>
        </w:rPr>
        <w:t xml:space="preserve">Aboriginal Land Rights (Northern Territory) Act 1976 </w:t>
      </w:r>
      <w:r>
        <w:t>before the mining company can apply for a mining title. As such, any future activity at Koongarra is subject to the agreement of the traditional owners and the Northern Land Council.</w:t>
      </w:r>
    </w:p>
    <w:p w:rsidR="00933FC5" w:rsidRDefault="00933FC5" w:rsidP="00933FC5">
      <w:r>
        <w:t>This scenario is considered to be a reasonable basis on which to base plans for research and monitoring, but such plans may need to be amended if mining plans change in the future. ARRTC will ensure the research and monitoring strategy is flexible enough to accommodate any new knowledge needs.</w:t>
      </w:r>
    </w:p>
    <w:p w:rsidR="00933FC5" w:rsidRDefault="00933FC5" w:rsidP="00933FC5">
      <w:r>
        <w:t>The Australian Government has specified Primary and Secondary environmental objectives for mining at Ranger in the Ranger Environmental Requirements. Similar standards would be expected for any future mining development at Jabiluka or Koongarra.</w:t>
      </w:r>
    </w:p>
    <w:p w:rsidR="00933FC5" w:rsidRDefault="00933FC5" w:rsidP="00933FC5">
      <w:r>
        <w:t>Specifically, under the Ranger Environmental Requirements (ERs):</w:t>
      </w:r>
    </w:p>
    <w:p w:rsidR="00933FC5" w:rsidRDefault="00933FC5" w:rsidP="00933FC5">
      <w:pPr>
        <w:ind w:left="357"/>
      </w:pPr>
      <w:r>
        <w:t>The company must ensure that operations at Ranger are undertaken in such a way as to be consistent with the following primary environmental objectives:</w:t>
      </w:r>
    </w:p>
    <w:p w:rsidR="00933FC5" w:rsidRDefault="00933FC5" w:rsidP="00933FC5">
      <w:pPr>
        <w:ind w:left="1071" w:hanging="357"/>
      </w:pPr>
      <w:r>
        <w:t>(a)</w:t>
      </w:r>
      <w:r>
        <w:tab/>
      </w:r>
      <w:proofErr w:type="gramStart"/>
      <w:r>
        <w:t>maintain</w:t>
      </w:r>
      <w:proofErr w:type="gramEnd"/>
      <w:r>
        <w:t xml:space="preserve"> the attributes for which </w:t>
      </w:r>
      <w:smartTag w:uri="urn:schemas-microsoft-com:office:smarttags" w:element="place">
        <w:smartTag w:uri="urn:schemas-microsoft-com:office:smarttags" w:element="PlaceName">
          <w:r>
            <w:t>Kakadu</w:t>
          </w:r>
        </w:smartTag>
        <w:r>
          <w:t xml:space="preserve"> </w:t>
        </w:r>
        <w:smartTag w:uri="urn:schemas-microsoft-com:office:smarttags" w:element="PlaceType">
          <w:r>
            <w:t>National Park</w:t>
          </w:r>
        </w:smartTag>
      </w:smartTag>
      <w:r>
        <w:t xml:space="preserve"> was inscribed on the World Heritage list;</w:t>
      </w:r>
    </w:p>
    <w:p w:rsidR="00933FC5" w:rsidRDefault="00933FC5" w:rsidP="00933FC5">
      <w:pPr>
        <w:ind w:left="1071" w:hanging="357"/>
      </w:pPr>
      <w:r>
        <w:t>(b)</w:t>
      </w:r>
      <w:r>
        <w:tab/>
      </w:r>
      <w:proofErr w:type="gramStart"/>
      <w:r>
        <w:t>maintain</w:t>
      </w:r>
      <w:proofErr w:type="gramEnd"/>
      <w:r>
        <w:t xml:space="preserve"> the ecosystem health of the wetlands listed under the Ramsar Convention on Wetlands (</w:t>
      </w:r>
      <w:r w:rsidR="002A08DE">
        <w:t>i.e.</w:t>
      </w:r>
      <w:r>
        <w:t xml:space="preserve"> the wetlands within Stages I and II of </w:t>
      </w:r>
      <w:smartTag w:uri="urn:schemas-microsoft-com:office:smarttags" w:element="place">
        <w:smartTag w:uri="urn:schemas-microsoft-com:office:smarttags" w:element="PlaceName">
          <w:r>
            <w:t>Kakadu</w:t>
          </w:r>
        </w:smartTag>
        <w:r>
          <w:t xml:space="preserve"> </w:t>
        </w:r>
        <w:smartTag w:uri="urn:schemas-microsoft-com:office:smarttags" w:element="PlaceType">
          <w:r>
            <w:t>National Park</w:t>
          </w:r>
        </w:smartTag>
      </w:smartTag>
      <w:r>
        <w:t>);</w:t>
      </w:r>
    </w:p>
    <w:p w:rsidR="00933FC5" w:rsidRDefault="00933FC5" w:rsidP="00933FC5">
      <w:pPr>
        <w:ind w:left="1071" w:hanging="357"/>
      </w:pPr>
      <w:r>
        <w:t>(c)</w:t>
      </w:r>
      <w:r>
        <w:tab/>
      </w:r>
      <w:proofErr w:type="gramStart"/>
      <w:r>
        <w:t>protect</w:t>
      </w:r>
      <w:proofErr w:type="gramEnd"/>
      <w:r>
        <w:t xml:space="preserve"> the health of Aboriginals and other members of the regional community; and</w:t>
      </w:r>
    </w:p>
    <w:p w:rsidR="00933FC5" w:rsidRDefault="00933FC5" w:rsidP="00933FC5">
      <w:pPr>
        <w:ind w:left="1071" w:hanging="357"/>
      </w:pPr>
      <w:r>
        <w:t>(d)</w:t>
      </w:r>
      <w:r>
        <w:tab/>
      </w:r>
      <w:proofErr w:type="gramStart"/>
      <w:r>
        <w:t>maintain</w:t>
      </w:r>
      <w:proofErr w:type="gramEnd"/>
      <w:r>
        <w:t xml:space="preserve"> the natural biological diversity of aquatic and terrestrial ecosystems of the Alligator Rivers Region, including ecological processes.</w:t>
      </w:r>
    </w:p>
    <w:p w:rsidR="00933FC5" w:rsidRDefault="00933FC5" w:rsidP="00933FC5">
      <w:r>
        <w:t>With respect to rehabilitation at Ranger, the ERs state that:</w:t>
      </w:r>
    </w:p>
    <w:p w:rsidR="00933FC5" w:rsidRDefault="00933FC5" w:rsidP="00933FC5">
      <w:pPr>
        <w:ind w:left="357"/>
      </w:pPr>
      <w:r>
        <w:t xml:space="preserve">The company must rehabilitate the Ranger Project Area to establish an environment similar to the adjacent areas of </w:t>
      </w:r>
      <w:smartTag w:uri="urn:schemas-microsoft-com:office:smarttags" w:element="PlaceName">
        <w:r>
          <w:t>Kakadu</w:t>
        </w:r>
      </w:smartTag>
      <w:r>
        <w:t xml:space="preserve"> </w:t>
      </w:r>
      <w:smartTag w:uri="urn:schemas-microsoft-com:office:smarttags" w:element="PlaceType">
        <w:r>
          <w:t>National Park</w:t>
        </w:r>
      </w:smartTag>
      <w:r>
        <w:t xml:space="preserve"> such that, in the opinion of the Minister with the advice of the Supervising Scientist, the rehabilitated area could be incorporated into the </w:t>
      </w:r>
      <w:smartTag w:uri="urn:schemas-microsoft-com:office:smarttags" w:element="place">
        <w:smartTag w:uri="urn:schemas-microsoft-com:office:smarttags" w:element="PlaceName">
          <w:r>
            <w:t>Kakadu</w:t>
          </w:r>
        </w:smartTag>
        <w:r>
          <w:t xml:space="preserve"> </w:t>
        </w:r>
        <w:smartTag w:uri="urn:schemas-microsoft-com:office:smarttags" w:element="PlaceType">
          <w:r>
            <w:t>National Park</w:t>
          </w:r>
        </w:smartTag>
      </w:smartTag>
      <w:r>
        <w:t>.</w:t>
      </w:r>
    </w:p>
    <w:p w:rsidR="00933FC5" w:rsidRDefault="00933FC5" w:rsidP="00933FC5">
      <w:r>
        <w:t>The ERs go on to specify the major objectives of rehabilitation at Ranger as follows:</w:t>
      </w:r>
    </w:p>
    <w:p w:rsidR="00933FC5" w:rsidRDefault="00933FC5" w:rsidP="00933FC5">
      <w:pPr>
        <w:ind w:left="1071" w:hanging="357"/>
      </w:pPr>
      <w:r>
        <w:t>(a)</w:t>
      </w:r>
      <w:r>
        <w:tab/>
        <w:t>revegetation of the disturbed sites of the Ranger Project Area using local native plant species similar in density and abundance to those existing in adjacent areas of Kakadu National Park, to form an ecosystem the long term viability of which would not require a maintenance regime significantly different from that appropriate to adjacent areas of the park;</w:t>
      </w:r>
    </w:p>
    <w:p w:rsidR="00933FC5" w:rsidRDefault="00933FC5" w:rsidP="00933FC5">
      <w:pPr>
        <w:ind w:left="1071" w:hanging="357"/>
      </w:pPr>
      <w:r>
        <w:t>(b)</w:t>
      </w:r>
      <w:r>
        <w:tab/>
        <w:t>stable radiological conditions on areas impacted by mining so that, the health risk to members of the public, including traditional owners, is as low as reasonably achievable; members of the public do not receive a radiation dose which exceeds applicable limits recommended by the most recently published and relevant Australian standards, codes of practice, and guidelines; and there is a minimum of restrictions on the use of the area;</w:t>
      </w:r>
    </w:p>
    <w:p w:rsidR="00933FC5" w:rsidRDefault="00933FC5" w:rsidP="00933FC5">
      <w:pPr>
        <w:ind w:left="1071" w:hanging="357"/>
      </w:pPr>
      <w:r>
        <w:t>(c)</w:t>
      </w:r>
      <w:r>
        <w:tab/>
      </w:r>
      <w:proofErr w:type="gramStart"/>
      <w:r>
        <w:t>erosion</w:t>
      </w:r>
      <w:proofErr w:type="gramEnd"/>
      <w:r>
        <w:t xml:space="preserve"> characteristics which, as far as can reasonably be achieved, do not vary significantly from those of comparable landforms in surrounding undisturbed areas.</w:t>
      </w:r>
    </w:p>
    <w:p w:rsidR="00933FC5" w:rsidRDefault="00933FC5" w:rsidP="00933FC5">
      <w:r>
        <w:t>A secondary environmental objective applies to water quality and is linked to the primary ERs. This ER states:</w:t>
      </w:r>
    </w:p>
    <w:p w:rsidR="00933FC5" w:rsidRDefault="00933FC5" w:rsidP="00933FC5">
      <w:pPr>
        <w:ind w:left="357"/>
      </w:pPr>
      <w:r>
        <w:t>The company must not allow either surface or ground waters arising or discharging from the Ranger Project Area during its operation, or during or following rehabilitation, to compromise the achievement of the primary environmental objectives.</w:t>
      </w:r>
    </w:p>
    <w:p w:rsidR="00511B28" w:rsidRDefault="00511B28" w:rsidP="00933FC5">
      <w:pPr>
        <w:sectPr w:rsidR="00511B28" w:rsidSect="00D444BD">
          <w:pgSz w:w="11906" w:h="16838" w:code="9"/>
          <w:pgMar w:top="1440" w:right="1800" w:bottom="1440" w:left="1800" w:header="1080" w:footer="835" w:gutter="0"/>
          <w:cols w:space="360"/>
          <w:noEndnote/>
        </w:sectPr>
      </w:pPr>
    </w:p>
    <w:p w:rsidR="00933FC5" w:rsidRDefault="00933FC5" w:rsidP="00933FC5">
      <w:r>
        <w:t>While there are many possible different structures that could be used to specify the Key Knowledge Needs, ARRTC has chosen to list the knowledge needs under the following headings:</w:t>
      </w:r>
    </w:p>
    <w:p w:rsidR="00933FC5" w:rsidRDefault="00933FC5" w:rsidP="00933FC5">
      <w:pPr>
        <w:pStyle w:val="bulletlist1"/>
        <w:numPr>
          <w:ilvl w:val="0"/>
          <w:numId w:val="1"/>
        </w:numPr>
        <w:tabs>
          <w:tab w:val="clear" w:pos="720"/>
        </w:tabs>
        <w:ind w:left="357" w:hanging="357"/>
      </w:pPr>
      <w:r>
        <w:t>Ranger – current operations;</w:t>
      </w:r>
    </w:p>
    <w:p w:rsidR="00933FC5" w:rsidRDefault="00933FC5" w:rsidP="00933FC5">
      <w:pPr>
        <w:pStyle w:val="bulletlist1"/>
        <w:numPr>
          <w:ilvl w:val="0"/>
          <w:numId w:val="1"/>
        </w:numPr>
        <w:tabs>
          <w:tab w:val="clear" w:pos="720"/>
        </w:tabs>
        <w:ind w:left="357" w:hanging="357"/>
      </w:pPr>
      <w:r>
        <w:t>Ranger – rehabilitation;</w:t>
      </w:r>
    </w:p>
    <w:p w:rsidR="00933FC5" w:rsidRDefault="00933FC5" w:rsidP="00933FC5">
      <w:pPr>
        <w:pStyle w:val="bulletlist1"/>
        <w:numPr>
          <w:ilvl w:val="0"/>
          <w:numId w:val="1"/>
        </w:numPr>
        <w:tabs>
          <w:tab w:val="clear" w:pos="720"/>
        </w:tabs>
        <w:ind w:left="357" w:hanging="357"/>
      </w:pPr>
      <w:r>
        <w:t>Jabiluka;</w:t>
      </w:r>
    </w:p>
    <w:p w:rsidR="00933FC5" w:rsidRDefault="00933FC5" w:rsidP="00933FC5">
      <w:pPr>
        <w:pStyle w:val="bulletlist1"/>
        <w:numPr>
          <w:ilvl w:val="0"/>
          <w:numId w:val="1"/>
        </w:numPr>
        <w:tabs>
          <w:tab w:val="clear" w:pos="720"/>
        </w:tabs>
        <w:ind w:left="357" w:hanging="357"/>
      </w:pPr>
      <w:r>
        <w:t>Nabarlek; and</w:t>
      </w:r>
    </w:p>
    <w:p w:rsidR="00933FC5" w:rsidRDefault="00933FC5" w:rsidP="00933FC5">
      <w:pPr>
        <w:pStyle w:val="bulletlist1"/>
        <w:numPr>
          <w:ilvl w:val="0"/>
          <w:numId w:val="1"/>
        </w:numPr>
        <w:tabs>
          <w:tab w:val="clear" w:pos="720"/>
        </w:tabs>
        <w:ind w:left="357" w:hanging="357"/>
      </w:pPr>
      <w:r>
        <w:t>General Alligator Rivers Region.</w:t>
      </w:r>
    </w:p>
    <w:p w:rsidR="00933FC5" w:rsidRDefault="00933FC5" w:rsidP="00933FC5">
      <w:r>
        <w:t>‘Key Knowledge Needs 2008–2010:</w:t>
      </w:r>
      <w:r>
        <w:rPr>
          <w:iCs/>
        </w:rPr>
        <w:t xml:space="preserve"> Uranium mining in the Alligator Rivers Region’</w:t>
      </w:r>
      <w:r>
        <w:t xml:space="preserve"> is based on and supersedes a predecessor document, ‘Key Knowledge Needs 2004–2006:</w:t>
      </w:r>
      <w:r>
        <w:rPr>
          <w:iCs/>
        </w:rPr>
        <w:t xml:space="preserve"> Uranium mining in the Alligator Rivers Region’</w:t>
      </w:r>
      <w:r>
        <w:t xml:space="preserve">. KKNs 2004–2006 remained the operative set during their review and the development of KKNs 2008–2010. </w:t>
      </w:r>
    </w:p>
    <w:p w:rsidR="00933FC5" w:rsidRDefault="00933FC5" w:rsidP="00933FC5">
      <w:r>
        <w:t xml:space="preserve">While some KKNs remain </w:t>
      </w:r>
      <w:smartTag w:uri="urn:schemas-microsoft-com:office:smarttags" w:element="City">
        <w:smartTag w:uri="urn:schemas-microsoft-com:office:smarttags" w:element="place">
          <w:r>
            <w:t>essen</w:t>
          </w:r>
        </w:smartTag>
      </w:smartTag>
      <w:r>
        <w:t>tially unchanged, others contain revised elements or are new in their entirety. Care should be exercised if using KKN numbers alone as a reference because some continuing KKNs have changed numbers in the revised document.</w:t>
      </w:r>
    </w:p>
    <w:p w:rsidR="00933FC5" w:rsidRDefault="00933FC5" w:rsidP="00933FC5">
      <w:pPr>
        <w:pStyle w:val="Heading2"/>
      </w:pPr>
      <w:bookmarkStart w:id="342" w:name="_Toc209513829"/>
      <w:bookmarkStart w:id="343" w:name="_Toc209842557"/>
      <w:bookmarkStart w:id="344" w:name="_Toc282084792"/>
      <w:bookmarkStart w:id="345" w:name="_Toc316985468"/>
      <w:proofErr w:type="gramStart"/>
      <w:r>
        <w:t>1  Ranger</w:t>
      </w:r>
      <w:proofErr w:type="gramEnd"/>
      <w:r>
        <w:t xml:space="preserve"> – Current operations</w:t>
      </w:r>
      <w:bookmarkEnd w:id="342"/>
      <w:bookmarkEnd w:id="343"/>
      <w:bookmarkEnd w:id="344"/>
      <w:bookmarkEnd w:id="345"/>
    </w:p>
    <w:p w:rsidR="00933FC5" w:rsidRDefault="00933FC5" w:rsidP="00933FC5">
      <w:pPr>
        <w:pStyle w:val="Heading3"/>
      </w:pPr>
      <w:bookmarkStart w:id="346" w:name="_Toc209513830"/>
      <w:bookmarkStart w:id="347" w:name="_Toc209842558"/>
      <w:bookmarkStart w:id="348" w:name="_Toc226268657"/>
      <w:bookmarkStart w:id="349" w:name="_Toc282084793"/>
      <w:bookmarkStart w:id="350" w:name="_Toc316985469"/>
      <w:proofErr w:type="gramStart"/>
      <w:r>
        <w:t>1.1  Reassess</w:t>
      </w:r>
      <w:proofErr w:type="gramEnd"/>
      <w:r>
        <w:t xml:space="preserve"> existing threats</w:t>
      </w:r>
      <w:bookmarkEnd w:id="346"/>
      <w:bookmarkEnd w:id="347"/>
      <w:bookmarkEnd w:id="348"/>
      <w:bookmarkEnd w:id="349"/>
      <w:bookmarkEnd w:id="350"/>
    </w:p>
    <w:p w:rsidR="00933FC5" w:rsidRDefault="00933FC5" w:rsidP="00933FC5">
      <w:pPr>
        <w:pStyle w:val="Heading4"/>
      </w:pPr>
      <w:bookmarkStart w:id="351" w:name="_Toc226268658"/>
      <w:proofErr w:type="gramStart"/>
      <w:r>
        <w:t>1.1.1  Surface</w:t>
      </w:r>
      <w:proofErr w:type="gramEnd"/>
      <w:r>
        <w:t xml:space="preserve"> water transport of radionuclides</w:t>
      </w:r>
      <w:bookmarkEnd w:id="351"/>
    </w:p>
    <w:p w:rsidR="00933FC5" w:rsidRDefault="00933FC5" w:rsidP="00933FC5">
      <w:r>
        <w:t xml:space="preserve">Using existing </w:t>
      </w:r>
      <w:proofErr w:type="gramStart"/>
      <w:r>
        <w:t>data,</w:t>
      </w:r>
      <w:proofErr w:type="gramEnd"/>
      <w:r>
        <w:t xml:space="preserve"> assess the present and future risks of increased radiation doses to the Aboriginal population eating bush tucker potentially contaminated by the mining operations bearing in mind that the current Traditional Owners derive a significant proportion of their food from bush tucker.</w:t>
      </w:r>
    </w:p>
    <w:p w:rsidR="00933FC5" w:rsidRDefault="00933FC5" w:rsidP="00933FC5">
      <w:pPr>
        <w:pStyle w:val="Heading4"/>
        <w:rPr>
          <w:lang w:eastAsia="en-AU"/>
        </w:rPr>
      </w:pPr>
      <w:bookmarkStart w:id="352" w:name="_Toc226268659"/>
      <w:proofErr w:type="gramStart"/>
      <w:r>
        <w:rPr>
          <w:lang w:eastAsia="en-AU"/>
        </w:rPr>
        <w:t>1.1.2  Atmospheric</w:t>
      </w:r>
      <w:proofErr w:type="gramEnd"/>
      <w:r>
        <w:rPr>
          <w:lang w:eastAsia="en-AU"/>
        </w:rPr>
        <w:t xml:space="preserve"> transport of radionuclides</w:t>
      </w:r>
      <w:bookmarkEnd w:id="352"/>
    </w:p>
    <w:p w:rsidR="00933FC5" w:rsidRDefault="00933FC5" w:rsidP="00933FC5">
      <w:pPr>
        <w:rPr>
          <w:lang w:eastAsia="en-AU"/>
        </w:rPr>
      </w:pPr>
      <w:r>
        <w:rPr>
          <w:lang w:eastAsia="en-AU"/>
        </w:rPr>
        <w:t xml:space="preserve">Using existing data and atmospheric transport </w:t>
      </w:r>
      <w:proofErr w:type="gramStart"/>
      <w:r>
        <w:rPr>
          <w:lang w:eastAsia="en-AU"/>
        </w:rPr>
        <w:t>models,</w:t>
      </w:r>
      <w:proofErr w:type="gramEnd"/>
      <w:r>
        <w:rPr>
          <w:lang w:eastAsia="en-AU"/>
        </w:rPr>
        <w:t xml:space="preserve"> review and summarise, within a risk framework, dose rates for members of the general public arising from operations at the Ranger mine.</w:t>
      </w:r>
    </w:p>
    <w:p w:rsidR="00933FC5" w:rsidRDefault="00933FC5" w:rsidP="00933FC5">
      <w:pPr>
        <w:pStyle w:val="Heading3"/>
      </w:pPr>
      <w:bookmarkStart w:id="353" w:name="_Toc209513831"/>
      <w:bookmarkStart w:id="354" w:name="_Toc209842559"/>
      <w:bookmarkStart w:id="355" w:name="_Toc226268660"/>
      <w:bookmarkStart w:id="356" w:name="_Toc282084794"/>
      <w:bookmarkStart w:id="357" w:name="_Toc316985470"/>
      <w:bookmarkStart w:id="358" w:name="OLE_LINK2"/>
      <w:proofErr w:type="gramStart"/>
      <w:r>
        <w:t>1.2  Ongoing</w:t>
      </w:r>
      <w:proofErr w:type="gramEnd"/>
      <w:r>
        <w:t xml:space="preserve"> operational issues</w:t>
      </w:r>
      <w:bookmarkEnd w:id="353"/>
      <w:bookmarkEnd w:id="354"/>
      <w:bookmarkEnd w:id="355"/>
      <w:bookmarkEnd w:id="356"/>
      <w:bookmarkEnd w:id="357"/>
    </w:p>
    <w:p w:rsidR="00933FC5" w:rsidRDefault="00933FC5" w:rsidP="00933FC5">
      <w:pPr>
        <w:pStyle w:val="Heading4"/>
      </w:pPr>
      <w:bookmarkStart w:id="359" w:name="_Toc226268661"/>
      <w:proofErr w:type="gramStart"/>
      <w:r>
        <w:t>1.2.1  Ecological</w:t>
      </w:r>
      <w:proofErr w:type="gramEnd"/>
      <w:r>
        <w:t xml:space="preserve"> risks via the surface water pathway</w:t>
      </w:r>
      <w:bookmarkEnd w:id="359"/>
    </w:p>
    <w:p w:rsidR="00933FC5" w:rsidRDefault="00933FC5" w:rsidP="00933FC5">
      <w:r>
        <w:t>Off-site contamination during mine operation (and subsequent to decommissioning – refer KKN 2.6.1) should be placed in a risk-based context. A conceptual model of the introduction, movement and distribution of contaminants, and the resultant biotic exposure (human and non-human) has been developed, and the ecological risks (</w:t>
      </w:r>
      <w:r w:rsidR="002A08DE">
        <w:t>i.e.</w:t>
      </w:r>
      <w:r>
        <w:t xml:space="preserve"> probability of occurrence x severity of consequence) of some of the contaminant/pathway sub-models have been estimated. This process should be completed for all the contaminant/pathway sub-models, noting, however, that the level of effort for each needs to be proportionate to the level of concern of the issue</w:t>
      </w:r>
      <w:r>
        <w:rPr>
          <w:strike/>
        </w:rPr>
        <w:t>.</w:t>
      </w:r>
      <w:r>
        <w:t xml:space="preserve"> It is critical that robust risk assessment methodologies are used, and that they explicitly incorporate uncertainty in both the assessment and subsequent decision making processes. Where ecological risk is significant, additional information may be required (</w:t>
      </w:r>
      <w:r w:rsidR="002A08DE">
        <w:t>e.g.</w:t>
      </w:r>
      <w:r>
        <w:t xml:space="preserve"> mass-balance and concentration dynamics, consideration of possible interactive effects, field data). Further, knowledge gaps preventing reasonable estimation of potential risks (</w:t>
      </w:r>
      <w:r w:rsidR="002A08DE">
        <w:t>i.e.</w:t>
      </w:r>
      <w:r>
        <w:t xml:space="preserve"> with unacceptable uncertainty) must be filled.</w:t>
      </w:r>
    </w:p>
    <w:p w:rsidR="00933FC5" w:rsidRDefault="00933FC5" w:rsidP="00933FC5">
      <w:pPr>
        <w:rPr>
          <w:lang w:eastAsia="en-AU"/>
        </w:rPr>
      </w:pPr>
      <w:r>
        <w:t xml:space="preserve">The Magela floodplain risk assessment framework developed to estimate and compare mining and non-mining impacts should be revisited periodically, and updated to the current risk profile. </w:t>
      </w:r>
      <w:r>
        <w:rPr>
          <w:szCs w:val="18"/>
          <w:lang w:eastAsia="en-AU"/>
        </w:rPr>
        <w:t xml:space="preserve">It should be revised in the event that </w:t>
      </w:r>
      <w:r>
        <w:rPr>
          <w:bCs/>
          <w:szCs w:val="18"/>
          <w:lang w:eastAsia="en-AU"/>
        </w:rPr>
        <w:t xml:space="preserve">either </w:t>
      </w:r>
      <w:r>
        <w:rPr>
          <w:b/>
          <w:bCs/>
          <w:szCs w:val="18"/>
          <w:lang w:eastAsia="en-AU"/>
        </w:rPr>
        <w:t xml:space="preserve">(i) </w:t>
      </w:r>
      <w:r>
        <w:rPr>
          <w:szCs w:val="18"/>
          <w:lang w:eastAsia="en-AU"/>
        </w:rPr>
        <w:t xml:space="preserve">the annual monitoring </w:t>
      </w:r>
      <w:r w:rsidR="00E16AC4">
        <w:rPr>
          <w:szCs w:val="18"/>
          <w:lang w:eastAsia="en-AU"/>
        </w:rPr>
        <w:t>programme</w:t>
      </w:r>
      <w:r>
        <w:rPr>
          <w:szCs w:val="18"/>
          <w:lang w:eastAsia="en-AU"/>
        </w:rPr>
        <w:t xml:space="preserve"> or other sources indicate </w:t>
      </w:r>
      <w:r>
        <w:rPr>
          <w:bCs/>
          <w:szCs w:val="18"/>
          <w:lang w:eastAsia="en-AU"/>
        </w:rPr>
        <w:t>that</w:t>
      </w:r>
      <w:r>
        <w:rPr>
          <w:szCs w:val="18"/>
          <w:lang w:eastAsia="en-AU"/>
        </w:rPr>
        <w:t xml:space="preserve"> the inputs from mining have significantly increased relative to the situation in 2005, or </w:t>
      </w:r>
      <w:r>
        <w:rPr>
          <w:b/>
          <w:bCs/>
          <w:szCs w:val="18"/>
          <w:lang w:eastAsia="en-AU"/>
        </w:rPr>
        <w:t xml:space="preserve">(ii) </w:t>
      </w:r>
      <w:r>
        <w:rPr>
          <w:bCs/>
          <w:szCs w:val="18"/>
          <w:lang w:eastAsia="en-AU"/>
        </w:rPr>
        <w:t>an</w:t>
      </w:r>
      <w:r>
        <w:rPr>
          <w:szCs w:val="18"/>
          <w:lang w:eastAsia="en-AU"/>
        </w:rPr>
        <w:t xml:space="preserve"> additional significant contaminant transport pathway from the minesite is identified, </w:t>
      </w:r>
      <w:r>
        <w:rPr>
          <w:bCs/>
          <w:szCs w:val="18"/>
          <w:lang w:eastAsia="en-AU"/>
        </w:rPr>
        <w:t>or</w:t>
      </w:r>
      <w:r>
        <w:rPr>
          <w:b/>
          <w:bCs/>
          <w:szCs w:val="18"/>
          <w:lang w:eastAsia="en-AU"/>
        </w:rPr>
        <w:t xml:space="preserve"> (iii) </w:t>
      </w:r>
      <w:r>
        <w:rPr>
          <w:szCs w:val="18"/>
          <w:lang w:eastAsia="en-AU"/>
        </w:rPr>
        <w:t xml:space="preserve">there is a change in external stressors that could result in a significant increase in likelihood of impacts from the site. </w:t>
      </w:r>
    </w:p>
    <w:p w:rsidR="00933FC5" w:rsidRDefault="00933FC5" w:rsidP="00933FC5">
      <w:pPr>
        <w:pStyle w:val="Heading4"/>
        <w:rPr>
          <w:lang w:eastAsia="en-AU"/>
        </w:rPr>
      </w:pPr>
      <w:bookmarkStart w:id="360" w:name="_Toc226268662"/>
      <w:bookmarkEnd w:id="358"/>
      <w:proofErr w:type="gramStart"/>
      <w:r>
        <w:rPr>
          <w:lang w:eastAsia="en-AU"/>
        </w:rPr>
        <w:t>1.2.2  Land</w:t>
      </w:r>
      <w:proofErr w:type="gramEnd"/>
      <w:r>
        <w:rPr>
          <w:lang w:eastAsia="en-AU"/>
        </w:rPr>
        <w:t xml:space="preserve"> irrigation</w:t>
      </w:r>
      <w:bookmarkEnd w:id="360"/>
    </w:p>
    <w:p w:rsidR="00933FC5" w:rsidRDefault="00933FC5" w:rsidP="00933FC5">
      <w:pPr>
        <w:rPr>
          <w:szCs w:val="16"/>
          <w:lang w:eastAsia="en-AU"/>
        </w:rPr>
      </w:pPr>
      <w:r>
        <w:t xml:space="preserve">Investigations are required into the storage and transport of contaminants in the land irrigation areas particularly subsequent to decommissioning. </w:t>
      </w:r>
      <w:r>
        <w:rPr>
          <w:lang w:eastAsia="en-AU"/>
        </w:rPr>
        <w:t>Contaminants of interest/concern in addition to radionuclides are magnesium, sulfate and manganese.</w:t>
      </w:r>
      <w:r>
        <w:t xml:space="preserve"> Results from these investigations should be sufficient to quantify the role of irrigation areas as part of satisfying KKN 1.2.1, and form the basis for risk management into the future.</w:t>
      </w:r>
    </w:p>
    <w:p w:rsidR="00933FC5" w:rsidRDefault="00933FC5" w:rsidP="00933FC5">
      <w:pPr>
        <w:pStyle w:val="Heading4"/>
        <w:rPr>
          <w:lang w:eastAsia="en-AU"/>
        </w:rPr>
      </w:pPr>
      <w:bookmarkStart w:id="361" w:name="_Toc226268663"/>
      <w:proofErr w:type="gramStart"/>
      <w:r>
        <w:rPr>
          <w:lang w:eastAsia="en-AU"/>
        </w:rPr>
        <w:t>1.2.3  Wetland</w:t>
      </w:r>
      <w:proofErr w:type="gramEnd"/>
      <w:r>
        <w:rPr>
          <w:lang w:eastAsia="en-AU"/>
        </w:rPr>
        <w:t xml:space="preserve"> filters</w:t>
      </w:r>
      <w:bookmarkEnd w:id="361"/>
    </w:p>
    <w:p w:rsidR="00933FC5" w:rsidRDefault="00933FC5" w:rsidP="00933FC5">
      <w:pPr>
        <w:rPr>
          <w:szCs w:val="16"/>
          <w:lang w:eastAsia="en-AU"/>
        </w:rPr>
      </w:pPr>
      <w:r>
        <w:rPr>
          <w:lang w:eastAsia="en-AU"/>
        </w:rPr>
        <w:t>The key research issue associated with wetland filters in relation to ongoing operations is to determine whether their capacity to remove contaminants from the water column will continue to meet the needs of the water management system in order to ensure protection of the downstream environment. Aspects of contaminant removal capacity include (i) instantaneous rates of removal, (ii) temporal performance – including time to saturation, and (iii) behaviour under ‘breakdown’ conditions–including future stability after closure. Related to this is a reconciliation of the solute mass balance particularly for the Corridor Creek System (see KKN 1.2.5).</w:t>
      </w:r>
    </w:p>
    <w:p w:rsidR="00933FC5" w:rsidRDefault="00933FC5" w:rsidP="00933FC5">
      <w:pPr>
        <w:pStyle w:val="Heading4"/>
        <w:rPr>
          <w:lang w:eastAsia="en-AU"/>
        </w:rPr>
      </w:pPr>
      <w:bookmarkStart w:id="362" w:name="_Toc226268664"/>
      <w:proofErr w:type="gramStart"/>
      <w:r>
        <w:rPr>
          <w:lang w:eastAsia="en-AU"/>
        </w:rPr>
        <w:t>1.2.4  Ecotoxicology</w:t>
      </w:r>
      <w:bookmarkEnd w:id="362"/>
      <w:proofErr w:type="gramEnd"/>
    </w:p>
    <w:p w:rsidR="00933FC5" w:rsidRDefault="00933FC5" w:rsidP="00933FC5">
      <w:r>
        <w:t>Past laboratory studies provide a significant bank of knowledge regarding the toxicity of two of the major contaminants, uranium and magnesium, associated with uranium mining in the ARR. Further studies are scheduled to assess (i) the toxicity of manganese and, potentially, ammonia (in the event that permeate produced by process water treatment will contain potentially toxic ammonia concentrations), and (ii) the relationship between dissolved organic matter and uranium toxicity. This knowledge should continue to be synthesised and interpreted, within the existing risk assessment framework (refer KKN 1.2.1), as it comes to hand.</w:t>
      </w:r>
    </w:p>
    <w:p w:rsidR="00933FC5" w:rsidRDefault="00933FC5" w:rsidP="00933FC5">
      <w:r>
        <w:t>An additional issue that needs to be addressed is the direct and indirect effects on aquatic biota of sediment arising from the minesite. In the first instance, a conceptual model needs to be developed (building on the relevant components of the conceptual model developed under KKN 1.2.1) that describes the movement of sediment within the creek system, including the associated metal-sediment interactions and biological implications. Studies likely to arise from the outcomes of the conceptual model include:</w:t>
      </w:r>
    </w:p>
    <w:p w:rsidR="00933FC5" w:rsidRDefault="00933FC5" w:rsidP="00933FC5">
      <w:pPr>
        <w:pStyle w:val="bulletlist1"/>
        <w:numPr>
          <w:ilvl w:val="0"/>
          <w:numId w:val="1"/>
        </w:numPr>
        <w:tabs>
          <w:tab w:val="clear" w:pos="720"/>
        </w:tabs>
        <w:ind w:left="357" w:hanging="357"/>
      </w:pPr>
      <w:r>
        <w:t>the effects of suspended sediment on aquatic biota;</w:t>
      </w:r>
    </w:p>
    <w:p w:rsidR="00933FC5" w:rsidRDefault="00933FC5" w:rsidP="00933FC5">
      <w:pPr>
        <w:pStyle w:val="bulletlist1"/>
        <w:numPr>
          <w:ilvl w:val="0"/>
          <w:numId w:val="1"/>
        </w:numPr>
        <w:tabs>
          <w:tab w:val="clear" w:pos="720"/>
        </w:tabs>
        <w:ind w:left="357" w:hanging="357"/>
      </w:pPr>
      <w:r>
        <w:t xml:space="preserve">the relationship between suspended sediment and key metals, and how this affects their bioavailability and toxicity; and </w:t>
      </w:r>
    </w:p>
    <w:p w:rsidR="00933FC5" w:rsidRDefault="00933FC5" w:rsidP="00933FC5">
      <w:pPr>
        <w:pStyle w:val="bulletlist1"/>
        <w:numPr>
          <w:ilvl w:val="0"/>
          <w:numId w:val="1"/>
        </w:numPr>
        <w:tabs>
          <w:tab w:val="clear" w:pos="720"/>
        </w:tabs>
        <w:ind w:left="357" w:hanging="357"/>
      </w:pPr>
      <w:r>
        <w:t xml:space="preserve">the effects of sediment-bound metals to benthic biota, including, initially, a review of existing information on uranium concentrations in sediments of waterbodies both on- and off the Ranger site, and uranium sediment toxicity to freshwater biota. </w:t>
      </w:r>
    </w:p>
    <w:p w:rsidR="00933FC5" w:rsidRDefault="00933FC5" w:rsidP="00933FC5">
      <w:r>
        <w:t xml:space="preserve">Whilst of relevance at present, the above issues will be of additional importance as Ranger progresses towards closure and rehabilitation (refer KKN 2.6.1). Finally, the need for studies to assess the toxicity of various mine waters (treated and untreated) in response to specific supervisory/regulatory or operational requirements is likely to continue. </w:t>
      </w:r>
    </w:p>
    <w:p w:rsidR="00933FC5" w:rsidRDefault="00933FC5" w:rsidP="00933FC5">
      <w:pPr>
        <w:pStyle w:val="Heading4"/>
        <w:rPr>
          <w:lang w:eastAsia="en-AU"/>
        </w:rPr>
      </w:pPr>
      <w:bookmarkStart w:id="363" w:name="_Toc226268665"/>
      <w:proofErr w:type="gramStart"/>
      <w:r>
        <w:rPr>
          <w:lang w:eastAsia="en-AU"/>
        </w:rPr>
        <w:t>1.2.5  Mass</w:t>
      </w:r>
      <w:proofErr w:type="gramEnd"/>
      <w:r>
        <w:rPr>
          <w:lang w:eastAsia="en-AU"/>
        </w:rPr>
        <w:t xml:space="preserve"> balances and annual load limits</w:t>
      </w:r>
      <w:bookmarkEnd w:id="363"/>
    </w:p>
    <w:p w:rsidR="00933FC5" w:rsidRDefault="00933FC5" w:rsidP="00933FC5">
      <w:pPr>
        <w:rPr>
          <w:lang w:eastAsia="en-AU"/>
        </w:rPr>
      </w:pPr>
      <w:r>
        <w:rPr>
          <w:lang w:eastAsia="en-AU"/>
        </w:rPr>
        <w:t xml:space="preserve">With the expansion of land application areas and the increase in stockpile sheeting that has occurred in concert with the expansion of the footprints of the waste rock dumps and low grade ore stockpiles, it is becoming increasingly important to develop a solute mass balance for the site – such that the behaviour of major solute source terms and the spatial and temporal contribution of these sources to water quality in Magela Creek can be clearly understood. Validated grab sample and continuous data records are needed to construct a high reliability solute mass balance model. </w:t>
      </w:r>
    </w:p>
    <w:p w:rsidR="00933FC5" w:rsidRDefault="00933FC5" w:rsidP="00933FC5">
      <w:pPr>
        <w:rPr>
          <w:lang w:eastAsia="en-AU"/>
        </w:rPr>
      </w:pPr>
      <w:r>
        <w:rPr>
          <w:lang w:eastAsia="en-AU"/>
        </w:rPr>
        <w:t xml:space="preserve">Related to mass balance is the issue of specifying allowable annual load limits from the site – as part of the site’s regulatory requirements. The technical basis for </w:t>
      </w:r>
      <w:proofErr w:type="gramStart"/>
      <w:r>
        <w:rPr>
          <w:lang w:eastAsia="en-AU"/>
        </w:rPr>
        <w:t>these load</w:t>
      </w:r>
      <w:proofErr w:type="gramEnd"/>
      <w:r>
        <w:rPr>
          <w:lang w:eastAsia="en-AU"/>
        </w:rPr>
        <w:t xml:space="preserve"> limits needs to be reviewed since they were originally developed decades ago. There has since been significantly increased knowledge of the environmental geochemistry of the site, a quantum increase in knowledge about ecotoxicological sensitivity of the aquatic systems and updated data on the diet profile of traditional owners.</w:t>
      </w:r>
    </w:p>
    <w:p w:rsidR="00933FC5" w:rsidRDefault="00933FC5" w:rsidP="00933FC5">
      <w:pPr>
        <w:pStyle w:val="Heading3"/>
        <w:rPr>
          <w:lang w:eastAsia="en-AU"/>
        </w:rPr>
      </w:pPr>
      <w:bookmarkStart w:id="364" w:name="_Toc209513832"/>
      <w:bookmarkStart w:id="365" w:name="_Toc209842560"/>
      <w:bookmarkStart w:id="366" w:name="_Toc226268666"/>
      <w:bookmarkStart w:id="367" w:name="_Toc282084795"/>
      <w:bookmarkStart w:id="368" w:name="_Toc316985471"/>
      <w:proofErr w:type="gramStart"/>
      <w:r>
        <w:rPr>
          <w:lang w:eastAsia="en-AU"/>
        </w:rPr>
        <w:t>1.3  Monitoring</w:t>
      </w:r>
      <w:bookmarkEnd w:id="364"/>
      <w:bookmarkEnd w:id="365"/>
      <w:bookmarkEnd w:id="366"/>
      <w:bookmarkEnd w:id="367"/>
      <w:bookmarkEnd w:id="368"/>
      <w:proofErr w:type="gramEnd"/>
    </w:p>
    <w:p w:rsidR="00933FC5" w:rsidRDefault="00933FC5" w:rsidP="00933FC5">
      <w:pPr>
        <w:pStyle w:val="Heading4"/>
        <w:rPr>
          <w:lang w:eastAsia="en-AU"/>
        </w:rPr>
      </w:pPr>
      <w:bookmarkStart w:id="369" w:name="_Toc226268667"/>
      <w:proofErr w:type="gramStart"/>
      <w:r>
        <w:rPr>
          <w:lang w:eastAsia="en-AU"/>
        </w:rPr>
        <w:t>1.3.1  Surface</w:t>
      </w:r>
      <w:proofErr w:type="gramEnd"/>
      <w:r>
        <w:rPr>
          <w:lang w:eastAsia="en-AU"/>
        </w:rPr>
        <w:t xml:space="preserve"> water, groundwater, chemical, biological, sediment, radiological monitoring</w:t>
      </w:r>
      <w:bookmarkEnd w:id="369"/>
    </w:p>
    <w:p w:rsidR="00933FC5" w:rsidRDefault="00933FC5" w:rsidP="00933FC5">
      <w:r>
        <w:rPr>
          <w:lang w:eastAsia="en-AU"/>
        </w:rPr>
        <w:t xml:space="preserve">Routine and project-based chemical, biological, radiological and sediment monitoring should continue, together with associated research </w:t>
      </w:r>
      <w:r>
        <w:rPr>
          <w:szCs w:val="18"/>
          <w:lang w:eastAsia="en-AU"/>
        </w:rPr>
        <w:t xml:space="preserve">of an investigative nature or </w:t>
      </w:r>
      <w:r>
        <w:rPr>
          <w:lang w:eastAsia="en-AU"/>
        </w:rPr>
        <w:t xml:space="preserve">necessary to refine existing, or develop new (promising) techniques and models. </w:t>
      </w:r>
      <w:r>
        <w:t>A review of current water quality objectives for Ranger should be conducted to determine if they are adequate for future water management options for the whole-of-site, including the closure and rehabilitation phase (KKN 2.2.1 and KKN 2.2.2).</w:t>
      </w:r>
    </w:p>
    <w:p w:rsidR="00933FC5" w:rsidRDefault="00933FC5" w:rsidP="00933FC5">
      <w:pPr>
        <w:rPr>
          <w:lang w:eastAsia="en-AU"/>
        </w:rPr>
      </w:pPr>
      <w:r>
        <w:rPr>
          <w:lang w:eastAsia="en-AU"/>
        </w:rPr>
        <w:t xml:space="preserve">ARRTC supports the design and implementation of a risk-based radiological monitoring </w:t>
      </w:r>
      <w:r w:rsidR="00E16AC4">
        <w:rPr>
          <w:lang w:eastAsia="en-AU"/>
        </w:rPr>
        <w:t>programme</w:t>
      </w:r>
      <w:r>
        <w:rPr>
          <w:lang w:eastAsia="en-AU"/>
        </w:rPr>
        <w:t xml:space="preserve"> based on a robust statistical analysis of the data collected over the life of Ranger necessary </w:t>
      </w:r>
      <w:r>
        <w:rPr>
          <w:bCs/>
          <w:iCs/>
          <w:lang w:eastAsia="en-AU"/>
        </w:rPr>
        <w:t>to provide assurance for Aboriginal people who source food items from the Magela Creek system downstream of Ranger</w:t>
      </w:r>
      <w:r>
        <w:rPr>
          <w:lang w:eastAsia="en-AU"/>
        </w:rPr>
        <w:t>.</w:t>
      </w:r>
    </w:p>
    <w:p w:rsidR="00933FC5" w:rsidRDefault="00933FC5" w:rsidP="00933FC5">
      <w:pPr>
        <w:pStyle w:val="Heading2"/>
        <w:rPr>
          <w:lang w:eastAsia="en-AU"/>
        </w:rPr>
      </w:pPr>
      <w:bookmarkStart w:id="370" w:name="_Toc209513833"/>
      <w:bookmarkStart w:id="371" w:name="_Toc209842561"/>
      <w:bookmarkStart w:id="372" w:name="_Toc282084796"/>
      <w:bookmarkStart w:id="373" w:name="_Toc316985472"/>
      <w:proofErr w:type="gramStart"/>
      <w:r>
        <w:rPr>
          <w:lang w:eastAsia="en-AU"/>
        </w:rPr>
        <w:t>2  Ranger</w:t>
      </w:r>
      <w:proofErr w:type="gramEnd"/>
      <w:r>
        <w:rPr>
          <w:lang w:eastAsia="en-AU"/>
        </w:rPr>
        <w:t xml:space="preserve"> – Rehabilitation</w:t>
      </w:r>
      <w:bookmarkEnd w:id="370"/>
      <w:bookmarkEnd w:id="371"/>
      <w:bookmarkEnd w:id="372"/>
      <w:bookmarkEnd w:id="373"/>
    </w:p>
    <w:p w:rsidR="00933FC5" w:rsidRDefault="00933FC5" w:rsidP="00933FC5">
      <w:pPr>
        <w:pStyle w:val="Heading3"/>
        <w:rPr>
          <w:lang w:eastAsia="en-AU"/>
        </w:rPr>
      </w:pPr>
      <w:bookmarkStart w:id="374" w:name="_Toc209513834"/>
      <w:bookmarkStart w:id="375" w:name="_Toc209842562"/>
      <w:bookmarkStart w:id="376" w:name="_Toc226268668"/>
      <w:bookmarkStart w:id="377" w:name="_Toc282084797"/>
      <w:bookmarkStart w:id="378" w:name="_Toc316985473"/>
      <w:proofErr w:type="gramStart"/>
      <w:r>
        <w:rPr>
          <w:lang w:eastAsia="en-AU"/>
        </w:rPr>
        <w:t>2.1  Reference</w:t>
      </w:r>
      <w:proofErr w:type="gramEnd"/>
      <w:r>
        <w:rPr>
          <w:lang w:eastAsia="en-AU"/>
        </w:rPr>
        <w:t xml:space="preserve"> state and baseline data</w:t>
      </w:r>
      <w:bookmarkEnd w:id="374"/>
      <w:bookmarkEnd w:id="375"/>
      <w:bookmarkEnd w:id="376"/>
      <w:bookmarkEnd w:id="377"/>
      <w:bookmarkEnd w:id="378"/>
    </w:p>
    <w:p w:rsidR="00933FC5" w:rsidRDefault="00933FC5" w:rsidP="00933FC5">
      <w:pPr>
        <w:pStyle w:val="Heading4"/>
        <w:rPr>
          <w:lang w:eastAsia="en-AU"/>
        </w:rPr>
      </w:pPr>
      <w:bookmarkStart w:id="379" w:name="_Toc226268669"/>
      <w:proofErr w:type="gramStart"/>
      <w:r>
        <w:rPr>
          <w:szCs w:val="16"/>
          <w:lang w:eastAsia="en-AU"/>
        </w:rPr>
        <w:t xml:space="preserve">2.1.1  </w:t>
      </w:r>
      <w:r>
        <w:rPr>
          <w:lang w:eastAsia="en-AU"/>
        </w:rPr>
        <w:t>Defining</w:t>
      </w:r>
      <w:proofErr w:type="gramEnd"/>
      <w:r>
        <w:rPr>
          <w:lang w:eastAsia="en-AU"/>
        </w:rPr>
        <w:t xml:space="preserve"> the reference state and baseline data</w:t>
      </w:r>
      <w:bookmarkEnd w:id="379"/>
    </w:p>
    <w:p w:rsidR="00933FC5" w:rsidRDefault="00933FC5" w:rsidP="00933FC5">
      <w:pPr>
        <w:rPr>
          <w:lang w:eastAsia="en-AU"/>
        </w:rPr>
      </w:pPr>
      <w:r>
        <w:rPr>
          <w:lang w:eastAsia="en-AU"/>
        </w:rPr>
        <w:t xml:space="preserve">There is a requirement to define the baseline data/reference state that existed at the Ranger site prior to development. This will inform the process of the development of closure criteria which is compatible with the Environmental Requirements. The knowledge need is to develop and perform analysis to generate agreed reference data that cover the range of pre-mining and operational periods. </w:t>
      </w:r>
    </w:p>
    <w:p w:rsidR="00933FC5" w:rsidRDefault="00933FC5" w:rsidP="00933FC5">
      <w:pPr>
        <w:pStyle w:val="Heading3"/>
        <w:rPr>
          <w:lang w:eastAsia="en-AU"/>
        </w:rPr>
      </w:pPr>
      <w:bookmarkStart w:id="380" w:name="_Toc209513835"/>
      <w:bookmarkStart w:id="381" w:name="_Toc209842563"/>
      <w:bookmarkStart w:id="382" w:name="_Toc226268670"/>
      <w:bookmarkStart w:id="383" w:name="_Toc282084798"/>
      <w:bookmarkStart w:id="384" w:name="_Toc316985474"/>
      <w:proofErr w:type="gramStart"/>
      <w:r>
        <w:rPr>
          <w:lang w:eastAsia="en-AU"/>
        </w:rPr>
        <w:t>2.2  Landform</w:t>
      </w:r>
      <w:bookmarkEnd w:id="380"/>
      <w:bookmarkEnd w:id="381"/>
      <w:bookmarkEnd w:id="382"/>
      <w:bookmarkEnd w:id="383"/>
      <w:bookmarkEnd w:id="384"/>
      <w:proofErr w:type="gramEnd"/>
    </w:p>
    <w:p w:rsidR="00933FC5" w:rsidRDefault="00933FC5" w:rsidP="00933FC5">
      <w:pPr>
        <w:pStyle w:val="Heading4"/>
        <w:rPr>
          <w:lang w:eastAsia="en-AU"/>
        </w:rPr>
      </w:pPr>
      <w:bookmarkStart w:id="385" w:name="_Toc226268671"/>
      <w:proofErr w:type="gramStart"/>
      <w:r>
        <w:rPr>
          <w:lang w:eastAsia="en-AU"/>
        </w:rPr>
        <w:t>2.2.1  Landform</w:t>
      </w:r>
      <w:proofErr w:type="gramEnd"/>
      <w:r>
        <w:rPr>
          <w:lang w:eastAsia="en-AU"/>
        </w:rPr>
        <w:t xml:space="preserve"> design</w:t>
      </w:r>
      <w:bookmarkEnd w:id="385"/>
    </w:p>
    <w:p w:rsidR="00933FC5" w:rsidRDefault="00933FC5" w:rsidP="00933FC5">
      <w:pPr>
        <w:rPr>
          <w:lang w:eastAsia="en-AU"/>
        </w:rPr>
      </w:pPr>
      <w:r>
        <w:rPr>
          <w:lang w:eastAsia="en-AU"/>
        </w:rPr>
        <w:t xml:space="preserve">An initial design is required for the proposed final landform. This would be based upon the optimum mine plan from the operational point of view and it would take into account the broad closure criteria, engineering considerations and the specific criteria developed for guidance in the design of the landform. This initial landform would need to be optimised using the information obtained in detailed water quality, geomorphic, hydrological and radiological </w:t>
      </w:r>
      <w:r w:rsidR="00E16AC4">
        <w:rPr>
          <w:lang w:eastAsia="en-AU"/>
        </w:rPr>
        <w:t>programme</w:t>
      </w:r>
      <w:r>
        <w:rPr>
          <w:lang w:eastAsia="en-AU"/>
        </w:rPr>
        <w:t>s listed below.</w:t>
      </w:r>
    </w:p>
    <w:p w:rsidR="00933FC5" w:rsidRDefault="00933FC5" w:rsidP="00933FC5">
      <w:pPr>
        <w:rPr>
          <w:lang w:eastAsia="en-AU"/>
        </w:rPr>
      </w:pPr>
      <w:r>
        <w:rPr>
          <w:lang w:eastAsia="en-AU"/>
        </w:rPr>
        <w:t xml:space="preserve">Current and trial landforms at Ranger and at other sites such as Nabarlek should be used to test the various models and predictions for water quality, geomorphic behaviour and radiological characteristics at Ranger. The detailed design for the final landform at Ranger should be determined taking into account the results of the above research </w:t>
      </w:r>
      <w:r w:rsidR="00E16AC4">
        <w:rPr>
          <w:lang w:eastAsia="en-AU"/>
        </w:rPr>
        <w:t>programme</w:t>
      </w:r>
      <w:r>
        <w:rPr>
          <w:lang w:eastAsia="en-AU"/>
        </w:rPr>
        <w:t>s on surface and ground water, geomorphic modelling and radiological characteristics.</w:t>
      </w:r>
    </w:p>
    <w:p w:rsidR="00933FC5" w:rsidRDefault="00933FC5" w:rsidP="00933FC5">
      <w:pPr>
        <w:pStyle w:val="Heading4"/>
        <w:rPr>
          <w:lang w:eastAsia="en-AU"/>
        </w:rPr>
      </w:pPr>
      <w:bookmarkStart w:id="386" w:name="_Toc226268672"/>
      <w:proofErr w:type="gramStart"/>
      <w:r>
        <w:rPr>
          <w:lang w:eastAsia="en-AU"/>
        </w:rPr>
        <w:t>2.2.2  Development</w:t>
      </w:r>
      <w:proofErr w:type="gramEnd"/>
      <w:r>
        <w:rPr>
          <w:lang w:eastAsia="en-AU"/>
        </w:rPr>
        <w:t xml:space="preserve"> and agreement of closure criteria from the landform perspective</w:t>
      </w:r>
      <w:bookmarkEnd w:id="386"/>
    </w:p>
    <w:p w:rsidR="00933FC5" w:rsidRDefault="00933FC5" w:rsidP="00933FC5">
      <w:pPr>
        <w:rPr>
          <w:lang w:eastAsia="en-AU"/>
        </w:rPr>
      </w:pPr>
      <w:r>
        <w:rPr>
          <w:lang w:eastAsia="en-AU"/>
        </w:rPr>
        <w:t>Closure criteria from the landform perspective need to be established at both the broad scale and the specific. At the broad scale, agreement is needed, particularly with the Traditional Owners and within the context of the objectives for rehabilitation incorporated within the ERs, on the general strategy to be adopted in constructing the final landform. These considerations would include issues such as maximum height of the landform, the maximum slope gradient (from the aesthetic perspective), and the presence or absence of lakes or open water. At the specific scale, some criteria could usefully be developed as guidance for the initial landform design such as slope length and angle (from the erosion perspective), the minimum cover required over low grade ore, and the minimum distance of low grade ore from batter slopes. Specific criteria are needed that will be used to assess the success of landform construction. These would include, for example, maximum radon exhalation and gamma dose rates, maximum sediment delivery rates, maximum constituent concentration rates in runoff and maximum settling rates over tailings repositories.</w:t>
      </w:r>
    </w:p>
    <w:p w:rsidR="00933FC5" w:rsidRDefault="00933FC5" w:rsidP="00933FC5">
      <w:pPr>
        <w:pStyle w:val="Heading4"/>
        <w:rPr>
          <w:lang w:eastAsia="en-AU"/>
        </w:rPr>
      </w:pPr>
      <w:bookmarkStart w:id="387" w:name="_Toc226268673"/>
      <w:proofErr w:type="gramStart"/>
      <w:r>
        <w:rPr>
          <w:lang w:eastAsia="en-AU"/>
        </w:rPr>
        <w:t>2.2.3  Water</w:t>
      </w:r>
      <w:proofErr w:type="gramEnd"/>
      <w:r>
        <w:rPr>
          <w:lang w:eastAsia="en-AU"/>
        </w:rPr>
        <w:t xml:space="preserve"> quality in seepage and runoff from the final landform</w:t>
      </w:r>
      <w:bookmarkEnd w:id="387"/>
    </w:p>
    <w:p w:rsidR="00933FC5" w:rsidRDefault="00933FC5" w:rsidP="00933FC5">
      <w:pPr>
        <w:rPr>
          <w:lang w:eastAsia="en-AU"/>
        </w:rPr>
      </w:pPr>
      <w:r>
        <w:rPr>
          <w:lang w:eastAsia="en-AU"/>
        </w:rPr>
        <w:t>Existing water quality monitoring and research data on surface runoff and subsurface flow need to be analysed to develop models for the quality of water, and its time dependence, that would enter major drainage lines from the initial landform design. Options for adjusting the design to minimise solute concentrations and loads leaving the landform need to be assessed.</w:t>
      </w:r>
    </w:p>
    <w:p w:rsidR="00933FC5" w:rsidRDefault="00933FC5" w:rsidP="00933FC5">
      <w:pPr>
        <w:rPr>
          <w:spacing w:val="-2"/>
        </w:rPr>
      </w:pPr>
      <w:r>
        <w:rPr>
          <w:spacing w:val="-2"/>
        </w:rPr>
        <w:t>There is a need to develop and analyse conceptual models of mine-related turbidity and salinity impacts following closure. These models could be analysed in a variety of ways</w:t>
      </w:r>
      <w:r>
        <w:rPr>
          <w:strike/>
          <w:spacing w:val="-2"/>
        </w:rPr>
        <w:t>,</w:t>
      </w:r>
      <w:r>
        <w:rPr>
          <w:spacing w:val="-2"/>
        </w:rPr>
        <w:t xml:space="preserve"> as a precursor to the development of a quantitative model of potential turbidity and salinity impacts offsite cause by surface and subsurface water flow off the rehabilitated minesite. This analysis should explicitly acknowledge knowledge uncertainty (</w:t>
      </w:r>
      <w:r w:rsidR="002A08DE">
        <w:rPr>
          <w:spacing w:val="-2"/>
        </w:rPr>
        <w:t>e.g.</w:t>
      </w:r>
      <w:r>
        <w:rPr>
          <w:spacing w:val="-2"/>
        </w:rPr>
        <w:t xml:space="preserve"> plausible alternative conceptual models) and variability (</w:t>
      </w:r>
      <w:r w:rsidR="002A08DE">
        <w:rPr>
          <w:spacing w:val="-2"/>
        </w:rPr>
        <w:t>e.g.</w:t>
      </w:r>
      <w:r>
        <w:rPr>
          <w:spacing w:val="-2"/>
        </w:rPr>
        <w:t xml:space="preserve"> potential for Mg/Ca ratio variations in water flowing off the site) and explore the potential ramifications for the off-site impacts. (</w:t>
      </w:r>
      <w:proofErr w:type="gramStart"/>
      <w:r>
        <w:rPr>
          <w:spacing w:val="-2"/>
        </w:rPr>
        <w:t>see</w:t>
      </w:r>
      <w:proofErr w:type="gramEnd"/>
      <w:r>
        <w:rPr>
          <w:spacing w:val="-2"/>
        </w:rPr>
        <w:t xml:space="preserve"> also KKN 2.6.1)</w:t>
      </w:r>
    </w:p>
    <w:p w:rsidR="00933FC5" w:rsidRDefault="00933FC5" w:rsidP="00933FC5">
      <w:pPr>
        <w:pStyle w:val="Heading4"/>
        <w:rPr>
          <w:lang w:eastAsia="en-AU"/>
        </w:rPr>
      </w:pPr>
      <w:bookmarkStart w:id="388" w:name="_Toc226268674"/>
      <w:proofErr w:type="gramStart"/>
      <w:r>
        <w:rPr>
          <w:lang w:eastAsia="en-AU"/>
        </w:rPr>
        <w:t>2.2.4  Geomorphic</w:t>
      </w:r>
      <w:proofErr w:type="gramEnd"/>
      <w:r>
        <w:rPr>
          <w:lang w:eastAsia="en-AU"/>
        </w:rPr>
        <w:t xml:space="preserve"> behaviour and evolution of the landscape</w:t>
      </w:r>
      <w:bookmarkEnd w:id="388"/>
    </w:p>
    <w:p w:rsidR="00933FC5" w:rsidRDefault="00933FC5" w:rsidP="00933FC5">
      <w:pPr>
        <w:rPr>
          <w:lang w:eastAsia="en-AU"/>
        </w:rPr>
      </w:pPr>
      <w:r>
        <w:rPr>
          <w:lang w:eastAsia="en-AU"/>
        </w:rPr>
        <w:t>The existing data set used in determination of the key parameters for geomorphological modelling of the proposed final landform should be reviewed after consideration of the near surface characteristics of the initial proposed landform. Further measurements of erosion characteristics should be carried out if considered necessary. The current site-specific landform evolution models should be applied to the initial proposed landform to develop predictions for long term erosion rates, incision and gullying rates, and sediment delivery rates to the surrounding catchments. Options for adjusting the design to minimise erosion of the landform need to be assessed. In addition, an assessment is needed of the geomorphic stability of the Ranger minesite with respect to the erosional effects of extreme events.</w:t>
      </w:r>
    </w:p>
    <w:p w:rsidR="00933FC5" w:rsidRDefault="00933FC5" w:rsidP="00933FC5">
      <w:pPr>
        <w:pStyle w:val="Heading4"/>
        <w:rPr>
          <w:lang w:eastAsia="en-AU"/>
        </w:rPr>
      </w:pPr>
      <w:bookmarkStart w:id="389" w:name="_Toc226268675"/>
      <w:proofErr w:type="gramStart"/>
      <w:r>
        <w:rPr>
          <w:lang w:eastAsia="en-AU"/>
        </w:rPr>
        <w:t>2.2.5  Radiological</w:t>
      </w:r>
      <w:proofErr w:type="gramEnd"/>
      <w:r>
        <w:rPr>
          <w:lang w:eastAsia="en-AU"/>
        </w:rPr>
        <w:t xml:space="preserve"> characteristics of the final landform</w:t>
      </w:r>
      <w:bookmarkEnd w:id="389"/>
    </w:p>
    <w:p w:rsidR="00933FC5" w:rsidRDefault="00933FC5" w:rsidP="00933FC5">
      <w:pPr>
        <w:rPr>
          <w:lang w:eastAsia="en-AU"/>
        </w:rPr>
      </w:pPr>
      <w:r>
        <w:rPr>
          <w:lang w:eastAsia="en-AU"/>
        </w:rPr>
        <w:t xml:space="preserve">The characteristics of the final landform from the radiological exposure perspective need to be determined and methods need to be developed to minimise radiation exposure to ensure that restrictions on access to the land are minimised. Radon exhalation rates, gamma dose rates and radionuclide concentrations in dust need to be determined and models developed for both near-field and far-field exposure. </w:t>
      </w:r>
    </w:p>
    <w:p w:rsidR="00933FC5" w:rsidRDefault="00933FC5" w:rsidP="00933FC5">
      <w:pPr>
        <w:rPr>
          <w:szCs w:val="16"/>
          <w:lang w:eastAsia="en-AU"/>
        </w:rPr>
      </w:pPr>
      <w:r>
        <w:rPr>
          <w:lang w:eastAsia="en-AU"/>
        </w:rPr>
        <w:t>The use of potential analogue sites for establishing pre-mining radiological conditions at Ranger should be further investigated to provide information on parameters such as pre-mining gamma dose rates, radon exhalation rates, and levels of radioactivity in dust. This information is needed to enable estimates to be made of the likely change in radiation exposure when accessing the rehabilitated site compared to pre-mining conditions.</w:t>
      </w:r>
    </w:p>
    <w:p w:rsidR="00933FC5" w:rsidRDefault="00933FC5" w:rsidP="00933FC5">
      <w:pPr>
        <w:pStyle w:val="Heading3"/>
        <w:rPr>
          <w:lang w:eastAsia="en-AU"/>
        </w:rPr>
      </w:pPr>
      <w:bookmarkStart w:id="390" w:name="_Toc209513836"/>
      <w:bookmarkStart w:id="391" w:name="_Toc209842564"/>
      <w:bookmarkStart w:id="392" w:name="_Toc226268676"/>
      <w:bookmarkStart w:id="393" w:name="_Toc282084799"/>
      <w:bookmarkStart w:id="394" w:name="_Toc316985475"/>
      <w:proofErr w:type="gramStart"/>
      <w:r>
        <w:rPr>
          <w:lang w:eastAsia="en-AU"/>
        </w:rPr>
        <w:t>2.3  Groundwater</w:t>
      </w:r>
      <w:proofErr w:type="gramEnd"/>
      <w:r>
        <w:rPr>
          <w:lang w:eastAsia="en-AU"/>
        </w:rPr>
        <w:t xml:space="preserve"> dispersion</w:t>
      </w:r>
      <w:bookmarkEnd w:id="390"/>
      <w:bookmarkEnd w:id="391"/>
      <w:bookmarkEnd w:id="392"/>
      <w:bookmarkEnd w:id="393"/>
      <w:bookmarkEnd w:id="394"/>
    </w:p>
    <w:p w:rsidR="00933FC5" w:rsidRDefault="00933FC5" w:rsidP="00933FC5">
      <w:pPr>
        <w:pStyle w:val="Heading4"/>
        <w:rPr>
          <w:lang w:eastAsia="en-AU"/>
        </w:rPr>
      </w:pPr>
      <w:bookmarkStart w:id="395" w:name="_Toc226268677"/>
      <w:proofErr w:type="gramStart"/>
      <w:r>
        <w:rPr>
          <w:lang w:eastAsia="en-AU"/>
        </w:rPr>
        <w:t>2.3.1  Containment</w:t>
      </w:r>
      <w:proofErr w:type="gramEnd"/>
      <w:r>
        <w:rPr>
          <w:lang w:eastAsia="en-AU"/>
        </w:rPr>
        <w:t xml:space="preserve"> of tailings and other mine wastes</w:t>
      </w:r>
      <w:bookmarkEnd w:id="395"/>
    </w:p>
    <w:p w:rsidR="00933FC5" w:rsidRDefault="00933FC5" w:rsidP="00933FC5">
      <w:pPr>
        <w:rPr>
          <w:lang w:eastAsia="en-AU"/>
        </w:rPr>
      </w:pPr>
      <w:r>
        <w:rPr>
          <w:lang w:eastAsia="en-AU"/>
        </w:rPr>
        <w:t>The primary method for protection of the environment from dispersion of contaminants from tailings and other wastes will be containment. For this purpose, investigations are required on the hydrogeological integrity of the pits, the long-term geotechnical properties of tailings and waste rock fill in mine voids, tailings deposition and transfer (including TD to Pit #3) methods, geochemical and geotechnical assessment of potential barrier materials, and strategies and technologies to access and ‘seal’ the surface of the tailings mass, drain and dispose of tailings porewater, backfill and cap the remaining pit void.</w:t>
      </w:r>
    </w:p>
    <w:p w:rsidR="00933FC5" w:rsidRDefault="00933FC5" w:rsidP="00933FC5">
      <w:pPr>
        <w:pStyle w:val="Heading4"/>
        <w:rPr>
          <w:lang w:eastAsia="en-AU"/>
        </w:rPr>
      </w:pPr>
      <w:bookmarkStart w:id="396" w:name="_Toc226268678"/>
      <w:proofErr w:type="gramStart"/>
      <w:r>
        <w:rPr>
          <w:lang w:eastAsia="en-AU"/>
        </w:rPr>
        <w:t>2.3.2  Geochemical</w:t>
      </w:r>
      <w:proofErr w:type="gramEnd"/>
      <w:r>
        <w:rPr>
          <w:lang w:eastAsia="en-AU"/>
        </w:rPr>
        <w:t xml:space="preserve"> characterisation of source terms</w:t>
      </w:r>
      <w:bookmarkEnd w:id="396"/>
    </w:p>
    <w:p w:rsidR="00933FC5" w:rsidRDefault="00933FC5" w:rsidP="00933FC5">
      <w:pPr>
        <w:rPr>
          <w:lang w:eastAsia="en-AU"/>
        </w:rPr>
      </w:pPr>
      <w:r>
        <w:rPr>
          <w:lang w:eastAsia="en-AU"/>
        </w:rPr>
        <w:t>Investigations are needed to characterise the source term for transport of contaminants from the tailings mass in groundwater. These will include determination of the permeability of the tailings and its variation through the tailings mass, strategies and technologies to enhance settled density and accelerate consolidation of tailings, and porewater concentrations of key constituents.</w:t>
      </w:r>
    </w:p>
    <w:p w:rsidR="00933FC5" w:rsidRDefault="00933FC5" w:rsidP="00933FC5">
      <w:pPr>
        <w:rPr>
          <w:lang w:eastAsia="en-AU"/>
        </w:rPr>
      </w:pPr>
      <w:r>
        <w:rPr>
          <w:lang w:eastAsia="en-AU"/>
        </w:rPr>
        <w:t>There is a specific need to address the existence of groundwater mounds under the tailings dam and waste rock stockpiles. Models are needed to predict the behaviour of groundwater and solute transport in the vicinity of these mounds and options developed for their remediation to ensure that on-site revegetation can be achieved and that off-site solute transport from the mounds will meet environmental protection objectives. Assessment is also needed of the effectiveness (cost and environmental significance) of paste and cementation technologies for increasing tailings density and reducing the solubility of chemical constituents in tailings.</w:t>
      </w:r>
    </w:p>
    <w:p w:rsidR="00933FC5" w:rsidRDefault="00933FC5" w:rsidP="00933FC5">
      <w:pPr>
        <w:pStyle w:val="Heading4"/>
        <w:rPr>
          <w:lang w:eastAsia="en-AU"/>
        </w:rPr>
      </w:pPr>
      <w:bookmarkStart w:id="397" w:name="_Toc226268679"/>
      <w:proofErr w:type="gramStart"/>
      <w:r>
        <w:rPr>
          <w:lang w:eastAsia="en-AU"/>
        </w:rPr>
        <w:t>2.3.3  Aquifer</w:t>
      </w:r>
      <w:proofErr w:type="gramEnd"/>
      <w:r>
        <w:rPr>
          <w:lang w:eastAsia="en-AU"/>
        </w:rPr>
        <w:t xml:space="preserve"> characterisation and whole-of-site model</w:t>
      </w:r>
      <w:bookmarkEnd w:id="397"/>
    </w:p>
    <w:p w:rsidR="00933FC5" w:rsidRDefault="00933FC5" w:rsidP="00933FC5">
      <w:pPr>
        <w:rPr>
          <w:lang w:eastAsia="en-AU"/>
        </w:rPr>
      </w:pPr>
      <w:r>
        <w:rPr>
          <w:lang w:eastAsia="en-AU"/>
        </w:rPr>
        <w:t>The aquifers surrounding the tailings repositories (Pits 1 &amp; 3) need to be characterised to enable modelling of the dispersion of contaminants from the repositories. This will involve geophysics surveys, geotechnical drilling and groundwater monitoring and investigations on the interactions between the deep and shallow aquifers.</w:t>
      </w:r>
    </w:p>
    <w:p w:rsidR="00933FC5" w:rsidRDefault="00933FC5" w:rsidP="00933FC5">
      <w:pPr>
        <w:pStyle w:val="Heading4"/>
        <w:rPr>
          <w:lang w:eastAsia="en-AU"/>
        </w:rPr>
      </w:pPr>
      <w:bookmarkStart w:id="398" w:name="_Toc226268680"/>
      <w:proofErr w:type="gramStart"/>
      <w:r>
        <w:rPr>
          <w:lang w:eastAsia="en-AU"/>
        </w:rPr>
        <w:t>2.3.4  Hydrological</w:t>
      </w:r>
      <w:proofErr w:type="gramEnd"/>
      <w:r>
        <w:rPr>
          <w:lang w:eastAsia="en-AU"/>
        </w:rPr>
        <w:t>/hydrogeochemical modelling</w:t>
      </w:r>
      <w:bookmarkEnd w:id="398"/>
    </w:p>
    <w:p w:rsidR="00933FC5" w:rsidRDefault="00933FC5" w:rsidP="00933FC5">
      <w:pPr>
        <w:rPr>
          <w:lang w:eastAsia="en-AU"/>
        </w:rPr>
      </w:pPr>
      <w:r>
        <w:rPr>
          <w:lang w:eastAsia="en-AU"/>
        </w:rPr>
        <w:t>Predictive hydrological/hydrogeological models need to be developed, tested and applied to assess the dispersion of contaminants from the tailings repositories over a period of 10 000 years. These models will be used to assess whether all relevant and appropriate factors have been considered in designing and constructing an in-pit tailings containment system that will prevent environmental detriment in the long term.</w:t>
      </w:r>
    </w:p>
    <w:p w:rsidR="00933FC5" w:rsidRDefault="00933FC5" w:rsidP="00933FC5">
      <w:pPr>
        <w:pStyle w:val="Heading3"/>
        <w:rPr>
          <w:lang w:eastAsia="en-AU"/>
        </w:rPr>
      </w:pPr>
      <w:bookmarkStart w:id="399" w:name="_Toc209513837"/>
      <w:bookmarkStart w:id="400" w:name="_Toc209842565"/>
      <w:bookmarkStart w:id="401" w:name="_Toc226268681"/>
      <w:bookmarkStart w:id="402" w:name="_Toc282084800"/>
      <w:bookmarkStart w:id="403" w:name="_Toc316985476"/>
      <w:proofErr w:type="gramStart"/>
      <w:r>
        <w:rPr>
          <w:lang w:eastAsia="en-AU"/>
        </w:rPr>
        <w:t>2.4  Water</w:t>
      </w:r>
      <w:proofErr w:type="gramEnd"/>
      <w:r>
        <w:rPr>
          <w:lang w:eastAsia="en-AU"/>
        </w:rPr>
        <w:t xml:space="preserve"> treatment</w:t>
      </w:r>
      <w:bookmarkEnd w:id="399"/>
      <w:bookmarkEnd w:id="400"/>
      <w:bookmarkEnd w:id="401"/>
      <w:bookmarkEnd w:id="402"/>
      <w:bookmarkEnd w:id="403"/>
    </w:p>
    <w:p w:rsidR="00933FC5" w:rsidRDefault="00933FC5" w:rsidP="00933FC5">
      <w:pPr>
        <w:pStyle w:val="Heading4"/>
        <w:rPr>
          <w:lang w:eastAsia="en-AU"/>
        </w:rPr>
      </w:pPr>
      <w:bookmarkStart w:id="404" w:name="_Toc226268682"/>
      <w:r>
        <w:rPr>
          <w:lang w:eastAsia="en-AU"/>
        </w:rPr>
        <w:t>2.4.1 Active treatment technologies for specific mine waters</w:t>
      </w:r>
      <w:bookmarkEnd w:id="404"/>
    </w:p>
    <w:p w:rsidR="00933FC5" w:rsidRDefault="00933FC5" w:rsidP="00933FC5">
      <w:pPr>
        <w:rPr>
          <w:lang w:eastAsia="en-AU"/>
        </w:rPr>
      </w:pPr>
      <w:r>
        <w:rPr>
          <w:lang w:eastAsia="en-AU"/>
        </w:rPr>
        <w:t>Substantial volumes of process water retained at Ranger in the tailings dam and Pit 1 must be disposed of by a combination of water treatment and evaporation during the mining and milling phases of the operation and during the rehabilitation phase. Research priorities include treatment technologies and enhanced evaporation technologies that can be implemented for very high salinity process water. A priority should be evaluation of the potential impact of treatment sludge and brine streams on long term tailings chemistry in the context of closure planning and potential post closure impacts on water quality.</w:t>
      </w:r>
    </w:p>
    <w:p w:rsidR="00933FC5" w:rsidRDefault="00933FC5" w:rsidP="00933FC5">
      <w:pPr>
        <w:pStyle w:val="Heading4"/>
        <w:rPr>
          <w:lang w:eastAsia="en-AU"/>
        </w:rPr>
      </w:pPr>
      <w:bookmarkStart w:id="405" w:name="_Toc226268683"/>
      <w:proofErr w:type="gramStart"/>
      <w:r>
        <w:rPr>
          <w:lang w:eastAsia="en-AU"/>
        </w:rPr>
        <w:t>2.4.2  Passive</w:t>
      </w:r>
      <w:proofErr w:type="gramEnd"/>
      <w:r>
        <w:rPr>
          <w:lang w:eastAsia="en-AU"/>
        </w:rPr>
        <w:t xml:space="preserve"> treatment of waters from the rehabilitated landform</w:t>
      </w:r>
      <w:bookmarkEnd w:id="405"/>
    </w:p>
    <w:p w:rsidR="00933FC5" w:rsidRDefault="00933FC5" w:rsidP="00933FC5">
      <w:pPr>
        <w:rPr>
          <w:lang w:eastAsia="en-AU"/>
        </w:rPr>
      </w:pPr>
      <w:r>
        <w:rPr>
          <w:lang w:eastAsia="en-AU"/>
        </w:rPr>
        <w:t xml:space="preserve">Sentinel wetlands may form part of the final landform at Ranger. Research on wetland filters during the operational phase of mining will provide information relevant to this issue. Research is needed to establish the effect of wet-dry seasonal cycling on contaminant retention and release, since this aspect will influence design criteria and whether such wetlands should be maintained as ephemeral or perennial waterbodies There is also the need to assess the long-term behaviour of the physical and biotic components of the wetlands, their ecological health, and the extent of contaminant accumulation (both metals and radionuclides) in the context of potential human exposure routes. </w:t>
      </w:r>
    </w:p>
    <w:p w:rsidR="00933FC5" w:rsidRDefault="00933FC5" w:rsidP="00933FC5">
      <w:pPr>
        <w:pStyle w:val="Heading3"/>
        <w:rPr>
          <w:lang w:eastAsia="en-AU"/>
        </w:rPr>
      </w:pPr>
      <w:bookmarkStart w:id="406" w:name="_Toc209513838"/>
      <w:bookmarkStart w:id="407" w:name="_Toc209842566"/>
      <w:bookmarkStart w:id="408" w:name="_Toc226268684"/>
      <w:bookmarkStart w:id="409" w:name="_Toc282084801"/>
      <w:bookmarkStart w:id="410" w:name="_Toc316985477"/>
      <w:proofErr w:type="gramStart"/>
      <w:r>
        <w:rPr>
          <w:lang w:eastAsia="en-AU"/>
        </w:rPr>
        <w:t>2.5  Ecosystem</w:t>
      </w:r>
      <w:proofErr w:type="gramEnd"/>
      <w:r>
        <w:rPr>
          <w:lang w:eastAsia="en-AU"/>
        </w:rPr>
        <w:t xml:space="preserve"> establishment</w:t>
      </w:r>
      <w:bookmarkEnd w:id="406"/>
      <w:bookmarkEnd w:id="407"/>
      <w:bookmarkEnd w:id="408"/>
      <w:bookmarkEnd w:id="409"/>
      <w:bookmarkEnd w:id="410"/>
    </w:p>
    <w:p w:rsidR="00933FC5" w:rsidRDefault="00933FC5" w:rsidP="00933FC5">
      <w:pPr>
        <w:pStyle w:val="Heading4"/>
        <w:rPr>
          <w:lang w:eastAsia="en-AU"/>
        </w:rPr>
      </w:pPr>
      <w:bookmarkStart w:id="411" w:name="_Toc226268685"/>
      <w:proofErr w:type="gramStart"/>
      <w:r>
        <w:rPr>
          <w:lang w:eastAsia="en-AU"/>
        </w:rPr>
        <w:t>2.5.1  Development</w:t>
      </w:r>
      <w:proofErr w:type="gramEnd"/>
      <w:r>
        <w:rPr>
          <w:lang w:eastAsia="en-AU"/>
        </w:rPr>
        <w:t xml:space="preserve"> and agreement of closure criteria from ecosystem establishment perspective</w:t>
      </w:r>
      <w:bookmarkEnd w:id="411"/>
    </w:p>
    <w:p w:rsidR="00933FC5" w:rsidRDefault="00933FC5" w:rsidP="00933FC5">
      <w:pPr>
        <w:rPr>
          <w:lang w:eastAsia="en-AU"/>
        </w:rPr>
      </w:pPr>
      <w:r>
        <w:rPr>
          <w:lang w:eastAsia="en-AU"/>
        </w:rPr>
        <w:t>Closure criteria need to be established for a range of ecosystem components including surface water quality, flora and fauna. The environmental requirements provide some guidance but characterisation of the analogue ecosystems will be an important step in the process. Consultation on closure criteria with the traditional owners has commenced and it is important that this process continues as more definitive criteria are developed.</w:t>
      </w:r>
    </w:p>
    <w:p w:rsidR="00933FC5" w:rsidRDefault="00933FC5" w:rsidP="00933FC5">
      <w:pPr>
        <w:pStyle w:val="Heading4"/>
        <w:rPr>
          <w:lang w:eastAsia="en-AU"/>
        </w:rPr>
      </w:pPr>
      <w:bookmarkStart w:id="412" w:name="_Toc226268686"/>
      <w:proofErr w:type="gramStart"/>
      <w:r>
        <w:rPr>
          <w:lang w:eastAsia="en-AU"/>
        </w:rPr>
        <w:t>2.5.2  Characterisation</w:t>
      </w:r>
      <w:proofErr w:type="gramEnd"/>
      <w:r>
        <w:rPr>
          <w:lang w:eastAsia="en-AU"/>
        </w:rPr>
        <w:t xml:space="preserve"> of terrestrial and aquatic ecosystem types at analogue sites</w:t>
      </w:r>
      <w:bookmarkEnd w:id="412"/>
    </w:p>
    <w:p w:rsidR="00933FC5" w:rsidRDefault="00933FC5" w:rsidP="00933FC5">
      <w:pPr>
        <w:rPr>
          <w:lang w:eastAsia="en-AU"/>
        </w:rPr>
      </w:pPr>
      <w:r>
        <w:rPr>
          <w:lang w:eastAsia="en-AU"/>
        </w:rPr>
        <w:t xml:space="preserve">Identification and characterisation of analogue ecosystems (target habitats) can assist in defining the rehabilitation objective and developing robust, measurable and ecologically-based closure criteria. The concept of using analogue ecosystems for this purpose has been accepted by ARRTC and the traditional owners. Substantial work has been undertaken on the </w:t>
      </w:r>
      <w:smartTag w:uri="urn:schemas-microsoft-com:office:smarttags" w:element="place">
        <w:smartTag w:uri="urn:schemas-microsoft-com:office:smarttags" w:element="City">
          <w:r>
            <w:rPr>
              <w:lang w:eastAsia="en-AU"/>
            </w:rPr>
            <w:t>Georgetown</w:t>
          </w:r>
        </w:smartTag>
      </w:smartTag>
      <w:r>
        <w:rPr>
          <w:lang w:eastAsia="en-AU"/>
        </w:rPr>
        <w:t xml:space="preserve"> terrestrial analogue ecosystem while there is also a large body of information available on aquatic analogues, including streams and billabongs. Future work on the terrestrial analogue needs to address water and nutrient dynamics, while work on the aquatic analogue will include the development of strategies for restoration of degraded or removed natural waterbodies, Coonjimba and Djalkmara, on site.</w:t>
      </w:r>
    </w:p>
    <w:p w:rsidR="00933FC5" w:rsidRDefault="00933FC5" w:rsidP="00933FC5">
      <w:pPr>
        <w:pStyle w:val="Heading4"/>
        <w:rPr>
          <w:lang w:eastAsia="en-AU"/>
        </w:rPr>
      </w:pPr>
      <w:bookmarkStart w:id="413" w:name="_Toc226268687"/>
      <w:proofErr w:type="gramStart"/>
      <w:r>
        <w:rPr>
          <w:lang w:eastAsia="en-AU"/>
        </w:rPr>
        <w:t>2.5.3  Establishment</w:t>
      </w:r>
      <w:proofErr w:type="gramEnd"/>
      <w:r>
        <w:rPr>
          <w:lang w:eastAsia="en-AU"/>
        </w:rPr>
        <w:t xml:space="preserve"> and sustainability of ecosystems on mine landform</w:t>
      </w:r>
      <w:bookmarkEnd w:id="413"/>
    </w:p>
    <w:p w:rsidR="00933FC5" w:rsidRDefault="00933FC5" w:rsidP="00933FC5">
      <w:pPr>
        <w:rPr>
          <w:spacing w:val="-2"/>
          <w:lang w:eastAsia="en-AU"/>
        </w:rPr>
      </w:pPr>
      <w:r>
        <w:rPr>
          <w:spacing w:val="-2"/>
          <w:lang w:eastAsia="en-AU"/>
        </w:rPr>
        <w:t xml:space="preserve">Research on how the landform, terrestrial and aquatic vegetation, fauna, fauna habitat, and surface hydrology pathways will be reconstructed to address the Environmental Requirements for rehabilitation of the disturbed areas at Ranger is essential. Trial rehabilitation research sites should be established that demonstrate </w:t>
      </w:r>
      <w:proofErr w:type="gramStart"/>
      <w:r>
        <w:rPr>
          <w:spacing w:val="-2"/>
          <w:lang w:eastAsia="en-AU"/>
        </w:rPr>
        <w:t>an ability</w:t>
      </w:r>
      <w:proofErr w:type="gramEnd"/>
      <w:r>
        <w:rPr>
          <w:spacing w:val="-2"/>
          <w:lang w:eastAsia="en-AU"/>
        </w:rPr>
        <w:t xml:space="preserve"> by the mine operator to be able to reconstruct terrestrial and aquatic ecosystems, even if this is at a relatively small scale. Rehabilitation establishment issues that need to be addressed include species selection; seed collection, germination and storage; direct seeding techniques; propagation of species for planting; fertiliser strategies and weathering properties of waste rock. Rehabilitation management issues requiring investigation include the stabilisation of the land surface to erosion by establishment of vegetation, return of fauna; the exclusion of weeds; fire management and the re-establishment of nutrient cycles. The sustainable establishment and efficiency of constructed wetland filters, reinstated waterbodies (</w:t>
      </w:r>
      <w:r w:rsidR="00616DF5">
        <w:rPr>
          <w:spacing w:val="-2"/>
          <w:lang w:eastAsia="en-AU"/>
        </w:rPr>
        <w:t>e.g.</w:t>
      </w:r>
      <w:r>
        <w:rPr>
          <w:spacing w:val="-2"/>
          <w:lang w:eastAsia="en-AU"/>
        </w:rPr>
        <w:t xml:space="preserve"> Djalkmara Billabong) and reconstructed waterways also needs to be considered (see KKN 2.3.2).</w:t>
      </w:r>
    </w:p>
    <w:p w:rsidR="00933FC5" w:rsidRDefault="00933FC5" w:rsidP="00933FC5">
      <w:pPr>
        <w:pStyle w:val="Heading4"/>
        <w:rPr>
          <w:lang w:eastAsia="en-AU"/>
        </w:rPr>
      </w:pPr>
      <w:bookmarkStart w:id="414" w:name="_Toc226268688"/>
      <w:proofErr w:type="gramStart"/>
      <w:r>
        <w:rPr>
          <w:lang w:eastAsia="en-AU"/>
        </w:rPr>
        <w:t>2.5.4  Radiation</w:t>
      </w:r>
      <w:proofErr w:type="gramEnd"/>
      <w:r>
        <w:rPr>
          <w:lang w:eastAsia="en-AU"/>
        </w:rPr>
        <w:t xml:space="preserve"> exposure pathways associated with ecosystem re-establishment</w:t>
      </w:r>
      <w:bookmarkEnd w:id="414"/>
    </w:p>
    <w:p w:rsidR="00933FC5" w:rsidRDefault="00933FC5" w:rsidP="00933FC5">
      <w:pPr>
        <w:rPr>
          <w:szCs w:val="18"/>
          <w:lang w:eastAsia="en-AU"/>
        </w:rPr>
      </w:pPr>
      <w:r>
        <w:rPr>
          <w:lang w:eastAsia="en-AU"/>
        </w:rPr>
        <w:t xml:space="preserve">Radionuclide uptake by terrestrial plants and animals on the rehabilitated ecosystem may have a profound influence on the potential utilisation of the land by the traditional owners. Significant work has been completed on aquatic pathways, particularly the role of freshwater mussels, and this now forms part of the annual monitoring </w:t>
      </w:r>
      <w:r w:rsidR="009F4503">
        <w:rPr>
          <w:lang w:eastAsia="en-AU"/>
        </w:rPr>
        <w:t>programme</w:t>
      </w:r>
      <w:r>
        <w:rPr>
          <w:lang w:eastAsia="en-AU"/>
        </w:rPr>
        <w:t xml:space="preserve">. The focus is now on the terrestrial pathways and deriving concentration factors for bushtucker such as wallabies, fruits and yams. A project investigating the contemporary diet of traditional owners has commenced and needs to be completed. </w:t>
      </w:r>
      <w:r>
        <w:rPr>
          <w:szCs w:val="18"/>
          <w:lang w:eastAsia="en-AU"/>
        </w:rPr>
        <w:t>Models need to be developed that allow exposure pathways to be ranked for currently proposed and future identified land uses, so that identified potentially significant impacts via these pathways can be limited through appropriate design of the rehabilitation process.</w:t>
      </w:r>
    </w:p>
    <w:p w:rsidR="00933FC5" w:rsidRDefault="00933FC5" w:rsidP="00933FC5">
      <w:pPr>
        <w:pStyle w:val="Heading3"/>
        <w:rPr>
          <w:lang w:eastAsia="en-AU"/>
        </w:rPr>
      </w:pPr>
      <w:bookmarkStart w:id="415" w:name="_Toc209513839"/>
      <w:bookmarkStart w:id="416" w:name="_Toc209842567"/>
      <w:bookmarkStart w:id="417" w:name="_Toc226268689"/>
      <w:bookmarkStart w:id="418" w:name="_Toc282084802"/>
      <w:bookmarkStart w:id="419" w:name="_Toc316985478"/>
      <w:proofErr w:type="gramStart"/>
      <w:r>
        <w:rPr>
          <w:lang w:eastAsia="en-AU"/>
        </w:rPr>
        <w:t>2.6  Monitoring</w:t>
      </w:r>
      <w:bookmarkEnd w:id="415"/>
      <w:bookmarkEnd w:id="416"/>
      <w:bookmarkEnd w:id="417"/>
      <w:bookmarkEnd w:id="418"/>
      <w:bookmarkEnd w:id="419"/>
      <w:proofErr w:type="gramEnd"/>
    </w:p>
    <w:p w:rsidR="00933FC5" w:rsidRDefault="00933FC5" w:rsidP="00933FC5">
      <w:pPr>
        <w:pStyle w:val="Heading4"/>
        <w:rPr>
          <w:lang w:eastAsia="en-AU"/>
        </w:rPr>
      </w:pPr>
      <w:bookmarkStart w:id="420" w:name="_Toc226268690"/>
      <w:proofErr w:type="gramStart"/>
      <w:r>
        <w:rPr>
          <w:lang w:eastAsia="en-AU"/>
        </w:rPr>
        <w:t>2.6.1  Monitoring</w:t>
      </w:r>
      <w:proofErr w:type="gramEnd"/>
      <w:r>
        <w:rPr>
          <w:lang w:eastAsia="en-AU"/>
        </w:rPr>
        <w:t xml:space="preserve"> of the rehabilitated landform</w:t>
      </w:r>
      <w:bookmarkEnd w:id="420"/>
    </w:p>
    <w:p w:rsidR="00933FC5" w:rsidRDefault="00933FC5" w:rsidP="00933FC5">
      <w:pPr>
        <w:rPr>
          <w:lang w:eastAsia="en-AU"/>
        </w:rPr>
      </w:pPr>
      <w:r>
        <w:rPr>
          <w:lang w:eastAsia="en-AU"/>
        </w:rPr>
        <w:t>A new management and monitoring regime for the rehabilitated Ranger landform needs to be developed and implemented.</w:t>
      </w:r>
      <w:r>
        <w:rPr>
          <w:b/>
          <w:bCs/>
          <w:i/>
          <w:iCs/>
          <w:lang w:eastAsia="en-AU"/>
        </w:rPr>
        <w:t xml:space="preserve"> </w:t>
      </w:r>
      <w:r>
        <w:rPr>
          <w:lang w:eastAsia="en-AU"/>
        </w:rPr>
        <w:t>It needs to address all relevant aspects of the rehabilitated landform including ground and surface water quality, radiological issues, erosion, flora, fauna, weeds, and fire. The monitoring regime should address the key issues identified by the ecological risk assessment of the rehabilitation phase (KKN 2.7.1).</w:t>
      </w:r>
    </w:p>
    <w:p w:rsidR="00933FC5" w:rsidRDefault="00933FC5" w:rsidP="00933FC5">
      <w:pPr>
        <w:pStyle w:val="Heading4"/>
        <w:rPr>
          <w:lang w:eastAsia="en-AU"/>
        </w:rPr>
      </w:pPr>
      <w:bookmarkStart w:id="421" w:name="_Toc226268691"/>
      <w:proofErr w:type="gramStart"/>
      <w:r>
        <w:rPr>
          <w:lang w:eastAsia="en-AU"/>
        </w:rPr>
        <w:t>2.6.2  Off</w:t>
      </w:r>
      <w:proofErr w:type="gramEnd"/>
      <w:r>
        <w:rPr>
          <w:lang w:eastAsia="en-AU"/>
        </w:rPr>
        <w:t>-site monitoring during and following rehabilitation</w:t>
      </w:r>
      <w:bookmarkEnd w:id="421"/>
    </w:p>
    <w:p w:rsidR="00933FC5" w:rsidRDefault="00933FC5" w:rsidP="00933FC5">
      <w:pPr>
        <w:rPr>
          <w:lang w:eastAsia="en-AU"/>
        </w:rPr>
      </w:pPr>
      <w:r>
        <w:rPr>
          <w:lang w:eastAsia="en-AU"/>
        </w:rPr>
        <w:t xml:space="preserve">Building upon the </w:t>
      </w:r>
      <w:r w:rsidR="009F4503">
        <w:rPr>
          <w:lang w:eastAsia="en-AU"/>
        </w:rPr>
        <w:t>programme</w:t>
      </w:r>
      <w:r>
        <w:rPr>
          <w:lang w:eastAsia="en-AU"/>
        </w:rPr>
        <w:t xml:space="preserve"> developed and implemented for the operational phase of mining, a monitoring regime is also required to assess rehabilitation success with respect to protection of potentially impacted ecosystems and environmental values. This </w:t>
      </w:r>
      <w:r w:rsidR="009F4503">
        <w:rPr>
          <w:lang w:eastAsia="en-AU"/>
        </w:rPr>
        <w:t>programme</w:t>
      </w:r>
      <w:r>
        <w:rPr>
          <w:lang w:eastAsia="en-AU"/>
        </w:rPr>
        <w:t xml:space="preserve"> should address the dispersion of contaminants by surface water, ground water and via the atmosphere. The monitoring regime should address the key issues identified by the ecological risk assessment of the rehabilitation phase (KKN 2.7.1).</w:t>
      </w:r>
    </w:p>
    <w:p w:rsidR="00933FC5" w:rsidRDefault="00933FC5" w:rsidP="00933FC5">
      <w:pPr>
        <w:pStyle w:val="Heading3"/>
        <w:rPr>
          <w:lang w:eastAsia="en-AU"/>
        </w:rPr>
      </w:pPr>
      <w:bookmarkStart w:id="422" w:name="_Toc209513840"/>
      <w:bookmarkStart w:id="423" w:name="_Toc209842568"/>
      <w:bookmarkStart w:id="424" w:name="_Toc226268692"/>
      <w:bookmarkStart w:id="425" w:name="_Toc282084803"/>
      <w:bookmarkStart w:id="426" w:name="_Toc316985479"/>
      <w:proofErr w:type="gramStart"/>
      <w:r>
        <w:rPr>
          <w:lang w:eastAsia="en-AU"/>
        </w:rPr>
        <w:t>2.7  Risk</w:t>
      </w:r>
      <w:proofErr w:type="gramEnd"/>
      <w:r>
        <w:rPr>
          <w:lang w:eastAsia="en-AU"/>
        </w:rPr>
        <w:t xml:space="preserve"> assessment</w:t>
      </w:r>
      <w:bookmarkEnd w:id="422"/>
      <w:bookmarkEnd w:id="423"/>
      <w:bookmarkEnd w:id="424"/>
      <w:bookmarkEnd w:id="425"/>
      <w:bookmarkEnd w:id="426"/>
    </w:p>
    <w:p w:rsidR="00933FC5" w:rsidRDefault="00933FC5" w:rsidP="00933FC5">
      <w:pPr>
        <w:pStyle w:val="Heading4"/>
        <w:rPr>
          <w:lang w:eastAsia="en-AU"/>
        </w:rPr>
      </w:pPr>
      <w:bookmarkStart w:id="427" w:name="_Toc226268693"/>
      <w:proofErr w:type="gramStart"/>
      <w:r>
        <w:rPr>
          <w:lang w:eastAsia="en-AU"/>
        </w:rPr>
        <w:t>2.7.1  Ecological</w:t>
      </w:r>
      <w:proofErr w:type="gramEnd"/>
      <w:r>
        <w:rPr>
          <w:lang w:eastAsia="en-AU"/>
        </w:rPr>
        <w:t xml:space="preserve"> risk assessments of the rehabilitation and post rehabilitation phases</w:t>
      </w:r>
      <w:bookmarkEnd w:id="427"/>
    </w:p>
    <w:p w:rsidR="00933FC5" w:rsidRDefault="00933FC5" w:rsidP="00933FC5">
      <w:r>
        <w:t>In order to place potentially adverse on-site and off-site issues at Ranger during the rehabilitation phase within a risk management context, it is critical that a robust risk assessment framework be developed with stakeholders. The greatest risk is likely to occur in the transition to the rehabilitation phase, when active operational environmental management systems are being progressively replaced by passive management systems. A conceptual model of transport/exposure pathways should be developed for rehabilitation and post rehabilitation regimes and the model should recognise the potential that some environmental stressors from the minesite could affect the park and vice versa. Implicit in this process should be consideration of the effects of extreme events and climate change.</w:t>
      </w:r>
    </w:p>
    <w:p w:rsidR="00933FC5" w:rsidRDefault="00933FC5" w:rsidP="00933FC5">
      <w:r>
        <w:t xml:space="preserve">Conceptual modelling should be followed by a screening process to identify and prioritise key risks for further qualitative and/or quantitative assessments. The conceptual model should be linked to closure criteria and post-rehabilitation monitoring </w:t>
      </w:r>
      <w:r w:rsidR="009F4503">
        <w:t>programme</w:t>
      </w:r>
      <w:r>
        <w:t>s, and be continually tested and improved. Where appropriate, risk assessments should be incorporated into decision making processes for the closure plan. Outputs and all uncertainties from this risk assessment process should be effectively communicated to stakeholders.</w:t>
      </w:r>
    </w:p>
    <w:p w:rsidR="00933FC5" w:rsidRDefault="00933FC5" w:rsidP="00933FC5">
      <w:pPr>
        <w:pStyle w:val="Heading3"/>
        <w:rPr>
          <w:lang w:eastAsia="en-AU"/>
        </w:rPr>
      </w:pPr>
      <w:bookmarkStart w:id="428" w:name="_Toc209513841"/>
      <w:bookmarkStart w:id="429" w:name="_Toc209842569"/>
      <w:bookmarkStart w:id="430" w:name="_Toc226268694"/>
      <w:bookmarkStart w:id="431" w:name="_Toc282084804"/>
      <w:bookmarkStart w:id="432" w:name="_Toc316985480"/>
      <w:proofErr w:type="gramStart"/>
      <w:r>
        <w:rPr>
          <w:lang w:eastAsia="en-AU"/>
        </w:rPr>
        <w:t>2.8  Stewardship</w:t>
      </w:r>
      <w:bookmarkEnd w:id="428"/>
      <w:bookmarkEnd w:id="429"/>
      <w:bookmarkEnd w:id="430"/>
      <w:bookmarkEnd w:id="431"/>
      <w:bookmarkEnd w:id="432"/>
      <w:proofErr w:type="gramEnd"/>
    </w:p>
    <w:p w:rsidR="00933FC5" w:rsidRDefault="00933FC5" w:rsidP="00933FC5">
      <w:r>
        <w:rPr>
          <w:lang w:eastAsia="en-AU"/>
        </w:rPr>
        <w:t xml:space="preserve">The concept of Stewardship (including ownership and caring for the land) is somewhat broader and applies to all phases of, in this case, uranium mining. In this context it is considered to be the post closure phase of management of the site, </w:t>
      </w:r>
      <w:r w:rsidR="00616DF5">
        <w:rPr>
          <w:lang w:eastAsia="en-AU"/>
        </w:rPr>
        <w:t>i.e.</w:t>
      </w:r>
      <w:r>
        <w:rPr>
          <w:lang w:eastAsia="en-AU"/>
        </w:rPr>
        <w:t xml:space="preserve"> after relinquishment of the lease. If the rehabilitation phase is successful in meeting all objectives then this stewardship will effectively comprise an appropriate level of ongoing monitoring to confirm this. Should divergence from acceptable environmental outcomes be detected then some form of intervention is likely to be required. The nature, responsibility for, and duration of, the monitoring and any necessary intervention work remains to be determined</w:t>
      </w:r>
      <w:r>
        <w:t>.</w:t>
      </w:r>
    </w:p>
    <w:p w:rsidR="00933FC5" w:rsidRDefault="00933FC5" w:rsidP="00933FC5">
      <w:pPr>
        <w:pStyle w:val="Heading2"/>
        <w:rPr>
          <w:lang w:eastAsia="en-AU"/>
        </w:rPr>
      </w:pPr>
      <w:bookmarkStart w:id="433" w:name="_Toc209513842"/>
      <w:bookmarkStart w:id="434" w:name="_Toc209842570"/>
      <w:bookmarkStart w:id="435" w:name="_Toc282084805"/>
      <w:bookmarkStart w:id="436" w:name="_Toc316985481"/>
      <w:proofErr w:type="gramStart"/>
      <w:r>
        <w:rPr>
          <w:lang w:eastAsia="en-AU"/>
        </w:rPr>
        <w:t>3  Jabiluka</w:t>
      </w:r>
      <w:bookmarkEnd w:id="433"/>
      <w:bookmarkEnd w:id="434"/>
      <w:bookmarkEnd w:id="435"/>
      <w:bookmarkEnd w:id="436"/>
      <w:proofErr w:type="gramEnd"/>
    </w:p>
    <w:p w:rsidR="00933FC5" w:rsidRDefault="00933FC5" w:rsidP="00933FC5">
      <w:pPr>
        <w:pStyle w:val="Heading3"/>
        <w:rPr>
          <w:lang w:eastAsia="en-AU"/>
        </w:rPr>
      </w:pPr>
      <w:bookmarkStart w:id="437" w:name="_Toc209513843"/>
      <w:bookmarkStart w:id="438" w:name="_Toc209842571"/>
      <w:bookmarkStart w:id="439" w:name="_Toc226268695"/>
      <w:bookmarkStart w:id="440" w:name="_Toc282084806"/>
      <w:bookmarkStart w:id="441" w:name="_Toc316985482"/>
      <w:proofErr w:type="gramStart"/>
      <w:r>
        <w:rPr>
          <w:lang w:eastAsia="en-AU"/>
        </w:rPr>
        <w:t>3.1  Monitoring</w:t>
      </w:r>
      <w:bookmarkEnd w:id="437"/>
      <w:bookmarkEnd w:id="438"/>
      <w:bookmarkEnd w:id="439"/>
      <w:bookmarkEnd w:id="440"/>
      <w:bookmarkEnd w:id="441"/>
      <w:proofErr w:type="gramEnd"/>
    </w:p>
    <w:p w:rsidR="00933FC5" w:rsidRDefault="00933FC5" w:rsidP="00933FC5">
      <w:pPr>
        <w:pStyle w:val="Heading4"/>
        <w:rPr>
          <w:lang w:eastAsia="en-AU"/>
        </w:rPr>
      </w:pPr>
      <w:bookmarkStart w:id="442" w:name="_Toc226268696"/>
      <w:proofErr w:type="gramStart"/>
      <w:r>
        <w:rPr>
          <w:lang w:eastAsia="en-AU"/>
        </w:rPr>
        <w:t>3.1.1  Monitoring</w:t>
      </w:r>
      <w:proofErr w:type="gramEnd"/>
      <w:r>
        <w:rPr>
          <w:lang w:eastAsia="en-AU"/>
        </w:rPr>
        <w:t xml:space="preserve"> during the care and maintenance phase</w:t>
      </w:r>
      <w:bookmarkEnd w:id="442"/>
    </w:p>
    <w:p w:rsidR="00933FC5" w:rsidRDefault="00933FC5" w:rsidP="00933FC5">
      <w:pPr>
        <w:rPr>
          <w:lang w:eastAsia="en-AU"/>
        </w:rPr>
      </w:pPr>
      <w:r>
        <w:rPr>
          <w:lang w:eastAsia="en-AU"/>
        </w:rPr>
        <w:t xml:space="preserve">A monitoring regime for Jabiluka during the care and maintenance phase needs to be implemented and regularly reviewed. The monitoring </w:t>
      </w:r>
      <w:r w:rsidR="009F4503">
        <w:rPr>
          <w:lang w:eastAsia="en-AU"/>
        </w:rPr>
        <w:t>programme</w:t>
      </w:r>
      <w:r>
        <w:rPr>
          <w:lang w:eastAsia="en-AU"/>
        </w:rPr>
        <w:t xml:space="preserve"> (addressing chemical, biological, sedimentalogical and radiological issues) should be commensurate with the environmental risks posed by the site, but should also serve as a component of any </w:t>
      </w:r>
      <w:r w:rsidR="009F4503">
        <w:rPr>
          <w:lang w:eastAsia="en-AU"/>
        </w:rPr>
        <w:t>programme</w:t>
      </w:r>
      <w:r>
        <w:rPr>
          <w:lang w:eastAsia="en-AU"/>
        </w:rPr>
        <w:t xml:space="preserve"> to collect baseline data required before development such as meteorological and sediment load data.</w:t>
      </w:r>
    </w:p>
    <w:p w:rsidR="00933FC5" w:rsidRDefault="00933FC5" w:rsidP="00933FC5">
      <w:pPr>
        <w:pStyle w:val="Heading3"/>
        <w:rPr>
          <w:lang w:eastAsia="en-AU"/>
        </w:rPr>
      </w:pPr>
      <w:bookmarkStart w:id="443" w:name="_Toc209513844"/>
      <w:bookmarkStart w:id="444" w:name="_Toc209842572"/>
      <w:bookmarkStart w:id="445" w:name="_Toc226268697"/>
      <w:bookmarkStart w:id="446" w:name="_Toc282084807"/>
      <w:bookmarkStart w:id="447" w:name="_Toc316985483"/>
      <w:proofErr w:type="gramStart"/>
      <w:r>
        <w:rPr>
          <w:lang w:eastAsia="en-AU"/>
        </w:rPr>
        <w:t>3.2  Research</w:t>
      </w:r>
      <w:bookmarkEnd w:id="443"/>
      <w:bookmarkEnd w:id="444"/>
      <w:bookmarkEnd w:id="445"/>
      <w:bookmarkEnd w:id="446"/>
      <w:bookmarkEnd w:id="447"/>
      <w:proofErr w:type="gramEnd"/>
    </w:p>
    <w:p w:rsidR="00933FC5" w:rsidRDefault="00933FC5" w:rsidP="00933FC5">
      <w:pPr>
        <w:pStyle w:val="Heading4"/>
        <w:rPr>
          <w:lang w:eastAsia="en-AU"/>
        </w:rPr>
      </w:pPr>
      <w:bookmarkStart w:id="448" w:name="_Toc226268698"/>
      <w:proofErr w:type="gramStart"/>
      <w:r>
        <w:rPr>
          <w:lang w:eastAsia="en-AU"/>
        </w:rPr>
        <w:t>3.2.1  Research</w:t>
      </w:r>
      <w:proofErr w:type="gramEnd"/>
      <w:r>
        <w:rPr>
          <w:lang w:eastAsia="en-AU"/>
        </w:rPr>
        <w:t xml:space="preserve"> required prior to any development</w:t>
      </w:r>
      <w:bookmarkEnd w:id="448"/>
    </w:p>
    <w:p w:rsidR="00933FC5" w:rsidRDefault="00933FC5" w:rsidP="00933FC5">
      <w:pPr>
        <w:rPr>
          <w:spacing w:val="-2"/>
          <w:lang w:eastAsia="en-AU"/>
        </w:rPr>
      </w:pPr>
      <w:r>
        <w:rPr>
          <w:spacing w:val="-2"/>
          <w:lang w:eastAsia="en-AU"/>
        </w:rPr>
        <w:t>A review of knowledge needs is required to assess minimum requirements in advance of any development. This review would include radiological data, the groundwater regime (permeabilities, aquifer connectivity etc), hydrometeorological data, waste rock erosion, assess site-specific ecotoxicology for uranium, additional baseline for flora and fauna surveys.</w:t>
      </w:r>
    </w:p>
    <w:p w:rsidR="00933FC5" w:rsidRDefault="00933FC5" w:rsidP="00933FC5">
      <w:pPr>
        <w:pStyle w:val="Heading2"/>
        <w:rPr>
          <w:lang w:eastAsia="en-AU"/>
        </w:rPr>
      </w:pPr>
      <w:bookmarkStart w:id="449" w:name="_Toc209513845"/>
      <w:bookmarkStart w:id="450" w:name="_Toc209842573"/>
      <w:bookmarkStart w:id="451" w:name="_Toc282084808"/>
      <w:bookmarkStart w:id="452" w:name="_Toc316985484"/>
      <w:proofErr w:type="gramStart"/>
      <w:r>
        <w:rPr>
          <w:lang w:eastAsia="en-AU"/>
        </w:rPr>
        <w:t>4  Nabarlek</w:t>
      </w:r>
      <w:bookmarkEnd w:id="449"/>
      <w:bookmarkEnd w:id="450"/>
      <w:bookmarkEnd w:id="451"/>
      <w:bookmarkEnd w:id="452"/>
      <w:proofErr w:type="gramEnd"/>
    </w:p>
    <w:p w:rsidR="00933FC5" w:rsidRDefault="00933FC5" w:rsidP="00933FC5">
      <w:pPr>
        <w:pStyle w:val="Heading3"/>
        <w:rPr>
          <w:lang w:eastAsia="en-AU"/>
        </w:rPr>
      </w:pPr>
      <w:bookmarkStart w:id="453" w:name="_Toc209513846"/>
      <w:bookmarkStart w:id="454" w:name="_Toc209842574"/>
      <w:bookmarkStart w:id="455" w:name="_Toc226268699"/>
      <w:bookmarkStart w:id="456" w:name="_Toc282084809"/>
      <w:bookmarkStart w:id="457" w:name="_Toc316985485"/>
      <w:proofErr w:type="gramStart"/>
      <w:r>
        <w:rPr>
          <w:lang w:eastAsia="en-AU"/>
        </w:rPr>
        <w:t>4.1  Success</w:t>
      </w:r>
      <w:proofErr w:type="gramEnd"/>
      <w:r>
        <w:rPr>
          <w:lang w:eastAsia="en-AU"/>
        </w:rPr>
        <w:t xml:space="preserve"> of revegetation</w:t>
      </w:r>
      <w:bookmarkEnd w:id="453"/>
      <w:bookmarkEnd w:id="454"/>
      <w:bookmarkEnd w:id="455"/>
      <w:bookmarkEnd w:id="456"/>
      <w:bookmarkEnd w:id="457"/>
    </w:p>
    <w:p w:rsidR="00933FC5" w:rsidRDefault="00933FC5" w:rsidP="00933FC5">
      <w:pPr>
        <w:pStyle w:val="Heading4"/>
        <w:rPr>
          <w:lang w:eastAsia="en-AU"/>
        </w:rPr>
      </w:pPr>
      <w:bookmarkStart w:id="458" w:name="_Toc226268700"/>
      <w:proofErr w:type="gramStart"/>
      <w:r>
        <w:rPr>
          <w:lang w:eastAsia="en-AU"/>
        </w:rPr>
        <w:t>4.1.1  Revegetation</w:t>
      </w:r>
      <w:proofErr w:type="gramEnd"/>
      <w:r>
        <w:rPr>
          <w:lang w:eastAsia="en-AU"/>
        </w:rPr>
        <w:t xml:space="preserve"> assessment</w:t>
      </w:r>
      <w:bookmarkEnd w:id="458"/>
    </w:p>
    <w:p w:rsidR="00933FC5" w:rsidRDefault="00933FC5" w:rsidP="00933FC5">
      <w:pPr>
        <w:rPr>
          <w:lang w:eastAsia="en-AU"/>
        </w:rPr>
      </w:pPr>
      <w:r>
        <w:rPr>
          <w:lang w:eastAsia="en-AU"/>
        </w:rPr>
        <w:t xml:space="preserve">Several assessments of the revegetation at Nabarlek have been undertaken; the most recent being completed by </w:t>
      </w:r>
      <w:r w:rsidRPr="003329CA">
        <w:rPr>
          <w:b/>
          <w:i/>
          <w:sz w:val="26"/>
          <w:szCs w:val="23"/>
          <w:lang w:eastAsia="en-AU"/>
        </w:rPr>
        <w:t>eriss</w:t>
      </w:r>
      <w:r>
        <w:rPr>
          <w:lang w:eastAsia="en-AU"/>
        </w:rPr>
        <w:t>. There is now general agreement that the rehabilitated areas require further work. Revised closure criteria are currently being developed through the minesite technical committee and these should be reviewed by relevant stakeholders, including ARRTC. The required works should then be completed on site with further monitoring leading to the relinquishment of the lease.</w:t>
      </w:r>
    </w:p>
    <w:p w:rsidR="00933FC5" w:rsidRDefault="00933FC5" w:rsidP="00933FC5">
      <w:pPr>
        <w:pStyle w:val="Heading4"/>
        <w:rPr>
          <w:lang w:eastAsia="en-AU"/>
        </w:rPr>
      </w:pPr>
      <w:bookmarkStart w:id="459" w:name="_Toc226268701"/>
      <w:proofErr w:type="gramStart"/>
      <w:r>
        <w:rPr>
          <w:lang w:eastAsia="en-AU"/>
        </w:rPr>
        <w:t>4.1.2  Development</w:t>
      </w:r>
      <w:proofErr w:type="gramEnd"/>
      <w:r>
        <w:rPr>
          <w:lang w:eastAsia="en-AU"/>
        </w:rPr>
        <w:t xml:space="preserve"> of revegetation monitoring method</w:t>
      </w:r>
      <w:bookmarkEnd w:id="459"/>
    </w:p>
    <w:p w:rsidR="00933FC5" w:rsidRDefault="00933FC5" w:rsidP="00933FC5">
      <w:pPr>
        <w:rPr>
          <w:lang w:eastAsia="en-AU"/>
        </w:rPr>
      </w:pPr>
      <w:r>
        <w:rPr>
          <w:lang w:eastAsia="en-AU"/>
        </w:rPr>
        <w:t>A methodology and monitoring regime for the assessment of revegetation success at Nabarlek needs to be developed and implemented. Currently, resource intensive detailed vegetation and soil characterisation assessments along transects located randomly within characteristic areas of the rehabilitated landform are being undertaken. Whilst statistically valid, these assessments cover only a very small proportion of the site. Remote sensing (satellite) data are also being collected and the efficacy of remote sensing techniques for vegetation assessment in comparison to ground survey methods should continue. The outcomes of this research will be very relevant to Ranger.</w:t>
      </w:r>
    </w:p>
    <w:p w:rsidR="00933FC5" w:rsidRDefault="00933FC5" w:rsidP="00933FC5">
      <w:pPr>
        <w:pStyle w:val="Heading3"/>
        <w:rPr>
          <w:lang w:eastAsia="en-AU"/>
        </w:rPr>
      </w:pPr>
      <w:bookmarkStart w:id="460" w:name="_Toc209513847"/>
      <w:bookmarkStart w:id="461" w:name="_Toc209842575"/>
      <w:bookmarkStart w:id="462" w:name="_Toc226268702"/>
      <w:bookmarkStart w:id="463" w:name="_Toc282084810"/>
      <w:bookmarkStart w:id="464" w:name="_Toc316985486"/>
      <w:proofErr w:type="gramStart"/>
      <w:r>
        <w:rPr>
          <w:lang w:eastAsia="en-AU"/>
        </w:rPr>
        <w:t>4.2  Assessment</w:t>
      </w:r>
      <w:proofErr w:type="gramEnd"/>
      <w:r>
        <w:rPr>
          <w:lang w:eastAsia="en-AU"/>
        </w:rPr>
        <w:t xml:space="preserve"> of radiological, chemical and geomorphic success of rehabilitation</w:t>
      </w:r>
      <w:bookmarkEnd w:id="460"/>
      <w:bookmarkEnd w:id="461"/>
      <w:bookmarkEnd w:id="462"/>
      <w:bookmarkEnd w:id="463"/>
      <w:bookmarkEnd w:id="464"/>
    </w:p>
    <w:p w:rsidR="00933FC5" w:rsidRDefault="00933FC5" w:rsidP="00933FC5">
      <w:pPr>
        <w:pStyle w:val="Heading4"/>
        <w:rPr>
          <w:lang w:eastAsia="en-AU"/>
        </w:rPr>
      </w:pPr>
      <w:bookmarkStart w:id="465" w:name="_Toc226268703"/>
      <w:proofErr w:type="gramStart"/>
      <w:r>
        <w:rPr>
          <w:lang w:eastAsia="en-AU"/>
        </w:rPr>
        <w:t>4.2.1  Overall</w:t>
      </w:r>
      <w:proofErr w:type="gramEnd"/>
      <w:r>
        <w:rPr>
          <w:lang w:eastAsia="en-AU"/>
        </w:rPr>
        <w:t xml:space="preserve"> assessment of rehabilitation success at Nabarlek</w:t>
      </w:r>
      <w:bookmarkEnd w:id="465"/>
    </w:p>
    <w:p w:rsidR="00511B28" w:rsidRDefault="00933FC5" w:rsidP="00511B28">
      <w:pPr>
        <w:jc w:val="left"/>
        <w:rPr>
          <w:lang w:eastAsia="en-AU"/>
        </w:rPr>
        <w:sectPr w:rsidR="00511B28" w:rsidSect="00D444BD">
          <w:pgSz w:w="11906" w:h="16838" w:code="9"/>
          <w:pgMar w:top="1440" w:right="1800" w:bottom="1440" w:left="1800" w:header="1080" w:footer="835" w:gutter="0"/>
          <w:cols w:space="360"/>
          <w:noEndnote/>
        </w:sectPr>
      </w:pPr>
      <w:r>
        <w:rPr>
          <w:lang w:eastAsia="en-AU"/>
        </w:rPr>
        <w:t xml:space="preserve">The current </w:t>
      </w:r>
      <w:r w:rsidR="009F4503">
        <w:rPr>
          <w:lang w:eastAsia="en-AU"/>
        </w:rPr>
        <w:t>programme</w:t>
      </w:r>
      <w:r>
        <w:rPr>
          <w:lang w:eastAsia="en-AU"/>
        </w:rPr>
        <w:t xml:space="preserve"> on erosion, surface water chemistry, groundwater chemistry and radiological issues should be continued to the extent required to carry out an overall assessment of the success of rehabilitation at Nabarlek. In particular, all significant radiological exposure pathways should be identified and a comprehensive radiation dose model developed. Additional monitoring of ground water plumes is required to allow assessment of potential future groundwater surface water interaction and possible environmental effects.</w:t>
      </w:r>
    </w:p>
    <w:p w:rsidR="00933FC5" w:rsidRDefault="00933FC5" w:rsidP="00933FC5">
      <w:pPr>
        <w:pStyle w:val="Heading2"/>
        <w:rPr>
          <w:lang w:eastAsia="en-AU"/>
        </w:rPr>
      </w:pPr>
      <w:bookmarkStart w:id="466" w:name="_Toc209513848"/>
      <w:bookmarkStart w:id="467" w:name="_Toc209842576"/>
      <w:bookmarkStart w:id="468" w:name="_Toc282084811"/>
      <w:bookmarkStart w:id="469" w:name="_Toc316985487"/>
      <w:proofErr w:type="gramStart"/>
      <w:r>
        <w:rPr>
          <w:lang w:eastAsia="en-AU"/>
        </w:rPr>
        <w:t>5  General</w:t>
      </w:r>
      <w:proofErr w:type="gramEnd"/>
      <w:r>
        <w:rPr>
          <w:lang w:eastAsia="en-AU"/>
        </w:rPr>
        <w:t xml:space="preserve"> Alligator Rivers Region</w:t>
      </w:r>
      <w:bookmarkEnd w:id="466"/>
      <w:bookmarkEnd w:id="467"/>
      <w:bookmarkEnd w:id="468"/>
      <w:bookmarkEnd w:id="469"/>
    </w:p>
    <w:p w:rsidR="00933FC5" w:rsidRDefault="00933FC5" w:rsidP="00933FC5">
      <w:pPr>
        <w:pStyle w:val="Heading3"/>
        <w:spacing w:before="0"/>
        <w:rPr>
          <w:lang w:eastAsia="en-AU"/>
        </w:rPr>
      </w:pPr>
      <w:bookmarkStart w:id="470" w:name="_Toc226268704"/>
      <w:bookmarkStart w:id="471" w:name="_Toc282084812"/>
      <w:bookmarkStart w:id="472" w:name="_Toc316985488"/>
      <w:proofErr w:type="gramStart"/>
      <w:r>
        <w:rPr>
          <w:lang w:eastAsia="en-AU"/>
        </w:rPr>
        <w:t>5.1  Landscape</w:t>
      </w:r>
      <w:proofErr w:type="gramEnd"/>
      <w:r>
        <w:rPr>
          <w:lang w:eastAsia="en-AU"/>
        </w:rPr>
        <w:t xml:space="preserve"> scale analysis of impact</w:t>
      </w:r>
      <w:bookmarkEnd w:id="470"/>
      <w:bookmarkEnd w:id="471"/>
      <w:bookmarkEnd w:id="472"/>
    </w:p>
    <w:p w:rsidR="00933FC5" w:rsidRDefault="00933FC5" w:rsidP="00933FC5">
      <w:pPr>
        <w:pStyle w:val="Heading4"/>
        <w:rPr>
          <w:lang w:eastAsia="en-AU"/>
        </w:rPr>
      </w:pPr>
      <w:bookmarkStart w:id="473" w:name="_Toc226268705"/>
      <w:r>
        <w:rPr>
          <w:lang w:eastAsia="en-AU"/>
        </w:rPr>
        <w:t>5.1.1  Develop a landscape-scale ecological risk assessment framework for the Magela catchment that incorporates, and places into context, uranium mining activities and relevant regional landscape processes and threats, and that builds on previous work for the Magela floodplain</w:t>
      </w:r>
      <w:bookmarkEnd w:id="473"/>
      <w:r>
        <w:rPr>
          <w:lang w:eastAsia="en-AU"/>
        </w:rPr>
        <w:t xml:space="preserve"> </w:t>
      </w:r>
    </w:p>
    <w:p w:rsidR="00933FC5" w:rsidRPr="00511B28" w:rsidRDefault="00933FC5" w:rsidP="00933FC5">
      <w:pPr>
        <w:rPr>
          <w:spacing w:val="-4"/>
          <w:lang w:eastAsia="en-AU"/>
        </w:rPr>
      </w:pPr>
      <w:r w:rsidRPr="00511B28">
        <w:rPr>
          <w:spacing w:val="-4"/>
          <w:lang w:eastAsia="en-AU"/>
        </w:rPr>
        <w:t xml:space="preserve">Ecological risks associated with uranium mining activities in the ARR, such as current operations (Ranger) and rehabilitation (Nabarlek, Jabiluka, future Ranger, South Alligator Valley), should be assessed within a landscape analysis framework to provide context in relation to more diffuse threats associated with large-scale ecological disturbances, such as invasive species, unmanaged fire, cyclones and climate change. Most key landscape processes occur at regional scales, however the focus will be on the Magela catchment encompassing the RPA. A conceptual model should first be developed to capture links and interactions between multiple risks and assets at multiple scales within the Magela catchment, with risks associated with Ranger mining activities made explicit. The spatially explicit Relative Risk Model will be used to prioritise multiple risks for further qualitative and/or quantitative assessments. The conceptual model and risk assessment framework should be continually tested and improved as part of Best Practice. Where appropriate, risk assessments should be incorporated into decision making processes using advanced risk assessment frameworks such as Bayesian Networks, and all uncertainties made explicit. This risk assessment process should integrate outputs from KKN 1.2.1 (risks from the surface water pathway – Ranger current operations) and the new KKN 2.6.1 (risks associated with rehabilitation) to provide a landscape-scale context for the rehabilitation of Ranger into </w:t>
      </w:r>
      <w:smartTag w:uri="urn:schemas-microsoft-com:office:smarttags" w:element="place">
        <w:smartTag w:uri="urn:schemas-microsoft-com:office:smarttags" w:element="PlaceName">
          <w:r w:rsidRPr="00511B28">
            <w:rPr>
              <w:spacing w:val="-4"/>
              <w:lang w:eastAsia="en-AU"/>
            </w:rPr>
            <w:t>Kakadu</w:t>
          </w:r>
        </w:smartTag>
        <w:r w:rsidRPr="00511B28">
          <w:rPr>
            <w:spacing w:val="-4"/>
            <w:lang w:eastAsia="en-AU"/>
          </w:rPr>
          <w:t xml:space="preserve"> </w:t>
        </w:r>
        <w:smartTag w:uri="urn:schemas-microsoft-com:office:smarttags" w:element="PlaceType">
          <w:r w:rsidRPr="00511B28">
            <w:rPr>
              <w:spacing w:val="-4"/>
              <w:lang w:eastAsia="en-AU"/>
            </w:rPr>
            <w:t>National Park</w:t>
          </w:r>
        </w:smartTag>
      </w:smartTag>
      <w:r w:rsidRPr="00511B28">
        <w:rPr>
          <w:spacing w:val="-4"/>
          <w:lang w:eastAsia="en-AU"/>
        </w:rPr>
        <w:t>, and should be communicated to stakeholders.</w:t>
      </w:r>
    </w:p>
    <w:p w:rsidR="00933FC5" w:rsidRDefault="00933FC5" w:rsidP="00933FC5">
      <w:pPr>
        <w:pStyle w:val="Heading3"/>
        <w:rPr>
          <w:lang w:eastAsia="en-AU"/>
        </w:rPr>
      </w:pPr>
      <w:bookmarkStart w:id="474" w:name="_Toc209513849"/>
      <w:bookmarkStart w:id="475" w:name="_Toc209842577"/>
      <w:bookmarkStart w:id="476" w:name="_Toc226268706"/>
      <w:bookmarkStart w:id="477" w:name="_Toc282084813"/>
      <w:bookmarkStart w:id="478" w:name="_Toc316985489"/>
      <w:proofErr w:type="gramStart"/>
      <w:r>
        <w:rPr>
          <w:lang w:eastAsia="en-AU"/>
        </w:rPr>
        <w:t xml:space="preserve">5.2  </w:t>
      </w:r>
      <w:smartTag w:uri="urn:schemas-microsoft-com:office:smarttags" w:element="place">
        <w:r>
          <w:rPr>
            <w:lang w:eastAsia="en-AU"/>
          </w:rPr>
          <w:t>South</w:t>
        </w:r>
        <w:proofErr w:type="gramEnd"/>
        <w:r>
          <w:rPr>
            <w:lang w:eastAsia="en-AU"/>
          </w:rPr>
          <w:t xml:space="preserve"> </w:t>
        </w:r>
        <w:smartTag w:uri="urn:schemas-microsoft-com:office:smarttags" w:element="PlaceName">
          <w:r>
            <w:rPr>
              <w:lang w:eastAsia="en-AU"/>
            </w:rPr>
            <w:t>Alligator</w:t>
          </w:r>
        </w:smartTag>
        <w:r>
          <w:rPr>
            <w:lang w:eastAsia="en-AU"/>
          </w:rPr>
          <w:t xml:space="preserve"> </w:t>
        </w:r>
        <w:smartTag w:uri="urn:schemas-microsoft-com:office:smarttags" w:element="PlaceType">
          <w:r>
            <w:rPr>
              <w:lang w:eastAsia="en-AU"/>
            </w:rPr>
            <w:t>River</w:t>
          </w:r>
        </w:smartTag>
      </w:smartTag>
      <w:r>
        <w:rPr>
          <w:lang w:eastAsia="en-AU"/>
        </w:rPr>
        <w:t xml:space="preserve"> valley rehabilitation</w:t>
      </w:r>
      <w:bookmarkEnd w:id="474"/>
      <w:bookmarkEnd w:id="475"/>
      <w:bookmarkEnd w:id="476"/>
      <w:bookmarkEnd w:id="477"/>
      <w:bookmarkEnd w:id="478"/>
    </w:p>
    <w:p w:rsidR="00933FC5" w:rsidRDefault="00933FC5" w:rsidP="00933FC5">
      <w:pPr>
        <w:pStyle w:val="Heading4"/>
        <w:rPr>
          <w:lang w:eastAsia="en-AU"/>
        </w:rPr>
      </w:pPr>
      <w:bookmarkStart w:id="479" w:name="_Toc226268707"/>
      <w:proofErr w:type="gramStart"/>
      <w:r>
        <w:rPr>
          <w:lang w:eastAsia="en-AU"/>
        </w:rPr>
        <w:t>5.2.1  Assessment</w:t>
      </w:r>
      <w:proofErr w:type="gramEnd"/>
      <w:r>
        <w:rPr>
          <w:lang w:eastAsia="en-AU"/>
        </w:rPr>
        <w:t xml:space="preserve"> of past mining and milling sites in the </w:t>
      </w:r>
      <w:smartTag w:uri="urn:schemas-microsoft-com:office:smarttags" w:element="place">
        <w:smartTag w:uri="urn:schemas-microsoft-com:office:smarttags" w:element="PlaceName">
          <w:r>
            <w:rPr>
              <w:lang w:eastAsia="en-AU"/>
            </w:rPr>
            <w:t>South</w:t>
          </w:r>
        </w:smartTag>
        <w:r>
          <w:rPr>
            <w:lang w:eastAsia="en-AU"/>
          </w:rPr>
          <w:t xml:space="preserve"> </w:t>
        </w:r>
        <w:smartTag w:uri="urn:schemas-microsoft-com:office:smarttags" w:element="PlaceName">
          <w:r>
            <w:rPr>
              <w:lang w:eastAsia="en-AU"/>
            </w:rPr>
            <w:t>Alligator</w:t>
          </w:r>
        </w:smartTag>
        <w:r>
          <w:rPr>
            <w:lang w:eastAsia="en-AU"/>
          </w:rPr>
          <w:t xml:space="preserve"> </w:t>
        </w:r>
        <w:smartTag w:uri="urn:schemas-microsoft-com:office:smarttags" w:element="PlaceType">
          <w:r>
            <w:rPr>
              <w:lang w:eastAsia="en-AU"/>
            </w:rPr>
            <w:t>River</w:t>
          </w:r>
        </w:smartTag>
      </w:smartTag>
      <w:r>
        <w:rPr>
          <w:lang w:eastAsia="en-AU"/>
        </w:rPr>
        <w:t xml:space="preserve"> valley</w:t>
      </w:r>
      <w:bookmarkEnd w:id="479"/>
    </w:p>
    <w:p w:rsidR="00933FC5" w:rsidRDefault="00933FC5" w:rsidP="00933FC5">
      <w:pPr>
        <w:rPr>
          <w:lang w:eastAsia="en-AU"/>
        </w:rPr>
      </w:pPr>
      <w:r>
        <w:rPr>
          <w:lang w:eastAsia="en-AU"/>
        </w:rPr>
        <w:t xml:space="preserve">SSD conducts regular assessments of the status of minesites in the SAR valley, provides advice to Parks Australia on technical issues associated with its rehabilitation </w:t>
      </w:r>
      <w:r w:rsidR="009F4503">
        <w:rPr>
          <w:lang w:eastAsia="en-AU"/>
        </w:rPr>
        <w:t>programme</w:t>
      </w:r>
      <w:r>
        <w:rPr>
          <w:lang w:eastAsia="en-AU"/>
        </w:rPr>
        <w:t xml:space="preserve"> and conducts a low level radiological monitoring </w:t>
      </w:r>
      <w:r w:rsidR="009F4503">
        <w:rPr>
          <w:lang w:eastAsia="en-AU"/>
        </w:rPr>
        <w:t>programme</w:t>
      </w:r>
      <w:r>
        <w:rPr>
          <w:lang w:eastAsia="en-AU"/>
        </w:rPr>
        <w:t>. This work should continue.</w:t>
      </w:r>
    </w:p>
    <w:p w:rsidR="00933FC5" w:rsidRDefault="00933FC5" w:rsidP="00933FC5">
      <w:pPr>
        <w:pStyle w:val="Heading3"/>
        <w:rPr>
          <w:lang w:eastAsia="en-AU"/>
        </w:rPr>
      </w:pPr>
      <w:bookmarkStart w:id="480" w:name="_Toc209513850"/>
      <w:bookmarkStart w:id="481" w:name="_Toc209842578"/>
      <w:bookmarkStart w:id="482" w:name="_Toc226268708"/>
      <w:bookmarkStart w:id="483" w:name="_Toc282084814"/>
      <w:bookmarkStart w:id="484" w:name="_Toc316985490"/>
      <w:proofErr w:type="gramStart"/>
      <w:r>
        <w:rPr>
          <w:lang w:eastAsia="en-AU"/>
        </w:rPr>
        <w:t>5.3  Develop</w:t>
      </w:r>
      <w:proofErr w:type="gramEnd"/>
      <w:r>
        <w:rPr>
          <w:lang w:eastAsia="en-AU"/>
        </w:rPr>
        <w:t xml:space="preserve"> monitoring </w:t>
      </w:r>
      <w:r w:rsidR="00E16AC4">
        <w:rPr>
          <w:lang w:eastAsia="en-AU"/>
        </w:rPr>
        <w:t>programme</w:t>
      </w:r>
      <w:r>
        <w:rPr>
          <w:lang w:eastAsia="en-AU"/>
        </w:rPr>
        <w:t xml:space="preserve"> related to </w:t>
      </w:r>
      <w:smartTag w:uri="urn:schemas-microsoft-com:office:smarttags" w:element="place">
        <w:r>
          <w:rPr>
            <w:lang w:eastAsia="en-AU"/>
          </w:rPr>
          <w:t>West Arnhem Land</w:t>
        </w:r>
      </w:smartTag>
      <w:r>
        <w:rPr>
          <w:lang w:eastAsia="en-AU"/>
        </w:rPr>
        <w:t xml:space="preserve"> exploration activities</w:t>
      </w:r>
      <w:bookmarkEnd w:id="480"/>
      <w:bookmarkEnd w:id="481"/>
      <w:bookmarkEnd w:id="482"/>
      <w:bookmarkEnd w:id="483"/>
      <w:bookmarkEnd w:id="484"/>
    </w:p>
    <w:p w:rsidR="00933FC5" w:rsidRDefault="00933FC5" w:rsidP="00933FC5">
      <w:pPr>
        <w:pStyle w:val="Heading4"/>
        <w:rPr>
          <w:lang w:eastAsia="en-AU"/>
        </w:rPr>
      </w:pPr>
      <w:bookmarkStart w:id="485" w:name="_Toc226268709"/>
      <w:proofErr w:type="gramStart"/>
      <w:r>
        <w:rPr>
          <w:lang w:eastAsia="en-AU"/>
        </w:rPr>
        <w:t>5.3.1  Baseline</w:t>
      </w:r>
      <w:proofErr w:type="gramEnd"/>
      <w:r>
        <w:rPr>
          <w:lang w:eastAsia="en-AU"/>
        </w:rPr>
        <w:t xml:space="preserve"> studies for biological assessment in </w:t>
      </w:r>
      <w:smartTag w:uri="urn:schemas-microsoft-com:office:smarttags" w:element="place">
        <w:r>
          <w:rPr>
            <w:lang w:eastAsia="en-AU"/>
          </w:rPr>
          <w:t>West Arnhem Land</w:t>
        </w:r>
      </w:smartTag>
      <w:bookmarkEnd w:id="485"/>
    </w:p>
    <w:p w:rsidR="00933FC5" w:rsidRDefault="00933FC5" w:rsidP="00933FC5">
      <w:pPr>
        <w:rPr>
          <w:b/>
          <w:lang w:eastAsia="en-AU"/>
        </w:rPr>
      </w:pPr>
      <w:r>
        <w:rPr>
          <w:lang w:eastAsia="en-AU"/>
        </w:rPr>
        <w:t xml:space="preserve">ARRTC believes there is a need to determine a baseline for (a) rare, threatened and endemic biota and (b) indicator species or groups such as macroinvertebrates in areas where advanced exploration or proposed mining projects are identified and in line </w:t>
      </w:r>
      <w:r>
        <w:rPr>
          <w:szCs w:val="18"/>
        </w:rPr>
        <w:t>with the current approvals process under the Aboriginal Land Rights Act</w:t>
      </w:r>
      <w:r>
        <w:rPr>
          <w:b/>
          <w:lang w:eastAsia="en-AU"/>
        </w:rPr>
        <w:t>.</w:t>
      </w:r>
    </w:p>
    <w:p w:rsidR="00933FC5" w:rsidRDefault="00933FC5" w:rsidP="00933FC5">
      <w:pPr>
        <w:pStyle w:val="Heading3"/>
        <w:rPr>
          <w:lang w:eastAsia="en-AU"/>
        </w:rPr>
      </w:pPr>
      <w:bookmarkStart w:id="486" w:name="_Toc209513851"/>
      <w:bookmarkStart w:id="487" w:name="_Toc209842579"/>
      <w:bookmarkStart w:id="488" w:name="_Toc226268710"/>
      <w:bookmarkStart w:id="489" w:name="_Toc282084815"/>
      <w:bookmarkStart w:id="490" w:name="_Toc316985491"/>
      <w:proofErr w:type="gramStart"/>
      <w:r>
        <w:rPr>
          <w:lang w:eastAsia="en-AU"/>
        </w:rPr>
        <w:t>5.4  Koongarra</w:t>
      </w:r>
      <w:bookmarkEnd w:id="39"/>
      <w:bookmarkEnd w:id="40"/>
      <w:bookmarkEnd w:id="41"/>
      <w:bookmarkEnd w:id="486"/>
      <w:bookmarkEnd w:id="487"/>
      <w:bookmarkEnd w:id="488"/>
      <w:bookmarkEnd w:id="489"/>
      <w:bookmarkEnd w:id="490"/>
      <w:proofErr w:type="gramEnd"/>
    </w:p>
    <w:p w:rsidR="00933FC5" w:rsidRDefault="00933FC5" w:rsidP="00933FC5">
      <w:pPr>
        <w:pStyle w:val="Heading4"/>
        <w:rPr>
          <w:lang w:eastAsia="en-AU"/>
        </w:rPr>
      </w:pPr>
      <w:bookmarkStart w:id="491" w:name="_Toc226268711"/>
      <w:proofErr w:type="gramStart"/>
      <w:r>
        <w:rPr>
          <w:lang w:eastAsia="en-AU"/>
        </w:rPr>
        <w:t>5.4.1  Baseline</w:t>
      </w:r>
      <w:proofErr w:type="gramEnd"/>
      <w:r>
        <w:rPr>
          <w:lang w:eastAsia="en-AU"/>
        </w:rPr>
        <w:t xml:space="preserve"> monitoring </w:t>
      </w:r>
      <w:r w:rsidR="00E16AC4">
        <w:rPr>
          <w:lang w:eastAsia="en-AU"/>
        </w:rPr>
        <w:t>programme</w:t>
      </w:r>
      <w:r>
        <w:rPr>
          <w:lang w:eastAsia="en-AU"/>
        </w:rPr>
        <w:t xml:space="preserve"> for Koongarra</w:t>
      </w:r>
      <w:bookmarkEnd w:id="491"/>
    </w:p>
    <w:p w:rsidR="00B45B95" w:rsidRPr="00B45B95" w:rsidRDefault="00933FC5" w:rsidP="00511B28">
      <w:r>
        <w:rPr>
          <w:szCs w:val="18"/>
        </w:rPr>
        <w:t xml:space="preserve">In line with the current approvals process under the Aboriginal Land Rights Act, a low level monitoring </w:t>
      </w:r>
      <w:r w:rsidR="00E16AC4">
        <w:rPr>
          <w:szCs w:val="18"/>
        </w:rPr>
        <w:t>programme</w:t>
      </w:r>
      <w:r>
        <w:rPr>
          <w:lang w:eastAsia="en-AU"/>
        </w:rPr>
        <w:t xml:space="preserve"> should be developed for Koongarra to provide baseline data in advance of any possible future development at the site. Data from this </w:t>
      </w:r>
      <w:r w:rsidR="00E16AC4">
        <w:rPr>
          <w:lang w:eastAsia="en-AU"/>
        </w:rPr>
        <w:t>programme</w:t>
      </w:r>
      <w:r>
        <w:rPr>
          <w:lang w:eastAsia="en-AU"/>
        </w:rPr>
        <w:t xml:space="preserve"> could also have some relevance as a control system for comparison to Ranger, Jabiluka and Nabarlek.</w:t>
      </w:r>
    </w:p>
    <w:sectPr w:rsidR="00B45B95" w:rsidRPr="00B45B95" w:rsidSect="00D444BD">
      <w:pgSz w:w="11906" w:h="16838" w:code="9"/>
      <w:pgMar w:top="1440" w:right="1800" w:bottom="1440" w:left="1800" w:header="1080" w:footer="835" w:gutter="0"/>
      <w:cols w:space="360"/>
      <w:noEndnote/>
    </w:sectPr>
  </w:body>
</w:document>
</file>

<file path=word/customizations.xml><?xml version="1.0" encoding="utf-8"?>
<wne:tcg xmlns:r="http://schemas.openxmlformats.org/officeDocument/2006/relationships" xmlns:wne="http://schemas.microsoft.com/office/word/2006/wordml">
  <wne:keymaps>
    <wne:keymap wne:kcmPrimary="0259">
      <wne:macro wne:macroName="NORMAL.INSERTEQUATION.MAIN"/>
    </wne:keymap>
    <wne:keymap wne:kcmPrimary="0331">
      <wne:acd wne:acdName="acd0"/>
    </wne:keymap>
    <wne:keymap wne:kcmPrimary="0332">
      <wne:acd wne:acdName="acd1"/>
    </wne:keymap>
    <wne:keymap wne:kcmPrimary="0333">
      <wne:acd wne:acdName="acd2"/>
    </wne:keymap>
    <wne:keymap wne:kcmPrimary="0334">
      <wne:acd wne:acdName="acd3"/>
    </wne:keymap>
    <wne:keymap wne:kcmPrimary="0335">
      <wne:acd wne:acdName="acd4"/>
    </wne:keymap>
    <wne:keymap wne:kcmPrimary="0337">
      <wne:macro wne:macroName="NORMAL.LARGEBULLET.MAIN"/>
    </wne:keymap>
    <wne:keymap wne:kcmPrimary="0338">
      <wne:fci wne:fciName="ShowAll" wne:swArg="0000"/>
    </wne:keymap>
    <wne:keymap wne:kcmPrimary="0339">
      <wne:fci wne:fciName="ToolsBulletListDefault" wne:swArg="0000"/>
    </wne:keymap>
    <wne:keymap wne:kcmPrimary="0341">
      <wne:macro wne:macroName="NORMAL.MACRO1.MAIN"/>
    </wne:keymap>
    <wne:keymap wne:kcmPrimary="0342">
      <wne:acd wne:acdName="acd6"/>
    </wne:keymap>
    <wne:keymap wne:kcmPrimary="0343">
      <wne:acd wne:acdName="acd7"/>
    </wne:keymap>
    <wne:keymap wne:kcmPrimary="0344">
      <wne:macro wne:macroName="NORMAL.MACRO2.MAIN"/>
    </wne:keymap>
    <wne:keymap wne:kcmPrimary="0345">
      <wne:macro wne:macroName="NORMAL.ENDASH.MAIN"/>
    </wne:keymap>
    <wne:keymap wne:kcmPrimary="0346">
      <wne:macro wne:macroName="NORMAL.FILENAME.MAIN"/>
    </wne:keymap>
    <wne:keymap wne:kcmPrimary="0348">
      <wne:macro wne:macroName="NORMAL.CHARACTERCONDENSED.MAIN"/>
    </wne:keymap>
    <wne:keymap wne:kcmPrimary="0349">
      <wne:acd wne:acdName="acd9"/>
    </wne:keymap>
    <wne:keymap wne:kcmPrimary="034C">
      <wne:acd wne:acdName="acd10"/>
    </wne:keymap>
    <wne:keymap wne:kcmPrimary="034D">
      <wne:macro wne:macroName="NORMAL.EMDASH.MAIN"/>
    </wne:keymap>
    <wne:keymap wne:kcmPrimary="034E">
      <wne:acd wne:acdName="acd11"/>
    </wne:keymap>
    <wne:keymap wne:kcmPrimary="034F">
      <wne:acd wne:acdName="acd12"/>
    </wne:keymap>
    <wne:keymap wne:kcmPrimary="0350">
      <wne:macro wne:macroName="NORMAL.PATH.MAIN"/>
    </wne:keymap>
    <wne:keymap wne:kcmPrimary="0351">
      <wne:acd wne:acdName="acd13"/>
    </wne:keymap>
    <wne:keymap wne:kcmPrimary="0352">
      <wne:acd wne:acdName="acd14"/>
    </wne:keymap>
    <wne:keymap wne:kcmPrimary="0353">
      <wne:acd wne:acdName="acd15"/>
    </wne:keymap>
    <wne:keymap wne:kcmPrimary="0354">
      <wne:acd wne:acdName="acd16"/>
    </wne:keymap>
    <wne:keymap wne:kcmPrimary="0356">
      <wne:macro wne:macroName="NORMAL.DOCDIRECTORY.MAIN"/>
    </wne:keymap>
    <wne:keymap wne:kcmPrimary="0357">
      <wne:acd wne:acdName="acd17"/>
    </wne:keymap>
    <wne:keymap wne:kcmPrimary="0358">
      <wne:macro wne:macroName="NORMAL.NOSPACEBEFORE.MAIN"/>
    </wne:keymap>
    <wne:keymap wne:kcmPrimary="0359">
      <wne:acd wne:acdName="acd18"/>
    </wne:keymap>
    <wne:keymap wne:kcmPrimary="035A">
      <wne:macro wne:macroName="NORMAL.NOSPACEAFTER.MAIN"/>
    </wne:keymap>
    <wne:keymap wne:kcmPrimary="03BF">
      <wne:macro wne:macroName="NORMAL.TABLETAB1.MAIN"/>
    </wne:keymap>
    <wne:keymap wne:kcmPrimary="03DC">
      <wne:fci wne:fciName="InsertSectionBreak" wne:swArg="0000"/>
    </wne:keymap>
    <wne:keymap wne:kcmPrimary="03DD">
      <wne:macro wne:macroName="NORMAL.TABLETAB3.MAIN"/>
    </wne:keymap>
    <wne:keymap wne:kcmPrimary="03DE">
      <wne:macro wne:macroName="NORMAL.TABLETAB2.MAIN"/>
    </wne:keymap>
    <wne:keymap wne:kcmPrimary="0443">
      <wne:fci wne:fciName="FileClose" wne:swArg="0000"/>
    </wne:keymap>
    <wne:keymap wne:kcmPrimary="0444">
      <wne:fci wne:fciName="InsertDateField" wne:swArg="0000"/>
    </wne:keymap>
    <wne:keymap wne:kcmPrimary="044A">
      <wne:macro wne:macroName="NORMAL.JOURNALREFS.MAIN"/>
    </wne:keymap>
    <wne:keymap wne:kcmPrimary="044C">
      <wne:macro wne:macroName="NORMAL.NEWMACROS.CREATELANDSCAPEPAGE"/>
    </wne:keymap>
    <wne:keymap wne:kcmPrimary="044D">
      <wne:wch wne:val="00002014"/>
    </wne:keymap>
    <wne:keymap wne:kcmPrimary="044E">
      <wne:wch wne:val="00002013"/>
    </wne:keymap>
    <wne:keymap wne:kcmPrimary="0450">
      <wne:acd wne:acdName="acd8"/>
    </wne:keymap>
    <wne:keymap wne:kcmPrimary="0451">
      <wne:macro wne:macroName="NORMAL.NEWMACROS.QUOTEMARKS"/>
    </wne:keymap>
    <wne:keymap wne:kcmPrimary="0452">
      <wne:fci wne:fciName="TableInsertRow" wne:swArg="0000"/>
    </wne:keymap>
    <wne:keymap wne:kcmPrimary="0454" wne:kcmSecondary="0043">
      <wne:fci wne:fciName="TableInsertColumn" wne:swArg="0000"/>
    </wne:keymap>
    <wne:keymap wne:kcmPrimary="04BE">
      <wne:acd wne:acdName="acd5"/>
    </wne:keymap>
    <wne:keymap wne:kcmPrimary="04DC">
      <wne:macro wne:macroName="NORMAL.INSERT4PTTABLEROW.MAIN"/>
    </wne:keymap>
    <wne:keymap wne:kcmPrimary="0544">
      <wne:macro wne:macroName="NORMAL.INSERTDATE.MAIN"/>
    </wne:keymap>
    <wne:keymap wne:kcmPrimary="0642">
      <wne:acd wne:acdName="acd19"/>
    </wne:keymap>
    <wne:keymap wne:kcmPrimary="0644">
      <wne:macro wne:macroName="NORMAL.NEWMACROS.AUTODATE"/>
    </wne:keymap>
    <wne:keymap wne:kcmPrimary="0651">
      <wne:acd wne:acdName="acd20"/>
    </wne:keymap>
    <wne:keymap wne:kcmPrimary="0654">
      <wne:fci wne:fciName="ToolsRevisionMarksToggle" wne:swArg="0000"/>
    </wne:keymap>
    <wne:keymap wne:kcmPrimary="074B">
      <wne:macro wne:macroName="NORMAL.NEWMACROS.PAGENUMBERFOOTER"/>
    </wne:keymap>
  </wne:keymaps>
  <wne:toolbars>
    <wne:acdManifest>
      <wne:acdEntry wne:acdName="acd0"/>
      <wne:acdEntry wne:acdName="acd1"/>
      <wne:acdEntry wne:acdName="acd2"/>
      <wne:acdEntry wne:acdName="acd3"/>
      <wne:acdEntry wne:acdName="acd4"/>
      <wne:acdEntry wne:acdName="acd5"/>
      <wne:acdEntry wne:acdName="acd6"/>
      <wne:acdEntry wne:acdName="acd7"/>
      <wne:acdEntry wne:acdName="acd8"/>
      <wne:acdEntry wne:acdName="acd9"/>
      <wne:acdEntry wne:acdName="acd10"/>
      <wne:acdEntry wne:acdName="acd11"/>
      <wne:acdEntry wne:acdName="acd12"/>
      <wne:acdEntry wne:acdName="acd13"/>
      <wne:acdEntry wne:acdName="acd14"/>
      <wne:acdEntry wne:acdName="acd15"/>
      <wne:acdEntry wne:acdName="acd16"/>
      <wne:acdEntry wne:acdName="acd17"/>
      <wne:acdEntry wne:acdName="acd18"/>
      <wne:acdEntry wne:acdName="acd19"/>
      <wne:acdEntry wne:acdName="acd20"/>
    </wne:acdManifest>
    <wne:toolbarData r:id="rId1"/>
  </wne:toolbars>
  <wne:acds>
    <wne:acd wne:argValue="AQAAAAEA" wne:acdName="acd0" wne:fciIndexBasedOn="0065"/>
    <wne:acd wne:argValue="AQAAAAIA" wne:acdName="acd1" wne:fciIndexBasedOn="0065"/>
    <wne:acd wne:argValue="AQAAAAMA" wne:acdName="acd2" wne:fciIndexBasedOn="0065"/>
    <wne:acd wne:argValue="AQAAAAQA" wne:acdName="acd3" wne:fciIndexBasedOn="0065"/>
    <wne:acd wne:argValue="AQAAAAUA" wne:acdName="acd4" wne:fciIndexBasedOn="0065"/>
    <wne:acd wne:argValue="rgBTAHkAbQBiAG8AbAA=" wne:acdName="acd5" wne:fciBasedOn="Symbol"/>
    <wne:acd wne:argValue="AgB0AGEAYgBsAGUAIABjAGEAcAB0AGkAbwBuAA==" wne:acdName="acd6" wne:fciIndexBasedOn="0065"/>
    <wne:acd wne:argValue="AgBmAGkAZwB1AHIAZQAgAGMAYQBwAHQAaQBvAG4A" wne:acdName="acd7" wne:fciIndexBasedOn="0065"/>
    <wne:acd wne:argValue="YvBTAHkAbQBiAG8AbAA=" wne:acdName="acd8" wne:fciBasedOn="Symbol"/>
    <wne:acd wne:argValue="AgBOAG8AcgBtAGEAbAAgAGwAaQBzAHQAIAAyAA==" wne:acdName="acd9" wne:fciIndexBasedOn="0065"/>
    <wne:acd wne:argValue="AgBOAG8AcgBtAGEAbAAgAGwAaQBzAHQAIAAxAA==" wne:acdName="acd10" wne:fciIndexBasedOn="0065"/>
    <wne:acd wne:argValue="AQAAAAAA" wne:acdName="acd11" wne:fciIndexBasedOn="0065"/>
    <wne:acd wne:argValue="AgBOAG8AcgBtAGEAbAAgAG4AbwAgACMA" wne:acdName="acd12" wne:fciIndexBasedOn="0065"/>
    <wne:acd wne:argValue="AgB0AGEAYgBsAGUAIABuAG8AdABlAA==" wne:acdName="acd13" wne:fciIndexBasedOn="0065"/>
    <wne:acd wne:argValue="AgByAGUAZgBlAHIAZQBuAGMAZQAgAGwAaQBzAHQAIAAxAA==" wne:acdName="acd14" wne:fciIndexBasedOn="0065"/>
    <wne:acd wne:argValue="AgBzAHUAYgBoAGUAYQBkAA==" wne:acdName="acd15" wne:fciIndexBasedOn="0065"/>
    <wne:acd wne:argValue="AgB0AGEAYgBsAGUAIAAxAA==" wne:acdName="acd16" wne:fciIndexBasedOn="0065"/>
    <wne:acd wne:argValue="AgA0ACAAcABvAGkAbgB0ACAAIwA=" wne:acdName="acd17" wne:fciIndexBasedOn="0065"/>
    <wne:acd wne:argValue="AgBiAHkAbABpAG4AZQA=" wne:acdName="acd18" wne:fciIndexBasedOn="0065"/>
    <wne:acd wne:argValue="AgBiAHUAbABsAGUAdAAgAGwAaQBzAHQAIAAxAA==" wne:acdName="acd19" wne:fciIndexBasedOn="0065"/>
    <wne:acd wne:argValue="AgBiAHUAbABsAGUAdAAgAGwAaQBzAHQAIAAyAA==" wne:acdName="acd20" wne:fciIndexBasedOn="0065"/>
  </wne:acds>
</wne:tcg>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F260FF" w:rsidRDefault="00F260FF">
      <w:r>
        <w:separator/>
      </w:r>
    </w:p>
  </w:endnote>
  <w:endnote w:type="continuationSeparator" w:id="0">
    <w:p w:rsidR="00F260FF" w:rsidRDefault="00F260FF">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Garamond">
    <w:panose1 w:val="02020404030301010803"/>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Arial Bold">
    <w:altName w:val="Arial"/>
    <w:panose1 w:val="020B0704020202020204"/>
    <w:charset w:val="00"/>
    <w:family w:val="swiss"/>
    <w:notTrueType/>
    <w:pitch w:val="variable"/>
    <w:sig w:usb0="00000003" w:usb1="00000000" w:usb2="00000000" w:usb3="00000000" w:csb0="00000001" w:csb1="00000000"/>
  </w:font>
  <w:font w:name="ArialMT">
    <w:panose1 w:val="00000000000000000000"/>
    <w:charset w:val="00"/>
    <w:family w:val="swiss"/>
    <w:notTrueType/>
    <w:pitch w:val="default"/>
    <w:sig w:usb0="00000003" w:usb1="00000000" w:usb2="00000000" w:usb3="00000000" w:csb0="00000001" w:csb1="00000000"/>
  </w:font>
  <w:font w:name="Arial Black">
    <w:panose1 w:val="020B0A04020102020204"/>
    <w:charset w:val="00"/>
    <w:family w:val="swiss"/>
    <w:pitch w:val="variable"/>
    <w:sig w:usb0="00000287" w:usb1="00000000" w:usb2="00000000" w:usb3="00000000" w:csb0="0000009F" w:csb1="00000000"/>
  </w:font>
  <w:font w:name="CMR10">
    <w:panose1 w:val="00000000000000000000"/>
    <w:charset w:val="00"/>
    <w:family w:val="auto"/>
    <w:notTrueType/>
    <w:pitch w:val="default"/>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 w:name="TimesNewRoman">
    <w:panose1 w:val="00000000000000000000"/>
    <w:charset w:val="00"/>
    <w:family w:val="roman"/>
    <w:notTrueType/>
    <w:pitch w:val="default"/>
    <w:sig w:usb0="00000003" w:usb1="00000000" w:usb2="00000000" w:usb3="00000000" w:csb0="00000001" w:csb1="00000000"/>
  </w:font>
  <w:font w:name="Helvetica">
    <w:panose1 w:val="020B0604020202020204"/>
    <w:charset w:val="00"/>
    <w:family w:val="swiss"/>
    <w:pitch w:val="variable"/>
    <w:sig w:usb0="E0002AFF" w:usb1="C0007843" w:usb2="00000009"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A7D3E" w:rsidRDefault="006A7D3E">
    <w:pPr>
      <w:pStyle w:val="Footer"/>
    </w:pPr>
  </w:p>
</w:ftr>
</file>

<file path=word/footer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8478222"/>
      <w:docPartObj>
        <w:docPartGallery w:val="Page Numbers (Bottom of Page)"/>
        <w:docPartUnique/>
      </w:docPartObj>
    </w:sdtPr>
    <w:sdtContent>
      <w:p w:rsidR="00F260FF" w:rsidRDefault="00F260FF">
        <w:pPr>
          <w:pStyle w:val="Footer"/>
        </w:pPr>
      </w:p>
      <w:p w:rsidR="00F260FF" w:rsidRDefault="006B5A61">
        <w:pPr>
          <w:pStyle w:val="Footer"/>
        </w:pPr>
        <w:fldSimple w:instr=" PAGE   \* MERGEFORMAT ">
          <w:r w:rsidR="006A7D3E">
            <w:rPr>
              <w:noProof/>
            </w:rPr>
            <w:t>2</w:t>
          </w:r>
        </w:fldSimple>
      </w:p>
    </w:sdtContent>
  </w:sdt>
</w:ftr>
</file>

<file path=word/footer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8478223"/>
      <w:docPartObj>
        <w:docPartGallery w:val="Page Numbers (Bottom of Page)"/>
        <w:docPartUnique/>
      </w:docPartObj>
    </w:sdtPr>
    <w:sdtContent>
      <w:p w:rsidR="00F260FF" w:rsidRDefault="006B5A61">
        <w:pPr>
          <w:pStyle w:val="Footer"/>
        </w:pPr>
        <w:fldSimple w:instr=" PAGE   \* MERGEFORMAT ">
          <w:r w:rsidR="006A7D3E">
            <w:rPr>
              <w:noProof/>
            </w:rPr>
            <w:t>105</w:t>
          </w:r>
        </w:fldSimple>
      </w:p>
    </w:sdtContent>
  </w:sdt>
</w:ftr>
</file>

<file path=word/footer1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260FF" w:rsidRDefault="006B5A61">
    <w:pPr>
      <w:pStyle w:val="Footer"/>
    </w:pPr>
    <w:fldSimple w:instr="PAGE">
      <w:r w:rsidR="00F260FF">
        <w:t>1</w:t>
      </w:r>
    </w:fldSimple>
  </w:p>
</w:ftr>
</file>

<file path=word/footer1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260FF" w:rsidRPr="00795D38" w:rsidRDefault="006B5A61">
    <w:pPr>
      <w:pStyle w:val="Footer"/>
    </w:pPr>
    <w:fldSimple w:instr="PAGE">
      <w:r w:rsidR="006A7D3E">
        <w:rPr>
          <w:noProof/>
        </w:rPr>
        <w:t>113</w:t>
      </w:r>
    </w:fldSimple>
  </w:p>
</w:ftr>
</file>

<file path=word/footer1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260FF" w:rsidRDefault="006B5A61">
    <w:pPr>
      <w:pStyle w:val="Footer"/>
    </w:pPr>
    <w:fldSimple w:instr="PAGE">
      <w:r w:rsidR="00F260FF">
        <w:rPr>
          <w:noProof/>
        </w:rPr>
        <w:t>1</w:t>
      </w:r>
    </w:fldSimple>
  </w:p>
</w:ftr>
</file>

<file path=word/footer1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260FF" w:rsidRDefault="006B5A61">
    <w:pPr>
      <w:pStyle w:val="Footer"/>
    </w:pPr>
    <w:fldSimple w:instr="PAGE">
      <w:r w:rsidR="00F260FF">
        <w:t>1</w:t>
      </w:r>
    </w:fldSimple>
  </w:p>
</w:ftr>
</file>

<file path=word/footer1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260FF" w:rsidRPr="00493492" w:rsidRDefault="006B5A61">
    <w:pPr>
      <w:pStyle w:val="Footer"/>
      <w:rPr>
        <w:szCs w:val="24"/>
      </w:rPr>
    </w:pPr>
    <w:r w:rsidRPr="00493492">
      <w:rPr>
        <w:szCs w:val="24"/>
      </w:rPr>
      <w:fldChar w:fldCharType="begin"/>
    </w:r>
    <w:r w:rsidR="00F260FF" w:rsidRPr="00493492">
      <w:rPr>
        <w:szCs w:val="24"/>
      </w:rPr>
      <w:instrText>PAGE</w:instrText>
    </w:r>
    <w:r w:rsidRPr="00493492">
      <w:rPr>
        <w:szCs w:val="24"/>
      </w:rPr>
      <w:fldChar w:fldCharType="separate"/>
    </w:r>
    <w:r w:rsidR="006A7D3E">
      <w:rPr>
        <w:noProof/>
        <w:szCs w:val="24"/>
      </w:rPr>
      <w:t>191</w:t>
    </w:r>
    <w:r w:rsidRPr="00493492">
      <w:rPr>
        <w:szCs w:val="24"/>
      </w:rPr>
      <w:fldChar w:fldCharType="end"/>
    </w:r>
  </w:p>
</w:ftr>
</file>

<file path=word/footer1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260FF" w:rsidRDefault="006B5A61">
    <w:pPr>
      <w:pStyle w:val="Footer"/>
    </w:pPr>
    <w:fldSimple w:instr="PAGE">
      <w:r w:rsidR="00F260FF">
        <w:rPr>
          <w:noProof/>
        </w:rPr>
        <w:t>1</w:t>
      </w:r>
    </w:fldSimple>
  </w:p>
</w:ftr>
</file>

<file path=word/footer1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260FF" w:rsidRDefault="006B5A61">
    <w:pPr>
      <w:pStyle w:val="Footer"/>
    </w:pPr>
    <w:fldSimple w:instr="PAGE">
      <w:r w:rsidR="00F260FF">
        <w:t>1</w:t>
      </w:r>
    </w:fldSimple>
  </w:p>
</w:ftr>
</file>

<file path=word/footer1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260FF" w:rsidRPr="00493492" w:rsidRDefault="006B5A61">
    <w:pPr>
      <w:pStyle w:val="Footer"/>
      <w:rPr>
        <w:szCs w:val="24"/>
      </w:rPr>
    </w:pPr>
    <w:r w:rsidRPr="00493492">
      <w:rPr>
        <w:szCs w:val="24"/>
      </w:rPr>
      <w:fldChar w:fldCharType="begin"/>
    </w:r>
    <w:r w:rsidR="00F260FF" w:rsidRPr="00493492">
      <w:rPr>
        <w:szCs w:val="24"/>
      </w:rPr>
      <w:instrText>PAGE</w:instrText>
    </w:r>
    <w:r w:rsidRPr="00493492">
      <w:rPr>
        <w:szCs w:val="24"/>
      </w:rPr>
      <w:fldChar w:fldCharType="separate"/>
    </w:r>
    <w:r w:rsidR="006A7D3E">
      <w:rPr>
        <w:noProof/>
        <w:szCs w:val="24"/>
      </w:rPr>
      <w:t>241</w:t>
    </w:r>
    <w:r w:rsidRPr="00493492">
      <w:rPr>
        <w:szCs w:val="24"/>
      </w:rPr>
      <w:fldChar w:fldCharType="end"/>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A7D3E" w:rsidRDefault="006A7D3E">
    <w:pPr>
      <w:pStyle w:val="Footer"/>
    </w:pPr>
  </w:p>
</w:ftr>
</file>

<file path=word/footer2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260FF" w:rsidRDefault="006B5A61">
    <w:pPr>
      <w:pStyle w:val="Footer"/>
    </w:pPr>
    <w:fldSimple w:instr="PAGE">
      <w:r w:rsidR="00F260FF">
        <w:rPr>
          <w:noProof/>
        </w:rPr>
        <w:t>1</w:t>
      </w:r>
    </w:fldSimple>
  </w:p>
</w:ftr>
</file>

<file path=word/footer2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260FF" w:rsidRDefault="006B5A61">
    <w:pPr>
      <w:pStyle w:val="Footer"/>
    </w:pPr>
    <w:fldSimple w:instr="PAGE">
      <w:r w:rsidR="00F260FF">
        <w:t>1</w:t>
      </w:r>
    </w:fldSimple>
  </w:p>
</w:ftr>
</file>

<file path=word/footer2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260FF" w:rsidRDefault="006B5A61">
    <w:pPr>
      <w:pStyle w:val="Footer"/>
    </w:pPr>
    <w:fldSimple w:instr="PAGE">
      <w:r w:rsidR="00F260FF">
        <w:rPr>
          <w:noProof/>
        </w:rPr>
        <w:t>1</w:t>
      </w:r>
    </w:fldSimple>
  </w:p>
</w:ftr>
</file>

<file path=word/footer2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8478224"/>
      <w:docPartObj>
        <w:docPartGallery w:val="Page Numbers (Bottom of Page)"/>
        <w:docPartUnique/>
      </w:docPartObj>
    </w:sdtPr>
    <w:sdtContent>
      <w:p w:rsidR="00F260FF" w:rsidRPr="00AC7D31" w:rsidRDefault="006B5A61" w:rsidP="008B2950">
        <w:pPr>
          <w:pStyle w:val="landscape"/>
          <w:framePr w:wrap="around"/>
        </w:pPr>
        <w:fldSimple w:instr=" PAGE   \* MERGEFORMAT ">
          <w:r w:rsidR="006A7D3E">
            <w:rPr>
              <w:noProof/>
            </w:rPr>
            <w:t>243</w:t>
          </w:r>
        </w:fldSimple>
      </w:p>
    </w:sdtContent>
  </w:sdt>
  <w:p w:rsidR="00F260FF" w:rsidRPr="00AC7D31" w:rsidRDefault="00F260FF" w:rsidP="00AC7D31">
    <w:pPr>
      <w:pStyle w:val="Footer"/>
      <w:rPr>
        <w:sz w:val="20"/>
      </w:rPr>
    </w:pPr>
  </w:p>
</w:ftr>
</file>

<file path=word/footer2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260FF" w:rsidRDefault="006B5A61">
    <w:pPr>
      <w:pStyle w:val="Footer"/>
    </w:pPr>
    <w:fldSimple w:instr="PAGE">
      <w:r w:rsidR="00F260FF">
        <w:t>1</w:t>
      </w:r>
    </w:fldSimple>
  </w:p>
</w:ftr>
</file>

<file path=word/footer2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260FF" w:rsidRPr="00BA51CE" w:rsidRDefault="006B5A61">
    <w:pPr>
      <w:pStyle w:val="Footer"/>
      <w:rPr>
        <w:sz w:val="20"/>
      </w:rPr>
    </w:pPr>
    <w:r w:rsidRPr="00BA51CE">
      <w:rPr>
        <w:sz w:val="20"/>
      </w:rPr>
      <w:fldChar w:fldCharType="begin"/>
    </w:r>
    <w:r w:rsidR="00F260FF" w:rsidRPr="00BA51CE">
      <w:rPr>
        <w:sz w:val="20"/>
      </w:rPr>
      <w:instrText>PAGE</w:instrText>
    </w:r>
    <w:r w:rsidRPr="00BA51CE">
      <w:rPr>
        <w:sz w:val="20"/>
      </w:rPr>
      <w:fldChar w:fldCharType="separate"/>
    </w:r>
    <w:r w:rsidR="006A7D3E">
      <w:rPr>
        <w:noProof/>
        <w:sz w:val="20"/>
      </w:rPr>
      <w:t>247</w:t>
    </w:r>
    <w:r w:rsidRPr="00BA51CE">
      <w:rPr>
        <w:sz w:val="20"/>
      </w:rPr>
      <w:fldChar w:fldCharType="end"/>
    </w:r>
  </w:p>
</w:ftr>
</file>

<file path=word/footer2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260FF" w:rsidRDefault="006B5A61">
    <w:pPr>
      <w:pStyle w:val="Footer"/>
    </w:pPr>
    <w:fldSimple w:instr="PAGE">
      <w:r w:rsidR="00F260FF">
        <w:rPr>
          <w:noProof/>
        </w:rPr>
        <w:t>1</w:t>
      </w:r>
    </w:fldSimple>
  </w:p>
</w:ftr>
</file>

<file path=word/footer2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260FF" w:rsidRDefault="006B5A61">
    <w:pPr>
      <w:pStyle w:val="Footer"/>
    </w:pPr>
    <w:fldSimple w:instr="PAGE">
      <w:r w:rsidR="00F260FF">
        <w:t>1</w:t>
      </w:r>
    </w:fldSimple>
  </w:p>
</w:ftr>
</file>

<file path=word/footer2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260FF" w:rsidRDefault="006B5A61">
    <w:pPr>
      <w:pStyle w:val="Footer"/>
    </w:pPr>
    <w:fldSimple w:instr="PAGE">
      <w:r w:rsidR="006A7D3E">
        <w:rPr>
          <w:noProof/>
        </w:rPr>
        <w:t>248</w:t>
      </w:r>
    </w:fldSimple>
  </w:p>
</w:ftr>
</file>

<file path=word/footer2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260FF" w:rsidRDefault="006B5A61">
    <w:pPr>
      <w:pStyle w:val="Footer"/>
    </w:pPr>
    <w:fldSimple w:instr="PAGE">
      <w:r w:rsidR="00F260FF">
        <w:rPr>
          <w:noProof/>
        </w:rPr>
        <w:t>1</w:t>
      </w:r>
    </w:fldSimple>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A7D3E" w:rsidRDefault="006A7D3E">
    <w:pPr>
      <w:pStyle w:val="Footer"/>
    </w:pPr>
  </w:p>
</w:ftr>
</file>

<file path=word/footer3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8478220"/>
      <w:docPartObj>
        <w:docPartGallery w:val="Page Numbers (Bottom of Page)"/>
        <w:docPartUnique/>
      </w:docPartObj>
    </w:sdtPr>
    <w:sdtEndPr>
      <w:rPr>
        <w:sz w:val="20"/>
      </w:rPr>
    </w:sdtEndPr>
    <w:sdtContent>
      <w:p w:rsidR="00F260FF" w:rsidRPr="00AC7D31" w:rsidRDefault="006B5A61">
        <w:pPr>
          <w:pStyle w:val="Footer"/>
          <w:rPr>
            <w:sz w:val="20"/>
          </w:rPr>
        </w:pPr>
        <w:r w:rsidRPr="00AC7D31">
          <w:rPr>
            <w:sz w:val="20"/>
          </w:rPr>
          <w:fldChar w:fldCharType="begin"/>
        </w:r>
        <w:r w:rsidR="00F260FF" w:rsidRPr="00AC7D31">
          <w:rPr>
            <w:sz w:val="20"/>
          </w:rPr>
          <w:instrText xml:space="preserve"> PAGE   \* MERGEFORMAT </w:instrText>
        </w:r>
        <w:r w:rsidRPr="00AC7D31">
          <w:rPr>
            <w:sz w:val="20"/>
          </w:rPr>
          <w:fldChar w:fldCharType="separate"/>
        </w:r>
        <w:r w:rsidR="006A7D3E">
          <w:rPr>
            <w:noProof/>
            <w:sz w:val="20"/>
          </w:rPr>
          <w:t>257</w:t>
        </w:r>
        <w:r w:rsidRPr="00AC7D31">
          <w:rPr>
            <w:sz w:val="20"/>
          </w:rPr>
          <w:fldChar w:fldCharType="end"/>
        </w:r>
      </w:p>
    </w:sdtContent>
  </w:sdt>
  <w:p w:rsidR="00F260FF" w:rsidRPr="00AC7D31" w:rsidRDefault="00F260FF" w:rsidP="00AC7D31">
    <w:pPr>
      <w:pStyle w:val="Footer"/>
      <w:rPr>
        <w:sz w:val="20"/>
      </w:rPr>
    </w:pPr>
  </w:p>
</w:ftr>
</file>

<file path=word/footer3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260FF" w:rsidRDefault="006B5A61">
    <w:pPr>
      <w:pStyle w:val="Footer"/>
    </w:pPr>
    <w:fldSimple w:instr="PAGE">
      <w:r w:rsidR="00F260FF">
        <w:t>1</w:t>
      </w:r>
    </w:fldSimple>
  </w:p>
</w:ftr>
</file>

<file path=word/footer3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260FF" w:rsidRPr="00BA51CE" w:rsidRDefault="006B5A61">
    <w:pPr>
      <w:pStyle w:val="Footer"/>
      <w:rPr>
        <w:sz w:val="20"/>
      </w:rPr>
    </w:pPr>
    <w:r w:rsidRPr="00BA51CE">
      <w:rPr>
        <w:sz w:val="20"/>
      </w:rPr>
      <w:fldChar w:fldCharType="begin"/>
    </w:r>
    <w:r w:rsidR="00F260FF" w:rsidRPr="00BA51CE">
      <w:rPr>
        <w:sz w:val="20"/>
      </w:rPr>
      <w:instrText>PAGE</w:instrText>
    </w:r>
    <w:r w:rsidRPr="00BA51CE">
      <w:rPr>
        <w:sz w:val="20"/>
      </w:rPr>
      <w:fldChar w:fldCharType="separate"/>
    </w:r>
    <w:r w:rsidR="006A7D3E">
      <w:rPr>
        <w:noProof/>
        <w:sz w:val="20"/>
      </w:rPr>
      <w:t>276</w:t>
    </w:r>
    <w:r w:rsidRPr="00BA51CE">
      <w:rPr>
        <w:sz w:val="20"/>
      </w:rPr>
      <w:fldChar w:fldCharType="end"/>
    </w:r>
  </w:p>
</w:ftr>
</file>

<file path=word/footer3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260FF" w:rsidRDefault="006B5A61">
    <w:pPr>
      <w:pStyle w:val="Footer"/>
    </w:pPr>
    <w:fldSimple w:instr="PAGE">
      <w:r w:rsidR="00F260FF">
        <w:rPr>
          <w:noProof/>
        </w:rPr>
        <w:t>1</w:t>
      </w:r>
    </w:fldSimple>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260FF" w:rsidRDefault="006B5A61">
    <w:pPr>
      <w:pStyle w:val="Footer"/>
    </w:pPr>
    <w:fldSimple w:instr="PAGE">
      <w:r w:rsidR="00F260FF">
        <w:rPr>
          <w:noProof/>
        </w:rPr>
        <w:t>iv</w:t>
      </w:r>
    </w:fldSimple>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260FF" w:rsidRDefault="00F260FF">
    <w:pPr>
      <w:pStyle w:val="Footer"/>
    </w:pPr>
    <w:bookmarkStart w:id="19" w:name="_Toc513964624"/>
    <w:bookmarkEnd w:id="19"/>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260FF" w:rsidRDefault="006B5A61">
    <w:pPr>
      <w:pStyle w:val="Footer"/>
    </w:pPr>
    <w:r>
      <w:rPr>
        <w:rStyle w:val="PageNumber"/>
      </w:rPr>
      <w:fldChar w:fldCharType="begin"/>
    </w:r>
    <w:r w:rsidR="00F260FF">
      <w:rPr>
        <w:rStyle w:val="PageNumber"/>
      </w:rPr>
      <w:instrText xml:space="preserve"> PAGE </w:instrText>
    </w:r>
    <w:r>
      <w:rPr>
        <w:rStyle w:val="PageNumber"/>
      </w:rPr>
      <w:fldChar w:fldCharType="separate"/>
    </w:r>
    <w:r w:rsidR="006A7D3E">
      <w:rPr>
        <w:rStyle w:val="PageNumber"/>
        <w:noProof/>
      </w:rPr>
      <w:t>iv</w:t>
    </w:r>
    <w:r>
      <w:rPr>
        <w:rStyle w:val="PageNumber"/>
      </w:rPr>
      <w:fldChar w:fldCharType="end"/>
    </w: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260FF" w:rsidRDefault="006B5A61">
    <w:pPr>
      <w:pStyle w:val="Footer"/>
    </w:pPr>
    <w:fldSimple w:instr="PAGE">
      <w:r w:rsidR="00F260FF">
        <w:t>1</w:t>
      </w:r>
    </w:fldSimple>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8478221"/>
      <w:docPartObj>
        <w:docPartGallery w:val="Page Numbers (Bottom of Page)"/>
        <w:docPartUnique/>
      </w:docPartObj>
    </w:sdtPr>
    <w:sdtEndPr>
      <w:rPr>
        <w:sz w:val="20"/>
      </w:rPr>
    </w:sdtEndPr>
    <w:sdtContent>
      <w:p w:rsidR="00F260FF" w:rsidRPr="00754C47" w:rsidRDefault="006B5A61">
        <w:pPr>
          <w:pStyle w:val="Footer"/>
          <w:rPr>
            <w:sz w:val="20"/>
          </w:rPr>
        </w:pPr>
        <w:r w:rsidRPr="00754C47">
          <w:rPr>
            <w:sz w:val="20"/>
          </w:rPr>
          <w:fldChar w:fldCharType="begin"/>
        </w:r>
        <w:r w:rsidR="00F260FF" w:rsidRPr="00754C47">
          <w:rPr>
            <w:sz w:val="20"/>
          </w:rPr>
          <w:instrText xml:space="preserve"> PAGE   \* MERGEFORMAT </w:instrText>
        </w:r>
        <w:r w:rsidRPr="00754C47">
          <w:rPr>
            <w:sz w:val="20"/>
          </w:rPr>
          <w:fldChar w:fldCharType="separate"/>
        </w:r>
        <w:r w:rsidR="006A7D3E">
          <w:rPr>
            <w:noProof/>
            <w:sz w:val="20"/>
          </w:rPr>
          <w:t>x</w:t>
        </w:r>
        <w:r w:rsidRPr="00754C47">
          <w:rPr>
            <w:sz w:val="20"/>
          </w:rPr>
          <w:fldChar w:fldCharType="end"/>
        </w:r>
      </w:p>
    </w:sdtContent>
  </w:sdt>
  <w:p w:rsidR="00F260FF" w:rsidRPr="00754C47" w:rsidRDefault="00F260FF" w:rsidP="00754C47">
    <w:pPr>
      <w:pStyle w:val="Footer"/>
    </w:pPr>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260FF" w:rsidRDefault="006B5A61">
    <w:pPr>
      <w:pStyle w:val="Footer"/>
    </w:pPr>
    <w:fldSimple w:instr="PAGE">
      <w:r w:rsidR="00F260FF">
        <w:rPr>
          <w:noProof/>
        </w:rPr>
        <w:t>1</w:t>
      </w:r>
    </w:fldSimple>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F260FF" w:rsidRDefault="00F260FF">
      <w:r>
        <w:separator/>
      </w:r>
    </w:p>
  </w:footnote>
  <w:footnote w:type="continuationSeparator" w:id="0">
    <w:p w:rsidR="00F260FF" w:rsidRDefault="00F260FF">
      <w:r>
        <w:continuationSeparator/>
      </w:r>
    </w:p>
  </w:footnote>
  <w:footnote w:id="1">
    <w:p w:rsidR="00F260FF" w:rsidRPr="003A3F09" w:rsidRDefault="00F260FF" w:rsidP="00307669">
      <w:pPr>
        <w:spacing w:after="0"/>
        <w:rPr>
          <w:sz w:val="20"/>
        </w:rPr>
      </w:pPr>
      <w:r w:rsidRPr="003A3F09">
        <w:rPr>
          <w:rStyle w:val="FootnoteReference"/>
          <w:sz w:val="20"/>
        </w:rPr>
        <w:footnoteRef/>
      </w:r>
      <w:r w:rsidRPr="003A3F09">
        <w:rPr>
          <w:sz w:val="20"/>
        </w:rPr>
        <w:t xml:space="preserve"> Oceans and Atmosphere Flagship, CSIRO, Lucas Heights</w:t>
      </w:r>
    </w:p>
    <w:p w:rsidR="00F260FF" w:rsidRPr="003A3F09" w:rsidRDefault="00F260FF" w:rsidP="00307669">
      <w:pPr>
        <w:pStyle w:val="CommentText"/>
        <w:spacing w:after="0"/>
      </w:pPr>
    </w:p>
  </w:footnote>
  <w:footnote w:id="2">
    <w:p w:rsidR="00F260FF" w:rsidRPr="003A3F09" w:rsidRDefault="00F260FF" w:rsidP="00307669">
      <w:pPr>
        <w:spacing w:after="0" w:line="240" w:lineRule="auto"/>
        <w:jc w:val="left"/>
        <w:rPr>
          <w:sz w:val="20"/>
        </w:rPr>
      </w:pPr>
      <w:r w:rsidRPr="003A3F09">
        <w:rPr>
          <w:rStyle w:val="FootnoteReference"/>
          <w:sz w:val="20"/>
        </w:rPr>
        <w:footnoteRef/>
      </w:r>
      <w:r w:rsidRPr="003A3F09">
        <w:rPr>
          <w:sz w:val="20"/>
        </w:rPr>
        <w:t xml:space="preserve"> Land and Water Flagship, CSIRO, Lucas Heights</w:t>
      </w:r>
    </w:p>
    <w:p w:rsidR="00F260FF" w:rsidRPr="003A3F09" w:rsidRDefault="00F260FF" w:rsidP="00307669">
      <w:pPr>
        <w:pStyle w:val="FootnoteText"/>
        <w:spacing w:after="0"/>
        <w:ind w:left="0" w:firstLine="0"/>
        <w:rPr>
          <w:sz w:val="20"/>
        </w:rPr>
      </w:pPr>
    </w:p>
  </w:footnote>
  <w:footnote w:id="3">
    <w:p w:rsidR="00F260FF" w:rsidRPr="003A3F09" w:rsidRDefault="00F260FF" w:rsidP="00307669">
      <w:pPr>
        <w:pStyle w:val="ListParagraph"/>
        <w:numPr>
          <w:ilvl w:val="0"/>
          <w:numId w:val="0"/>
        </w:numPr>
        <w:spacing w:after="0" w:line="240" w:lineRule="auto"/>
        <w:contextualSpacing w:val="0"/>
        <w:jc w:val="left"/>
        <w:rPr>
          <w:sz w:val="20"/>
        </w:rPr>
      </w:pPr>
      <w:r w:rsidRPr="003A3F09">
        <w:rPr>
          <w:rStyle w:val="FootnoteReference"/>
          <w:sz w:val="20"/>
        </w:rPr>
        <w:footnoteRef/>
      </w:r>
      <w:r w:rsidRPr="003A3F09">
        <w:rPr>
          <w:sz w:val="20"/>
        </w:rPr>
        <w:t xml:space="preserve"> Department of Chemistry and </w:t>
      </w:r>
      <w:proofErr w:type="spellStart"/>
      <w:r w:rsidRPr="003A3F09">
        <w:rPr>
          <w:sz w:val="20"/>
        </w:rPr>
        <w:t>Biomolecular</w:t>
      </w:r>
      <w:proofErr w:type="spellEnd"/>
      <w:r w:rsidRPr="003A3F09">
        <w:rPr>
          <w:sz w:val="20"/>
        </w:rPr>
        <w:t xml:space="preserve"> Sciences, Macquarie University, Sydney</w:t>
      </w:r>
    </w:p>
    <w:p w:rsidR="00F260FF" w:rsidRPr="003A3F09" w:rsidRDefault="00F260FF" w:rsidP="00307669">
      <w:pPr>
        <w:pStyle w:val="FootnoteText"/>
        <w:spacing w:after="0"/>
        <w:ind w:left="0"/>
        <w:rPr>
          <w:sz w:val="20"/>
        </w:rPr>
      </w:pPr>
    </w:p>
  </w:footnote>
  <w:footnote w:id="4">
    <w:p w:rsidR="00F260FF" w:rsidRPr="003A3F09" w:rsidRDefault="00F260FF" w:rsidP="00307669">
      <w:pPr>
        <w:pStyle w:val="ListParagraph"/>
        <w:numPr>
          <w:ilvl w:val="0"/>
          <w:numId w:val="0"/>
        </w:numPr>
        <w:spacing w:after="0" w:line="240" w:lineRule="auto"/>
        <w:contextualSpacing w:val="0"/>
        <w:jc w:val="left"/>
        <w:rPr>
          <w:sz w:val="20"/>
        </w:rPr>
      </w:pPr>
      <w:r w:rsidRPr="003A3F09">
        <w:rPr>
          <w:rStyle w:val="FootnoteReference"/>
          <w:sz w:val="20"/>
        </w:rPr>
        <w:footnoteRef/>
      </w:r>
      <w:r w:rsidRPr="003A3F09">
        <w:rPr>
          <w:sz w:val="20"/>
        </w:rPr>
        <w:t xml:space="preserve"> Land and Water Flagship, CSIRO, Lucas Heights</w:t>
      </w:r>
    </w:p>
    <w:p w:rsidR="00F260FF" w:rsidRPr="003A3F09" w:rsidRDefault="00F260FF" w:rsidP="00307669">
      <w:pPr>
        <w:pStyle w:val="FootnoteText"/>
        <w:spacing w:after="0"/>
        <w:ind w:left="0"/>
        <w:rPr>
          <w:sz w:val="20"/>
        </w:rPr>
      </w:pPr>
    </w:p>
  </w:footnote>
  <w:footnote w:id="5">
    <w:p w:rsidR="00F260FF" w:rsidRPr="003A3F09" w:rsidRDefault="00F260FF" w:rsidP="00307669">
      <w:pPr>
        <w:pStyle w:val="ListParagraph"/>
        <w:numPr>
          <w:ilvl w:val="0"/>
          <w:numId w:val="0"/>
        </w:numPr>
        <w:spacing w:after="0" w:line="240" w:lineRule="auto"/>
        <w:contextualSpacing w:val="0"/>
        <w:jc w:val="left"/>
        <w:rPr>
          <w:sz w:val="20"/>
        </w:rPr>
      </w:pPr>
      <w:r w:rsidRPr="003A3F09">
        <w:rPr>
          <w:rStyle w:val="FootnoteReference"/>
          <w:sz w:val="20"/>
        </w:rPr>
        <w:footnoteRef/>
      </w:r>
      <w:r w:rsidRPr="003A3F09">
        <w:rPr>
          <w:sz w:val="20"/>
        </w:rPr>
        <w:t xml:space="preserve"> Department of Biological Sciences, Macquarie University, Sydney</w:t>
      </w:r>
    </w:p>
    <w:p w:rsidR="00F260FF" w:rsidRPr="003A3F09" w:rsidRDefault="00F260FF" w:rsidP="00307669">
      <w:pPr>
        <w:pStyle w:val="FootnoteText"/>
        <w:spacing w:after="0"/>
        <w:ind w:left="0"/>
        <w:rPr>
          <w:sz w:val="20"/>
        </w:rPr>
      </w:pPr>
    </w:p>
  </w:footnote>
  <w:footnote w:id="6">
    <w:p w:rsidR="00F260FF" w:rsidRPr="003A3F09" w:rsidRDefault="00F260FF" w:rsidP="00307669">
      <w:pPr>
        <w:pStyle w:val="ListParagraph"/>
        <w:numPr>
          <w:ilvl w:val="0"/>
          <w:numId w:val="0"/>
        </w:numPr>
        <w:spacing w:after="0" w:line="240" w:lineRule="auto"/>
        <w:contextualSpacing w:val="0"/>
        <w:jc w:val="left"/>
        <w:rPr>
          <w:sz w:val="20"/>
        </w:rPr>
      </w:pPr>
      <w:r w:rsidRPr="003A3F09">
        <w:rPr>
          <w:rStyle w:val="FootnoteReference"/>
          <w:sz w:val="20"/>
        </w:rPr>
        <w:footnoteRef/>
      </w:r>
      <w:r w:rsidRPr="003A3F09">
        <w:rPr>
          <w:sz w:val="20"/>
        </w:rPr>
        <w:t xml:space="preserve"> Energy Flagship, CSIRO, North Ryde</w:t>
      </w:r>
    </w:p>
    <w:p w:rsidR="00F260FF" w:rsidRPr="003A3F09" w:rsidRDefault="00F260FF" w:rsidP="00307669">
      <w:pPr>
        <w:pStyle w:val="FootnoteText"/>
        <w:spacing w:after="0"/>
        <w:ind w:left="0"/>
        <w:rPr>
          <w:sz w:val="20"/>
        </w:rPr>
      </w:pPr>
    </w:p>
  </w:footnote>
  <w:footnote w:id="7">
    <w:p w:rsidR="00F260FF" w:rsidRPr="003A3F09" w:rsidRDefault="00F260FF">
      <w:pPr>
        <w:pStyle w:val="FootnoteText"/>
        <w:rPr>
          <w:rFonts w:cs="Arial"/>
          <w:sz w:val="20"/>
        </w:rPr>
      </w:pPr>
      <w:r w:rsidRPr="003A3F09">
        <w:rPr>
          <w:rStyle w:val="FootnoteReference"/>
          <w:rFonts w:cs="Arial"/>
          <w:sz w:val="20"/>
        </w:rPr>
        <w:footnoteRef/>
      </w:r>
      <w:r w:rsidRPr="003A3F09">
        <w:rPr>
          <w:rFonts w:cs="Arial"/>
          <w:sz w:val="20"/>
        </w:rPr>
        <w:t xml:space="preserve"> Conjoint Professor - School of Environmental and Life Sciences, The University of Newcastle – Ourimbah Campus</w:t>
      </w:r>
    </w:p>
  </w:footnote>
  <w:footnote w:id="8">
    <w:p w:rsidR="00F260FF" w:rsidRPr="003A3F09" w:rsidRDefault="00F260FF">
      <w:pPr>
        <w:pStyle w:val="FootnoteText"/>
        <w:rPr>
          <w:sz w:val="20"/>
        </w:rPr>
      </w:pPr>
      <w:r w:rsidRPr="003A3F09">
        <w:rPr>
          <w:rStyle w:val="FootnoteReference"/>
          <w:rFonts w:cs="Arial"/>
          <w:sz w:val="20"/>
        </w:rPr>
        <w:footnoteRef/>
      </w:r>
      <w:r w:rsidRPr="003A3F09">
        <w:rPr>
          <w:rFonts w:cs="Arial"/>
          <w:sz w:val="20"/>
        </w:rPr>
        <w:t xml:space="preserve"> </w:t>
      </w:r>
      <w:r w:rsidRPr="003A3F09">
        <w:rPr>
          <w:rStyle w:val="st"/>
          <w:rFonts w:cs="Arial"/>
          <w:color w:val="222222"/>
          <w:sz w:val="20"/>
        </w:rPr>
        <w:t xml:space="preserve">Professorial fellow - </w:t>
      </w:r>
      <w:r w:rsidRPr="003A3F09">
        <w:rPr>
          <w:rFonts w:cs="Arial"/>
          <w:sz w:val="20"/>
        </w:rPr>
        <w:t>Research Institute for the Environment and Livelihoods, Charles Darwin University</w:t>
      </w:r>
    </w:p>
  </w:footnote>
  <w:footnote w:id="9">
    <w:p w:rsidR="00F260FF" w:rsidRPr="003A3F09" w:rsidRDefault="00F260FF" w:rsidP="00692377">
      <w:pPr>
        <w:rPr>
          <w:sz w:val="20"/>
        </w:rPr>
      </w:pPr>
      <w:r w:rsidRPr="003A3F09">
        <w:rPr>
          <w:rStyle w:val="FootnoteReference"/>
          <w:sz w:val="20"/>
        </w:rPr>
        <w:footnoteRef/>
      </w:r>
      <w:r w:rsidRPr="003A3F09">
        <w:rPr>
          <w:sz w:val="20"/>
        </w:rPr>
        <w:t xml:space="preserve"> Conjoint Professor - School of Environmental and Life Sciences, The University of Newcastle – Ourimbah Campus</w:t>
      </w:r>
    </w:p>
  </w:footnote>
  <w:footnote w:id="10">
    <w:p w:rsidR="00F260FF" w:rsidRPr="003A3F09" w:rsidRDefault="00F260FF" w:rsidP="00692377">
      <w:pPr>
        <w:pStyle w:val="FootnoteText"/>
        <w:rPr>
          <w:sz w:val="20"/>
        </w:rPr>
      </w:pPr>
      <w:r w:rsidRPr="003A3F09">
        <w:rPr>
          <w:rStyle w:val="FootnoteReference"/>
          <w:sz w:val="20"/>
        </w:rPr>
        <w:footnoteRef/>
      </w:r>
      <w:r w:rsidRPr="003A3F09">
        <w:rPr>
          <w:sz w:val="20"/>
        </w:rPr>
        <w:t xml:space="preserve"> </w:t>
      </w:r>
      <w:r w:rsidRPr="003A3F09">
        <w:rPr>
          <w:rStyle w:val="st"/>
          <w:rFonts w:cs="Arial"/>
          <w:color w:val="222222"/>
          <w:sz w:val="20"/>
        </w:rPr>
        <w:t xml:space="preserve">Professorial fellow - </w:t>
      </w:r>
      <w:r w:rsidRPr="003A3F09">
        <w:rPr>
          <w:sz w:val="20"/>
        </w:rPr>
        <w:t>Research Institute for the Environment and Livelihoods, Charles Darwin University</w:t>
      </w:r>
    </w:p>
  </w:footnote>
  <w:footnote w:id="11">
    <w:p w:rsidR="00F260FF" w:rsidRPr="003A3F09" w:rsidRDefault="00F260FF" w:rsidP="00605448">
      <w:pPr>
        <w:rPr>
          <w:sz w:val="20"/>
        </w:rPr>
      </w:pPr>
      <w:r w:rsidRPr="003A3F09">
        <w:rPr>
          <w:rStyle w:val="FootnoteReference"/>
          <w:sz w:val="20"/>
        </w:rPr>
        <w:footnoteRef/>
      </w:r>
      <w:r w:rsidRPr="003A3F09">
        <w:rPr>
          <w:sz w:val="20"/>
        </w:rPr>
        <w:t xml:space="preserve"> Conjoint Professor - School of Environmental and Life Sciences, The University of Newcastle – Ourimbah Campus</w:t>
      </w:r>
    </w:p>
  </w:footnote>
  <w:footnote w:id="12">
    <w:p w:rsidR="00F260FF" w:rsidRPr="003A3F09" w:rsidRDefault="00F260FF" w:rsidP="00605448">
      <w:pPr>
        <w:pStyle w:val="FootnoteText"/>
        <w:rPr>
          <w:sz w:val="22"/>
          <w:szCs w:val="22"/>
        </w:rPr>
      </w:pPr>
      <w:r w:rsidRPr="003A3F09">
        <w:rPr>
          <w:rStyle w:val="FootnoteReference"/>
          <w:sz w:val="20"/>
        </w:rPr>
        <w:footnoteRef/>
      </w:r>
      <w:r w:rsidRPr="003A3F09">
        <w:rPr>
          <w:sz w:val="20"/>
        </w:rPr>
        <w:t xml:space="preserve"> </w:t>
      </w:r>
      <w:r w:rsidRPr="003A3F09">
        <w:rPr>
          <w:rStyle w:val="st"/>
          <w:rFonts w:cs="Arial"/>
          <w:color w:val="222222"/>
          <w:sz w:val="20"/>
        </w:rPr>
        <w:t xml:space="preserve">Professorial fellow - </w:t>
      </w:r>
      <w:r w:rsidRPr="003A3F09">
        <w:rPr>
          <w:sz w:val="20"/>
        </w:rPr>
        <w:t>Research Institute for the Environment and Livelihoods, Charles Darwin University</w:t>
      </w:r>
    </w:p>
  </w:footnote>
  <w:footnote w:id="13">
    <w:p w:rsidR="00F260FF" w:rsidRPr="003A3F09" w:rsidRDefault="00F260FF">
      <w:pPr>
        <w:pStyle w:val="FootnoteText"/>
        <w:rPr>
          <w:sz w:val="20"/>
        </w:rPr>
      </w:pPr>
      <w:r w:rsidRPr="003A3F09">
        <w:rPr>
          <w:rStyle w:val="FootnoteReference"/>
          <w:sz w:val="20"/>
        </w:rPr>
        <w:footnoteRef/>
      </w:r>
      <w:r w:rsidRPr="003A3F09">
        <w:rPr>
          <w:sz w:val="20"/>
        </w:rPr>
        <w:t xml:space="preserve"> Reference </w:t>
      </w:r>
      <w:proofErr w:type="spellStart"/>
      <w:r w:rsidRPr="003A3F09">
        <w:rPr>
          <w:sz w:val="20"/>
        </w:rPr>
        <w:t>waterbodies</w:t>
      </w:r>
      <w:proofErr w:type="spellEnd"/>
      <w:r w:rsidRPr="003A3F09">
        <w:rPr>
          <w:sz w:val="20"/>
        </w:rPr>
        <w:t xml:space="preserve"> include </w:t>
      </w:r>
      <w:proofErr w:type="spellStart"/>
      <w:r w:rsidRPr="003A3F09">
        <w:rPr>
          <w:sz w:val="20"/>
        </w:rPr>
        <w:t>Gulungul</w:t>
      </w:r>
      <w:proofErr w:type="spellEnd"/>
      <w:r w:rsidRPr="003A3F09">
        <w:rPr>
          <w:sz w:val="20"/>
        </w:rPr>
        <w:t xml:space="preserve">, </w:t>
      </w:r>
      <w:proofErr w:type="spellStart"/>
      <w:r w:rsidRPr="003A3F09">
        <w:rPr>
          <w:sz w:val="20"/>
        </w:rPr>
        <w:t>Baralil</w:t>
      </w:r>
      <w:proofErr w:type="spellEnd"/>
      <w:r w:rsidRPr="003A3F09">
        <w:rPr>
          <w:sz w:val="20"/>
        </w:rPr>
        <w:t xml:space="preserve">, </w:t>
      </w:r>
      <w:proofErr w:type="spellStart"/>
      <w:r w:rsidRPr="003A3F09">
        <w:rPr>
          <w:sz w:val="20"/>
        </w:rPr>
        <w:t>Corndorl</w:t>
      </w:r>
      <w:proofErr w:type="spellEnd"/>
      <w:r w:rsidRPr="003A3F09">
        <w:rPr>
          <w:sz w:val="20"/>
        </w:rPr>
        <w:t xml:space="preserve"> billabongs and Jabiru Lake in </w:t>
      </w:r>
      <w:proofErr w:type="spellStart"/>
      <w:r w:rsidRPr="003A3F09">
        <w:rPr>
          <w:sz w:val="20"/>
        </w:rPr>
        <w:t>Magela</w:t>
      </w:r>
      <w:proofErr w:type="spellEnd"/>
      <w:r w:rsidRPr="003A3F09">
        <w:rPr>
          <w:sz w:val="20"/>
        </w:rPr>
        <w:t xml:space="preserve"> Creek catchment, </w:t>
      </w:r>
      <w:proofErr w:type="spellStart"/>
      <w:r w:rsidRPr="003A3F09">
        <w:rPr>
          <w:sz w:val="20"/>
        </w:rPr>
        <w:t>Wirnmuyurr</w:t>
      </w:r>
      <w:proofErr w:type="spellEnd"/>
      <w:r w:rsidRPr="003A3F09">
        <w:rPr>
          <w:sz w:val="20"/>
        </w:rPr>
        <w:t xml:space="preserve">, </w:t>
      </w:r>
      <w:proofErr w:type="spellStart"/>
      <w:r w:rsidRPr="003A3F09">
        <w:rPr>
          <w:sz w:val="20"/>
        </w:rPr>
        <w:t>Malabanjbanjdju</w:t>
      </w:r>
      <w:proofErr w:type="spellEnd"/>
      <w:r w:rsidRPr="003A3F09">
        <w:rPr>
          <w:sz w:val="20"/>
        </w:rPr>
        <w:t xml:space="preserve">, </w:t>
      </w:r>
      <w:proofErr w:type="spellStart"/>
      <w:r w:rsidRPr="003A3F09">
        <w:rPr>
          <w:sz w:val="20"/>
        </w:rPr>
        <w:t>Anbangbang</w:t>
      </w:r>
      <w:proofErr w:type="spellEnd"/>
      <w:r w:rsidRPr="003A3F09">
        <w:rPr>
          <w:sz w:val="20"/>
        </w:rPr>
        <w:t xml:space="preserve">, </w:t>
      </w:r>
      <w:proofErr w:type="spellStart"/>
      <w:r w:rsidRPr="003A3F09">
        <w:rPr>
          <w:sz w:val="20"/>
        </w:rPr>
        <w:t>Buba</w:t>
      </w:r>
      <w:proofErr w:type="spellEnd"/>
      <w:r w:rsidRPr="003A3F09">
        <w:rPr>
          <w:sz w:val="20"/>
        </w:rPr>
        <w:t xml:space="preserve"> and Sandy billabongs in Nourlangie Creek catchment.</w:t>
      </w:r>
    </w:p>
  </w:footnote>
  <w:footnote w:id="14">
    <w:p w:rsidR="00F260FF" w:rsidRPr="003A3F09" w:rsidRDefault="00F260FF">
      <w:pPr>
        <w:pStyle w:val="FootnoteText"/>
        <w:rPr>
          <w:sz w:val="20"/>
        </w:rPr>
      </w:pPr>
      <w:r w:rsidRPr="003A3F09">
        <w:rPr>
          <w:rStyle w:val="FootnoteReference"/>
          <w:sz w:val="20"/>
        </w:rPr>
        <w:footnoteRef/>
      </w:r>
      <w:r w:rsidRPr="003A3F09">
        <w:rPr>
          <w:sz w:val="20"/>
        </w:rPr>
        <w:t xml:space="preserve"> School of the Environment, University of Technology, Sydney NSW</w:t>
      </w:r>
    </w:p>
  </w:footnote>
  <w:footnote w:id="15">
    <w:p w:rsidR="00F260FF" w:rsidRPr="003A3F09" w:rsidRDefault="00F260FF">
      <w:pPr>
        <w:pStyle w:val="FootnoteText"/>
        <w:rPr>
          <w:sz w:val="20"/>
        </w:rPr>
      </w:pPr>
      <w:r w:rsidRPr="003A3F09">
        <w:rPr>
          <w:rStyle w:val="FootnoteReference"/>
          <w:sz w:val="20"/>
        </w:rPr>
        <w:footnoteRef/>
      </w:r>
      <w:r w:rsidRPr="003A3F09">
        <w:rPr>
          <w:sz w:val="20"/>
        </w:rPr>
        <w:t xml:space="preserve"> School of Plant Biology</w:t>
      </w:r>
      <w:r w:rsidRPr="003A3F09">
        <w:rPr>
          <w:color w:val="1F497D" w:themeColor="dark2"/>
          <w:sz w:val="20"/>
        </w:rPr>
        <w:t>, U</w:t>
      </w:r>
      <w:r w:rsidRPr="003A3F09">
        <w:rPr>
          <w:sz w:val="20"/>
        </w:rPr>
        <w:t>niversity of Western Australia</w:t>
      </w:r>
      <w:r w:rsidRPr="003A3F09">
        <w:rPr>
          <w:color w:val="1F497D" w:themeColor="dark2"/>
          <w:sz w:val="20"/>
        </w:rPr>
        <w:t xml:space="preserve">, </w:t>
      </w:r>
      <w:r w:rsidRPr="003A3F09">
        <w:rPr>
          <w:sz w:val="20"/>
        </w:rPr>
        <w:t>35 Stirling Highway</w:t>
      </w:r>
      <w:r w:rsidRPr="003A3F09">
        <w:rPr>
          <w:color w:val="1F497D" w:themeColor="dark2"/>
          <w:sz w:val="20"/>
        </w:rPr>
        <w:t xml:space="preserve">, </w:t>
      </w:r>
      <w:r w:rsidRPr="003A3F09">
        <w:rPr>
          <w:sz w:val="20"/>
        </w:rPr>
        <w:t>Crawley, WA 6009</w:t>
      </w:r>
    </w:p>
  </w:footnote>
  <w:footnote w:id="16">
    <w:p w:rsidR="00F260FF" w:rsidRPr="003A3F09" w:rsidRDefault="00F260FF" w:rsidP="007E337C">
      <w:pPr>
        <w:spacing w:before="30" w:after="30"/>
        <w:rPr>
          <w:sz w:val="20"/>
        </w:rPr>
      </w:pPr>
      <w:r w:rsidRPr="003A3F09">
        <w:rPr>
          <w:rStyle w:val="FootnoteReference"/>
          <w:sz w:val="20"/>
        </w:rPr>
        <w:footnoteRef/>
      </w:r>
      <w:r w:rsidRPr="003A3F09">
        <w:rPr>
          <w:sz w:val="20"/>
        </w:rPr>
        <w:t xml:space="preserve"> </w:t>
      </w:r>
      <w:r w:rsidRPr="003A3F09">
        <w:rPr>
          <w:bCs/>
          <w:sz w:val="20"/>
          <w:lang w:eastAsia="en-AU"/>
        </w:rPr>
        <w:t>Energy Resources of Australia Ltd, Darwin</w:t>
      </w:r>
    </w:p>
  </w:footnote>
  <w:footnote w:id="17">
    <w:p w:rsidR="00F260FF" w:rsidRDefault="00F260FF">
      <w:pPr>
        <w:pStyle w:val="FootnoteText"/>
      </w:pPr>
      <w:r>
        <w:rPr>
          <w:rStyle w:val="FootnoteReference"/>
        </w:rPr>
        <w:footnoteRef/>
      </w:r>
      <w:r>
        <w:t xml:space="preserve"> </w:t>
      </w:r>
      <w:proofErr w:type="spellStart"/>
      <w:r>
        <w:t>Cusbert</w:t>
      </w:r>
      <w:proofErr w:type="spellEnd"/>
      <w:r>
        <w:t xml:space="preserve"> P, </w:t>
      </w:r>
      <w:proofErr w:type="spellStart"/>
      <w:r>
        <w:t>Klessa</w:t>
      </w:r>
      <w:proofErr w:type="spellEnd"/>
      <w:r>
        <w:t xml:space="preserve"> D, </w:t>
      </w:r>
      <w:proofErr w:type="spellStart"/>
      <w:r>
        <w:t>leGras</w:t>
      </w:r>
      <w:proofErr w:type="spellEnd"/>
      <w:r>
        <w:t xml:space="preserve"> C, Moliere D &amp; </w:t>
      </w:r>
      <w:proofErr w:type="spellStart"/>
      <w:r>
        <w:t>Rusten</w:t>
      </w:r>
      <w:proofErr w:type="spellEnd"/>
      <w:r>
        <w:t xml:space="preserve"> K 1998. Baseline values for physical and chemical indicators in streams of the Jabiluka lease area. </w:t>
      </w:r>
      <w:proofErr w:type="gramStart"/>
      <w:r>
        <w:t>Part 1.</w:t>
      </w:r>
      <w:proofErr w:type="gramEnd"/>
      <w:r>
        <w:t xml:space="preserve"> </w:t>
      </w:r>
      <w:proofErr w:type="gramStart"/>
      <w:r>
        <w:t>Interim findings.</w:t>
      </w:r>
      <w:proofErr w:type="gramEnd"/>
      <w:r>
        <w:t xml:space="preserve"> </w:t>
      </w:r>
      <w:proofErr w:type="gramStart"/>
      <w:r>
        <w:t>Internal Report 300.</w:t>
      </w:r>
      <w:proofErr w:type="gramEnd"/>
      <w:r>
        <w:t xml:space="preserve"> </w:t>
      </w:r>
      <w:proofErr w:type="gramStart"/>
      <w:r>
        <w:t>September, Supervising Scientist, Darwin.</w:t>
      </w:r>
      <w:proofErr w:type="gramEnd"/>
    </w:p>
  </w:footnote>
  <w:footnote w:id="18">
    <w:p w:rsidR="00F260FF" w:rsidRDefault="00F260FF" w:rsidP="004F69BA">
      <w:r>
        <w:rPr>
          <w:rStyle w:val="FootnoteReference"/>
        </w:rPr>
        <w:footnoteRef/>
      </w:r>
      <w:r>
        <w:t xml:space="preserve"> </w:t>
      </w:r>
      <w:r w:rsidRPr="00796B82">
        <w:rPr>
          <w:sz w:val="18"/>
          <w:szCs w:val="18"/>
        </w:rPr>
        <w:t>Conjoint Professor - School of Environmental and Life Sciences, The University of Newcastle – Ourimbah Campus</w:t>
      </w:r>
    </w:p>
  </w:footnote>
  <w:footnote w:id="19">
    <w:p w:rsidR="00F260FF" w:rsidRDefault="00F260FF" w:rsidP="004F69BA">
      <w:pPr>
        <w:pStyle w:val="FootnoteText"/>
      </w:pPr>
      <w:r>
        <w:rPr>
          <w:rStyle w:val="FootnoteReference"/>
        </w:rPr>
        <w:footnoteRef/>
      </w:r>
      <w:r>
        <w:t xml:space="preserve"> </w:t>
      </w:r>
      <w:r w:rsidRPr="00EF7518">
        <w:rPr>
          <w:rStyle w:val="st"/>
          <w:rFonts w:cs="Arial"/>
          <w:color w:val="222222"/>
          <w:szCs w:val="18"/>
        </w:rPr>
        <w:t xml:space="preserve">Professorial fellow - </w:t>
      </w:r>
      <w:r w:rsidRPr="00EF7518">
        <w:rPr>
          <w:szCs w:val="18"/>
        </w:rPr>
        <w:t>Research Institute for the Environment and Livelihoods, Charles Darwin University</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A7D3E" w:rsidRDefault="006A7D3E">
    <w:pPr>
      <w:pStyle w:val="Header"/>
    </w:pPr>
  </w:p>
</w:hdr>
</file>

<file path=word/header1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260FF" w:rsidRDefault="00F260FF" w:rsidP="005E0400">
    <w:pPr>
      <w:pStyle w:val="Header"/>
      <w:jc w:val="right"/>
    </w:pPr>
    <w:r>
      <w:t xml:space="preserve">KKN </w:t>
    </w:r>
    <w:proofErr w:type="gramStart"/>
    <w:r>
      <w:t>1.2.4  Ecotoxicology</w:t>
    </w:r>
    <w:proofErr w:type="gramEnd"/>
  </w:p>
</w:hdr>
</file>

<file path=word/header1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260FF" w:rsidRDefault="00F260FF" w:rsidP="005E0400">
    <w:pPr>
      <w:pStyle w:val="Header"/>
      <w:jc w:val="right"/>
    </w:pPr>
    <w:r>
      <w:t xml:space="preserve">KKN </w:t>
    </w:r>
    <w:proofErr w:type="gramStart"/>
    <w:r>
      <w:t>1.2.4  Ecotoxicology</w:t>
    </w:r>
    <w:proofErr w:type="gramEnd"/>
  </w:p>
  <w:p w:rsidR="00F260FF" w:rsidRDefault="00F260FF">
    <w:pPr>
      <w:pStyle w:val="Header"/>
    </w:pPr>
  </w:p>
</w:hdr>
</file>

<file path=word/header1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260FF" w:rsidRDefault="00F260FF">
    <w:pPr>
      <w:pStyle w:val="Header"/>
    </w:pPr>
  </w:p>
</w:hdr>
</file>

<file path=word/header1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260FF" w:rsidRDefault="00F260FF" w:rsidP="00C14AC5">
    <w:pPr>
      <w:pStyle w:val="Header"/>
      <w:jc w:val="right"/>
    </w:pPr>
    <w:r>
      <w:t>KKN 1.3.1 Surface water, groundwater, chemical, biological, sediment radiological monitoring</w:t>
    </w:r>
  </w:p>
  <w:p w:rsidR="00F260FF" w:rsidRDefault="00F260FF" w:rsidP="00C14AC5">
    <w:pPr>
      <w:pStyle w:val="Header"/>
      <w:jc w:val="right"/>
    </w:pPr>
  </w:p>
</w:hdr>
</file>

<file path=word/header1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260FF" w:rsidRDefault="00F260FF">
    <w:pPr>
      <w:pStyle w:val="Header"/>
      <w:jc w:val="right"/>
      <w:rPr>
        <w:smallCaps/>
        <w:sz w:val="18"/>
      </w:rPr>
    </w:pPr>
  </w:p>
</w:hdr>
</file>

<file path=word/header1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260FF" w:rsidRDefault="006B5A61">
    <w:pPr>
      <w:pStyle w:val="Header"/>
      <w:jc w:val="right"/>
      <w:rPr>
        <w:rFonts w:ascii="Arial" w:hAnsi="Arial"/>
        <w:sz w:val="14"/>
      </w:rPr>
    </w:pPr>
    <w:fldSimple w:instr=" FILENAME \* Lower\p  \* MERGEFORMAT ">
      <w:r w:rsidR="00F260FF" w:rsidRPr="00822683">
        <w:rPr>
          <w:rFonts w:ascii="Arial" w:hAnsi="Arial"/>
          <w:noProof/>
          <w:sz w:val="14"/>
        </w:rPr>
        <w:t>\\pvnt01flpr01\erissshared$\program</w:t>
      </w:r>
      <w:r w:rsidR="00F260FF">
        <w:rPr>
          <w:noProof/>
        </w:rPr>
        <w:t xml:space="preserve"> groups\skc\publications\ssr working folder\ssr209 working\ssr209research summary.docx</w:t>
      </w:r>
    </w:fldSimple>
  </w:p>
</w:hdr>
</file>

<file path=word/header1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260FF" w:rsidRDefault="00F260FF">
    <w:pPr>
      <w:pStyle w:val="Header"/>
      <w:jc w:val="right"/>
      <w:rPr>
        <w:smallCaps/>
        <w:sz w:val="18"/>
      </w:rPr>
    </w:pPr>
  </w:p>
</w:hdr>
</file>

<file path=word/header1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260FF" w:rsidRDefault="006B5A61">
    <w:pPr>
      <w:pStyle w:val="Header"/>
      <w:jc w:val="right"/>
      <w:rPr>
        <w:rFonts w:ascii="Arial" w:hAnsi="Arial"/>
        <w:sz w:val="14"/>
      </w:rPr>
    </w:pPr>
    <w:fldSimple w:instr=" FILENAME \* Lower\p  \* MERGEFORMAT ">
      <w:r w:rsidR="00F260FF" w:rsidRPr="00822683">
        <w:rPr>
          <w:rFonts w:ascii="Arial" w:hAnsi="Arial"/>
          <w:noProof/>
          <w:sz w:val="14"/>
        </w:rPr>
        <w:t>\\pvnt01flpr01\erissshared$\program</w:t>
      </w:r>
      <w:r w:rsidR="00F260FF">
        <w:rPr>
          <w:noProof/>
        </w:rPr>
        <w:t xml:space="preserve"> groups\skc\publications\ssr working folder\ssr209 working\ssr209research summary.docx</w:t>
      </w:r>
    </w:fldSimple>
  </w:p>
</w:hdr>
</file>

<file path=word/header1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260FF" w:rsidRPr="006E191A" w:rsidRDefault="00F260FF" w:rsidP="006E191A">
    <w:pPr>
      <w:pStyle w:val="Header"/>
    </w:pPr>
  </w:p>
</w:hdr>
</file>

<file path=word/header1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260FF" w:rsidRPr="006E191A" w:rsidRDefault="00F260FF" w:rsidP="006E191A">
    <w:pPr>
      <w:pStyle w:val="Header"/>
      <w:jc w:val="right"/>
    </w:pPr>
    <w:r>
      <w:t>KKN 2.2.1 Landform design</w: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260FF" w:rsidRDefault="00F260FF">
    <w:pPr>
      <w:pStyle w:val="Header"/>
    </w:pPr>
    <w:r>
      <w:rPr>
        <w:noProof/>
        <w:lang w:eastAsia="en-AU"/>
      </w:rPr>
      <w:drawing>
        <wp:anchor distT="0" distB="0" distL="114300" distR="114300" simplePos="0" relativeHeight="251658240" behindDoc="1" locked="0" layoutInCell="1" allowOverlap="1">
          <wp:simplePos x="0" y="0"/>
          <wp:positionH relativeFrom="column">
            <wp:posOffset>-356235</wp:posOffset>
          </wp:positionH>
          <wp:positionV relativeFrom="paragraph">
            <wp:posOffset>-683895</wp:posOffset>
          </wp:positionV>
          <wp:extent cx="7540103" cy="10652760"/>
          <wp:effectExtent l="19050" t="0" r="3697" b="0"/>
          <wp:wrapNone/>
          <wp:docPr id="2" name="Picture 1" descr="Colour SSR cover generic low 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lour SSR cover generic low res.jpg"/>
                  <pic:cNvPicPr/>
                </pic:nvPicPr>
                <pic:blipFill>
                  <a:blip r:embed="rId1"/>
                  <a:stretch>
                    <a:fillRect/>
                  </a:stretch>
                </pic:blipFill>
                <pic:spPr>
                  <a:xfrm>
                    <a:off x="0" y="0"/>
                    <a:ext cx="7563725" cy="10686134"/>
                  </a:xfrm>
                  <a:prstGeom prst="rect">
                    <a:avLst/>
                  </a:prstGeom>
                </pic:spPr>
              </pic:pic>
            </a:graphicData>
          </a:graphic>
        </wp:anchor>
      </w:drawing>
    </w:r>
  </w:p>
</w:hdr>
</file>

<file path=word/header2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260FF" w:rsidRPr="006E191A" w:rsidRDefault="00F260FF" w:rsidP="006E191A">
    <w:pPr>
      <w:pStyle w:val="Header"/>
      <w:jc w:val="right"/>
    </w:pPr>
    <w:r>
      <w:t>KKN 2.2.4 Geomorphic behaviour and evolution of the landscape</w:t>
    </w:r>
  </w:p>
</w:hdr>
</file>

<file path=word/header2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260FF" w:rsidRPr="006E191A" w:rsidRDefault="00F260FF" w:rsidP="006E191A">
    <w:pPr>
      <w:pStyle w:val="Header"/>
      <w:jc w:val="right"/>
    </w:pPr>
    <w:r>
      <w:t>KKN 2.2.4 Geomorphic behaviour and evolution of the landscape</w:t>
    </w:r>
  </w:p>
</w:hdr>
</file>

<file path=word/header2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260FF" w:rsidRPr="006E191A" w:rsidRDefault="00F260FF" w:rsidP="006E191A">
    <w:pPr>
      <w:pStyle w:val="Header"/>
      <w:jc w:val="right"/>
    </w:pPr>
    <w:r>
      <w:t>KKN 2.2.5 Radiological characteristics of the final landform</w:t>
    </w:r>
  </w:p>
</w:hdr>
</file>

<file path=word/header2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260FF" w:rsidRPr="000D71CB" w:rsidRDefault="00F260FF" w:rsidP="000D71CB">
    <w:pPr>
      <w:pStyle w:val="Header"/>
    </w:pPr>
  </w:p>
</w:hdr>
</file>

<file path=word/header2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260FF" w:rsidRPr="003A3F09" w:rsidRDefault="00F260FF" w:rsidP="005E6FBD">
    <w:pPr>
      <w:pStyle w:val="Header"/>
      <w:jc w:val="right"/>
      <w:rPr>
        <w:spacing w:val="-10"/>
      </w:rPr>
    </w:pPr>
    <w:r w:rsidRPr="003A3F09">
      <w:rPr>
        <w:spacing w:val="-10"/>
      </w:rPr>
      <w:t>KKN 2.5.1 Development and agreement of closure criteria from ecosystem establishment perspective</w:t>
    </w:r>
  </w:p>
</w:hdr>
</file>

<file path=word/header2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260FF" w:rsidRPr="005E6FBD" w:rsidRDefault="00F260FF" w:rsidP="005E6FBD">
    <w:pPr>
      <w:pStyle w:val="Header"/>
      <w:jc w:val="right"/>
    </w:pPr>
    <w:r>
      <w:t>KKN 2.5.3 Establishment and sustainability of ecosystems on mine landform</w:t>
    </w:r>
  </w:p>
</w:hdr>
</file>

<file path=word/header2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260FF" w:rsidRDefault="00F260FF">
    <w:pPr>
      <w:pStyle w:val="Header"/>
      <w:jc w:val="right"/>
      <w:rPr>
        <w:smallCaps/>
        <w:sz w:val="18"/>
      </w:rPr>
    </w:pPr>
  </w:p>
</w:hdr>
</file>

<file path=word/header2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260FF" w:rsidRPr="00DE1ACB" w:rsidRDefault="006B5A61">
    <w:pPr>
      <w:pStyle w:val="Header"/>
      <w:jc w:val="right"/>
      <w:rPr>
        <w:rFonts w:ascii="Arial" w:hAnsi="Arial"/>
        <w:sz w:val="14"/>
        <w:lang w:val="es-EC"/>
      </w:rPr>
    </w:pPr>
    <w:fldSimple w:instr=" FILENAME \* Lower\p  \* MERGEFORMAT ">
      <w:r w:rsidR="00F260FF" w:rsidRPr="00822683">
        <w:rPr>
          <w:rFonts w:ascii="Arial" w:hAnsi="Arial"/>
          <w:noProof/>
          <w:sz w:val="14"/>
          <w:lang w:val="es-EC"/>
        </w:rPr>
        <w:t>\\pvnt01flpr01\erissshared$\program</w:t>
      </w:r>
      <w:r w:rsidR="00F260FF" w:rsidRPr="00822683">
        <w:rPr>
          <w:noProof/>
          <w:lang w:val="es-EC"/>
        </w:rPr>
        <w:t xml:space="preserve"> groups\skc\publications\ssr working</w:t>
      </w:r>
      <w:r w:rsidR="00F260FF">
        <w:rPr>
          <w:noProof/>
        </w:rPr>
        <w:t xml:space="preserve"> folder\ssr209 working\ssr209research summary.docx</w:t>
      </w:r>
    </w:fldSimple>
  </w:p>
</w:hdr>
</file>

<file path=word/header2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260FF" w:rsidRPr="005E6FBD" w:rsidRDefault="00F260FF" w:rsidP="005E6FBD">
    <w:pPr>
      <w:pStyle w:val="Header"/>
      <w:jc w:val="right"/>
    </w:pPr>
    <w:r>
      <w:t>KKN 2.5.3 Establishment and sustainability of ecosystems on mine landform</w:t>
    </w:r>
  </w:p>
</w:hdr>
</file>

<file path=word/header2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260FF" w:rsidRPr="005E6FBD" w:rsidRDefault="00F260FF" w:rsidP="005E6FBD">
    <w:pPr>
      <w:pStyle w:val="Header"/>
      <w:jc w:val="right"/>
    </w:pPr>
    <w:r>
      <w:t xml:space="preserve">KKN 2.5.4 Radiation exposure pathways associated with </w:t>
    </w:r>
    <w:proofErr w:type="spellStart"/>
    <w:r>
      <w:t>ecosyster</w:t>
    </w:r>
    <w:proofErr w:type="spellEnd"/>
    <w:r>
      <w:t xml:space="preserve"> re-establishment</w:t>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A7D3E" w:rsidRDefault="006A7D3E">
    <w:pPr>
      <w:pStyle w:val="Header"/>
    </w:pPr>
  </w:p>
</w:hdr>
</file>

<file path=word/header3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260FF" w:rsidRDefault="00F260FF">
    <w:pPr>
      <w:pStyle w:val="Header"/>
      <w:jc w:val="right"/>
      <w:rPr>
        <w:smallCaps/>
        <w:sz w:val="18"/>
      </w:rPr>
    </w:pPr>
  </w:p>
</w:hdr>
</file>

<file path=word/header3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260FF" w:rsidRDefault="006B5A61">
    <w:pPr>
      <w:pStyle w:val="Header"/>
      <w:jc w:val="right"/>
      <w:rPr>
        <w:rFonts w:ascii="Arial" w:hAnsi="Arial"/>
        <w:sz w:val="14"/>
      </w:rPr>
    </w:pPr>
    <w:fldSimple w:instr=" FILENAME \* Lower\p  \* MERGEFORMAT ">
      <w:r w:rsidR="00F260FF" w:rsidRPr="00822683">
        <w:rPr>
          <w:rFonts w:ascii="Arial" w:hAnsi="Arial"/>
          <w:noProof/>
          <w:sz w:val="14"/>
        </w:rPr>
        <w:t>\\pvnt01flpr01\erissshared$\program</w:t>
      </w:r>
      <w:r w:rsidR="00F260FF">
        <w:rPr>
          <w:noProof/>
        </w:rPr>
        <w:t xml:space="preserve"> groups\skc\publications\ssr working folder\ssr209 working\ssr209research summary.docx</w:t>
      </w:r>
    </w:fldSimple>
  </w:p>
</w:hdr>
</file>

<file path=word/header3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260FF" w:rsidRPr="007D150B" w:rsidRDefault="00F260FF" w:rsidP="007D150B">
    <w:pPr>
      <w:pStyle w:val="Header"/>
    </w:pPr>
  </w:p>
</w:hdr>
</file>

<file path=word/header3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260FF" w:rsidRPr="005E6FBD" w:rsidRDefault="00F260FF" w:rsidP="005E6FBD">
    <w:pPr>
      <w:pStyle w:val="Header"/>
      <w:jc w:val="right"/>
    </w:pPr>
    <w:r>
      <w:t>KKN 2.6.1 Monitoring of the rehabilitated landform</w:t>
    </w:r>
  </w:p>
</w:hdr>
</file>

<file path=word/header3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260FF" w:rsidRPr="005E6FBD" w:rsidRDefault="00F260FF" w:rsidP="005E6FBD">
    <w:pPr>
      <w:pStyle w:val="Header"/>
      <w:jc w:val="right"/>
    </w:pPr>
    <w:r>
      <w:t>KKN 2.6.2 Off-site monitoring during and following rehabilitation</w:t>
    </w:r>
  </w:p>
</w:hdr>
</file>

<file path=word/header3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260FF" w:rsidRDefault="00F260FF">
    <w:pPr>
      <w:pStyle w:val="Header"/>
      <w:jc w:val="right"/>
      <w:rPr>
        <w:smallCaps/>
        <w:sz w:val="18"/>
      </w:rPr>
    </w:pPr>
  </w:p>
</w:hdr>
</file>

<file path=word/header3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260FF" w:rsidRDefault="006B5A61">
    <w:pPr>
      <w:pStyle w:val="Header"/>
      <w:jc w:val="right"/>
      <w:rPr>
        <w:rFonts w:ascii="Arial" w:hAnsi="Arial"/>
        <w:sz w:val="14"/>
      </w:rPr>
    </w:pPr>
    <w:fldSimple w:instr=" FILENAME \* Lower\p  \* MERGEFORMAT ">
      <w:r w:rsidR="00F260FF" w:rsidRPr="00822683">
        <w:rPr>
          <w:rFonts w:ascii="Arial" w:hAnsi="Arial"/>
          <w:noProof/>
          <w:sz w:val="14"/>
        </w:rPr>
        <w:t>\\pvnt01flpr01\erissshared$\program</w:t>
      </w:r>
      <w:r w:rsidR="00F260FF">
        <w:rPr>
          <w:noProof/>
        </w:rPr>
        <w:t xml:space="preserve"> groups\skc\publications\ssr working folder\ssr209 working\ssr209research summary.docx</w:t>
      </w:r>
    </w:fldSimple>
  </w:p>
</w:hdr>
</file>

<file path=word/header3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260FF" w:rsidRPr="00FD2FC8" w:rsidRDefault="00F260FF" w:rsidP="00FD2FC8">
    <w:pPr>
      <w:pStyle w:val="Header"/>
    </w:pPr>
  </w:p>
</w:hdr>
</file>

<file path=word/header3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260FF" w:rsidRPr="005E6FBD" w:rsidRDefault="00F260FF" w:rsidP="005E6FBD">
    <w:pPr>
      <w:pStyle w:val="Header"/>
      <w:jc w:val="right"/>
    </w:pPr>
    <w:r>
      <w:t>KKN 2.7.1 Ecological risk assessments of the rehabilitation and post rehabilitation phases</w:t>
    </w:r>
  </w:p>
</w:hdr>
</file>

<file path=word/header3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260FF" w:rsidRDefault="00F260FF">
    <w:pPr>
      <w:pStyle w:val="Header"/>
      <w:jc w:val="right"/>
      <w:rPr>
        <w:smallCaps/>
        <w:sz w:val="18"/>
      </w:rPr>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260FF" w:rsidRDefault="00F260FF">
    <w:pPr>
      <w:pStyle w:val="Header"/>
      <w:jc w:val="right"/>
      <w:rPr>
        <w:smallCaps/>
        <w:sz w:val="18"/>
      </w:rPr>
    </w:pPr>
  </w:p>
</w:hdr>
</file>

<file path=word/header4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260FF" w:rsidRDefault="006B5A61">
    <w:pPr>
      <w:pStyle w:val="Header"/>
      <w:jc w:val="right"/>
      <w:rPr>
        <w:rFonts w:ascii="Arial" w:hAnsi="Arial"/>
        <w:sz w:val="14"/>
      </w:rPr>
    </w:pPr>
    <w:fldSimple w:instr=" FILENAME \* Lower\p  \* MERGEFORMAT ">
      <w:r w:rsidR="00F260FF" w:rsidRPr="00822683">
        <w:rPr>
          <w:rFonts w:ascii="Arial" w:hAnsi="Arial"/>
          <w:noProof/>
          <w:sz w:val="14"/>
        </w:rPr>
        <w:t>\\pvnt01flpr01\erissshared$\program</w:t>
      </w:r>
      <w:r w:rsidR="00F260FF">
        <w:rPr>
          <w:noProof/>
        </w:rPr>
        <w:t xml:space="preserve"> groups\skc\publications\ssr working folder\ssr209 working\ssr209research summary.docx</w:t>
      </w:r>
    </w:fldSimple>
  </w:p>
</w:hdr>
</file>

<file path=word/header4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260FF" w:rsidRPr="00FA65C2" w:rsidRDefault="00F260FF" w:rsidP="00FA65C2">
    <w:pPr>
      <w:pStyle w:val="Header"/>
    </w:pPr>
  </w:p>
</w:hdr>
</file>

<file path=word/header4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260FF" w:rsidRPr="005F4B5A" w:rsidRDefault="00F260FF" w:rsidP="005F4B5A">
    <w:pPr>
      <w:pStyle w:val="Header"/>
    </w:pPr>
    <w:r>
      <w:t>KKN 3.1.1 Monitoring during the care and maintenance phase</w:t>
    </w:r>
  </w:p>
</w:hdr>
</file>

<file path=word/header4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260FF" w:rsidRPr="005F4B5A" w:rsidRDefault="00F260FF" w:rsidP="005F4B5A">
    <w:pPr>
      <w:pStyle w:val="Header"/>
    </w:pPr>
    <w:r>
      <w:t>KKN 3.1.1 Monitoring during the care and maintenance phase</w:t>
    </w:r>
  </w:p>
</w:hdr>
</file>

<file path=word/header4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260FF" w:rsidRDefault="00F260FF">
    <w:pPr>
      <w:pStyle w:val="Header"/>
      <w:jc w:val="right"/>
      <w:rPr>
        <w:smallCaps/>
        <w:sz w:val="18"/>
      </w:rPr>
    </w:pPr>
  </w:p>
</w:hdr>
</file>

<file path=word/header4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260FF" w:rsidRPr="000A341E" w:rsidRDefault="00F260FF" w:rsidP="000A341E">
    <w:pPr>
      <w:pStyle w:val="Header"/>
    </w:pPr>
  </w:p>
</w:hdr>
</file>

<file path=word/header4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260FF" w:rsidRDefault="006B5A61">
    <w:pPr>
      <w:pStyle w:val="Header"/>
      <w:jc w:val="right"/>
      <w:rPr>
        <w:rFonts w:ascii="Arial" w:hAnsi="Arial"/>
        <w:sz w:val="14"/>
      </w:rPr>
    </w:pPr>
    <w:fldSimple w:instr=" FILENAME \* Lower\p  \* MERGEFORMAT ">
      <w:r w:rsidR="00F260FF" w:rsidRPr="00822683">
        <w:rPr>
          <w:rFonts w:ascii="Arial" w:hAnsi="Arial"/>
          <w:noProof/>
          <w:sz w:val="14"/>
        </w:rPr>
        <w:t>\\pvnt01flpr01\erissshared$\program</w:t>
      </w:r>
      <w:r w:rsidR="00F260FF">
        <w:rPr>
          <w:noProof/>
        </w:rPr>
        <w:t xml:space="preserve"> groups\skc\publications\ssr working folder\ssr209 working\ssr209research summary.docx</w:t>
      </w:r>
    </w:fldSimple>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260FF" w:rsidRDefault="00F260FF">
    <w:pPr>
      <w:pStyle w:val="Header"/>
    </w:pP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260FF" w:rsidRDefault="00F260FF">
    <w:pPr>
      <w:pStyle w:val="Header"/>
      <w:jc w:val="right"/>
      <w:rPr>
        <w:smallCaps/>
        <w:sz w:val="18"/>
      </w:rPr>
    </w:pP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260FF" w:rsidRDefault="006B5A61">
    <w:pPr>
      <w:pStyle w:val="Header"/>
      <w:jc w:val="right"/>
      <w:rPr>
        <w:rFonts w:ascii="Arial" w:hAnsi="Arial"/>
        <w:sz w:val="14"/>
      </w:rPr>
    </w:pPr>
    <w:fldSimple w:instr=" FILENAME \* Lower\p  \* MERGEFORMAT ">
      <w:r w:rsidR="00F260FF" w:rsidRPr="00822683">
        <w:rPr>
          <w:rFonts w:ascii="Arial" w:hAnsi="Arial"/>
          <w:noProof/>
          <w:sz w:val="14"/>
        </w:rPr>
        <w:t>\\pvnt01flpr01\erissshared$\program</w:t>
      </w:r>
      <w:r w:rsidR="00F260FF">
        <w:rPr>
          <w:noProof/>
        </w:rPr>
        <w:t xml:space="preserve"> groups\skc\publications\ssr working folder\ssr209 working\ssr209research summary.docx</w:t>
      </w:r>
    </w:fldSimple>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260FF" w:rsidRDefault="00F260FF">
    <w:pPr>
      <w:pStyle w:val="Header"/>
    </w:pPr>
  </w:p>
</w:hdr>
</file>

<file path=word/header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260FF" w:rsidRDefault="00F260FF" w:rsidP="005E0400">
    <w:pPr>
      <w:pStyle w:val="Header"/>
      <w:jc w:val="right"/>
    </w:pPr>
    <w:r>
      <w:t>KKN 1.2.1 Ecological risks via the surface water pathway</w:t>
    </w:r>
  </w:p>
  <w:p w:rsidR="00F260FF" w:rsidRDefault="00F260FF">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DA93664"/>
    <w:multiLevelType w:val="hybridMultilevel"/>
    <w:tmpl w:val="499E8BB8"/>
    <w:lvl w:ilvl="0" w:tplc="9B42C544">
      <w:start w:val="1"/>
      <w:numFmt w:val="lowerRoman"/>
      <w:lvlText w:val="(%1)"/>
      <w:lvlJc w:val="left"/>
      <w:pPr>
        <w:ind w:left="1146" w:hanging="360"/>
      </w:pPr>
      <w:rPr>
        <w:rFonts w:asciiTheme="minorHAnsi" w:hAnsiTheme="minorHAnsi" w:hint="default"/>
        <w:sz w:val="22"/>
        <w:szCs w:val="2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
    <w:nsid w:val="13387CE8"/>
    <w:multiLevelType w:val="hybridMultilevel"/>
    <w:tmpl w:val="48322ABC"/>
    <w:lvl w:ilvl="0" w:tplc="0C09000F">
      <w:start w:val="1"/>
      <w:numFmt w:val="decimal"/>
      <w:lvlText w:val="%1."/>
      <w:lvlJc w:val="left"/>
      <w:pPr>
        <w:ind w:left="720"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nsid w:val="18744F86"/>
    <w:multiLevelType w:val="hybridMultilevel"/>
    <w:tmpl w:val="74B026E0"/>
    <w:lvl w:ilvl="0" w:tplc="8D163180">
      <w:start w:val="1"/>
      <w:numFmt w:val="decimal"/>
      <w:lvlText w:val="%1"/>
      <w:lvlJc w:val="left"/>
      <w:pPr>
        <w:ind w:left="765" w:hanging="405"/>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
    <w:nsid w:val="213B167B"/>
    <w:multiLevelType w:val="hybridMultilevel"/>
    <w:tmpl w:val="2B2460DA"/>
    <w:lvl w:ilvl="0" w:tplc="0C090003">
      <w:start w:val="1"/>
      <w:numFmt w:val="bullet"/>
      <w:lvlText w:val="o"/>
      <w:lvlJc w:val="left"/>
      <w:pPr>
        <w:tabs>
          <w:tab w:val="num" w:pos="720"/>
        </w:tabs>
        <w:ind w:left="720" w:hanging="360"/>
      </w:pPr>
      <w:rPr>
        <w:rFonts w:ascii="Courier New" w:hAnsi="Courier New" w:cs="Courier New"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
    <w:nsid w:val="2BB33C82"/>
    <w:multiLevelType w:val="hybridMultilevel"/>
    <w:tmpl w:val="13448BB6"/>
    <w:lvl w:ilvl="0" w:tplc="0C090001">
      <w:start w:val="1"/>
      <w:numFmt w:val="bullet"/>
      <w:lvlText w:val=""/>
      <w:lvlJc w:val="left"/>
      <w:pPr>
        <w:tabs>
          <w:tab w:val="num" w:pos="360"/>
        </w:tabs>
        <w:ind w:left="360" w:hanging="360"/>
      </w:pPr>
      <w:rPr>
        <w:rFonts w:ascii="Symbol" w:hAnsi="Symbol"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
    <w:nsid w:val="2DB24F68"/>
    <w:multiLevelType w:val="hybridMultilevel"/>
    <w:tmpl w:val="7E3409DC"/>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6">
    <w:nsid w:val="2DD16147"/>
    <w:multiLevelType w:val="hybridMultilevel"/>
    <w:tmpl w:val="4F6A1C96"/>
    <w:lvl w:ilvl="0" w:tplc="34EEEC06">
      <w:start w:val="1"/>
      <w:numFmt w:val="decimal"/>
      <w:lvlText w:val="%1."/>
      <w:lvlJc w:val="left"/>
      <w:pPr>
        <w:ind w:left="786" w:hanging="360"/>
      </w:pPr>
      <w:rPr>
        <w:rFonts w:hint="default"/>
      </w:rPr>
    </w:lvl>
    <w:lvl w:ilvl="1" w:tplc="0C090019" w:tentative="1">
      <w:start w:val="1"/>
      <w:numFmt w:val="lowerLetter"/>
      <w:lvlText w:val="%2."/>
      <w:lvlJc w:val="left"/>
      <w:pPr>
        <w:ind w:left="1506" w:hanging="360"/>
      </w:pPr>
    </w:lvl>
    <w:lvl w:ilvl="2" w:tplc="0C09001B" w:tentative="1">
      <w:start w:val="1"/>
      <w:numFmt w:val="lowerRoman"/>
      <w:lvlText w:val="%3."/>
      <w:lvlJc w:val="right"/>
      <w:pPr>
        <w:ind w:left="2226" w:hanging="180"/>
      </w:pPr>
    </w:lvl>
    <w:lvl w:ilvl="3" w:tplc="0C09000F" w:tentative="1">
      <w:start w:val="1"/>
      <w:numFmt w:val="decimal"/>
      <w:lvlText w:val="%4."/>
      <w:lvlJc w:val="left"/>
      <w:pPr>
        <w:ind w:left="2946" w:hanging="360"/>
      </w:pPr>
    </w:lvl>
    <w:lvl w:ilvl="4" w:tplc="0C090019" w:tentative="1">
      <w:start w:val="1"/>
      <w:numFmt w:val="lowerLetter"/>
      <w:lvlText w:val="%5."/>
      <w:lvlJc w:val="left"/>
      <w:pPr>
        <w:ind w:left="3666" w:hanging="360"/>
      </w:pPr>
    </w:lvl>
    <w:lvl w:ilvl="5" w:tplc="0C09001B" w:tentative="1">
      <w:start w:val="1"/>
      <w:numFmt w:val="lowerRoman"/>
      <w:lvlText w:val="%6."/>
      <w:lvlJc w:val="right"/>
      <w:pPr>
        <w:ind w:left="4386" w:hanging="180"/>
      </w:pPr>
    </w:lvl>
    <w:lvl w:ilvl="6" w:tplc="0C09000F" w:tentative="1">
      <w:start w:val="1"/>
      <w:numFmt w:val="decimal"/>
      <w:lvlText w:val="%7."/>
      <w:lvlJc w:val="left"/>
      <w:pPr>
        <w:ind w:left="5106" w:hanging="360"/>
      </w:pPr>
    </w:lvl>
    <w:lvl w:ilvl="7" w:tplc="0C090019" w:tentative="1">
      <w:start w:val="1"/>
      <w:numFmt w:val="lowerLetter"/>
      <w:lvlText w:val="%8."/>
      <w:lvlJc w:val="left"/>
      <w:pPr>
        <w:ind w:left="5826" w:hanging="360"/>
      </w:pPr>
    </w:lvl>
    <w:lvl w:ilvl="8" w:tplc="0C09001B" w:tentative="1">
      <w:start w:val="1"/>
      <w:numFmt w:val="lowerRoman"/>
      <w:lvlText w:val="%9."/>
      <w:lvlJc w:val="right"/>
      <w:pPr>
        <w:ind w:left="6546" w:hanging="180"/>
      </w:pPr>
    </w:lvl>
  </w:abstractNum>
  <w:abstractNum w:abstractNumId="7">
    <w:nsid w:val="30F42C4F"/>
    <w:multiLevelType w:val="hybridMultilevel"/>
    <w:tmpl w:val="0E7AC142"/>
    <w:lvl w:ilvl="0" w:tplc="21BA562A">
      <w:start w:val="1"/>
      <w:numFmt w:val="lowerRoman"/>
      <w:lvlText w:val="(%1)"/>
      <w:lvlJc w:val="left"/>
      <w:pPr>
        <w:ind w:left="1080" w:hanging="72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
    <w:nsid w:val="339F0B87"/>
    <w:multiLevelType w:val="hybridMultilevel"/>
    <w:tmpl w:val="F0F8F6CE"/>
    <w:lvl w:ilvl="0" w:tplc="0C09001B">
      <w:start w:val="1"/>
      <w:numFmt w:val="lowerRoman"/>
      <w:lvlText w:val="%1."/>
      <w:lvlJc w:val="right"/>
      <w:pPr>
        <w:ind w:left="778" w:hanging="360"/>
      </w:pPr>
      <w:rPr>
        <w:rFonts w:hint="default"/>
      </w:rPr>
    </w:lvl>
    <w:lvl w:ilvl="1" w:tplc="0C090003" w:tentative="1">
      <w:start w:val="1"/>
      <w:numFmt w:val="bullet"/>
      <w:lvlText w:val="o"/>
      <w:lvlJc w:val="left"/>
      <w:pPr>
        <w:ind w:left="1498" w:hanging="360"/>
      </w:pPr>
      <w:rPr>
        <w:rFonts w:ascii="Courier New" w:hAnsi="Courier New" w:cs="Courier New" w:hint="default"/>
      </w:rPr>
    </w:lvl>
    <w:lvl w:ilvl="2" w:tplc="0C090005" w:tentative="1">
      <w:start w:val="1"/>
      <w:numFmt w:val="bullet"/>
      <w:lvlText w:val=""/>
      <w:lvlJc w:val="left"/>
      <w:pPr>
        <w:ind w:left="2218" w:hanging="360"/>
      </w:pPr>
      <w:rPr>
        <w:rFonts w:ascii="Wingdings" w:hAnsi="Wingdings" w:hint="default"/>
      </w:rPr>
    </w:lvl>
    <w:lvl w:ilvl="3" w:tplc="0C090001" w:tentative="1">
      <w:start w:val="1"/>
      <w:numFmt w:val="bullet"/>
      <w:lvlText w:val=""/>
      <w:lvlJc w:val="left"/>
      <w:pPr>
        <w:ind w:left="2938" w:hanging="360"/>
      </w:pPr>
      <w:rPr>
        <w:rFonts w:ascii="Symbol" w:hAnsi="Symbol" w:hint="default"/>
      </w:rPr>
    </w:lvl>
    <w:lvl w:ilvl="4" w:tplc="0C090003" w:tentative="1">
      <w:start w:val="1"/>
      <w:numFmt w:val="bullet"/>
      <w:lvlText w:val="o"/>
      <w:lvlJc w:val="left"/>
      <w:pPr>
        <w:ind w:left="3658" w:hanging="360"/>
      </w:pPr>
      <w:rPr>
        <w:rFonts w:ascii="Courier New" w:hAnsi="Courier New" w:cs="Courier New" w:hint="default"/>
      </w:rPr>
    </w:lvl>
    <w:lvl w:ilvl="5" w:tplc="0C090005" w:tentative="1">
      <w:start w:val="1"/>
      <w:numFmt w:val="bullet"/>
      <w:lvlText w:val=""/>
      <w:lvlJc w:val="left"/>
      <w:pPr>
        <w:ind w:left="4378" w:hanging="360"/>
      </w:pPr>
      <w:rPr>
        <w:rFonts w:ascii="Wingdings" w:hAnsi="Wingdings" w:hint="default"/>
      </w:rPr>
    </w:lvl>
    <w:lvl w:ilvl="6" w:tplc="0C090001" w:tentative="1">
      <w:start w:val="1"/>
      <w:numFmt w:val="bullet"/>
      <w:lvlText w:val=""/>
      <w:lvlJc w:val="left"/>
      <w:pPr>
        <w:ind w:left="5098" w:hanging="360"/>
      </w:pPr>
      <w:rPr>
        <w:rFonts w:ascii="Symbol" w:hAnsi="Symbol" w:hint="default"/>
      </w:rPr>
    </w:lvl>
    <w:lvl w:ilvl="7" w:tplc="0C090003" w:tentative="1">
      <w:start w:val="1"/>
      <w:numFmt w:val="bullet"/>
      <w:lvlText w:val="o"/>
      <w:lvlJc w:val="left"/>
      <w:pPr>
        <w:ind w:left="5818" w:hanging="360"/>
      </w:pPr>
      <w:rPr>
        <w:rFonts w:ascii="Courier New" w:hAnsi="Courier New" w:cs="Courier New" w:hint="default"/>
      </w:rPr>
    </w:lvl>
    <w:lvl w:ilvl="8" w:tplc="0C090005" w:tentative="1">
      <w:start w:val="1"/>
      <w:numFmt w:val="bullet"/>
      <w:lvlText w:val=""/>
      <w:lvlJc w:val="left"/>
      <w:pPr>
        <w:ind w:left="6538" w:hanging="360"/>
      </w:pPr>
      <w:rPr>
        <w:rFonts w:ascii="Wingdings" w:hAnsi="Wingdings" w:hint="default"/>
      </w:rPr>
    </w:lvl>
  </w:abstractNum>
  <w:abstractNum w:abstractNumId="9">
    <w:nsid w:val="351F215B"/>
    <w:multiLevelType w:val="hybridMultilevel"/>
    <w:tmpl w:val="0EEA68E4"/>
    <w:lvl w:ilvl="0" w:tplc="21BA562A">
      <w:start w:val="1"/>
      <w:numFmt w:val="lowerRoman"/>
      <w:lvlText w:val="(%1)"/>
      <w:lvlJc w:val="left"/>
      <w:pPr>
        <w:tabs>
          <w:tab w:val="num" w:pos="717"/>
        </w:tabs>
        <w:ind w:left="717" w:hanging="360"/>
      </w:pPr>
      <w:rPr>
        <w:rFonts w:hint="default"/>
      </w:rPr>
    </w:lvl>
    <w:lvl w:ilvl="1" w:tplc="DFA8AD1E">
      <w:start w:val="1"/>
      <w:numFmt w:val="lowerRoman"/>
      <w:lvlText w:val="%2."/>
      <w:lvlJc w:val="right"/>
      <w:pPr>
        <w:tabs>
          <w:tab w:val="num" w:pos="1437"/>
        </w:tabs>
        <w:ind w:left="1437" w:hanging="360"/>
      </w:pPr>
    </w:lvl>
    <w:lvl w:ilvl="2" w:tplc="0A4C3F76" w:tentative="1">
      <w:start w:val="1"/>
      <w:numFmt w:val="bullet"/>
      <w:lvlText w:val=""/>
      <w:lvlJc w:val="left"/>
      <w:pPr>
        <w:tabs>
          <w:tab w:val="num" w:pos="2157"/>
        </w:tabs>
        <w:ind w:left="2157" w:hanging="360"/>
      </w:pPr>
      <w:rPr>
        <w:rFonts w:ascii="Wingdings" w:hAnsi="Wingdings" w:hint="default"/>
      </w:rPr>
    </w:lvl>
    <w:lvl w:ilvl="3" w:tplc="E9F291C2" w:tentative="1">
      <w:start w:val="1"/>
      <w:numFmt w:val="bullet"/>
      <w:lvlText w:val=""/>
      <w:lvlJc w:val="left"/>
      <w:pPr>
        <w:tabs>
          <w:tab w:val="num" w:pos="2877"/>
        </w:tabs>
        <w:ind w:left="2877" w:hanging="360"/>
      </w:pPr>
      <w:rPr>
        <w:rFonts w:ascii="Wingdings" w:hAnsi="Wingdings" w:hint="default"/>
      </w:rPr>
    </w:lvl>
    <w:lvl w:ilvl="4" w:tplc="3CC4BCD6" w:tentative="1">
      <w:start w:val="1"/>
      <w:numFmt w:val="bullet"/>
      <w:lvlText w:val=""/>
      <w:lvlJc w:val="left"/>
      <w:pPr>
        <w:tabs>
          <w:tab w:val="num" w:pos="3597"/>
        </w:tabs>
        <w:ind w:left="3597" w:hanging="360"/>
      </w:pPr>
      <w:rPr>
        <w:rFonts w:ascii="Wingdings" w:hAnsi="Wingdings" w:hint="default"/>
      </w:rPr>
    </w:lvl>
    <w:lvl w:ilvl="5" w:tplc="F66057A6" w:tentative="1">
      <w:start w:val="1"/>
      <w:numFmt w:val="bullet"/>
      <w:lvlText w:val=""/>
      <w:lvlJc w:val="left"/>
      <w:pPr>
        <w:tabs>
          <w:tab w:val="num" w:pos="4317"/>
        </w:tabs>
        <w:ind w:left="4317" w:hanging="360"/>
      </w:pPr>
      <w:rPr>
        <w:rFonts w:ascii="Wingdings" w:hAnsi="Wingdings" w:hint="default"/>
      </w:rPr>
    </w:lvl>
    <w:lvl w:ilvl="6" w:tplc="F924A28E" w:tentative="1">
      <w:start w:val="1"/>
      <w:numFmt w:val="bullet"/>
      <w:lvlText w:val=""/>
      <w:lvlJc w:val="left"/>
      <w:pPr>
        <w:tabs>
          <w:tab w:val="num" w:pos="5037"/>
        </w:tabs>
        <w:ind w:left="5037" w:hanging="360"/>
      </w:pPr>
      <w:rPr>
        <w:rFonts w:ascii="Wingdings" w:hAnsi="Wingdings" w:hint="default"/>
      </w:rPr>
    </w:lvl>
    <w:lvl w:ilvl="7" w:tplc="8FC4E68E" w:tentative="1">
      <w:start w:val="1"/>
      <w:numFmt w:val="bullet"/>
      <w:lvlText w:val=""/>
      <w:lvlJc w:val="left"/>
      <w:pPr>
        <w:tabs>
          <w:tab w:val="num" w:pos="5757"/>
        </w:tabs>
        <w:ind w:left="5757" w:hanging="360"/>
      </w:pPr>
      <w:rPr>
        <w:rFonts w:ascii="Wingdings" w:hAnsi="Wingdings" w:hint="default"/>
      </w:rPr>
    </w:lvl>
    <w:lvl w:ilvl="8" w:tplc="6F488082" w:tentative="1">
      <w:start w:val="1"/>
      <w:numFmt w:val="bullet"/>
      <w:lvlText w:val=""/>
      <w:lvlJc w:val="left"/>
      <w:pPr>
        <w:tabs>
          <w:tab w:val="num" w:pos="6477"/>
        </w:tabs>
        <w:ind w:left="6477" w:hanging="360"/>
      </w:pPr>
      <w:rPr>
        <w:rFonts w:ascii="Wingdings" w:hAnsi="Wingdings" w:hint="default"/>
      </w:rPr>
    </w:lvl>
  </w:abstractNum>
  <w:abstractNum w:abstractNumId="10">
    <w:nsid w:val="38E1525C"/>
    <w:multiLevelType w:val="hybridMultilevel"/>
    <w:tmpl w:val="A1F47B94"/>
    <w:lvl w:ilvl="0" w:tplc="D9DAFDBC">
      <w:start w:val="1"/>
      <w:numFmt w:val="lowerRoman"/>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1">
    <w:nsid w:val="41F51A7D"/>
    <w:multiLevelType w:val="hybridMultilevel"/>
    <w:tmpl w:val="A75AC1FE"/>
    <w:lvl w:ilvl="0" w:tplc="0C090017">
      <w:start w:val="1"/>
      <w:numFmt w:val="lowerLetter"/>
      <w:lvlText w:val="%1)"/>
      <w:lvlJc w:val="left"/>
      <w:pPr>
        <w:ind w:left="1074" w:hanging="360"/>
      </w:pPr>
      <w:rPr>
        <w:rFonts w:hint="default"/>
      </w:rPr>
    </w:lvl>
    <w:lvl w:ilvl="1" w:tplc="0C090019" w:tentative="1">
      <w:start w:val="1"/>
      <w:numFmt w:val="lowerLetter"/>
      <w:lvlText w:val="%2."/>
      <w:lvlJc w:val="left"/>
      <w:pPr>
        <w:ind w:left="1794" w:hanging="360"/>
      </w:pPr>
    </w:lvl>
    <w:lvl w:ilvl="2" w:tplc="0C09001B" w:tentative="1">
      <w:start w:val="1"/>
      <w:numFmt w:val="lowerRoman"/>
      <w:lvlText w:val="%3."/>
      <w:lvlJc w:val="right"/>
      <w:pPr>
        <w:ind w:left="2514" w:hanging="180"/>
      </w:pPr>
    </w:lvl>
    <w:lvl w:ilvl="3" w:tplc="0C09000F" w:tentative="1">
      <w:start w:val="1"/>
      <w:numFmt w:val="decimal"/>
      <w:lvlText w:val="%4."/>
      <w:lvlJc w:val="left"/>
      <w:pPr>
        <w:ind w:left="3234" w:hanging="360"/>
      </w:pPr>
    </w:lvl>
    <w:lvl w:ilvl="4" w:tplc="0C090019" w:tentative="1">
      <w:start w:val="1"/>
      <w:numFmt w:val="lowerLetter"/>
      <w:lvlText w:val="%5."/>
      <w:lvlJc w:val="left"/>
      <w:pPr>
        <w:ind w:left="3954" w:hanging="360"/>
      </w:pPr>
    </w:lvl>
    <w:lvl w:ilvl="5" w:tplc="0C09001B" w:tentative="1">
      <w:start w:val="1"/>
      <w:numFmt w:val="lowerRoman"/>
      <w:lvlText w:val="%6."/>
      <w:lvlJc w:val="right"/>
      <w:pPr>
        <w:ind w:left="4674" w:hanging="180"/>
      </w:pPr>
    </w:lvl>
    <w:lvl w:ilvl="6" w:tplc="0C09000F" w:tentative="1">
      <w:start w:val="1"/>
      <w:numFmt w:val="decimal"/>
      <w:lvlText w:val="%7."/>
      <w:lvlJc w:val="left"/>
      <w:pPr>
        <w:ind w:left="5394" w:hanging="360"/>
      </w:pPr>
    </w:lvl>
    <w:lvl w:ilvl="7" w:tplc="0C090019" w:tentative="1">
      <w:start w:val="1"/>
      <w:numFmt w:val="lowerLetter"/>
      <w:lvlText w:val="%8."/>
      <w:lvlJc w:val="left"/>
      <w:pPr>
        <w:ind w:left="6114" w:hanging="360"/>
      </w:pPr>
    </w:lvl>
    <w:lvl w:ilvl="8" w:tplc="0C09001B" w:tentative="1">
      <w:start w:val="1"/>
      <w:numFmt w:val="lowerRoman"/>
      <w:lvlText w:val="%9."/>
      <w:lvlJc w:val="right"/>
      <w:pPr>
        <w:ind w:left="6834" w:hanging="180"/>
      </w:pPr>
    </w:lvl>
  </w:abstractNum>
  <w:abstractNum w:abstractNumId="12">
    <w:nsid w:val="439A39CD"/>
    <w:multiLevelType w:val="hybridMultilevel"/>
    <w:tmpl w:val="4460816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nsid w:val="481A5BD3"/>
    <w:multiLevelType w:val="hybridMultilevel"/>
    <w:tmpl w:val="DA9C200C"/>
    <w:lvl w:ilvl="0" w:tplc="0C090001">
      <w:start w:val="1"/>
      <w:numFmt w:val="bullet"/>
      <w:lvlText w:val=""/>
      <w:lvlJc w:val="left"/>
      <w:pPr>
        <w:tabs>
          <w:tab w:val="num" w:pos="360"/>
        </w:tabs>
        <w:ind w:left="360" w:hanging="360"/>
      </w:pPr>
      <w:rPr>
        <w:rFonts w:ascii="Symbol" w:hAnsi="Symbol"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4">
    <w:nsid w:val="48275319"/>
    <w:multiLevelType w:val="hybridMultilevel"/>
    <w:tmpl w:val="6B14759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nsid w:val="4EB67185"/>
    <w:multiLevelType w:val="hybridMultilevel"/>
    <w:tmpl w:val="8476104E"/>
    <w:lvl w:ilvl="0" w:tplc="0C090001">
      <w:start w:val="1"/>
      <w:numFmt w:val="bullet"/>
      <w:lvlText w:val=""/>
      <w:lvlJc w:val="left"/>
      <w:pPr>
        <w:ind w:left="780" w:hanging="360"/>
      </w:pPr>
      <w:rPr>
        <w:rFonts w:ascii="Symbol" w:hAnsi="Symbol" w:hint="default"/>
      </w:rPr>
    </w:lvl>
    <w:lvl w:ilvl="1" w:tplc="0C090003" w:tentative="1">
      <w:start w:val="1"/>
      <w:numFmt w:val="bullet"/>
      <w:lvlText w:val="o"/>
      <w:lvlJc w:val="left"/>
      <w:pPr>
        <w:ind w:left="1500" w:hanging="360"/>
      </w:pPr>
      <w:rPr>
        <w:rFonts w:ascii="Courier New" w:hAnsi="Courier New" w:cs="Courier New" w:hint="default"/>
      </w:rPr>
    </w:lvl>
    <w:lvl w:ilvl="2" w:tplc="0C090005" w:tentative="1">
      <w:start w:val="1"/>
      <w:numFmt w:val="bullet"/>
      <w:lvlText w:val=""/>
      <w:lvlJc w:val="left"/>
      <w:pPr>
        <w:ind w:left="2220" w:hanging="360"/>
      </w:pPr>
      <w:rPr>
        <w:rFonts w:ascii="Wingdings" w:hAnsi="Wingdings" w:hint="default"/>
      </w:rPr>
    </w:lvl>
    <w:lvl w:ilvl="3" w:tplc="0C090001" w:tentative="1">
      <w:start w:val="1"/>
      <w:numFmt w:val="bullet"/>
      <w:lvlText w:val=""/>
      <w:lvlJc w:val="left"/>
      <w:pPr>
        <w:ind w:left="2940" w:hanging="360"/>
      </w:pPr>
      <w:rPr>
        <w:rFonts w:ascii="Symbol" w:hAnsi="Symbol" w:hint="default"/>
      </w:rPr>
    </w:lvl>
    <w:lvl w:ilvl="4" w:tplc="0C090003" w:tentative="1">
      <w:start w:val="1"/>
      <w:numFmt w:val="bullet"/>
      <w:lvlText w:val="o"/>
      <w:lvlJc w:val="left"/>
      <w:pPr>
        <w:ind w:left="3660" w:hanging="360"/>
      </w:pPr>
      <w:rPr>
        <w:rFonts w:ascii="Courier New" w:hAnsi="Courier New" w:cs="Courier New" w:hint="default"/>
      </w:rPr>
    </w:lvl>
    <w:lvl w:ilvl="5" w:tplc="0C090005" w:tentative="1">
      <w:start w:val="1"/>
      <w:numFmt w:val="bullet"/>
      <w:lvlText w:val=""/>
      <w:lvlJc w:val="left"/>
      <w:pPr>
        <w:ind w:left="4380" w:hanging="360"/>
      </w:pPr>
      <w:rPr>
        <w:rFonts w:ascii="Wingdings" w:hAnsi="Wingdings" w:hint="default"/>
      </w:rPr>
    </w:lvl>
    <w:lvl w:ilvl="6" w:tplc="0C090001" w:tentative="1">
      <w:start w:val="1"/>
      <w:numFmt w:val="bullet"/>
      <w:lvlText w:val=""/>
      <w:lvlJc w:val="left"/>
      <w:pPr>
        <w:ind w:left="5100" w:hanging="360"/>
      </w:pPr>
      <w:rPr>
        <w:rFonts w:ascii="Symbol" w:hAnsi="Symbol" w:hint="default"/>
      </w:rPr>
    </w:lvl>
    <w:lvl w:ilvl="7" w:tplc="0C090003" w:tentative="1">
      <w:start w:val="1"/>
      <w:numFmt w:val="bullet"/>
      <w:lvlText w:val="o"/>
      <w:lvlJc w:val="left"/>
      <w:pPr>
        <w:ind w:left="5820" w:hanging="360"/>
      </w:pPr>
      <w:rPr>
        <w:rFonts w:ascii="Courier New" w:hAnsi="Courier New" w:cs="Courier New" w:hint="default"/>
      </w:rPr>
    </w:lvl>
    <w:lvl w:ilvl="8" w:tplc="0C090005" w:tentative="1">
      <w:start w:val="1"/>
      <w:numFmt w:val="bullet"/>
      <w:lvlText w:val=""/>
      <w:lvlJc w:val="left"/>
      <w:pPr>
        <w:ind w:left="6540" w:hanging="360"/>
      </w:pPr>
      <w:rPr>
        <w:rFonts w:ascii="Wingdings" w:hAnsi="Wingdings" w:hint="default"/>
      </w:rPr>
    </w:lvl>
  </w:abstractNum>
  <w:abstractNum w:abstractNumId="16">
    <w:nsid w:val="5078481D"/>
    <w:multiLevelType w:val="hybridMultilevel"/>
    <w:tmpl w:val="BAA0131C"/>
    <w:lvl w:ilvl="0" w:tplc="0C090015">
      <w:start w:val="1"/>
      <w:numFmt w:val="upp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7">
    <w:nsid w:val="50982936"/>
    <w:multiLevelType w:val="hybridMultilevel"/>
    <w:tmpl w:val="B824CCFE"/>
    <w:lvl w:ilvl="0" w:tplc="2F704094">
      <w:start w:val="1"/>
      <w:numFmt w:val="bullet"/>
      <w:pStyle w:val="bulletlist1"/>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8">
    <w:nsid w:val="52293D10"/>
    <w:multiLevelType w:val="hybridMultilevel"/>
    <w:tmpl w:val="C1BAA1C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nsid w:val="52874F40"/>
    <w:multiLevelType w:val="hybridMultilevel"/>
    <w:tmpl w:val="3B0C8DA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nsid w:val="54F74770"/>
    <w:multiLevelType w:val="hybridMultilevel"/>
    <w:tmpl w:val="9AA411BE"/>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1">
    <w:nsid w:val="55045225"/>
    <w:multiLevelType w:val="multilevel"/>
    <w:tmpl w:val="94E833D6"/>
    <w:lvl w:ilvl="0">
      <w:start w:val="1"/>
      <w:numFmt w:val="decimal"/>
      <w:lvlText w:val="%1"/>
      <w:lvlJc w:val="left"/>
      <w:pPr>
        <w:tabs>
          <w:tab w:val="num" w:pos="360"/>
        </w:tabs>
        <w:ind w:left="360" w:hanging="360"/>
      </w:pPr>
      <w:rPr>
        <w:rFonts w:ascii="Times New Roman" w:eastAsia="Times New Roman" w:hAnsi="Times New Roman" w:cs="Times New Roman"/>
      </w:rPr>
    </w:lvl>
    <w:lvl w:ilvl="1">
      <w:start w:val="4"/>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440" w:hanging="1440"/>
      </w:pPr>
      <w:rPr>
        <w:rFonts w:hint="default"/>
      </w:rPr>
    </w:lvl>
  </w:abstractNum>
  <w:abstractNum w:abstractNumId="22">
    <w:nsid w:val="594E42E0"/>
    <w:multiLevelType w:val="hybridMultilevel"/>
    <w:tmpl w:val="020CD5E0"/>
    <w:lvl w:ilvl="0" w:tplc="0C09000F">
      <w:start w:val="1"/>
      <w:numFmt w:val="decimal"/>
      <w:lvlText w:val="%1."/>
      <w:lvlJc w:val="left"/>
      <w:pPr>
        <w:ind w:left="720" w:hanging="360"/>
      </w:pPr>
    </w:lvl>
    <w:lvl w:ilvl="1" w:tplc="0C090019">
      <w:start w:val="1"/>
      <w:numFmt w:val="decimal"/>
      <w:lvlText w:val="%2."/>
      <w:lvlJc w:val="left"/>
      <w:pPr>
        <w:tabs>
          <w:tab w:val="num" w:pos="1440"/>
        </w:tabs>
        <w:ind w:left="1440" w:hanging="360"/>
      </w:pPr>
    </w:lvl>
    <w:lvl w:ilvl="2" w:tplc="0C09001B">
      <w:start w:val="1"/>
      <w:numFmt w:val="decimal"/>
      <w:lvlText w:val="%3."/>
      <w:lvlJc w:val="left"/>
      <w:pPr>
        <w:tabs>
          <w:tab w:val="num" w:pos="2160"/>
        </w:tabs>
        <w:ind w:left="2160" w:hanging="360"/>
      </w:pPr>
    </w:lvl>
    <w:lvl w:ilvl="3" w:tplc="0C09000F">
      <w:start w:val="1"/>
      <w:numFmt w:val="decimal"/>
      <w:lvlText w:val="%4."/>
      <w:lvlJc w:val="left"/>
      <w:pPr>
        <w:tabs>
          <w:tab w:val="num" w:pos="2880"/>
        </w:tabs>
        <w:ind w:left="2880" w:hanging="360"/>
      </w:pPr>
    </w:lvl>
    <w:lvl w:ilvl="4" w:tplc="0C090019">
      <w:start w:val="1"/>
      <w:numFmt w:val="decimal"/>
      <w:lvlText w:val="%5."/>
      <w:lvlJc w:val="left"/>
      <w:pPr>
        <w:tabs>
          <w:tab w:val="num" w:pos="3600"/>
        </w:tabs>
        <w:ind w:left="3600" w:hanging="360"/>
      </w:pPr>
    </w:lvl>
    <w:lvl w:ilvl="5" w:tplc="0C09001B">
      <w:start w:val="1"/>
      <w:numFmt w:val="decimal"/>
      <w:lvlText w:val="%6."/>
      <w:lvlJc w:val="left"/>
      <w:pPr>
        <w:tabs>
          <w:tab w:val="num" w:pos="4320"/>
        </w:tabs>
        <w:ind w:left="4320" w:hanging="360"/>
      </w:pPr>
    </w:lvl>
    <w:lvl w:ilvl="6" w:tplc="0C09000F">
      <w:start w:val="1"/>
      <w:numFmt w:val="decimal"/>
      <w:lvlText w:val="%7."/>
      <w:lvlJc w:val="left"/>
      <w:pPr>
        <w:tabs>
          <w:tab w:val="num" w:pos="5040"/>
        </w:tabs>
        <w:ind w:left="5040" w:hanging="360"/>
      </w:pPr>
    </w:lvl>
    <w:lvl w:ilvl="7" w:tplc="0C090019">
      <w:start w:val="1"/>
      <w:numFmt w:val="decimal"/>
      <w:lvlText w:val="%8."/>
      <w:lvlJc w:val="left"/>
      <w:pPr>
        <w:tabs>
          <w:tab w:val="num" w:pos="5760"/>
        </w:tabs>
        <w:ind w:left="5760" w:hanging="360"/>
      </w:pPr>
    </w:lvl>
    <w:lvl w:ilvl="8" w:tplc="0C09001B">
      <w:start w:val="1"/>
      <w:numFmt w:val="decimal"/>
      <w:lvlText w:val="%9."/>
      <w:lvlJc w:val="left"/>
      <w:pPr>
        <w:tabs>
          <w:tab w:val="num" w:pos="6480"/>
        </w:tabs>
        <w:ind w:left="6480" w:hanging="360"/>
      </w:pPr>
    </w:lvl>
  </w:abstractNum>
  <w:abstractNum w:abstractNumId="23">
    <w:nsid w:val="5A681AB9"/>
    <w:multiLevelType w:val="hybridMultilevel"/>
    <w:tmpl w:val="C018DC9E"/>
    <w:lvl w:ilvl="0" w:tplc="0C090017">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4">
    <w:nsid w:val="5DF4337D"/>
    <w:multiLevelType w:val="hybridMultilevel"/>
    <w:tmpl w:val="4FAC12CC"/>
    <w:lvl w:ilvl="0" w:tplc="805E3A28">
      <w:start w:val="1"/>
      <w:numFmt w:val="bullet"/>
      <w:lvlText w:val=""/>
      <w:lvlJc w:val="left"/>
      <w:pPr>
        <w:tabs>
          <w:tab w:val="num" w:pos="360"/>
        </w:tabs>
        <w:ind w:left="357" w:hanging="357"/>
      </w:pPr>
      <w:rPr>
        <w:rFonts w:ascii="Symbol" w:hAnsi="Symbol" w:hint="default"/>
      </w:rPr>
    </w:lvl>
    <w:lvl w:ilvl="1" w:tplc="A6FCB9A4">
      <w:start w:val="1"/>
      <w:numFmt w:val="bullet"/>
      <w:pStyle w:val="bulletlist2"/>
      <w:lvlText w:val="–"/>
      <w:lvlJc w:val="left"/>
      <w:pPr>
        <w:tabs>
          <w:tab w:val="num" w:pos="717"/>
        </w:tabs>
        <w:ind w:left="357" w:firstLine="0"/>
      </w:pPr>
      <w:rPr>
        <w:rFonts w:ascii="Times New Roman" w:hAnsi="Times New Roman" w:cs="Times New Roman"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5">
    <w:nsid w:val="5F9B79FD"/>
    <w:multiLevelType w:val="hybridMultilevel"/>
    <w:tmpl w:val="4A6EACD8"/>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6">
    <w:nsid w:val="628F6386"/>
    <w:multiLevelType w:val="hybridMultilevel"/>
    <w:tmpl w:val="8D522706"/>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7">
    <w:nsid w:val="62C55E8B"/>
    <w:multiLevelType w:val="hybridMultilevel"/>
    <w:tmpl w:val="ACE443A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nsid w:val="66063214"/>
    <w:multiLevelType w:val="hybridMultilevel"/>
    <w:tmpl w:val="08EA4B46"/>
    <w:lvl w:ilvl="0" w:tplc="2ECA51A4">
      <w:start w:val="1"/>
      <w:numFmt w:val="decimal"/>
      <w:pStyle w:val="Normallist1"/>
      <w:lvlText w:val="%1."/>
      <w:lvlJc w:val="left"/>
      <w:pPr>
        <w:ind w:left="717" w:hanging="360"/>
      </w:pPr>
    </w:lvl>
    <w:lvl w:ilvl="1" w:tplc="0C090019" w:tentative="1">
      <w:start w:val="1"/>
      <w:numFmt w:val="lowerLetter"/>
      <w:lvlText w:val="%2."/>
      <w:lvlJc w:val="left"/>
      <w:pPr>
        <w:ind w:left="1437" w:hanging="360"/>
      </w:pPr>
    </w:lvl>
    <w:lvl w:ilvl="2" w:tplc="0C09001B" w:tentative="1">
      <w:start w:val="1"/>
      <w:numFmt w:val="lowerRoman"/>
      <w:lvlText w:val="%3."/>
      <w:lvlJc w:val="right"/>
      <w:pPr>
        <w:ind w:left="2157" w:hanging="180"/>
      </w:pPr>
    </w:lvl>
    <w:lvl w:ilvl="3" w:tplc="0C09000F" w:tentative="1">
      <w:start w:val="1"/>
      <w:numFmt w:val="decimal"/>
      <w:lvlText w:val="%4."/>
      <w:lvlJc w:val="left"/>
      <w:pPr>
        <w:ind w:left="2877" w:hanging="360"/>
      </w:pPr>
    </w:lvl>
    <w:lvl w:ilvl="4" w:tplc="0C090019" w:tentative="1">
      <w:start w:val="1"/>
      <w:numFmt w:val="lowerLetter"/>
      <w:lvlText w:val="%5."/>
      <w:lvlJc w:val="left"/>
      <w:pPr>
        <w:ind w:left="3597" w:hanging="360"/>
      </w:pPr>
    </w:lvl>
    <w:lvl w:ilvl="5" w:tplc="0C09001B" w:tentative="1">
      <w:start w:val="1"/>
      <w:numFmt w:val="lowerRoman"/>
      <w:lvlText w:val="%6."/>
      <w:lvlJc w:val="right"/>
      <w:pPr>
        <w:ind w:left="4317" w:hanging="180"/>
      </w:pPr>
    </w:lvl>
    <w:lvl w:ilvl="6" w:tplc="0C09000F" w:tentative="1">
      <w:start w:val="1"/>
      <w:numFmt w:val="decimal"/>
      <w:lvlText w:val="%7."/>
      <w:lvlJc w:val="left"/>
      <w:pPr>
        <w:ind w:left="5037" w:hanging="360"/>
      </w:pPr>
    </w:lvl>
    <w:lvl w:ilvl="7" w:tplc="0C090019" w:tentative="1">
      <w:start w:val="1"/>
      <w:numFmt w:val="lowerLetter"/>
      <w:lvlText w:val="%8."/>
      <w:lvlJc w:val="left"/>
      <w:pPr>
        <w:ind w:left="5757" w:hanging="360"/>
      </w:pPr>
    </w:lvl>
    <w:lvl w:ilvl="8" w:tplc="0C09001B" w:tentative="1">
      <w:start w:val="1"/>
      <w:numFmt w:val="lowerRoman"/>
      <w:lvlText w:val="%9."/>
      <w:lvlJc w:val="right"/>
      <w:pPr>
        <w:ind w:left="6477" w:hanging="180"/>
      </w:pPr>
    </w:lvl>
  </w:abstractNum>
  <w:abstractNum w:abstractNumId="29">
    <w:nsid w:val="6AA752AA"/>
    <w:multiLevelType w:val="hybridMultilevel"/>
    <w:tmpl w:val="59662C70"/>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0">
    <w:nsid w:val="721D1189"/>
    <w:multiLevelType w:val="hybridMultilevel"/>
    <w:tmpl w:val="AAF4DCE2"/>
    <w:lvl w:ilvl="0" w:tplc="0C090017">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1">
    <w:nsid w:val="74A82206"/>
    <w:multiLevelType w:val="hybridMultilevel"/>
    <w:tmpl w:val="F4260538"/>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2">
    <w:nsid w:val="764B5B03"/>
    <w:multiLevelType w:val="hybridMultilevel"/>
    <w:tmpl w:val="8EA82C7A"/>
    <w:lvl w:ilvl="0" w:tplc="FF60B336">
      <w:start w:val="1"/>
      <w:numFmt w:val="decimal"/>
      <w:pStyle w:val="numberlist1"/>
      <w:lvlText w:val="%1."/>
      <w:lvlJc w:val="left"/>
      <w:pPr>
        <w:ind w:left="36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3">
    <w:nsid w:val="76FB4E81"/>
    <w:multiLevelType w:val="hybridMultilevel"/>
    <w:tmpl w:val="F9E46002"/>
    <w:lvl w:ilvl="0" w:tplc="9AB80B46">
      <w:start w:val="1"/>
      <w:numFmt w:val="decimal"/>
      <w:pStyle w:val="ListParagraph"/>
      <w:lvlText w:val="%1."/>
      <w:lvlJc w:val="left"/>
      <w:pPr>
        <w:ind w:left="1440" w:hanging="360"/>
      </w:pPr>
    </w:lvl>
    <w:lvl w:ilvl="1" w:tplc="0C090019" w:tentative="1">
      <w:start w:val="1"/>
      <w:numFmt w:val="lowerLetter"/>
      <w:lvlText w:val="%2."/>
      <w:lvlJc w:val="left"/>
      <w:pPr>
        <w:ind w:left="2160" w:hanging="360"/>
      </w:pPr>
    </w:lvl>
    <w:lvl w:ilvl="2" w:tplc="0C09001B" w:tentative="1">
      <w:start w:val="1"/>
      <w:numFmt w:val="lowerRoman"/>
      <w:lvlText w:val="%3."/>
      <w:lvlJc w:val="right"/>
      <w:pPr>
        <w:ind w:left="2880" w:hanging="180"/>
      </w:pPr>
    </w:lvl>
    <w:lvl w:ilvl="3" w:tplc="0C09000F" w:tentative="1">
      <w:start w:val="1"/>
      <w:numFmt w:val="decimal"/>
      <w:lvlText w:val="%4."/>
      <w:lvlJc w:val="left"/>
      <w:pPr>
        <w:ind w:left="3600" w:hanging="360"/>
      </w:pPr>
    </w:lvl>
    <w:lvl w:ilvl="4" w:tplc="0C090019" w:tentative="1">
      <w:start w:val="1"/>
      <w:numFmt w:val="lowerLetter"/>
      <w:lvlText w:val="%5."/>
      <w:lvlJc w:val="left"/>
      <w:pPr>
        <w:ind w:left="4320" w:hanging="360"/>
      </w:pPr>
    </w:lvl>
    <w:lvl w:ilvl="5" w:tplc="0C09001B" w:tentative="1">
      <w:start w:val="1"/>
      <w:numFmt w:val="lowerRoman"/>
      <w:lvlText w:val="%6."/>
      <w:lvlJc w:val="right"/>
      <w:pPr>
        <w:ind w:left="5040" w:hanging="180"/>
      </w:pPr>
    </w:lvl>
    <w:lvl w:ilvl="6" w:tplc="0C09000F" w:tentative="1">
      <w:start w:val="1"/>
      <w:numFmt w:val="decimal"/>
      <w:lvlText w:val="%7."/>
      <w:lvlJc w:val="left"/>
      <w:pPr>
        <w:ind w:left="5760" w:hanging="360"/>
      </w:pPr>
    </w:lvl>
    <w:lvl w:ilvl="7" w:tplc="0C090019" w:tentative="1">
      <w:start w:val="1"/>
      <w:numFmt w:val="lowerLetter"/>
      <w:lvlText w:val="%8."/>
      <w:lvlJc w:val="left"/>
      <w:pPr>
        <w:ind w:left="6480" w:hanging="360"/>
      </w:pPr>
    </w:lvl>
    <w:lvl w:ilvl="8" w:tplc="0C09001B" w:tentative="1">
      <w:start w:val="1"/>
      <w:numFmt w:val="lowerRoman"/>
      <w:lvlText w:val="%9."/>
      <w:lvlJc w:val="right"/>
      <w:pPr>
        <w:ind w:left="7200" w:hanging="180"/>
      </w:pPr>
    </w:lvl>
  </w:abstractNum>
  <w:num w:numId="1">
    <w:abstractNumId w:val="17"/>
  </w:num>
  <w:num w:numId="2">
    <w:abstractNumId w:val="32"/>
  </w:num>
  <w:num w:numId="3">
    <w:abstractNumId w:val="17"/>
  </w:num>
  <w:num w:numId="4">
    <w:abstractNumId w:val="24"/>
  </w:num>
  <w:num w:numId="5">
    <w:abstractNumId w:val="32"/>
  </w:num>
  <w:num w:numId="6">
    <w:abstractNumId w:val="30"/>
  </w:num>
  <w:num w:numId="7">
    <w:abstractNumId w:val="23"/>
  </w:num>
  <w:num w:numId="8">
    <w:abstractNumId w:val="11"/>
  </w:num>
  <w:num w:numId="9">
    <w:abstractNumId w:val="10"/>
  </w:num>
  <w:num w:numId="10">
    <w:abstractNumId w:val="29"/>
  </w:num>
  <w:num w:numId="11">
    <w:abstractNumId w:val="5"/>
  </w:num>
  <w:num w:numId="12">
    <w:abstractNumId w:val="27"/>
  </w:num>
  <w:num w:numId="13">
    <w:abstractNumId w:val="9"/>
  </w:num>
  <w:num w:numId="14">
    <w:abstractNumId w:val="7"/>
  </w:num>
  <w:num w:numId="15">
    <w:abstractNumId w:val="8"/>
  </w:num>
  <w:num w:numId="16">
    <w:abstractNumId w:val="32"/>
    <w:lvlOverride w:ilvl="0">
      <w:startOverride w:val="1"/>
    </w:lvlOverride>
  </w:num>
  <w:num w:numId="17">
    <w:abstractNumId w:val="4"/>
  </w:num>
  <w:num w:numId="18">
    <w:abstractNumId w:val="13"/>
  </w:num>
  <w:num w:numId="19">
    <w:abstractNumId w:val="21"/>
  </w:num>
  <w:num w:numId="20">
    <w:abstractNumId w:val="1"/>
  </w:num>
  <w:num w:numId="21">
    <w:abstractNumId w:val="28"/>
  </w:num>
  <w:num w:numId="22">
    <w:abstractNumId w:val="28"/>
    <w:lvlOverride w:ilvl="0">
      <w:startOverride w:val="1"/>
    </w:lvlOverride>
  </w:num>
  <w:num w:numId="23">
    <w:abstractNumId w:val="28"/>
    <w:lvlOverride w:ilvl="0">
      <w:startOverride w:val="1"/>
    </w:lvlOverride>
  </w:num>
  <w:num w:numId="24">
    <w:abstractNumId w:val="28"/>
    <w:lvlOverride w:ilvl="0">
      <w:startOverride w:val="1"/>
    </w:lvlOverride>
  </w:num>
  <w:num w:numId="25">
    <w:abstractNumId w:val="14"/>
  </w:num>
  <w:num w:numId="26">
    <w:abstractNumId w:val="32"/>
    <w:lvlOverride w:ilvl="0">
      <w:startOverride w:val="1"/>
    </w:lvlOverride>
  </w:num>
  <w:num w:numId="27">
    <w:abstractNumId w:val="32"/>
    <w:lvlOverride w:ilvl="0">
      <w:startOverride w:val="1"/>
    </w:lvlOverride>
  </w:num>
  <w:num w:numId="28">
    <w:abstractNumId w:val="32"/>
    <w:lvlOverride w:ilvl="0">
      <w:startOverride w:val="1"/>
    </w:lvlOverride>
  </w:num>
  <w:num w:numId="29">
    <w:abstractNumId w:val="32"/>
    <w:lvlOverride w:ilvl="0">
      <w:startOverride w:val="1"/>
    </w:lvlOverride>
  </w:num>
  <w:num w:numId="30">
    <w:abstractNumId w:val="33"/>
  </w:num>
  <w:num w:numId="31">
    <w:abstractNumId w:val="2"/>
  </w:num>
  <w:num w:numId="32">
    <w:abstractNumId w:val="26"/>
  </w:num>
  <w:num w:numId="33">
    <w:abstractNumId w:val="0"/>
  </w:num>
  <w:num w:numId="34">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16"/>
  </w:num>
  <w:num w:numId="36">
    <w:abstractNumId w:val="25"/>
  </w:num>
  <w:num w:numId="37">
    <w:abstractNumId w:val="3"/>
  </w:num>
  <w:num w:numId="38">
    <w:abstractNumId w:val="12"/>
  </w:num>
  <w:num w:numId="39">
    <w:abstractNumId w:val="19"/>
  </w:num>
  <w:num w:numId="40">
    <w:abstractNumId w:val="31"/>
  </w:num>
  <w:num w:numId="41">
    <w:abstractNumId w:val="20"/>
  </w:num>
  <w:num w:numId="42">
    <w:abstractNumId w:val="15"/>
  </w:num>
  <w:num w:numId="43">
    <w:abstractNumId w:val="18"/>
  </w:num>
  <w:num w:numId="44">
    <w:abstractNumId w:val="6"/>
  </w:num>
  <w:num w:numId="45">
    <w:abstractNumId w:val="28"/>
  </w:num>
  <w:num w:numId="46">
    <w:abstractNumId w:val="28"/>
    <w:lvlOverride w:ilvl="0">
      <w:startOverride w:val="1"/>
    </w:lvlOverride>
  </w:num>
  <w:num w:numId="47">
    <w:abstractNumId w:val="28"/>
  </w:num>
  <w:num w:numId="48">
    <w:abstractNumId w:val="28"/>
  </w:num>
  <w:num w:numId="49">
    <w:abstractNumId w:val="28"/>
    <w:lvlOverride w:ilvl="0">
      <w:startOverride w:val="1"/>
    </w:lvlOverride>
  </w:num>
  <w:numIdMacAtCleanup w:val="24"/>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0"/>
  <w:removePersonalInformation/>
  <w:removeDateAndTime/>
  <w:displayBackgroundShape/>
  <w:printFractionalCharacterWidth/>
  <w:hideSpellingErrors/>
  <w:hideGrammaticalErrors/>
  <w:proofState w:spelling="clean" w:grammar="clean"/>
  <w:stylePaneFormatFilter w:val="3F01"/>
  <w:defaultTabStop w:val="357"/>
  <w:doNotHyphenateCaps/>
  <w:drawingGridHorizontalSpacing w:val="120"/>
  <w:displayHorizontalDrawingGridEvery w:val="0"/>
  <w:displayVerticalDrawingGridEvery w:val="0"/>
  <w:doNotShadeFormData/>
  <w:noPunctuationKerning/>
  <w:characterSpacingControl w:val="doNotCompress"/>
  <w:hdrShapeDefaults>
    <o:shapedefaults v:ext="edit" spidmax="112641">
      <o:colormenu v:ext="edit" fillcolor="none"/>
    </o:shapedefaults>
  </w:hdrShapeDefaults>
  <w:footnotePr>
    <w:numRestart w:val="eachSect"/>
    <w:footnote w:id="-1"/>
    <w:footnote w:id="0"/>
  </w:footnotePr>
  <w:endnotePr>
    <w:endnote w:id="-1"/>
    <w:endnote w:id="0"/>
  </w:endnotePr>
  <w:compat/>
  <w:docVars>
    <w:docVar w:name="EN.InstantFormat" w:val="&lt;ENInstantFormat&gt;&lt;Enabled&gt;1&lt;/Enabled&gt;&lt;ScanUnformatted&gt;1&lt;/ScanUnformatted&gt;&lt;ScanChanges&gt;1&lt;/ScanChanges&gt;&lt;Suspended&gt;1&lt;/Suspended&gt;&lt;/ENInstantFormat&gt;"/>
  </w:docVars>
  <w:rsids>
    <w:rsidRoot w:val="0019142D"/>
    <w:rsid w:val="00000C98"/>
    <w:rsid w:val="00003C44"/>
    <w:rsid w:val="00006032"/>
    <w:rsid w:val="00006C0E"/>
    <w:rsid w:val="0001070F"/>
    <w:rsid w:val="00013B1E"/>
    <w:rsid w:val="0001589D"/>
    <w:rsid w:val="00015DD2"/>
    <w:rsid w:val="0001672F"/>
    <w:rsid w:val="000177D6"/>
    <w:rsid w:val="00017906"/>
    <w:rsid w:val="00017B14"/>
    <w:rsid w:val="00017DB7"/>
    <w:rsid w:val="00021BF4"/>
    <w:rsid w:val="0002272C"/>
    <w:rsid w:val="00031BC4"/>
    <w:rsid w:val="00033936"/>
    <w:rsid w:val="0003782C"/>
    <w:rsid w:val="00040D87"/>
    <w:rsid w:val="000410CF"/>
    <w:rsid w:val="00042D55"/>
    <w:rsid w:val="000447FC"/>
    <w:rsid w:val="00045C6B"/>
    <w:rsid w:val="00050B13"/>
    <w:rsid w:val="00051166"/>
    <w:rsid w:val="0005479D"/>
    <w:rsid w:val="00055F6F"/>
    <w:rsid w:val="000600C6"/>
    <w:rsid w:val="000605E5"/>
    <w:rsid w:val="000641C6"/>
    <w:rsid w:val="000669BE"/>
    <w:rsid w:val="00066C4E"/>
    <w:rsid w:val="000713C6"/>
    <w:rsid w:val="00075939"/>
    <w:rsid w:val="000764AD"/>
    <w:rsid w:val="00083B61"/>
    <w:rsid w:val="000845D9"/>
    <w:rsid w:val="00085B9C"/>
    <w:rsid w:val="00087931"/>
    <w:rsid w:val="00091C65"/>
    <w:rsid w:val="00092276"/>
    <w:rsid w:val="00094B28"/>
    <w:rsid w:val="00097528"/>
    <w:rsid w:val="000A1E2C"/>
    <w:rsid w:val="000A2B5B"/>
    <w:rsid w:val="000A341E"/>
    <w:rsid w:val="000A62CA"/>
    <w:rsid w:val="000A7E4E"/>
    <w:rsid w:val="000B1BBD"/>
    <w:rsid w:val="000B2922"/>
    <w:rsid w:val="000B29C9"/>
    <w:rsid w:val="000B2D97"/>
    <w:rsid w:val="000B2EEC"/>
    <w:rsid w:val="000B3732"/>
    <w:rsid w:val="000B4D5A"/>
    <w:rsid w:val="000B545B"/>
    <w:rsid w:val="000B7847"/>
    <w:rsid w:val="000C092F"/>
    <w:rsid w:val="000C0E75"/>
    <w:rsid w:val="000C571C"/>
    <w:rsid w:val="000C6829"/>
    <w:rsid w:val="000D09AC"/>
    <w:rsid w:val="000D11B6"/>
    <w:rsid w:val="000D639C"/>
    <w:rsid w:val="000D668C"/>
    <w:rsid w:val="000D71CB"/>
    <w:rsid w:val="000D738A"/>
    <w:rsid w:val="000E3178"/>
    <w:rsid w:val="000E50A5"/>
    <w:rsid w:val="000E551D"/>
    <w:rsid w:val="000E58C4"/>
    <w:rsid w:val="000E65F5"/>
    <w:rsid w:val="000E729A"/>
    <w:rsid w:val="000E76C9"/>
    <w:rsid w:val="000E7C07"/>
    <w:rsid w:val="000F0830"/>
    <w:rsid w:val="000F19AB"/>
    <w:rsid w:val="000F353A"/>
    <w:rsid w:val="000F5233"/>
    <w:rsid w:val="000F7F02"/>
    <w:rsid w:val="001000AA"/>
    <w:rsid w:val="001010BF"/>
    <w:rsid w:val="00105CE6"/>
    <w:rsid w:val="001063BF"/>
    <w:rsid w:val="00110195"/>
    <w:rsid w:val="001111E6"/>
    <w:rsid w:val="00111997"/>
    <w:rsid w:val="0011217A"/>
    <w:rsid w:val="0011301F"/>
    <w:rsid w:val="00113765"/>
    <w:rsid w:val="001139E6"/>
    <w:rsid w:val="0011436C"/>
    <w:rsid w:val="001156BE"/>
    <w:rsid w:val="001207BA"/>
    <w:rsid w:val="001214C4"/>
    <w:rsid w:val="00123CF8"/>
    <w:rsid w:val="00125327"/>
    <w:rsid w:val="00125F0A"/>
    <w:rsid w:val="0012678B"/>
    <w:rsid w:val="001269FC"/>
    <w:rsid w:val="001270F4"/>
    <w:rsid w:val="00133538"/>
    <w:rsid w:val="00134186"/>
    <w:rsid w:val="00134695"/>
    <w:rsid w:val="00134D9F"/>
    <w:rsid w:val="00136BD0"/>
    <w:rsid w:val="00141206"/>
    <w:rsid w:val="00142D27"/>
    <w:rsid w:val="00142FF0"/>
    <w:rsid w:val="001444DC"/>
    <w:rsid w:val="00144C75"/>
    <w:rsid w:val="00145731"/>
    <w:rsid w:val="00145AA4"/>
    <w:rsid w:val="00146279"/>
    <w:rsid w:val="00150068"/>
    <w:rsid w:val="001500F6"/>
    <w:rsid w:val="00154A5E"/>
    <w:rsid w:val="00157EE8"/>
    <w:rsid w:val="001601EF"/>
    <w:rsid w:val="0016205A"/>
    <w:rsid w:val="001621F3"/>
    <w:rsid w:val="00162C54"/>
    <w:rsid w:val="00163EEA"/>
    <w:rsid w:val="0016408D"/>
    <w:rsid w:val="001656AC"/>
    <w:rsid w:val="0016597F"/>
    <w:rsid w:val="0016696C"/>
    <w:rsid w:val="00167FC0"/>
    <w:rsid w:val="001725F8"/>
    <w:rsid w:val="001751CC"/>
    <w:rsid w:val="00176891"/>
    <w:rsid w:val="00177803"/>
    <w:rsid w:val="0018040A"/>
    <w:rsid w:val="00180495"/>
    <w:rsid w:val="00180D27"/>
    <w:rsid w:val="0018370A"/>
    <w:rsid w:val="00184370"/>
    <w:rsid w:val="0019142D"/>
    <w:rsid w:val="00191FF6"/>
    <w:rsid w:val="001A1870"/>
    <w:rsid w:val="001A1E83"/>
    <w:rsid w:val="001A4E41"/>
    <w:rsid w:val="001A7136"/>
    <w:rsid w:val="001A7E73"/>
    <w:rsid w:val="001B053F"/>
    <w:rsid w:val="001B09BD"/>
    <w:rsid w:val="001B47A2"/>
    <w:rsid w:val="001B78A2"/>
    <w:rsid w:val="001B7E04"/>
    <w:rsid w:val="001C0E26"/>
    <w:rsid w:val="001C1173"/>
    <w:rsid w:val="001C2362"/>
    <w:rsid w:val="001C25F0"/>
    <w:rsid w:val="001C3301"/>
    <w:rsid w:val="001C3A3E"/>
    <w:rsid w:val="001C4EE1"/>
    <w:rsid w:val="001C4FD3"/>
    <w:rsid w:val="001C67ED"/>
    <w:rsid w:val="001C6950"/>
    <w:rsid w:val="001C6EB6"/>
    <w:rsid w:val="001D5469"/>
    <w:rsid w:val="001D61DA"/>
    <w:rsid w:val="001D7D97"/>
    <w:rsid w:val="001E0359"/>
    <w:rsid w:val="001E2550"/>
    <w:rsid w:val="001E300A"/>
    <w:rsid w:val="001E323E"/>
    <w:rsid w:val="001E34CE"/>
    <w:rsid w:val="001E357E"/>
    <w:rsid w:val="001E3678"/>
    <w:rsid w:val="001E6A03"/>
    <w:rsid w:val="001F040B"/>
    <w:rsid w:val="001F37B9"/>
    <w:rsid w:val="001F4AA1"/>
    <w:rsid w:val="001F56DF"/>
    <w:rsid w:val="0020167B"/>
    <w:rsid w:val="00202109"/>
    <w:rsid w:val="0020234B"/>
    <w:rsid w:val="00203674"/>
    <w:rsid w:val="00204F3B"/>
    <w:rsid w:val="00205CAA"/>
    <w:rsid w:val="00211413"/>
    <w:rsid w:val="00211FB4"/>
    <w:rsid w:val="00213B63"/>
    <w:rsid w:val="00213B6C"/>
    <w:rsid w:val="00214161"/>
    <w:rsid w:val="002142E4"/>
    <w:rsid w:val="00214BA4"/>
    <w:rsid w:val="002156A7"/>
    <w:rsid w:val="00215B62"/>
    <w:rsid w:val="00220DDF"/>
    <w:rsid w:val="00221233"/>
    <w:rsid w:val="00221674"/>
    <w:rsid w:val="00222BE9"/>
    <w:rsid w:val="00223FBD"/>
    <w:rsid w:val="002245D8"/>
    <w:rsid w:val="002246AD"/>
    <w:rsid w:val="00224F8A"/>
    <w:rsid w:val="00226125"/>
    <w:rsid w:val="00226DCA"/>
    <w:rsid w:val="00226F5A"/>
    <w:rsid w:val="00231102"/>
    <w:rsid w:val="00231192"/>
    <w:rsid w:val="002326AF"/>
    <w:rsid w:val="00233DF2"/>
    <w:rsid w:val="00235C96"/>
    <w:rsid w:val="00235E84"/>
    <w:rsid w:val="00235F26"/>
    <w:rsid w:val="00235F94"/>
    <w:rsid w:val="00240680"/>
    <w:rsid w:val="00243311"/>
    <w:rsid w:val="00244787"/>
    <w:rsid w:val="002448D0"/>
    <w:rsid w:val="00245C83"/>
    <w:rsid w:val="00247AA6"/>
    <w:rsid w:val="0025118E"/>
    <w:rsid w:val="00251AE7"/>
    <w:rsid w:val="0025324E"/>
    <w:rsid w:val="00254B06"/>
    <w:rsid w:val="0026324F"/>
    <w:rsid w:val="00264529"/>
    <w:rsid w:val="002659EE"/>
    <w:rsid w:val="00265B5C"/>
    <w:rsid w:val="002661CF"/>
    <w:rsid w:val="002663E2"/>
    <w:rsid w:val="00273CD5"/>
    <w:rsid w:val="0027413F"/>
    <w:rsid w:val="002749B8"/>
    <w:rsid w:val="002763FC"/>
    <w:rsid w:val="002776CA"/>
    <w:rsid w:val="00277807"/>
    <w:rsid w:val="00280BAB"/>
    <w:rsid w:val="002831E1"/>
    <w:rsid w:val="00285297"/>
    <w:rsid w:val="00286F55"/>
    <w:rsid w:val="0028721D"/>
    <w:rsid w:val="00287580"/>
    <w:rsid w:val="002954F9"/>
    <w:rsid w:val="0029590E"/>
    <w:rsid w:val="00296236"/>
    <w:rsid w:val="002979EB"/>
    <w:rsid w:val="002A08DE"/>
    <w:rsid w:val="002A09E7"/>
    <w:rsid w:val="002A5A01"/>
    <w:rsid w:val="002A743A"/>
    <w:rsid w:val="002B0220"/>
    <w:rsid w:val="002B4431"/>
    <w:rsid w:val="002B44AF"/>
    <w:rsid w:val="002B4C07"/>
    <w:rsid w:val="002B76A0"/>
    <w:rsid w:val="002C106A"/>
    <w:rsid w:val="002C380E"/>
    <w:rsid w:val="002C3C23"/>
    <w:rsid w:val="002D11F8"/>
    <w:rsid w:val="002D23B7"/>
    <w:rsid w:val="002D35E4"/>
    <w:rsid w:val="002D447D"/>
    <w:rsid w:val="002D4579"/>
    <w:rsid w:val="002E2DC7"/>
    <w:rsid w:val="002E2F0F"/>
    <w:rsid w:val="002E3D13"/>
    <w:rsid w:val="002E5826"/>
    <w:rsid w:val="002E767B"/>
    <w:rsid w:val="002F0BA5"/>
    <w:rsid w:val="002F22F1"/>
    <w:rsid w:val="002F707B"/>
    <w:rsid w:val="00301D5F"/>
    <w:rsid w:val="003063F8"/>
    <w:rsid w:val="003064F3"/>
    <w:rsid w:val="00307669"/>
    <w:rsid w:val="003100CE"/>
    <w:rsid w:val="00311B98"/>
    <w:rsid w:val="00312936"/>
    <w:rsid w:val="00312F67"/>
    <w:rsid w:val="003132F8"/>
    <w:rsid w:val="00313409"/>
    <w:rsid w:val="00314E40"/>
    <w:rsid w:val="00315197"/>
    <w:rsid w:val="00315F5E"/>
    <w:rsid w:val="0031698F"/>
    <w:rsid w:val="00317937"/>
    <w:rsid w:val="00317AF0"/>
    <w:rsid w:val="00320C74"/>
    <w:rsid w:val="0032274C"/>
    <w:rsid w:val="00322964"/>
    <w:rsid w:val="00325CC8"/>
    <w:rsid w:val="00326022"/>
    <w:rsid w:val="0032638C"/>
    <w:rsid w:val="003263BE"/>
    <w:rsid w:val="00327272"/>
    <w:rsid w:val="00327BBC"/>
    <w:rsid w:val="0033105C"/>
    <w:rsid w:val="00331506"/>
    <w:rsid w:val="00333BD2"/>
    <w:rsid w:val="003346CA"/>
    <w:rsid w:val="003375E2"/>
    <w:rsid w:val="00341950"/>
    <w:rsid w:val="0034332C"/>
    <w:rsid w:val="003448B8"/>
    <w:rsid w:val="00346BE6"/>
    <w:rsid w:val="00347201"/>
    <w:rsid w:val="003502E5"/>
    <w:rsid w:val="00352541"/>
    <w:rsid w:val="00354A14"/>
    <w:rsid w:val="00355414"/>
    <w:rsid w:val="00356AF1"/>
    <w:rsid w:val="00361B90"/>
    <w:rsid w:val="00361D80"/>
    <w:rsid w:val="00362A99"/>
    <w:rsid w:val="0036471F"/>
    <w:rsid w:val="003667F8"/>
    <w:rsid w:val="00370817"/>
    <w:rsid w:val="00371A8C"/>
    <w:rsid w:val="00372091"/>
    <w:rsid w:val="00373ADC"/>
    <w:rsid w:val="00374985"/>
    <w:rsid w:val="00376E45"/>
    <w:rsid w:val="0037727B"/>
    <w:rsid w:val="00384142"/>
    <w:rsid w:val="00384BD8"/>
    <w:rsid w:val="00386168"/>
    <w:rsid w:val="00386C78"/>
    <w:rsid w:val="003923FF"/>
    <w:rsid w:val="00394A27"/>
    <w:rsid w:val="00396106"/>
    <w:rsid w:val="00397360"/>
    <w:rsid w:val="003A067F"/>
    <w:rsid w:val="003A0DD0"/>
    <w:rsid w:val="003A10B5"/>
    <w:rsid w:val="003A26E8"/>
    <w:rsid w:val="003A2704"/>
    <w:rsid w:val="003A3F09"/>
    <w:rsid w:val="003A485A"/>
    <w:rsid w:val="003A673B"/>
    <w:rsid w:val="003B1789"/>
    <w:rsid w:val="003B25BC"/>
    <w:rsid w:val="003B299C"/>
    <w:rsid w:val="003B2EEB"/>
    <w:rsid w:val="003B3460"/>
    <w:rsid w:val="003C1D06"/>
    <w:rsid w:val="003C6C11"/>
    <w:rsid w:val="003C76D0"/>
    <w:rsid w:val="003D1712"/>
    <w:rsid w:val="003D177B"/>
    <w:rsid w:val="003D2252"/>
    <w:rsid w:val="003D2E73"/>
    <w:rsid w:val="003D35F3"/>
    <w:rsid w:val="003D4011"/>
    <w:rsid w:val="003D55F8"/>
    <w:rsid w:val="003D7C88"/>
    <w:rsid w:val="003D7C8C"/>
    <w:rsid w:val="003E08F8"/>
    <w:rsid w:val="003E2E6F"/>
    <w:rsid w:val="003E49CA"/>
    <w:rsid w:val="003E4BFC"/>
    <w:rsid w:val="003E54C7"/>
    <w:rsid w:val="003E5821"/>
    <w:rsid w:val="003E64BA"/>
    <w:rsid w:val="003F13C7"/>
    <w:rsid w:val="003F181C"/>
    <w:rsid w:val="003F3829"/>
    <w:rsid w:val="003F6317"/>
    <w:rsid w:val="003F7FE0"/>
    <w:rsid w:val="00400D67"/>
    <w:rsid w:val="004042E2"/>
    <w:rsid w:val="00404DF1"/>
    <w:rsid w:val="004063FC"/>
    <w:rsid w:val="00406518"/>
    <w:rsid w:val="004117E8"/>
    <w:rsid w:val="00412055"/>
    <w:rsid w:val="00412869"/>
    <w:rsid w:val="00413BFC"/>
    <w:rsid w:val="004147B2"/>
    <w:rsid w:val="00414B20"/>
    <w:rsid w:val="00416DC9"/>
    <w:rsid w:val="0041751D"/>
    <w:rsid w:val="004207B3"/>
    <w:rsid w:val="00421F9C"/>
    <w:rsid w:val="00424C74"/>
    <w:rsid w:val="00425A27"/>
    <w:rsid w:val="0042639C"/>
    <w:rsid w:val="00426558"/>
    <w:rsid w:val="00426F50"/>
    <w:rsid w:val="00430666"/>
    <w:rsid w:val="004329DE"/>
    <w:rsid w:val="004336E9"/>
    <w:rsid w:val="00433D24"/>
    <w:rsid w:val="004344D8"/>
    <w:rsid w:val="0044162C"/>
    <w:rsid w:val="00443671"/>
    <w:rsid w:val="004451F4"/>
    <w:rsid w:val="00445C20"/>
    <w:rsid w:val="00446A9F"/>
    <w:rsid w:val="004479D5"/>
    <w:rsid w:val="00450AB3"/>
    <w:rsid w:val="00451B07"/>
    <w:rsid w:val="00452464"/>
    <w:rsid w:val="00454032"/>
    <w:rsid w:val="004551F1"/>
    <w:rsid w:val="00457754"/>
    <w:rsid w:val="0046129E"/>
    <w:rsid w:val="00462FE1"/>
    <w:rsid w:val="00463B64"/>
    <w:rsid w:val="00463F8B"/>
    <w:rsid w:val="00465089"/>
    <w:rsid w:val="004657FE"/>
    <w:rsid w:val="00466B35"/>
    <w:rsid w:val="0047118F"/>
    <w:rsid w:val="004726C2"/>
    <w:rsid w:val="004756D5"/>
    <w:rsid w:val="004761F4"/>
    <w:rsid w:val="004767AE"/>
    <w:rsid w:val="00476BB4"/>
    <w:rsid w:val="004806EC"/>
    <w:rsid w:val="00480BD5"/>
    <w:rsid w:val="00482DE9"/>
    <w:rsid w:val="0048329E"/>
    <w:rsid w:val="00483C4A"/>
    <w:rsid w:val="004866CD"/>
    <w:rsid w:val="004868EC"/>
    <w:rsid w:val="00486CE3"/>
    <w:rsid w:val="00486FC5"/>
    <w:rsid w:val="00487A27"/>
    <w:rsid w:val="004903FF"/>
    <w:rsid w:val="0049266F"/>
    <w:rsid w:val="00492C28"/>
    <w:rsid w:val="00493492"/>
    <w:rsid w:val="00494101"/>
    <w:rsid w:val="00497097"/>
    <w:rsid w:val="0049749E"/>
    <w:rsid w:val="004A03E7"/>
    <w:rsid w:val="004A355D"/>
    <w:rsid w:val="004A3C4C"/>
    <w:rsid w:val="004A4033"/>
    <w:rsid w:val="004A579F"/>
    <w:rsid w:val="004A78C3"/>
    <w:rsid w:val="004B2F3D"/>
    <w:rsid w:val="004B401B"/>
    <w:rsid w:val="004C3E9C"/>
    <w:rsid w:val="004C41BB"/>
    <w:rsid w:val="004C68AF"/>
    <w:rsid w:val="004D06A0"/>
    <w:rsid w:val="004D15CD"/>
    <w:rsid w:val="004D161C"/>
    <w:rsid w:val="004D386A"/>
    <w:rsid w:val="004E06F4"/>
    <w:rsid w:val="004E1F27"/>
    <w:rsid w:val="004E4021"/>
    <w:rsid w:val="004E5498"/>
    <w:rsid w:val="004E5597"/>
    <w:rsid w:val="004E6332"/>
    <w:rsid w:val="004E70D7"/>
    <w:rsid w:val="004F1DEB"/>
    <w:rsid w:val="004F327F"/>
    <w:rsid w:val="004F60B0"/>
    <w:rsid w:val="004F6802"/>
    <w:rsid w:val="004F69BA"/>
    <w:rsid w:val="004F6F50"/>
    <w:rsid w:val="004F73E9"/>
    <w:rsid w:val="004F7B10"/>
    <w:rsid w:val="00500089"/>
    <w:rsid w:val="0050266D"/>
    <w:rsid w:val="0050368D"/>
    <w:rsid w:val="00506065"/>
    <w:rsid w:val="005068E7"/>
    <w:rsid w:val="00510078"/>
    <w:rsid w:val="00510AB6"/>
    <w:rsid w:val="00511B28"/>
    <w:rsid w:val="005141DA"/>
    <w:rsid w:val="00514D8E"/>
    <w:rsid w:val="0051503C"/>
    <w:rsid w:val="00515450"/>
    <w:rsid w:val="00516F7C"/>
    <w:rsid w:val="00517E66"/>
    <w:rsid w:val="005227D4"/>
    <w:rsid w:val="00525BE1"/>
    <w:rsid w:val="005303CA"/>
    <w:rsid w:val="00530AA8"/>
    <w:rsid w:val="005315FA"/>
    <w:rsid w:val="005321FE"/>
    <w:rsid w:val="005325F5"/>
    <w:rsid w:val="00533656"/>
    <w:rsid w:val="00534305"/>
    <w:rsid w:val="00536229"/>
    <w:rsid w:val="005367F2"/>
    <w:rsid w:val="00537B6E"/>
    <w:rsid w:val="005408DC"/>
    <w:rsid w:val="005439C2"/>
    <w:rsid w:val="00544239"/>
    <w:rsid w:val="00544965"/>
    <w:rsid w:val="00544A97"/>
    <w:rsid w:val="00544C89"/>
    <w:rsid w:val="00545C5C"/>
    <w:rsid w:val="005468A2"/>
    <w:rsid w:val="00547226"/>
    <w:rsid w:val="005479DC"/>
    <w:rsid w:val="00551213"/>
    <w:rsid w:val="00551302"/>
    <w:rsid w:val="00552BF5"/>
    <w:rsid w:val="00553C3C"/>
    <w:rsid w:val="00557A7B"/>
    <w:rsid w:val="00561274"/>
    <w:rsid w:val="0056191E"/>
    <w:rsid w:val="00562914"/>
    <w:rsid w:val="0056309D"/>
    <w:rsid w:val="00563486"/>
    <w:rsid w:val="00563CB3"/>
    <w:rsid w:val="005659C6"/>
    <w:rsid w:val="005662DE"/>
    <w:rsid w:val="005666DC"/>
    <w:rsid w:val="00571270"/>
    <w:rsid w:val="005715D5"/>
    <w:rsid w:val="00572D79"/>
    <w:rsid w:val="0057447F"/>
    <w:rsid w:val="005751C5"/>
    <w:rsid w:val="0057702C"/>
    <w:rsid w:val="00577E32"/>
    <w:rsid w:val="005805F5"/>
    <w:rsid w:val="005806E9"/>
    <w:rsid w:val="00581172"/>
    <w:rsid w:val="005813E2"/>
    <w:rsid w:val="00582B5C"/>
    <w:rsid w:val="0058618D"/>
    <w:rsid w:val="005868D2"/>
    <w:rsid w:val="00586E16"/>
    <w:rsid w:val="005873E1"/>
    <w:rsid w:val="00587AA9"/>
    <w:rsid w:val="00587E07"/>
    <w:rsid w:val="00587FBE"/>
    <w:rsid w:val="00590139"/>
    <w:rsid w:val="00591815"/>
    <w:rsid w:val="00594C7E"/>
    <w:rsid w:val="005954EF"/>
    <w:rsid w:val="00595902"/>
    <w:rsid w:val="00595FA4"/>
    <w:rsid w:val="005A1E72"/>
    <w:rsid w:val="005A243A"/>
    <w:rsid w:val="005A4C7F"/>
    <w:rsid w:val="005A5C40"/>
    <w:rsid w:val="005A6AE3"/>
    <w:rsid w:val="005B1EF0"/>
    <w:rsid w:val="005B4285"/>
    <w:rsid w:val="005B5ACB"/>
    <w:rsid w:val="005B68C8"/>
    <w:rsid w:val="005B7818"/>
    <w:rsid w:val="005C1DBC"/>
    <w:rsid w:val="005C63DB"/>
    <w:rsid w:val="005C7833"/>
    <w:rsid w:val="005C7EE2"/>
    <w:rsid w:val="005D0894"/>
    <w:rsid w:val="005D1AC4"/>
    <w:rsid w:val="005D407F"/>
    <w:rsid w:val="005D52DC"/>
    <w:rsid w:val="005D60E2"/>
    <w:rsid w:val="005D77B2"/>
    <w:rsid w:val="005E0400"/>
    <w:rsid w:val="005E07D3"/>
    <w:rsid w:val="005E354E"/>
    <w:rsid w:val="005E3E46"/>
    <w:rsid w:val="005E4AFB"/>
    <w:rsid w:val="005E68DA"/>
    <w:rsid w:val="005E6FBD"/>
    <w:rsid w:val="005F2DB4"/>
    <w:rsid w:val="005F327D"/>
    <w:rsid w:val="005F4A4B"/>
    <w:rsid w:val="005F4B5A"/>
    <w:rsid w:val="005F65E6"/>
    <w:rsid w:val="00601C9B"/>
    <w:rsid w:val="0060270F"/>
    <w:rsid w:val="00605448"/>
    <w:rsid w:val="00605BF0"/>
    <w:rsid w:val="0060631F"/>
    <w:rsid w:val="00606BEC"/>
    <w:rsid w:val="0061240B"/>
    <w:rsid w:val="00614B21"/>
    <w:rsid w:val="00616DF5"/>
    <w:rsid w:val="0061709F"/>
    <w:rsid w:val="006170C4"/>
    <w:rsid w:val="006241CD"/>
    <w:rsid w:val="00624793"/>
    <w:rsid w:val="00624D46"/>
    <w:rsid w:val="0062523B"/>
    <w:rsid w:val="006258B0"/>
    <w:rsid w:val="00625CC3"/>
    <w:rsid w:val="0062759B"/>
    <w:rsid w:val="00630609"/>
    <w:rsid w:val="00635B10"/>
    <w:rsid w:val="00640513"/>
    <w:rsid w:val="00642034"/>
    <w:rsid w:val="006426A8"/>
    <w:rsid w:val="00642D5F"/>
    <w:rsid w:val="00644AD8"/>
    <w:rsid w:val="00645589"/>
    <w:rsid w:val="00647730"/>
    <w:rsid w:val="00650F82"/>
    <w:rsid w:val="00652F54"/>
    <w:rsid w:val="006542DC"/>
    <w:rsid w:val="00654573"/>
    <w:rsid w:val="00654608"/>
    <w:rsid w:val="006553B6"/>
    <w:rsid w:val="0065608E"/>
    <w:rsid w:val="00656167"/>
    <w:rsid w:val="00662853"/>
    <w:rsid w:val="006637B2"/>
    <w:rsid w:val="00666DB4"/>
    <w:rsid w:val="00667324"/>
    <w:rsid w:val="00667337"/>
    <w:rsid w:val="00670A5D"/>
    <w:rsid w:val="00671065"/>
    <w:rsid w:val="00672CB5"/>
    <w:rsid w:val="00672FCB"/>
    <w:rsid w:val="00674174"/>
    <w:rsid w:val="00674B27"/>
    <w:rsid w:val="00674CAF"/>
    <w:rsid w:val="00674D13"/>
    <w:rsid w:val="0067603A"/>
    <w:rsid w:val="006761BF"/>
    <w:rsid w:val="00676BD7"/>
    <w:rsid w:val="00676E91"/>
    <w:rsid w:val="006770C0"/>
    <w:rsid w:val="0067722C"/>
    <w:rsid w:val="00677BB2"/>
    <w:rsid w:val="00677DF6"/>
    <w:rsid w:val="00681E7C"/>
    <w:rsid w:val="00687AE9"/>
    <w:rsid w:val="00690277"/>
    <w:rsid w:val="00691D8E"/>
    <w:rsid w:val="00691E0C"/>
    <w:rsid w:val="00692377"/>
    <w:rsid w:val="00692847"/>
    <w:rsid w:val="00693703"/>
    <w:rsid w:val="006957E7"/>
    <w:rsid w:val="006969EF"/>
    <w:rsid w:val="006977F4"/>
    <w:rsid w:val="006A040F"/>
    <w:rsid w:val="006A04DE"/>
    <w:rsid w:val="006A21A8"/>
    <w:rsid w:val="006A29AE"/>
    <w:rsid w:val="006A2F31"/>
    <w:rsid w:val="006A7D3E"/>
    <w:rsid w:val="006B0FDE"/>
    <w:rsid w:val="006B44D2"/>
    <w:rsid w:val="006B4740"/>
    <w:rsid w:val="006B47D4"/>
    <w:rsid w:val="006B5A61"/>
    <w:rsid w:val="006B5B4E"/>
    <w:rsid w:val="006C0783"/>
    <w:rsid w:val="006C13ED"/>
    <w:rsid w:val="006C16BC"/>
    <w:rsid w:val="006C2ABD"/>
    <w:rsid w:val="006C3035"/>
    <w:rsid w:val="006C3ADE"/>
    <w:rsid w:val="006C4B89"/>
    <w:rsid w:val="006C5FFF"/>
    <w:rsid w:val="006D0630"/>
    <w:rsid w:val="006D14C8"/>
    <w:rsid w:val="006D1D02"/>
    <w:rsid w:val="006D3DDA"/>
    <w:rsid w:val="006D4E82"/>
    <w:rsid w:val="006D7C2D"/>
    <w:rsid w:val="006D7E38"/>
    <w:rsid w:val="006E1072"/>
    <w:rsid w:val="006E181C"/>
    <w:rsid w:val="006E191A"/>
    <w:rsid w:val="006E1CC9"/>
    <w:rsid w:val="006E25EF"/>
    <w:rsid w:val="006E4387"/>
    <w:rsid w:val="006E54AF"/>
    <w:rsid w:val="006F3939"/>
    <w:rsid w:val="006F3E6F"/>
    <w:rsid w:val="006F4A8E"/>
    <w:rsid w:val="00701036"/>
    <w:rsid w:val="00701E39"/>
    <w:rsid w:val="00704236"/>
    <w:rsid w:val="00704EA0"/>
    <w:rsid w:val="00705831"/>
    <w:rsid w:val="007123C0"/>
    <w:rsid w:val="007135BC"/>
    <w:rsid w:val="00714866"/>
    <w:rsid w:val="00715816"/>
    <w:rsid w:val="00724C5A"/>
    <w:rsid w:val="0073388D"/>
    <w:rsid w:val="00734407"/>
    <w:rsid w:val="007349C7"/>
    <w:rsid w:val="0073509E"/>
    <w:rsid w:val="00735FE2"/>
    <w:rsid w:val="00736325"/>
    <w:rsid w:val="00743C22"/>
    <w:rsid w:val="007442C5"/>
    <w:rsid w:val="00745AA8"/>
    <w:rsid w:val="00745D45"/>
    <w:rsid w:val="007469AB"/>
    <w:rsid w:val="00746DB1"/>
    <w:rsid w:val="00747309"/>
    <w:rsid w:val="007478CA"/>
    <w:rsid w:val="00747995"/>
    <w:rsid w:val="00751503"/>
    <w:rsid w:val="00752A69"/>
    <w:rsid w:val="00754323"/>
    <w:rsid w:val="00754C47"/>
    <w:rsid w:val="00761FE9"/>
    <w:rsid w:val="00763B3A"/>
    <w:rsid w:val="00764540"/>
    <w:rsid w:val="00764710"/>
    <w:rsid w:val="007661B6"/>
    <w:rsid w:val="00767F4F"/>
    <w:rsid w:val="00772263"/>
    <w:rsid w:val="00772DBE"/>
    <w:rsid w:val="00772EFC"/>
    <w:rsid w:val="007773C1"/>
    <w:rsid w:val="00780176"/>
    <w:rsid w:val="007801D4"/>
    <w:rsid w:val="007806F1"/>
    <w:rsid w:val="00781BA0"/>
    <w:rsid w:val="00786F9E"/>
    <w:rsid w:val="0079043B"/>
    <w:rsid w:val="007908F5"/>
    <w:rsid w:val="0079278E"/>
    <w:rsid w:val="007934E3"/>
    <w:rsid w:val="00793586"/>
    <w:rsid w:val="007936D6"/>
    <w:rsid w:val="00794C12"/>
    <w:rsid w:val="00795D38"/>
    <w:rsid w:val="007A03F3"/>
    <w:rsid w:val="007A0813"/>
    <w:rsid w:val="007A5BA2"/>
    <w:rsid w:val="007A615F"/>
    <w:rsid w:val="007A7453"/>
    <w:rsid w:val="007B0644"/>
    <w:rsid w:val="007B1CB0"/>
    <w:rsid w:val="007B27C6"/>
    <w:rsid w:val="007B32EE"/>
    <w:rsid w:val="007B34B6"/>
    <w:rsid w:val="007B3880"/>
    <w:rsid w:val="007B4340"/>
    <w:rsid w:val="007B612B"/>
    <w:rsid w:val="007B6D4E"/>
    <w:rsid w:val="007B770F"/>
    <w:rsid w:val="007C1242"/>
    <w:rsid w:val="007C2263"/>
    <w:rsid w:val="007C4484"/>
    <w:rsid w:val="007C5B39"/>
    <w:rsid w:val="007C5EC6"/>
    <w:rsid w:val="007C718E"/>
    <w:rsid w:val="007D07BC"/>
    <w:rsid w:val="007D150B"/>
    <w:rsid w:val="007D24F5"/>
    <w:rsid w:val="007D3680"/>
    <w:rsid w:val="007D3A08"/>
    <w:rsid w:val="007D4FDD"/>
    <w:rsid w:val="007D52E5"/>
    <w:rsid w:val="007D6097"/>
    <w:rsid w:val="007D68EC"/>
    <w:rsid w:val="007E0142"/>
    <w:rsid w:val="007E26A1"/>
    <w:rsid w:val="007E337C"/>
    <w:rsid w:val="007E65D9"/>
    <w:rsid w:val="007E6805"/>
    <w:rsid w:val="007E7229"/>
    <w:rsid w:val="007F12BC"/>
    <w:rsid w:val="007F5AF7"/>
    <w:rsid w:val="007F5ED7"/>
    <w:rsid w:val="007F6CE3"/>
    <w:rsid w:val="00801DF5"/>
    <w:rsid w:val="008025D2"/>
    <w:rsid w:val="00802A22"/>
    <w:rsid w:val="0080330B"/>
    <w:rsid w:val="008038A5"/>
    <w:rsid w:val="008071A0"/>
    <w:rsid w:val="00811F92"/>
    <w:rsid w:val="00814A21"/>
    <w:rsid w:val="00815A1F"/>
    <w:rsid w:val="00816341"/>
    <w:rsid w:val="00817522"/>
    <w:rsid w:val="00817627"/>
    <w:rsid w:val="00820591"/>
    <w:rsid w:val="00821E45"/>
    <w:rsid w:val="00822683"/>
    <w:rsid w:val="008257D0"/>
    <w:rsid w:val="00826868"/>
    <w:rsid w:val="00826BDB"/>
    <w:rsid w:val="00826DD2"/>
    <w:rsid w:val="00830975"/>
    <w:rsid w:val="00831F5A"/>
    <w:rsid w:val="00835364"/>
    <w:rsid w:val="00835AA1"/>
    <w:rsid w:val="008370F5"/>
    <w:rsid w:val="00840EC2"/>
    <w:rsid w:val="008428E5"/>
    <w:rsid w:val="0084399C"/>
    <w:rsid w:val="00847A0A"/>
    <w:rsid w:val="00847E84"/>
    <w:rsid w:val="008513CD"/>
    <w:rsid w:val="00851AC4"/>
    <w:rsid w:val="00852A13"/>
    <w:rsid w:val="00852E02"/>
    <w:rsid w:val="00852E88"/>
    <w:rsid w:val="008532AB"/>
    <w:rsid w:val="00853AA5"/>
    <w:rsid w:val="00855E93"/>
    <w:rsid w:val="00856681"/>
    <w:rsid w:val="00857F28"/>
    <w:rsid w:val="00861BAF"/>
    <w:rsid w:val="00862649"/>
    <w:rsid w:val="008641E7"/>
    <w:rsid w:val="00865183"/>
    <w:rsid w:val="0086681E"/>
    <w:rsid w:val="008707FD"/>
    <w:rsid w:val="00870CCB"/>
    <w:rsid w:val="008712D9"/>
    <w:rsid w:val="00874E67"/>
    <w:rsid w:val="00880D91"/>
    <w:rsid w:val="008844F6"/>
    <w:rsid w:val="00884B4E"/>
    <w:rsid w:val="00886329"/>
    <w:rsid w:val="00886AA4"/>
    <w:rsid w:val="00886C84"/>
    <w:rsid w:val="00887DA2"/>
    <w:rsid w:val="008912CB"/>
    <w:rsid w:val="008916CB"/>
    <w:rsid w:val="00892578"/>
    <w:rsid w:val="00892A1F"/>
    <w:rsid w:val="00892AB6"/>
    <w:rsid w:val="0089555F"/>
    <w:rsid w:val="00895B4F"/>
    <w:rsid w:val="0089647E"/>
    <w:rsid w:val="00896920"/>
    <w:rsid w:val="00896FEF"/>
    <w:rsid w:val="008A286A"/>
    <w:rsid w:val="008A34C9"/>
    <w:rsid w:val="008A3864"/>
    <w:rsid w:val="008A69D5"/>
    <w:rsid w:val="008A7B98"/>
    <w:rsid w:val="008B04A7"/>
    <w:rsid w:val="008B1647"/>
    <w:rsid w:val="008B21CC"/>
    <w:rsid w:val="008B2950"/>
    <w:rsid w:val="008B2977"/>
    <w:rsid w:val="008B45C5"/>
    <w:rsid w:val="008B55BE"/>
    <w:rsid w:val="008C0DB9"/>
    <w:rsid w:val="008C1A00"/>
    <w:rsid w:val="008C2A7C"/>
    <w:rsid w:val="008C3B77"/>
    <w:rsid w:val="008C598B"/>
    <w:rsid w:val="008D0133"/>
    <w:rsid w:val="008D1BF0"/>
    <w:rsid w:val="008D1F18"/>
    <w:rsid w:val="008E24CB"/>
    <w:rsid w:val="008E3DBA"/>
    <w:rsid w:val="008E4325"/>
    <w:rsid w:val="008E67E0"/>
    <w:rsid w:val="008F02F2"/>
    <w:rsid w:val="008F3FE2"/>
    <w:rsid w:val="008F44E5"/>
    <w:rsid w:val="008F57ED"/>
    <w:rsid w:val="008F60FF"/>
    <w:rsid w:val="008F6103"/>
    <w:rsid w:val="009005D0"/>
    <w:rsid w:val="00906180"/>
    <w:rsid w:val="00911141"/>
    <w:rsid w:val="00911EB6"/>
    <w:rsid w:val="00914032"/>
    <w:rsid w:val="009142FA"/>
    <w:rsid w:val="00915981"/>
    <w:rsid w:val="0091732C"/>
    <w:rsid w:val="009178D9"/>
    <w:rsid w:val="009212C2"/>
    <w:rsid w:val="0092191A"/>
    <w:rsid w:val="0092237A"/>
    <w:rsid w:val="00922F9B"/>
    <w:rsid w:val="00925262"/>
    <w:rsid w:val="00925EDE"/>
    <w:rsid w:val="00930FF3"/>
    <w:rsid w:val="009318CE"/>
    <w:rsid w:val="00932A96"/>
    <w:rsid w:val="00933FC5"/>
    <w:rsid w:val="009348DD"/>
    <w:rsid w:val="00937483"/>
    <w:rsid w:val="00941A63"/>
    <w:rsid w:val="009429EF"/>
    <w:rsid w:val="00944246"/>
    <w:rsid w:val="00945766"/>
    <w:rsid w:val="009459C1"/>
    <w:rsid w:val="0094612A"/>
    <w:rsid w:val="00946376"/>
    <w:rsid w:val="00946AA7"/>
    <w:rsid w:val="00950441"/>
    <w:rsid w:val="009531F8"/>
    <w:rsid w:val="00953F0C"/>
    <w:rsid w:val="00954AD2"/>
    <w:rsid w:val="00957CF2"/>
    <w:rsid w:val="009601DF"/>
    <w:rsid w:val="00962A85"/>
    <w:rsid w:val="00963094"/>
    <w:rsid w:val="00965F06"/>
    <w:rsid w:val="00966FAB"/>
    <w:rsid w:val="009676DA"/>
    <w:rsid w:val="00967F02"/>
    <w:rsid w:val="009700D2"/>
    <w:rsid w:val="00976D42"/>
    <w:rsid w:val="00977BB0"/>
    <w:rsid w:val="00984157"/>
    <w:rsid w:val="00984795"/>
    <w:rsid w:val="009853FD"/>
    <w:rsid w:val="00986822"/>
    <w:rsid w:val="009876A4"/>
    <w:rsid w:val="009909E5"/>
    <w:rsid w:val="00992DA0"/>
    <w:rsid w:val="00993F53"/>
    <w:rsid w:val="00995571"/>
    <w:rsid w:val="009957C5"/>
    <w:rsid w:val="009A0A84"/>
    <w:rsid w:val="009A1867"/>
    <w:rsid w:val="009A2583"/>
    <w:rsid w:val="009A3243"/>
    <w:rsid w:val="009A5FB0"/>
    <w:rsid w:val="009B438C"/>
    <w:rsid w:val="009B5C62"/>
    <w:rsid w:val="009B713A"/>
    <w:rsid w:val="009C0078"/>
    <w:rsid w:val="009C102F"/>
    <w:rsid w:val="009C1AF7"/>
    <w:rsid w:val="009C2242"/>
    <w:rsid w:val="009C2789"/>
    <w:rsid w:val="009C4161"/>
    <w:rsid w:val="009C5307"/>
    <w:rsid w:val="009D016F"/>
    <w:rsid w:val="009D54D8"/>
    <w:rsid w:val="009D6920"/>
    <w:rsid w:val="009E0EA3"/>
    <w:rsid w:val="009E3360"/>
    <w:rsid w:val="009E397B"/>
    <w:rsid w:val="009E7101"/>
    <w:rsid w:val="009F0803"/>
    <w:rsid w:val="009F15D6"/>
    <w:rsid w:val="009F3C1E"/>
    <w:rsid w:val="009F4503"/>
    <w:rsid w:val="009F5B9E"/>
    <w:rsid w:val="009F6522"/>
    <w:rsid w:val="00A0026F"/>
    <w:rsid w:val="00A00535"/>
    <w:rsid w:val="00A02397"/>
    <w:rsid w:val="00A03FA2"/>
    <w:rsid w:val="00A050B9"/>
    <w:rsid w:val="00A05829"/>
    <w:rsid w:val="00A06BC6"/>
    <w:rsid w:val="00A10C9C"/>
    <w:rsid w:val="00A12FD7"/>
    <w:rsid w:val="00A15060"/>
    <w:rsid w:val="00A15089"/>
    <w:rsid w:val="00A1570C"/>
    <w:rsid w:val="00A15AE6"/>
    <w:rsid w:val="00A22B7A"/>
    <w:rsid w:val="00A23037"/>
    <w:rsid w:val="00A25498"/>
    <w:rsid w:val="00A25708"/>
    <w:rsid w:val="00A27F8A"/>
    <w:rsid w:val="00A321D9"/>
    <w:rsid w:val="00A32CB9"/>
    <w:rsid w:val="00A34017"/>
    <w:rsid w:val="00A346F7"/>
    <w:rsid w:val="00A34746"/>
    <w:rsid w:val="00A34C1B"/>
    <w:rsid w:val="00A3527B"/>
    <w:rsid w:val="00A35886"/>
    <w:rsid w:val="00A35FBC"/>
    <w:rsid w:val="00A40904"/>
    <w:rsid w:val="00A43338"/>
    <w:rsid w:val="00A43ABB"/>
    <w:rsid w:val="00A43B82"/>
    <w:rsid w:val="00A441AB"/>
    <w:rsid w:val="00A451FE"/>
    <w:rsid w:val="00A464D5"/>
    <w:rsid w:val="00A4659C"/>
    <w:rsid w:val="00A47A1E"/>
    <w:rsid w:val="00A512F1"/>
    <w:rsid w:val="00A51D4D"/>
    <w:rsid w:val="00A5268E"/>
    <w:rsid w:val="00A52D6E"/>
    <w:rsid w:val="00A57542"/>
    <w:rsid w:val="00A61748"/>
    <w:rsid w:val="00A62268"/>
    <w:rsid w:val="00A62C27"/>
    <w:rsid w:val="00A63FD5"/>
    <w:rsid w:val="00A6529D"/>
    <w:rsid w:val="00A657FD"/>
    <w:rsid w:val="00A7056B"/>
    <w:rsid w:val="00A72793"/>
    <w:rsid w:val="00A732C6"/>
    <w:rsid w:val="00A735F8"/>
    <w:rsid w:val="00A74A35"/>
    <w:rsid w:val="00A75A7D"/>
    <w:rsid w:val="00A75EBE"/>
    <w:rsid w:val="00A77B82"/>
    <w:rsid w:val="00A802A5"/>
    <w:rsid w:val="00A80CC1"/>
    <w:rsid w:val="00A82B44"/>
    <w:rsid w:val="00A85DFD"/>
    <w:rsid w:val="00A85E4F"/>
    <w:rsid w:val="00A85FC5"/>
    <w:rsid w:val="00A861E2"/>
    <w:rsid w:val="00A9135A"/>
    <w:rsid w:val="00A9171E"/>
    <w:rsid w:val="00A918BB"/>
    <w:rsid w:val="00A93122"/>
    <w:rsid w:val="00A94040"/>
    <w:rsid w:val="00A96176"/>
    <w:rsid w:val="00AA34DA"/>
    <w:rsid w:val="00AA3BDE"/>
    <w:rsid w:val="00AA3D6F"/>
    <w:rsid w:val="00AA45A8"/>
    <w:rsid w:val="00AA4F45"/>
    <w:rsid w:val="00AA655B"/>
    <w:rsid w:val="00AA658F"/>
    <w:rsid w:val="00AA763E"/>
    <w:rsid w:val="00AA7A0E"/>
    <w:rsid w:val="00AA7DB0"/>
    <w:rsid w:val="00AB0795"/>
    <w:rsid w:val="00AB3335"/>
    <w:rsid w:val="00AB38B2"/>
    <w:rsid w:val="00AB3EB9"/>
    <w:rsid w:val="00AB6DDF"/>
    <w:rsid w:val="00AC1960"/>
    <w:rsid w:val="00AC76DB"/>
    <w:rsid w:val="00AC7D31"/>
    <w:rsid w:val="00AD0B6C"/>
    <w:rsid w:val="00AD0E22"/>
    <w:rsid w:val="00AD64BF"/>
    <w:rsid w:val="00AE00CF"/>
    <w:rsid w:val="00AE2090"/>
    <w:rsid w:val="00AE2AF1"/>
    <w:rsid w:val="00AE3FD6"/>
    <w:rsid w:val="00AE7B10"/>
    <w:rsid w:val="00AF0824"/>
    <w:rsid w:val="00AF0E79"/>
    <w:rsid w:val="00AF237F"/>
    <w:rsid w:val="00AF28CF"/>
    <w:rsid w:val="00AF2ABA"/>
    <w:rsid w:val="00AF6381"/>
    <w:rsid w:val="00B000A8"/>
    <w:rsid w:val="00B0066D"/>
    <w:rsid w:val="00B0177E"/>
    <w:rsid w:val="00B01AF0"/>
    <w:rsid w:val="00B03FD8"/>
    <w:rsid w:val="00B0482C"/>
    <w:rsid w:val="00B051BC"/>
    <w:rsid w:val="00B1003A"/>
    <w:rsid w:val="00B14C89"/>
    <w:rsid w:val="00B1542E"/>
    <w:rsid w:val="00B17DBF"/>
    <w:rsid w:val="00B208E1"/>
    <w:rsid w:val="00B21A0C"/>
    <w:rsid w:val="00B23F79"/>
    <w:rsid w:val="00B243E6"/>
    <w:rsid w:val="00B244B6"/>
    <w:rsid w:val="00B24861"/>
    <w:rsid w:val="00B25745"/>
    <w:rsid w:val="00B25E7E"/>
    <w:rsid w:val="00B25F04"/>
    <w:rsid w:val="00B3086E"/>
    <w:rsid w:val="00B310C0"/>
    <w:rsid w:val="00B3255E"/>
    <w:rsid w:val="00B33D27"/>
    <w:rsid w:val="00B35B8B"/>
    <w:rsid w:val="00B4380E"/>
    <w:rsid w:val="00B45B95"/>
    <w:rsid w:val="00B515EF"/>
    <w:rsid w:val="00B527A4"/>
    <w:rsid w:val="00B55093"/>
    <w:rsid w:val="00B57DBA"/>
    <w:rsid w:val="00B6029B"/>
    <w:rsid w:val="00B6095B"/>
    <w:rsid w:val="00B62C88"/>
    <w:rsid w:val="00B63343"/>
    <w:rsid w:val="00B644E2"/>
    <w:rsid w:val="00B64E71"/>
    <w:rsid w:val="00B6698B"/>
    <w:rsid w:val="00B66F58"/>
    <w:rsid w:val="00B71FDE"/>
    <w:rsid w:val="00B7532E"/>
    <w:rsid w:val="00B76697"/>
    <w:rsid w:val="00B83178"/>
    <w:rsid w:val="00B85A5C"/>
    <w:rsid w:val="00B8630E"/>
    <w:rsid w:val="00B86674"/>
    <w:rsid w:val="00B87307"/>
    <w:rsid w:val="00B90AB1"/>
    <w:rsid w:val="00B9110E"/>
    <w:rsid w:val="00B92427"/>
    <w:rsid w:val="00B924A2"/>
    <w:rsid w:val="00B92A7E"/>
    <w:rsid w:val="00B92DD7"/>
    <w:rsid w:val="00B95DC6"/>
    <w:rsid w:val="00B97C80"/>
    <w:rsid w:val="00BA184B"/>
    <w:rsid w:val="00BA2549"/>
    <w:rsid w:val="00BA51CE"/>
    <w:rsid w:val="00BA6A1E"/>
    <w:rsid w:val="00BA7217"/>
    <w:rsid w:val="00BA7FF7"/>
    <w:rsid w:val="00BB1B3B"/>
    <w:rsid w:val="00BB32F7"/>
    <w:rsid w:val="00BB508B"/>
    <w:rsid w:val="00BB61A6"/>
    <w:rsid w:val="00BB6C55"/>
    <w:rsid w:val="00BB7038"/>
    <w:rsid w:val="00BB7689"/>
    <w:rsid w:val="00BB7F0E"/>
    <w:rsid w:val="00BC0372"/>
    <w:rsid w:val="00BC0B47"/>
    <w:rsid w:val="00BC0C5D"/>
    <w:rsid w:val="00BC182D"/>
    <w:rsid w:val="00BC24DD"/>
    <w:rsid w:val="00BC2592"/>
    <w:rsid w:val="00BC364D"/>
    <w:rsid w:val="00BC5B18"/>
    <w:rsid w:val="00BC6D53"/>
    <w:rsid w:val="00BC74F8"/>
    <w:rsid w:val="00BD074F"/>
    <w:rsid w:val="00BD2CAB"/>
    <w:rsid w:val="00BD42D1"/>
    <w:rsid w:val="00BD4830"/>
    <w:rsid w:val="00BE0AEE"/>
    <w:rsid w:val="00BE1DA0"/>
    <w:rsid w:val="00BE2324"/>
    <w:rsid w:val="00BE28B0"/>
    <w:rsid w:val="00BE58AB"/>
    <w:rsid w:val="00BE5D7A"/>
    <w:rsid w:val="00BE6172"/>
    <w:rsid w:val="00BE6580"/>
    <w:rsid w:val="00BF3A98"/>
    <w:rsid w:val="00BF3EA4"/>
    <w:rsid w:val="00BF581B"/>
    <w:rsid w:val="00BF7908"/>
    <w:rsid w:val="00C03A34"/>
    <w:rsid w:val="00C03DA2"/>
    <w:rsid w:val="00C0482E"/>
    <w:rsid w:val="00C05820"/>
    <w:rsid w:val="00C104ED"/>
    <w:rsid w:val="00C120F3"/>
    <w:rsid w:val="00C12474"/>
    <w:rsid w:val="00C131D0"/>
    <w:rsid w:val="00C132A2"/>
    <w:rsid w:val="00C1445E"/>
    <w:rsid w:val="00C14AC5"/>
    <w:rsid w:val="00C1660F"/>
    <w:rsid w:val="00C16FB6"/>
    <w:rsid w:val="00C2224D"/>
    <w:rsid w:val="00C26C20"/>
    <w:rsid w:val="00C3004F"/>
    <w:rsid w:val="00C308F0"/>
    <w:rsid w:val="00C31720"/>
    <w:rsid w:val="00C34B03"/>
    <w:rsid w:val="00C368E1"/>
    <w:rsid w:val="00C36DEA"/>
    <w:rsid w:val="00C3775D"/>
    <w:rsid w:val="00C37DF0"/>
    <w:rsid w:val="00C45CAA"/>
    <w:rsid w:val="00C46D53"/>
    <w:rsid w:val="00C50880"/>
    <w:rsid w:val="00C55B73"/>
    <w:rsid w:val="00C60A98"/>
    <w:rsid w:val="00C613C8"/>
    <w:rsid w:val="00C61C5E"/>
    <w:rsid w:val="00C620C4"/>
    <w:rsid w:val="00C637AC"/>
    <w:rsid w:val="00C646F8"/>
    <w:rsid w:val="00C649FC"/>
    <w:rsid w:val="00C64B2D"/>
    <w:rsid w:val="00C65E6B"/>
    <w:rsid w:val="00C66097"/>
    <w:rsid w:val="00C66ED6"/>
    <w:rsid w:val="00C6779C"/>
    <w:rsid w:val="00C700DC"/>
    <w:rsid w:val="00C70B0B"/>
    <w:rsid w:val="00C7221B"/>
    <w:rsid w:val="00C7325D"/>
    <w:rsid w:val="00C741EE"/>
    <w:rsid w:val="00C74D63"/>
    <w:rsid w:val="00C752EC"/>
    <w:rsid w:val="00C75978"/>
    <w:rsid w:val="00C76E86"/>
    <w:rsid w:val="00C777D3"/>
    <w:rsid w:val="00C84273"/>
    <w:rsid w:val="00C84B98"/>
    <w:rsid w:val="00C94FB9"/>
    <w:rsid w:val="00C95117"/>
    <w:rsid w:val="00C96358"/>
    <w:rsid w:val="00C978A4"/>
    <w:rsid w:val="00CA0335"/>
    <w:rsid w:val="00CA2C35"/>
    <w:rsid w:val="00CA6136"/>
    <w:rsid w:val="00CA6184"/>
    <w:rsid w:val="00CA6FAA"/>
    <w:rsid w:val="00CB0EE0"/>
    <w:rsid w:val="00CB13A0"/>
    <w:rsid w:val="00CB17F9"/>
    <w:rsid w:val="00CB3C73"/>
    <w:rsid w:val="00CC06F9"/>
    <w:rsid w:val="00CC2265"/>
    <w:rsid w:val="00CC411A"/>
    <w:rsid w:val="00CC4BEF"/>
    <w:rsid w:val="00CC53FE"/>
    <w:rsid w:val="00CC6DCA"/>
    <w:rsid w:val="00CD000E"/>
    <w:rsid w:val="00CD2BD3"/>
    <w:rsid w:val="00CD35DC"/>
    <w:rsid w:val="00CD3A88"/>
    <w:rsid w:val="00CD6922"/>
    <w:rsid w:val="00CE200E"/>
    <w:rsid w:val="00CE295A"/>
    <w:rsid w:val="00CE3828"/>
    <w:rsid w:val="00CE3A33"/>
    <w:rsid w:val="00CE5DC5"/>
    <w:rsid w:val="00CE6DA0"/>
    <w:rsid w:val="00CE7036"/>
    <w:rsid w:val="00CF05B1"/>
    <w:rsid w:val="00CF0B0E"/>
    <w:rsid w:val="00CF3120"/>
    <w:rsid w:val="00CF4C4E"/>
    <w:rsid w:val="00D01FDF"/>
    <w:rsid w:val="00D059BD"/>
    <w:rsid w:val="00D10D91"/>
    <w:rsid w:val="00D17B48"/>
    <w:rsid w:val="00D2454F"/>
    <w:rsid w:val="00D26A48"/>
    <w:rsid w:val="00D2736B"/>
    <w:rsid w:val="00D3065D"/>
    <w:rsid w:val="00D3231E"/>
    <w:rsid w:val="00D40EB1"/>
    <w:rsid w:val="00D41D04"/>
    <w:rsid w:val="00D42073"/>
    <w:rsid w:val="00D4231A"/>
    <w:rsid w:val="00D44129"/>
    <w:rsid w:val="00D444BD"/>
    <w:rsid w:val="00D44924"/>
    <w:rsid w:val="00D4557E"/>
    <w:rsid w:val="00D46CBF"/>
    <w:rsid w:val="00D526CC"/>
    <w:rsid w:val="00D54057"/>
    <w:rsid w:val="00D5546F"/>
    <w:rsid w:val="00D55CEB"/>
    <w:rsid w:val="00D55D15"/>
    <w:rsid w:val="00D56FD0"/>
    <w:rsid w:val="00D5773F"/>
    <w:rsid w:val="00D57890"/>
    <w:rsid w:val="00D57F78"/>
    <w:rsid w:val="00D609BE"/>
    <w:rsid w:val="00D60ED8"/>
    <w:rsid w:val="00D61DB6"/>
    <w:rsid w:val="00D6266C"/>
    <w:rsid w:val="00D62CBD"/>
    <w:rsid w:val="00D63FD9"/>
    <w:rsid w:val="00D66465"/>
    <w:rsid w:val="00D6774B"/>
    <w:rsid w:val="00D716AC"/>
    <w:rsid w:val="00D732C1"/>
    <w:rsid w:val="00D73D44"/>
    <w:rsid w:val="00D7516E"/>
    <w:rsid w:val="00D77C3E"/>
    <w:rsid w:val="00D819BB"/>
    <w:rsid w:val="00D82C9B"/>
    <w:rsid w:val="00D86CB8"/>
    <w:rsid w:val="00D86F51"/>
    <w:rsid w:val="00D940C4"/>
    <w:rsid w:val="00D94641"/>
    <w:rsid w:val="00D9540F"/>
    <w:rsid w:val="00D95F18"/>
    <w:rsid w:val="00D97567"/>
    <w:rsid w:val="00DA0BA8"/>
    <w:rsid w:val="00DA110D"/>
    <w:rsid w:val="00DA1E1D"/>
    <w:rsid w:val="00DA240F"/>
    <w:rsid w:val="00DA5C9A"/>
    <w:rsid w:val="00DA5D90"/>
    <w:rsid w:val="00DA5E0F"/>
    <w:rsid w:val="00DA6F85"/>
    <w:rsid w:val="00DA7E32"/>
    <w:rsid w:val="00DB2DDB"/>
    <w:rsid w:val="00DB41D8"/>
    <w:rsid w:val="00DB6C8A"/>
    <w:rsid w:val="00DC2F6A"/>
    <w:rsid w:val="00DC3E9A"/>
    <w:rsid w:val="00DC4DA7"/>
    <w:rsid w:val="00DD0076"/>
    <w:rsid w:val="00DD0D7B"/>
    <w:rsid w:val="00DD3DAE"/>
    <w:rsid w:val="00DD3E0F"/>
    <w:rsid w:val="00DD4F41"/>
    <w:rsid w:val="00DD67CD"/>
    <w:rsid w:val="00DE14FB"/>
    <w:rsid w:val="00DE1B1C"/>
    <w:rsid w:val="00DE4192"/>
    <w:rsid w:val="00DE60B1"/>
    <w:rsid w:val="00DE6366"/>
    <w:rsid w:val="00DE6BCF"/>
    <w:rsid w:val="00DF1F6B"/>
    <w:rsid w:val="00DF3E74"/>
    <w:rsid w:val="00DF47C5"/>
    <w:rsid w:val="00DF63C3"/>
    <w:rsid w:val="00DF7523"/>
    <w:rsid w:val="00E01296"/>
    <w:rsid w:val="00E027D4"/>
    <w:rsid w:val="00E030D1"/>
    <w:rsid w:val="00E03899"/>
    <w:rsid w:val="00E11374"/>
    <w:rsid w:val="00E122A4"/>
    <w:rsid w:val="00E1324A"/>
    <w:rsid w:val="00E13D58"/>
    <w:rsid w:val="00E14FAF"/>
    <w:rsid w:val="00E154E1"/>
    <w:rsid w:val="00E1621C"/>
    <w:rsid w:val="00E16763"/>
    <w:rsid w:val="00E16AC4"/>
    <w:rsid w:val="00E17537"/>
    <w:rsid w:val="00E2354F"/>
    <w:rsid w:val="00E24065"/>
    <w:rsid w:val="00E279A6"/>
    <w:rsid w:val="00E30C70"/>
    <w:rsid w:val="00E32EB8"/>
    <w:rsid w:val="00E33A1E"/>
    <w:rsid w:val="00E36CA9"/>
    <w:rsid w:val="00E36FAF"/>
    <w:rsid w:val="00E37C71"/>
    <w:rsid w:val="00E4012B"/>
    <w:rsid w:val="00E40422"/>
    <w:rsid w:val="00E40670"/>
    <w:rsid w:val="00E408D3"/>
    <w:rsid w:val="00E439ED"/>
    <w:rsid w:val="00E43C18"/>
    <w:rsid w:val="00E46DC0"/>
    <w:rsid w:val="00E46F0F"/>
    <w:rsid w:val="00E479BD"/>
    <w:rsid w:val="00E47A6A"/>
    <w:rsid w:val="00E513FB"/>
    <w:rsid w:val="00E534CC"/>
    <w:rsid w:val="00E53C0F"/>
    <w:rsid w:val="00E54B20"/>
    <w:rsid w:val="00E56C72"/>
    <w:rsid w:val="00E57A89"/>
    <w:rsid w:val="00E57C7E"/>
    <w:rsid w:val="00E60560"/>
    <w:rsid w:val="00E605D7"/>
    <w:rsid w:val="00E61FFD"/>
    <w:rsid w:val="00E62BDF"/>
    <w:rsid w:val="00E63E7C"/>
    <w:rsid w:val="00E70BC9"/>
    <w:rsid w:val="00E71CE5"/>
    <w:rsid w:val="00E72C28"/>
    <w:rsid w:val="00E72D62"/>
    <w:rsid w:val="00E7741E"/>
    <w:rsid w:val="00E800DB"/>
    <w:rsid w:val="00E81CCE"/>
    <w:rsid w:val="00E84ADC"/>
    <w:rsid w:val="00E8531D"/>
    <w:rsid w:val="00E858BF"/>
    <w:rsid w:val="00E86865"/>
    <w:rsid w:val="00E873EC"/>
    <w:rsid w:val="00E90067"/>
    <w:rsid w:val="00E90B50"/>
    <w:rsid w:val="00E914B2"/>
    <w:rsid w:val="00E91A1A"/>
    <w:rsid w:val="00E93AB9"/>
    <w:rsid w:val="00EA142C"/>
    <w:rsid w:val="00EA37E8"/>
    <w:rsid w:val="00EA400E"/>
    <w:rsid w:val="00EA4111"/>
    <w:rsid w:val="00EA43B5"/>
    <w:rsid w:val="00EA4F58"/>
    <w:rsid w:val="00EA54C5"/>
    <w:rsid w:val="00EA6A34"/>
    <w:rsid w:val="00EB1171"/>
    <w:rsid w:val="00EB3D4F"/>
    <w:rsid w:val="00EB4E2E"/>
    <w:rsid w:val="00EB4F5C"/>
    <w:rsid w:val="00EC033C"/>
    <w:rsid w:val="00EC0787"/>
    <w:rsid w:val="00EC0E6F"/>
    <w:rsid w:val="00EC3042"/>
    <w:rsid w:val="00EC7E08"/>
    <w:rsid w:val="00ED1053"/>
    <w:rsid w:val="00ED25B2"/>
    <w:rsid w:val="00ED786E"/>
    <w:rsid w:val="00EE2797"/>
    <w:rsid w:val="00EE319D"/>
    <w:rsid w:val="00EE3D9D"/>
    <w:rsid w:val="00EE434E"/>
    <w:rsid w:val="00EE5EA2"/>
    <w:rsid w:val="00EE70A1"/>
    <w:rsid w:val="00EE7498"/>
    <w:rsid w:val="00EE7D7C"/>
    <w:rsid w:val="00EF026E"/>
    <w:rsid w:val="00EF0C63"/>
    <w:rsid w:val="00EF4C0F"/>
    <w:rsid w:val="00EF5A60"/>
    <w:rsid w:val="00EF69FF"/>
    <w:rsid w:val="00F028C0"/>
    <w:rsid w:val="00F0423E"/>
    <w:rsid w:val="00F04A5F"/>
    <w:rsid w:val="00F13227"/>
    <w:rsid w:val="00F1421D"/>
    <w:rsid w:val="00F15B3B"/>
    <w:rsid w:val="00F15ED8"/>
    <w:rsid w:val="00F15F53"/>
    <w:rsid w:val="00F167CB"/>
    <w:rsid w:val="00F172F2"/>
    <w:rsid w:val="00F17B8C"/>
    <w:rsid w:val="00F17E68"/>
    <w:rsid w:val="00F23506"/>
    <w:rsid w:val="00F25869"/>
    <w:rsid w:val="00F260FF"/>
    <w:rsid w:val="00F26B66"/>
    <w:rsid w:val="00F274D2"/>
    <w:rsid w:val="00F27644"/>
    <w:rsid w:val="00F342EE"/>
    <w:rsid w:val="00F344E8"/>
    <w:rsid w:val="00F351F0"/>
    <w:rsid w:val="00F4009A"/>
    <w:rsid w:val="00F41E45"/>
    <w:rsid w:val="00F44507"/>
    <w:rsid w:val="00F478B6"/>
    <w:rsid w:val="00F504B4"/>
    <w:rsid w:val="00F50F50"/>
    <w:rsid w:val="00F523CA"/>
    <w:rsid w:val="00F526A8"/>
    <w:rsid w:val="00F54767"/>
    <w:rsid w:val="00F56B4E"/>
    <w:rsid w:val="00F57D8F"/>
    <w:rsid w:val="00F60C26"/>
    <w:rsid w:val="00F6647C"/>
    <w:rsid w:val="00F673DE"/>
    <w:rsid w:val="00F70A46"/>
    <w:rsid w:val="00F71F1C"/>
    <w:rsid w:val="00F72007"/>
    <w:rsid w:val="00F723EA"/>
    <w:rsid w:val="00F72AD6"/>
    <w:rsid w:val="00F75F13"/>
    <w:rsid w:val="00F76205"/>
    <w:rsid w:val="00F80878"/>
    <w:rsid w:val="00F8301A"/>
    <w:rsid w:val="00F83FC0"/>
    <w:rsid w:val="00F92BC1"/>
    <w:rsid w:val="00F935E5"/>
    <w:rsid w:val="00F938F2"/>
    <w:rsid w:val="00F93BDC"/>
    <w:rsid w:val="00F94F9C"/>
    <w:rsid w:val="00F97B32"/>
    <w:rsid w:val="00FA07DA"/>
    <w:rsid w:val="00FA1789"/>
    <w:rsid w:val="00FA18C0"/>
    <w:rsid w:val="00FA29AC"/>
    <w:rsid w:val="00FA2DCE"/>
    <w:rsid w:val="00FA65C2"/>
    <w:rsid w:val="00FB205A"/>
    <w:rsid w:val="00FB4589"/>
    <w:rsid w:val="00FB478E"/>
    <w:rsid w:val="00FB4D42"/>
    <w:rsid w:val="00FB4EBD"/>
    <w:rsid w:val="00FB63F8"/>
    <w:rsid w:val="00FB782D"/>
    <w:rsid w:val="00FB794A"/>
    <w:rsid w:val="00FC0B7C"/>
    <w:rsid w:val="00FC14A4"/>
    <w:rsid w:val="00FC229A"/>
    <w:rsid w:val="00FC4C3D"/>
    <w:rsid w:val="00FC5AD1"/>
    <w:rsid w:val="00FD168A"/>
    <w:rsid w:val="00FD2FC8"/>
    <w:rsid w:val="00FD3FBB"/>
    <w:rsid w:val="00FD4AE8"/>
    <w:rsid w:val="00FE1B71"/>
    <w:rsid w:val="00FE1E4F"/>
    <w:rsid w:val="00FE5403"/>
    <w:rsid w:val="00FF09DF"/>
    <w:rsid w:val="00FF1A8F"/>
    <w:rsid w:val="00FF3CCC"/>
    <w:rsid w:val="00FF6DF3"/>
    <w:rsid w:val="00FF6E30"/>
  </w:rsids>
  <m:mathPr>
    <m:mathFont m:val="Cambria Math"/>
    <m:brkBin m:val="before"/>
    <m:brkBinSub m:val="--"/>
    <m:smallFrac m:val="off"/>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City"/>
  <w:smartTagType w:namespaceuri="urn:schemas-microsoft-com:office:smarttags" w:name="place"/>
  <w:smartTagType w:namespaceuri="urn:schemas-microsoft-com:office:smarttags" w:name="PlaceType"/>
  <w:smartTagType w:namespaceuri="urn:schemas-microsoft-com:office:smarttags" w:name="PlaceName"/>
  <w:shapeDefaults>
    <o:shapedefaults v:ext="edit" spidmax="112641">
      <o:colormenu v:ext="edit" fillcolor="none"/>
    </o:shapedefaults>
    <o:shapelayout v:ext="edit">
      <o:idmap v:ext="edit" data="1"/>
      <o:rules v:ext="edit">
        <o:r id="V:Rule13" type="connector" idref="#_x0000_s1386"/>
        <o:r id="V:Rule14" type="connector" idref="#_x0000_s1385"/>
        <o:r id="V:Rule15" type="connector" idref="#_x0000_s1381"/>
        <o:r id="V:Rule16" type="connector" idref="#_x0000_s1391"/>
        <o:r id="V:Rule17" type="connector" idref="#_x0000_s1389"/>
        <o:r id="V:Rule18" type="connector" idref="#_x0000_s1383"/>
        <o:r id="V:Rule19" type="connector" idref="#_x0000_s1382"/>
        <o:r id="V:Rule20" type="connector" idref="#_x0000_s1387"/>
        <o:r id="V:Rule21" type="connector" idref="#Straight Arrow Connector 1"/>
        <o:r id="V:Rule22" type="connector" idref="#Straight Arrow Connector 5"/>
        <o:r id="V:Rule23" type="connector" idref="#_x0000_s1388"/>
        <o:r id="V:Rule24" type="connector" idref="#_x0000_s1384"/>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Garamond" w:eastAsia="Times New Roman" w:hAnsi="Garamond" w:cs="Times New Roman"/>
        <w:sz w:val="24"/>
        <w:lang w:val="en-AU" w:eastAsia="en-AU" w:bidi="ar-SA"/>
      </w:rPr>
    </w:rPrDefault>
    <w:pPrDefault/>
  </w:docDefaults>
  <w:latentStyles w:defLockedState="0" w:defUIPriority="2" w:defSemiHidden="0" w:defUnhideWhenUsed="0" w:defQFormat="0" w:count="267">
    <w:lsdException w:name="Normal" w:uiPriority="0" w:qFormat="1"/>
    <w:lsdException w:name="heading 1" w:uiPriority="1" w:qFormat="1"/>
    <w:lsdException w:name="heading 2" w:uiPriority="0" w:qFormat="1"/>
    <w:lsdException w:name="heading 3" w:uiPriority="0" w:qFormat="1"/>
    <w:lsdException w:name="heading 4" w:uiPriority="1" w:qFormat="1"/>
    <w:lsdException w:name="heading 5" w:uiPriority="1" w:qFormat="1"/>
    <w:lsdException w:name="heading 6" w:uiPriority="1" w:qFormat="1"/>
    <w:lsdException w:name="heading 7" w:uiPriority="1" w:qFormat="1"/>
    <w:lsdException w:name="heading 8" w:uiPriority="1" w:qFormat="1"/>
    <w:lsdException w:name="heading 9" w:uiPriority="1"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99"/>
    <w:lsdException w:name="caption" w:semiHidden="1" w:unhideWhenUsed="1" w:qFormat="1"/>
    <w:lsdException w:name="footnote reference" w:uiPriority="99"/>
    <w:lsdException w:name="page number" w:uiPriority="0"/>
    <w:lsdException w:name="Title" w:qFormat="1"/>
    <w:lsdException w:name="Subtitle" w:qFormat="1"/>
    <w:lsdException w:name="Hyperlink" w:uiPriority="99"/>
    <w:lsdException w:name="Strong" w:qFormat="1"/>
    <w:lsdException w:name="Emphasis" w:uiPriority="20" w:qFormat="1"/>
    <w:lsdException w:name="HTML Top of Form" w:uiPriority="0"/>
    <w:lsdException w:name="HTML Bottom of Form" w:uiPriority="0"/>
    <w:lsdException w:name="Normal Table" w:uiPriority="0"/>
    <w:lsdException w:name="No List" w:uiPriority="99"/>
    <w:lsdException w:name="Outline List 1" w:uiPriority="0"/>
    <w:lsdException w:name="Outline List 2" w:uiPriority="0"/>
    <w:lsdException w:name="Outline List 3" w:uiPriority="0"/>
    <w:lsdException w:name="Table Simple 1" w:uiPriority="0"/>
    <w:lsdException w:name="Table Simple 2" w:uiPriority="0"/>
    <w:lsdException w:name="Table Simple 3" w:uiPriority="0"/>
    <w:lsdException w:name="Table Classic 1" w:uiPriority="0"/>
    <w:lsdException w:name="Table Classic 2" w:uiPriority="0"/>
    <w:lsdException w:name="Table Classic 3" w:uiPriority="0"/>
    <w:lsdException w:name="Table Classic 4" w:uiPriority="0"/>
    <w:lsdException w:name="Table Colorful 1" w:uiPriority="0"/>
    <w:lsdException w:name="Table Colorful 2" w:uiPriority="0"/>
    <w:lsdException w:name="Table Colorful 3" w:uiPriority="0"/>
    <w:lsdException w:name="Table Columns 1" w:uiPriority="0"/>
    <w:lsdException w:name="Table Columns 2" w:uiPriority="0"/>
    <w:lsdException w:name="Table Columns 3" w:uiPriority="0"/>
    <w:lsdException w:name="Table Columns 4" w:uiPriority="0"/>
    <w:lsdException w:name="Table Columns 5" w:uiPriority="0"/>
    <w:lsdException w:name="Table Grid 1" w:uiPriority="0"/>
    <w:lsdException w:name="Table Grid 2" w:uiPriority="0"/>
    <w:lsdException w:name="Table Grid 3" w:uiPriority="0"/>
    <w:lsdException w:name="Table Grid 4" w:uiPriority="0"/>
    <w:lsdException w:name="Table Grid 5" w:uiPriority="0"/>
    <w:lsdException w:name="Table Grid 6" w:uiPriority="0"/>
    <w:lsdException w:name="Table Grid 7" w:uiPriority="0"/>
    <w:lsdException w:name="Table Grid 8" w:uiPriority="0"/>
    <w:lsdException w:name="Table List 1" w:uiPriority="0"/>
    <w:lsdException w:name="Table List 2" w:uiPriority="0"/>
    <w:lsdException w:name="Table List 3" w:uiPriority="0"/>
    <w:lsdException w:name="Table List 4" w:uiPriority="0"/>
    <w:lsdException w:name="Table List 5" w:uiPriority="0"/>
    <w:lsdException w:name="Table List 6" w:uiPriority="0"/>
    <w:lsdException w:name="Table List 7" w:uiPriority="0"/>
    <w:lsdException w:name="Table List 8" w:uiPriority="0"/>
    <w:lsdException w:name="Table 3D effects 1" w:uiPriority="0"/>
    <w:lsdException w:name="Table 3D effects 2" w:uiPriority="0"/>
    <w:lsdException w:name="Table 3D effects 3" w:uiPriority="0"/>
    <w:lsdException w:name="Table Contemporary" w:uiPriority="0"/>
    <w:lsdException w:name="Table Elegant" w:uiPriority="0"/>
    <w:lsdException w:name="Table Professional" w:uiPriority="0"/>
    <w:lsdException w:name="Table Subtle 1" w:uiPriority="0"/>
    <w:lsdException w:name="Table Subtle 2" w:uiPriority="0"/>
    <w:lsdException w:name="Table Web 1" w:uiPriority="0"/>
    <w:lsdException w:name="Table Web 2" w:uiPriority="0"/>
    <w:lsdException w:name="Table Web 3" w:uiPriority="0"/>
    <w:lsdException w:name="Table Grid" w:uiPriority="0"/>
    <w:lsdException w:name="Table Theme" w:uiPriority="0"/>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qFormat="1"/>
    <w:lsdException w:name="Quote" w:uiPriority="29" w:qFormat="1"/>
    <w:lsdException w:name="Intense Quote"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qFormat="1"/>
    <w:lsdException w:name="Subtle Reference" w:qFormat="1"/>
    <w:lsdException w:name="Intense Reference" w:qFormat="1"/>
    <w:lsdException w:name="Book Title" w:qFormat="1"/>
    <w:lsdException w:name="Bibliography" w:semiHidden="1" w:unhideWhenUsed="1"/>
    <w:lsdException w:name="TOC Heading" w:semiHidden="1" w:uiPriority="39" w:unhideWhenUsed="1" w:qFormat="1"/>
  </w:latentStyles>
  <w:style w:type="paragraph" w:default="1" w:styleId="Normal">
    <w:name w:val="Normal"/>
    <w:qFormat/>
    <w:rsid w:val="00F60C26"/>
    <w:pPr>
      <w:spacing w:after="120" w:line="280" w:lineRule="atLeast"/>
      <w:jc w:val="both"/>
    </w:pPr>
    <w:rPr>
      <w:lang w:eastAsia="en-US"/>
    </w:rPr>
  </w:style>
  <w:style w:type="paragraph" w:styleId="Heading1">
    <w:name w:val="heading 1"/>
    <w:next w:val="Normal"/>
    <w:link w:val="Heading1Char"/>
    <w:uiPriority w:val="1"/>
    <w:qFormat/>
    <w:rsid w:val="00322964"/>
    <w:pPr>
      <w:keepNext/>
      <w:spacing w:after="240" w:line="470" w:lineRule="exact"/>
      <w:jc w:val="center"/>
      <w:outlineLvl w:val="0"/>
    </w:pPr>
    <w:rPr>
      <w:rFonts w:ascii="Arial" w:hAnsi="Arial"/>
      <w:b/>
      <w:sz w:val="36"/>
      <w:lang w:eastAsia="en-US"/>
    </w:rPr>
  </w:style>
  <w:style w:type="paragraph" w:styleId="Heading2">
    <w:name w:val="heading 2"/>
    <w:next w:val="Normal"/>
    <w:link w:val="Heading2Char"/>
    <w:qFormat/>
    <w:rsid w:val="00322964"/>
    <w:pPr>
      <w:keepNext/>
      <w:spacing w:before="240" w:after="140" w:line="350" w:lineRule="exact"/>
      <w:outlineLvl w:val="1"/>
    </w:pPr>
    <w:rPr>
      <w:rFonts w:ascii="Arial" w:hAnsi="Arial"/>
      <w:b/>
      <w:sz w:val="28"/>
      <w:lang w:eastAsia="en-US"/>
    </w:rPr>
  </w:style>
  <w:style w:type="paragraph" w:styleId="Heading3">
    <w:name w:val="heading 3"/>
    <w:next w:val="Normal"/>
    <w:link w:val="Heading3Char"/>
    <w:qFormat/>
    <w:rsid w:val="003D2252"/>
    <w:pPr>
      <w:keepNext/>
      <w:spacing w:before="180" w:after="100" w:line="300" w:lineRule="exact"/>
      <w:outlineLvl w:val="2"/>
    </w:pPr>
    <w:rPr>
      <w:rFonts w:ascii="Arial" w:hAnsi="Arial"/>
      <w:b/>
      <w:sz w:val="26"/>
      <w:lang w:eastAsia="en-US"/>
    </w:rPr>
  </w:style>
  <w:style w:type="paragraph" w:styleId="Heading4">
    <w:name w:val="heading 4"/>
    <w:next w:val="Normal"/>
    <w:link w:val="Heading4Char"/>
    <w:uiPriority w:val="1"/>
    <w:qFormat/>
    <w:rsid w:val="00A6529D"/>
    <w:pPr>
      <w:keepNext/>
      <w:spacing w:before="100" w:after="120" w:line="260" w:lineRule="exact"/>
      <w:outlineLvl w:val="3"/>
    </w:pPr>
    <w:rPr>
      <w:rFonts w:ascii="Arial" w:hAnsi="Arial"/>
      <w:b/>
      <w:sz w:val="20"/>
      <w:lang w:eastAsia="en-US"/>
    </w:rPr>
  </w:style>
  <w:style w:type="paragraph" w:styleId="Heading5">
    <w:name w:val="heading 5"/>
    <w:next w:val="Normal"/>
    <w:link w:val="Heading5Char"/>
    <w:uiPriority w:val="1"/>
    <w:qFormat/>
    <w:rsid w:val="001D7D97"/>
    <w:pPr>
      <w:keepNext/>
      <w:spacing w:before="60" w:after="20" w:line="250" w:lineRule="exact"/>
      <w:outlineLvl w:val="4"/>
    </w:pPr>
    <w:rPr>
      <w:rFonts w:ascii="Arial" w:hAnsi="Arial"/>
      <w:i/>
      <w:sz w:val="20"/>
      <w:lang w:eastAsia="en-US"/>
    </w:rPr>
  </w:style>
  <w:style w:type="paragraph" w:styleId="Heading6">
    <w:name w:val="heading 6"/>
    <w:basedOn w:val="Normal"/>
    <w:next w:val="Normal"/>
    <w:link w:val="Heading6Char"/>
    <w:uiPriority w:val="1"/>
    <w:qFormat/>
    <w:rsid w:val="00A6529D"/>
    <w:pPr>
      <w:keepNext/>
      <w:spacing w:before="60" w:after="20" w:line="250" w:lineRule="atLeast"/>
      <w:jc w:val="left"/>
      <w:outlineLvl w:val="5"/>
    </w:pPr>
    <w:rPr>
      <w:rFonts w:ascii="Times New Roman" w:hAnsi="Times New Roman"/>
      <w:b/>
      <w:sz w:val="20"/>
    </w:rPr>
  </w:style>
  <w:style w:type="paragraph" w:styleId="Heading7">
    <w:name w:val="heading 7"/>
    <w:basedOn w:val="Normal"/>
    <w:next w:val="Normal"/>
    <w:uiPriority w:val="1"/>
    <w:qFormat/>
    <w:rsid w:val="00322964"/>
    <w:pPr>
      <w:spacing w:before="60" w:after="40" w:line="240" w:lineRule="atLeast"/>
      <w:jc w:val="left"/>
      <w:outlineLvl w:val="6"/>
    </w:pPr>
    <w:rPr>
      <w:i/>
      <w:sz w:val="20"/>
    </w:rPr>
  </w:style>
  <w:style w:type="paragraph" w:styleId="Heading8">
    <w:name w:val="heading 8"/>
    <w:uiPriority w:val="1"/>
    <w:qFormat/>
    <w:rsid w:val="00322964"/>
    <w:pPr>
      <w:spacing w:after="240" w:line="260" w:lineRule="atLeast"/>
      <w:jc w:val="center"/>
      <w:outlineLvl w:val="7"/>
    </w:pPr>
    <w:rPr>
      <w:rFonts w:ascii="Arial" w:hAnsi="Arial"/>
      <w:lang w:eastAsia="en-US"/>
    </w:rPr>
  </w:style>
  <w:style w:type="paragraph" w:styleId="Heading9">
    <w:name w:val="heading 9"/>
    <w:uiPriority w:val="1"/>
    <w:qFormat/>
    <w:rsid w:val="00322964"/>
    <w:pPr>
      <w:keepNext/>
      <w:spacing w:before="120" w:after="120" w:line="260" w:lineRule="atLeast"/>
      <w:outlineLvl w:val="8"/>
    </w:pPr>
    <w:rPr>
      <w:rFonts w:ascii="Arial" w:hAnsi="Arial"/>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1"/>
    <w:rsid w:val="002B76A0"/>
    <w:rPr>
      <w:rFonts w:ascii="Arial" w:hAnsi="Arial"/>
      <w:b/>
      <w:sz w:val="36"/>
      <w:lang w:eastAsia="en-US"/>
    </w:rPr>
  </w:style>
  <w:style w:type="character" w:customStyle="1" w:styleId="Heading2Char">
    <w:name w:val="Heading 2 Char"/>
    <w:basedOn w:val="DefaultParagraphFont"/>
    <w:link w:val="Heading2"/>
    <w:rsid w:val="002B76A0"/>
    <w:rPr>
      <w:rFonts w:ascii="Arial" w:hAnsi="Arial"/>
      <w:b/>
      <w:sz w:val="28"/>
      <w:lang w:eastAsia="en-US"/>
    </w:rPr>
  </w:style>
  <w:style w:type="character" w:customStyle="1" w:styleId="Heading3Char">
    <w:name w:val="Heading 3 Char"/>
    <w:basedOn w:val="DefaultParagraphFont"/>
    <w:link w:val="Heading3"/>
    <w:rsid w:val="003D2252"/>
    <w:rPr>
      <w:rFonts w:ascii="Arial" w:hAnsi="Arial"/>
      <w:b/>
      <w:sz w:val="26"/>
      <w:lang w:eastAsia="en-US"/>
    </w:rPr>
  </w:style>
  <w:style w:type="character" w:customStyle="1" w:styleId="Heading4Char">
    <w:name w:val="Heading 4 Char"/>
    <w:basedOn w:val="DefaultParagraphFont"/>
    <w:link w:val="Heading4"/>
    <w:uiPriority w:val="1"/>
    <w:rsid w:val="00A6529D"/>
    <w:rPr>
      <w:rFonts w:ascii="Arial" w:hAnsi="Arial"/>
      <w:b/>
      <w:sz w:val="20"/>
      <w:lang w:eastAsia="en-US"/>
    </w:rPr>
  </w:style>
  <w:style w:type="character" w:customStyle="1" w:styleId="Heading5Char">
    <w:name w:val="Heading 5 Char"/>
    <w:basedOn w:val="DefaultParagraphFont"/>
    <w:link w:val="Heading5"/>
    <w:uiPriority w:val="1"/>
    <w:rsid w:val="001D7D97"/>
    <w:rPr>
      <w:rFonts w:ascii="Arial" w:hAnsi="Arial"/>
      <w:i/>
      <w:sz w:val="20"/>
      <w:lang w:eastAsia="en-US"/>
    </w:rPr>
  </w:style>
  <w:style w:type="character" w:customStyle="1" w:styleId="Heading6Char">
    <w:name w:val="Heading 6 Char"/>
    <w:basedOn w:val="DefaultParagraphFont"/>
    <w:link w:val="Heading6"/>
    <w:uiPriority w:val="1"/>
    <w:rsid w:val="00A6529D"/>
    <w:rPr>
      <w:rFonts w:ascii="Times New Roman" w:hAnsi="Times New Roman"/>
      <w:b/>
      <w:sz w:val="20"/>
      <w:lang w:eastAsia="en-US"/>
    </w:rPr>
  </w:style>
  <w:style w:type="paragraph" w:styleId="TOC1">
    <w:name w:val="toc 1"/>
    <w:uiPriority w:val="39"/>
    <w:rsid w:val="004868EC"/>
    <w:pPr>
      <w:tabs>
        <w:tab w:val="left" w:pos="357"/>
        <w:tab w:val="right" w:pos="8250"/>
      </w:tabs>
      <w:spacing w:before="240" w:after="60" w:line="300" w:lineRule="atLeast"/>
      <w:ind w:left="357" w:right="1077" w:hanging="357"/>
    </w:pPr>
    <w:rPr>
      <w:rFonts w:ascii="Arial" w:hAnsi="Arial"/>
      <w:b/>
      <w:bCs/>
      <w:lang w:eastAsia="en-US"/>
    </w:rPr>
  </w:style>
  <w:style w:type="paragraph" w:styleId="TOC4">
    <w:name w:val="toc 4"/>
    <w:basedOn w:val="TOC1"/>
    <w:uiPriority w:val="39"/>
    <w:rsid w:val="009909E5"/>
    <w:pPr>
      <w:tabs>
        <w:tab w:val="left" w:pos="8307"/>
      </w:tabs>
      <w:spacing w:before="40" w:after="40" w:line="260" w:lineRule="atLeast"/>
      <w:ind w:left="1554" w:hanging="482"/>
    </w:pPr>
    <w:rPr>
      <w:b w:val="0"/>
      <w:i/>
      <w:sz w:val="18"/>
      <w:szCs w:val="18"/>
    </w:rPr>
  </w:style>
  <w:style w:type="paragraph" w:styleId="TOC3">
    <w:name w:val="toc 3"/>
    <w:basedOn w:val="TOC1"/>
    <w:uiPriority w:val="39"/>
    <w:rsid w:val="009909E5"/>
    <w:pPr>
      <w:tabs>
        <w:tab w:val="left" w:pos="8307"/>
      </w:tabs>
      <w:spacing w:before="60" w:line="280" w:lineRule="atLeast"/>
      <w:ind w:left="1071"/>
    </w:pPr>
    <w:rPr>
      <w:b w:val="0"/>
      <w:iCs/>
      <w:sz w:val="20"/>
    </w:rPr>
  </w:style>
  <w:style w:type="paragraph" w:styleId="TOC2">
    <w:name w:val="toc 2"/>
    <w:basedOn w:val="TOC1"/>
    <w:uiPriority w:val="39"/>
    <w:rsid w:val="009909E5"/>
    <w:pPr>
      <w:tabs>
        <w:tab w:val="left" w:pos="8307"/>
      </w:tabs>
      <w:spacing w:before="60" w:line="280" w:lineRule="atLeast"/>
      <w:ind w:left="839" w:hanging="482"/>
    </w:pPr>
    <w:rPr>
      <w:b w:val="0"/>
      <w:sz w:val="22"/>
    </w:rPr>
  </w:style>
  <w:style w:type="paragraph" w:styleId="Footer">
    <w:name w:val="footer"/>
    <w:link w:val="FooterChar"/>
    <w:uiPriority w:val="2"/>
    <w:rsid w:val="00322964"/>
    <w:pPr>
      <w:jc w:val="center"/>
    </w:pPr>
    <w:rPr>
      <w:rFonts w:ascii="Arial" w:hAnsi="Arial"/>
      <w:lang w:eastAsia="en-US"/>
    </w:rPr>
  </w:style>
  <w:style w:type="character" w:customStyle="1" w:styleId="FooterChar">
    <w:name w:val="Footer Char"/>
    <w:basedOn w:val="DefaultParagraphFont"/>
    <w:link w:val="Footer"/>
    <w:uiPriority w:val="99"/>
    <w:rsid w:val="00754C47"/>
    <w:rPr>
      <w:rFonts w:ascii="Arial" w:hAnsi="Arial"/>
      <w:lang w:eastAsia="en-US"/>
    </w:rPr>
  </w:style>
  <w:style w:type="paragraph" w:styleId="Header">
    <w:name w:val="header"/>
    <w:aliases w:val="Header Even"/>
    <w:link w:val="HeaderChar"/>
    <w:uiPriority w:val="2"/>
    <w:rsid w:val="00322964"/>
    <w:rPr>
      <w:lang w:eastAsia="en-US"/>
    </w:rPr>
  </w:style>
  <w:style w:type="character" w:customStyle="1" w:styleId="HeaderChar">
    <w:name w:val="Header Char"/>
    <w:aliases w:val="Header Even Char"/>
    <w:basedOn w:val="DefaultParagraphFont"/>
    <w:link w:val="Header"/>
    <w:uiPriority w:val="99"/>
    <w:rsid w:val="005E0400"/>
    <w:rPr>
      <w:lang w:eastAsia="en-US"/>
    </w:rPr>
  </w:style>
  <w:style w:type="paragraph" w:styleId="NormalIndent">
    <w:name w:val="Normal Indent"/>
    <w:basedOn w:val="Normal"/>
    <w:uiPriority w:val="2"/>
    <w:rsid w:val="00322964"/>
    <w:pPr>
      <w:ind w:firstLine="360"/>
    </w:pPr>
  </w:style>
  <w:style w:type="paragraph" w:customStyle="1" w:styleId="Normallist1">
    <w:name w:val="Normal list 1"/>
    <w:basedOn w:val="Normal"/>
    <w:qFormat/>
    <w:rsid w:val="005A6AE3"/>
    <w:pPr>
      <w:numPr>
        <w:numId w:val="21"/>
      </w:numPr>
    </w:pPr>
  </w:style>
  <w:style w:type="paragraph" w:customStyle="1" w:styleId="Normalno">
    <w:name w:val="Normal no #"/>
    <w:basedOn w:val="Normal"/>
    <w:uiPriority w:val="2"/>
    <w:rsid w:val="00322964"/>
    <w:pPr>
      <w:spacing w:after="0"/>
    </w:pPr>
  </w:style>
  <w:style w:type="paragraph" w:customStyle="1" w:styleId="byline">
    <w:name w:val="byline"/>
    <w:next w:val="Normal"/>
    <w:uiPriority w:val="2"/>
    <w:rsid w:val="00322964"/>
    <w:pPr>
      <w:spacing w:before="240" w:after="60"/>
    </w:pPr>
    <w:rPr>
      <w:rFonts w:ascii="Arial" w:hAnsi="Arial"/>
      <w:b/>
      <w:lang w:eastAsia="en-US"/>
    </w:rPr>
  </w:style>
  <w:style w:type="paragraph" w:customStyle="1" w:styleId="Normallist2">
    <w:name w:val="Normal list 2"/>
    <w:basedOn w:val="Normal"/>
    <w:uiPriority w:val="2"/>
    <w:qFormat/>
    <w:rsid w:val="00322964"/>
    <w:pPr>
      <w:ind w:left="720" w:hanging="360"/>
    </w:pPr>
  </w:style>
  <w:style w:type="paragraph" w:customStyle="1" w:styleId="subhead">
    <w:name w:val="subhead"/>
    <w:next w:val="Normal"/>
    <w:uiPriority w:val="2"/>
    <w:rsid w:val="00322964"/>
    <w:pPr>
      <w:spacing w:before="140" w:after="300"/>
      <w:jc w:val="center"/>
    </w:pPr>
    <w:rPr>
      <w:rFonts w:ascii="Arial" w:hAnsi="Arial"/>
      <w:sz w:val="30"/>
      <w:lang w:eastAsia="en-US"/>
    </w:rPr>
  </w:style>
  <w:style w:type="paragraph" w:customStyle="1" w:styleId="figurecaption">
    <w:name w:val="figure caption"/>
    <w:next w:val="Normal"/>
    <w:link w:val="figurecaptionChar"/>
    <w:qFormat/>
    <w:rsid w:val="00322964"/>
    <w:pPr>
      <w:spacing w:after="240" w:line="240" w:lineRule="atLeast"/>
      <w:jc w:val="center"/>
    </w:pPr>
    <w:rPr>
      <w:rFonts w:ascii="Arial" w:hAnsi="Arial"/>
      <w:sz w:val="18"/>
      <w:lang w:eastAsia="en-US"/>
    </w:rPr>
  </w:style>
  <w:style w:type="character" w:customStyle="1" w:styleId="figurecaptionChar">
    <w:name w:val="figure caption Char"/>
    <w:basedOn w:val="DefaultParagraphFont"/>
    <w:link w:val="figurecaption"/>
    <w:rsid w:val="002B76A0"/>
    <w:rPr>
      <w:rFonts w:ascii="Arial" w:hAnsi="Arial"/>
      <w:sz w:val="18"/>
      <w:lang w:eastAsia="en-US"/>
    </w:rPr>
  </w:style>
  <w:style w:type="paragraph" w:customStyle="1" w:styleId="tablecaption">
    <w:name w:val="table caption"/>
    <w:next w:val="Normal"/>
    <w:link w:val="tablecaptionChar"/>
    <w:qFormat/>
    <w:rsid w:val="00322964"/>
    <w:pPr>
      <w:keepNext/>
      <w:spacing w:before="120" w:after="120" w:line="240" w:lineRule="atLeast"/>
    </w:pPr>
    <w:rPr>
      <w:rFonts w:ascii="Arial" w:hAnsi="Arial"/>
      <w:sz w:val="18"/>
      <w:lang w:eastAsia="en-US"/>
    </w:rPr>
  </w:style>
  <w:style w:type="character" w:customStyle="1" w:styleId="tablecaptionChar">
    <w:name w:val="table caption Char"/>
    <w:basedOn w:val="DefaultParagraphFont"/>
    <w:link w:val="tablecaption"/>
    <w:rsid w:val="002B76A0"/>
    <w:rPr>
      <w:rFonts w:ascii="Arial" w:hAnsi="Arial"/>
      <w:sz w:val="18"/>
      <w:lang w:eastAsia="en-US"/>
    </w:rPr>
  </w:style>
  <w:style w:type="paragraph" w:customStyle="1" w:styleId="table1">
    <w:name w:val="table 1"/>
    <w:link w:val="table1Char"/>
    <w:qFormat/>
    <w:rsid w:val="00322964"/>
    <w:pPr>
      <w:spacing w:before="60" w:after="60" w:line="200" w:lineRule="atLeast"/>
    </w:pPr>
    <w:rPr>
      <w:rFonts w:ascii="Arial" w:hAnsi="Arial"/>
      <w:sz w:val="16"/>
      <w:lang w:eastAsia="en-US"/>
    </w:rPr>
  </w:style>
  <w:style w:type="character" w:customStyle="1" w:styleId="table1Char">
    <w:name w:val="table 1 Char"/>
    <w:basedOn w:val="DefaultParagraphFont"/>
    <w:link w:val="table1"/>
    <w:rsid w:val="002B76A0"/>
    <w:rPr>
      <w:rFonts w:ascii="Arial" w:hAnsi="Arial"/>
      <w:sz w:val="16"/>
      <w:lang w:eastAsia="en-US"/>
    </w:rPr>
  </w:style>
  <w:style w:type="paragraph" w:customStyle="1" w:styleId="table1list">
    <w:name w:val="table 1 list"/>
    <w:basedOn w:val="table1"/>
    <w:uiPriority w:val="2"/>
    <w:rsid w:val="00322964"/>
    <w:pPr>
      <w:ind w:left="240" w:hanging="240"/>
    </w:pPr>
  </w:style>
  <w:style w:type="paragraph" w:customStyle="1" w:styleId="tablenote">
    <w:name w:val="table note"/>
    <w:basedOn w:val="table1"/>
    <w:link w:val="tablenoteChar"/>
    <w:uiPriority w:val="2"/>
    <w:qFormat/>
    <w:rsid w:val="00322964"/>
    <w:pPr>
      <w:tabs>
        <w:tab w:val="left" w:pos="240"/>
      </w:tabs>
      <w:spacing w:after="180" w:line="180" w:lineRule="atLeast"/>
      <w:ind w:left="238" w:hanging="238"/>
    </w:pPr>
    <w:rPr>
      <w:sz w:val="14"/>
    </w:rPr>
  </w:style>
  <w:style w:type="character" w:customStyle="1" w:styleId="tablenoteChar">
    <w:name w:val="table note Char"/>
    <w:basedOn w:val="DefaultParagraphFont"/>
    <w:link w:val="tablenote"/>
    <w:locked/>
    <w:rsid w:val="002B76A0"/>
    <w:rPr>
      <w:rFonts w:ascii="Arial" w:hAnsi="Arial"/>
      <w:sz w:val="14"/>
      <w:lang w:eastAsia="en-US"/>
    </w:rPr>
  </w:style>
  <w:style w:type="paragraph" w:customStyle="1" w:styleId="bulletlist1">
    <w:name w:val="bullet list 1"/>
    <w:basedOn w:val="Normal"/>
    <w:link w:val="bulletlist1Char"/>
    <w:qFormat/>
    <w:rsid w:val="00AF0E79"/>
    <w:pPr>
      <w:numPr>
        <w:numId w:val="3"/>
      </w:numPr>
      <w:ind w:left="357" w:hanging="357"/>
    </w:pPr>
  </w:style>
  <w:style w:type="character" w:customStyle="1" w:styleId="bulletlist1Char">
    <w:name w:val="bullet list 1 Char"/>
    <w:basedOn w:val="DefaultParagraphFont"/>
    <w:link w:val="bulletlist1"/>
    <w:rsid w:val="00D940C4"/>
    <w:rPr>
      <w:lang w:eastAsia="en-US"/>
    </w:rPr>
  </w:style>
  <w:style w:type="paragraph" w:customStyle="1" w:styleId="4point">
    <w:name w:val="4 point #"/>
    <w:uiPriority w:val="2"/>
    <w:qFormat/>
    <w:rsid w:val="00322964"/>
    <w:rPr>
      <w:sz w:val="8"/>
      <w:lang w:eastAsia="en-US"/>
    </w:rPr>
  </w:style>
  <w:style w:type="paragraph" w:customStyle="1" w:styleId="referencelist1">
    <w:name w:val="reference list 1"/>
    <w:link w:val="referencelist1Char"/>
    <w:uiPriority w:val="2"/>
    <w:qFormat/>
    <w:rsid w:val="002954F9"/>
    <w:pPr>
      <w:spacing w:after="120" w:line="280" w:lineRule="atLeast"/>
      <w:ind w:left="360" w:hanging="360"/>
    </w:pPr>
    <w:rPr>
      <w:lang w:eastAsia="en-US"/>
    </w:rPr>
  </w:style>
  <w:style w:type="character" w:customStyle="1" w:styleId="referencelist1Char">
    <w:name w:val="reference list 1 Char"/>
    <w:basedOn w:val="DefaultParagraphFont"/>
    <w:link w:val="referencelist1"/>
    <w:uiPriority w:val="2"/>
    <w:rsid w:val="002954F9"/>
    <w:rPr>
      <w:lang w:eastAsia="en-US"/>
    </w:rPr>
  </w:style>
  <w:style w:type="paragraph" w:customStyle="1" w:styleId="table2">
    <w:name w:val="table 2"/>
    <w:basedOn w:val="table1"/>
    <w:uiPriority w:val="2"/>
    <w:qFormat/>
    <w:rsid w:val="00322964"/>
    <w:pPr>
      <w:spacing w:before="20" w:after="20"/>
    </w:pPr>
  </w:style>
  <w:style w:type="paragraph" w:customStyle="1" w:styleId="equation1">
    <w:name w:val="equation 1"/>
    <w:basedOn w:val="Normal"/>
    <w:uiPriority w:val="2"/>
    <w:rsid w:val="00322964"/>
    <w:pPr>
      <w:tabs>
        <w:tab w:val="right" w:pos="5280"/>
      </w:tabs>
      <w:spacing w:before="40" w:after="140"/>
      <w:ind w:left="360"/>
      <w:jc w:val="left"/>
    </w:pPr>
    <w:rPr>
      <w:rFonts w:ascii="Arial" w:hAnsi="Arial"/>
      <w:sz w:val="20"/>
    </w:rPr>
  </w:style>
  <w:style w:type="paragraph" w:customStyle="1" w:styleId="verso1">
    <w:name w:val="verso 1"/>
    <w:uiPriority w:val="2"/>
    <w:rsid w:val="00322964"/>
    <w:pPr>
      <w:spacing w:after="80" w:line="220" w:lineRule="atLeast"/>
      <w:ind w:left="240" w:right="720"/>
    </w:pPr>
    <w:rPr>
      <w:rFonts w:ascii="Arial" w:hAnsi="Arial"/>
      <w:sz w:val="18"/>
      <w:lang w:eastAsia="en-US"/>
    </w:rPr>
  </w:style>
  <w:style w:type="paragraph" w:styleId="FootnoteText">
    <w:name w:val="footnote text"/>
    <w:basedOn w:val="Normal"/>
    <w:link w:val="FootnoteTextChar"/>
    <w:uiPriority w:val="99"/>
    <w:semiHidden/>
    <w:rsid w:val="00322964"/>
    <w:pPr>
      <w:tabs>
        <w:tab w:val="left" w:pos="240"/>
      </w:tabs>
      <w:spacing w:after="80" w:line="240" w:lineRule="atLeast"/>
      <w:ind w:left="240" w:hanging="240"/>
    </w:pPr>
    <w:rPr>
      <w:sz w:val="18"/>
    </w:rPr>
  </w:style>
  <w:style w:type="character" w:customStyle="1" w:styleId="FootnoteTextChar">
    <w:name w:val="Footnote Text Char"/>
    <w:basedOn w:val="DefaultParagraphFont"/>
    <w:link w:val="FootnoteText"/>
    <w:uiPriority w:val="99"/>
    <w:semiHidden/>
    <w:rsid w:val="00A05829"/>
    <w:rPr>
      <w:sz w:val="18"/>
      <w:lang w:eastAsia="en-US"/>
    </w:rPr>
  </w:style>
  <w:style w:type="paragraph" w:styleId="Bibliography">
    <w:name w:val="Bibliography"/>
    <w:basedOn w:val="referencelist1"/>
    <w:uiPriority w:val="2"/>
    <w:rsid w:val="00322964"/>
  </w:style>
  <w:style w:type="paragraph" w:customStyle="1" w:styleId="address">
    <w:name w:val="address"/>
    <w:basedOn w:val="Heading4"/>
    <w:uiPriority w:val="2"/>
    <w:qFormat/>
    <w:rsid w:val="00322964"/>
    <w:pPr>
      <w:spacing w:after="800"/>
      <w:jc w:val="center"/>
    </w:pPr>
    <w:rPr>
      <w:b w:val="0"/>
    </w:rPr>
  </w:style>
  <w:style w:type="paragraph" w:customStyle="1" w:styleId="Normallist3">
    <w:name w:val="Normal list 3"/>
    <w:basedOn w:val="Normallist2"/>
    <w:uiPriority w:val="2"/>
    <w:rsid w:val="00322964"/>
    <w:pPr>
      <w:ind w:left="1320"/>
    </w:pPr>
  </w:style>
  <w:style w:type="paragraph" w:customStyle="1" w:styleId="quote">
    <w:name w:val="quote"/>
    <w:basedOn w:val="Normal"/>
    <w:uiPriority w:val="2"/>
    <w:qFormat/>
    <w:rsid w:val="00322964"/>
    <w:pPr>
      <w:spacing w:line="260" w:lineRule="atLeast"/>
      <w:ind w:left="360"/>
    </w:pPr>
    <w:rPr>
      <w:sz w:val="20"/>
    </w:rPr>
  </w:style>
  <w:style w:type="paragraph" w:customStyle="1" w:styleId="bulletlist2">
    <w:name w:val="bullet list 2"/>
    <w:basedOn w:val="bulletlist1"/>
    <w:uiPriority w:val="2"/>
    <w:qFormat/>
    <w:rsid w:val="00322964"/>
    <w:pPr>
      <w:numPr>
        <w:ilvl w:val="1"/>
        <w:numId w:val="4"/>
      </w:numPr>
    </w:pPr>
  </w:style>
  <w:style w:type="paragraph" w:customStyle="1" w:styleId="landscape">
    <w:name w:val="landscape#"/>
    <w:basedOn w:val="Normal"/>
    <w:uiPriority w:val="2"/>
    <w:qFormat/>
    <w:rsid w:val="00322964"/>
    <w:pPr>
      <w:framePr w:w="567" w:h="1134" w:hSpace="181" w:wrap="around" w:vAnchor="page" w:hAnchor="page" w:x="568" w:yAlign="center"/>
      <w:shd w:val="solid" w:color="FFFFFF" w:fill="FFFFFF"/>
      <w:jc w:val="center"/>
      <w:textDirection w:val="tbRl"/>
    </w:pPr>
    <w:rPr>
      <w:rFonts w:ascii="Arial" w:hAnsi="Arial"/>
      <w:sz w:val="20"/>
    </w:rPr>
  </w:style>
  <w:style w:type="paragraph" w:customStyle="1" w:styleId="authors">
    <w:name w:val="authors"/>
    <w:basedOn w:val="Heading3"/>
    <w:uiPriority w:val="2"/>
    <w:rsid w:val="00322964"/>
    <w:pPr>
      <w:spacing w:after="400"/>
      <w:jc w:val="center"/>
    </w:pPr>
  </w:style>
  <w:style w:type="paragraph" w:customStyle="1" w:styleId="numberlist1">
    <w:name w:val="number list 1"/>
    <w:basedOn w:val="Normal"/>
    <w:uiPriority w:val="2"/>
    <w:qFormat/>
    <w:rsid w:val="008370F5"/>
    <w:pPr>
      <w:numPr>
        <w:numId w:val="5"/>
      </w:numPr>
    </w:pPr>
    <w:rPr>
      <w:snapToGrid w:val="0"/>
    </w:rPr>
  </w:style>
  <w:style w:type="paragraph" w:customStyle="1" w:styleId="platecaption">
    <w:name w:val="plate caption"/>
    <w:basedOn w:val="figurecaption"/>
    <w:uiPriority w:val="2"/>
    <w:qFormat/>
    <w:rsid w:val="00322964"/>
  </w:style>
  <w:style w:type="character" w:styleId="Emphasis">
    <w:name w:val="Emphasis"/>
    <w:basedOn w:val="DefaultParagraphFont"/>
    <w:uiPriority w:val="20"/>
    <w:qFormat/>
    <w:rsid w:val="00322964"/>
    <w:rPr>
      <w:i/>
      <w:iCs/>
    </w:rPr>
  </w:style>
  <w:style w:type="paragraph" w:styleId="Quote0">
    <w:name w:val="Quote"/>
    <w:basedOn w:val="Normal"/>
    <w:next w:val="Normal"/>
    <w:link w:val="QuoteChar"/>
    <w:uiPriority w:val="29"/>
    <w:qFormat/>
    <w:rsid w:val="00322964"/>
    <w:rPr>
      <w:i/>
      <w:iCs/>
      <w:color w:val="000000" w:themeColor="text1"/>
    </w:rPr>
  </w:style>
  <w:style w:type="character" w:customStyle="1" w:styleId="QuoteChar">
    <w:name w:val="Quote Char"/>
    <w:basedOn w:val="DefaultParagraphFont"/>
    <w:link w:val="Quote0"/>
    <w:uiPriority w:val="29"/>
    <w:rsid w:val="00322964"/>
    <w:rPr>
      <w:i/>
      <w:iCs/>
      <w:color w:val="000000" w:themeColor="text1"/>
      <w:sz w:val="22"/>
      <w:lang w:eastAsia="en-US"/>
    </w:rPr>
  </w:style>
  <w:style w:type="paragraph" w:styleId="NoSpacing">
    <w:name w:val="No Spacing"/>
    <w:uiPriority w:val="2"/>
    <w:rsid w:val="00322964"/>
    <w:pPr>
      <w:jc w:val="both"/>
    </w:pPr>
    <w:rPr>
      <w:lang w:eastAsia="en-US"/>
    </w:rPr>
  </w:style>
  <w:style w:type="paragraph" w:styleId="Title">
    <w:name w:val="Title"/>
    <w:basedOn w:val="Normal"/>
    <w:next w:val="Normal"/>
    <w:link w:val="TitleChar"/>
    <w:uiPriority w:val="2"/>
    <w:rsid w:val="00322964"/>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2"/>
    <w:rsid w:val="00322964"/>
    <w:rPr>
      <w:rFonts w:asciiTheme="majorHAnsi" w:eastAsiaTheme="majorEastAsia" w:hAnsiTheme="majorHAnsi" w:cstheme="majorBidi"/>
      <w:color w:val="17365D" w:themeColor="text2" w:themeShade="BF"/>
      <w:spacing w:val="5"/>
      <w:kern w:val="28"/>
      <w:sz w:val="52"/>
      <w:szCs w:val="52"/>
      <w:lang w:eastAsia="en-US"/>
    </w:rPr>
  </w:style>
  <w:style w:type="character" w:styleId="SubtleEmphasis">
    <w:name w:val="Subtle Emphasis"/>
    <w:basedOn w:val="DefaultParagraphFont"/>
    <w:uiPriority w:val="2"/>
    <w:rsid w:val="00322964"/>
    <w:rPr>
      <w:i/>
      <w:iCs/>
      <w:color w:val="808080" w:themeColor="text1" w:themeTint="7F"/>
    </w:rPr>
  </w:style>
  <w:style w:type="character" w:styleId="IntenseEmphasis">
    <w:name w:val="Intense Emphasis"/>
    <w:basedOn w:val="DefaultParagraphFont"/>
    <w:uiPriority w:val="2"/>
    <w:rsid w:val="00322964"/>
    <w:rPr>
      <w:b/>
      <w:bCs/>
      <w:i/>
      <w:iCs/>
      <w:color w:val="4F81BD" w:themeColor="accent1"/>
    </w:rPr>
  </w:style>
  <w:style w:type="paragraph" w:styleId="IntenseQuote">
    <w:name w:val="Intense Quote"/>
    <w:basedOn w:val="Normal"/>
    <w:next w:val="Normal"/>
    <w:link w:val="IntenseQuoteChar"/>
    <w:uiPriority w:val="2"/>
    <w:rsid w:val="00322964"/>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2"/>
    <w:rsid w:val="00322964"/>
    <w:rPr>
      <w:b/>
      <w:bCs/>
      <w:i/>
      <w:iCs/>
      <w:color w:val="4F81BD" w:themeColor="accent1"/>
      <w:sz w:val="22"/>
      <w:lang w:eastAsia="en-US"/>
    </w:rPr>
  </w:style>
  <w:style w:type="character" w:styleId="SubtleReference">
    <w:name w:val="Subtle Reference"/>
    <w:basedOn w:val="DefaultParagraphFont"/>
    <w:uiPriority w:val="2"/>
    <w:rsid w:val="00322964"/>
    <w:rPr>
      <w:smallCaps/>
      <w:color w:val="C0504D" w:themeColor="accent2"/>
      <w:u w:val="single"/>
    </w:rPr>
  </w:style>
  <w:style w:type="character" w:styleId="IntenseReference">
    <w:name w:val="Intense Reference"/>
    <w:basedOn w:val="DefaultParagraphFont"/>
    <w:uiPriority w:val="2"/>
    <w:rsid w:val="00322964"/>
    <w:rPr>
      <w:b/>
      <w:bCs/>
      <w:smallCaps/>
      <w:color w:val="C0504D" w:themeColor="accent2"/>
      <w:spacing w:val="5"/>
      <w:u w:val="single"/>
    </w:rPr>
  </w:style>
  <w:style w:type="paragraph" w:styleId="ListParagraph">
    <w:name w:val="List Paragraph"/>
    <w:basedOn w:val="Normal"/>
    <w:link w:val="ListParagraphChar"/>
    <w:uiPriority w:val="2"/>
    <w:qFormat/>
    <w:rsid w:val="00146279"/>
    <w:pPr>
      <w:numPr>
        <w:numId w:val="30"/>
      </w:numPr>
      <w:contextualSpacing/>
    </w:pPr>
  </w:style>
  <w:style w:type="character" w:customStyle="1" w:styleId="ListParagraphChar">
    <w:name w:val="List Paragraph Char"/>
    <w:basedOn w:val="DefaultParagraphFont"/>
    <w:link w:val="ListParagraph"/>
    <w:uiPriority w:val="2"/>
    <w:rsid w:val="00146279"/>
    <w:rPr>
      <w:lang w:eastAsia="en-US"/>
    </w:rPr>
  </w:style>
  <w:style w:type="character" w:styleId="Strong">
    <w:name w:val="Strong"/>
    <w:basedOn w:val="DefaultParagraphFont"/>
    <w:uiPriority w:val="2"/>
    <w:rsid w:val="00322964"/>
    <w:rPr>
      <w:b/>
      <w:bCs/>
    </w:rPr>
  </w:style>
  <w:style w:type="paragraph" w:styleId="Subtitle">
    <w:name w:val="Subtitle"/>
    <w:basedOn w:val="Normal"/>
    <w:next w:val="Normal"/>
    <w:link w:val="SubtitleChar"/>
    <w:uiPriority w:val="2"/>
    <w:rsid w:val="00322964"/>
    <w:pPr>
      <w:numPr>
        <w:ilvl w:val="1"/>
      </w:numPr>
    </w:pPr>
    <w:rPr>
      <w:rFonts w:asciiTheme="majorHAnsi" w:eastAsiaTheme="majorEastAsia" w:hAnsiTheme="majorHAnsi" w:cstheme="majorBidi"/>
      <w:i/>
      <w:iCs/>
      <w:color w:val="4F81BD" w:themeColor="accent1"/>
      <w:spacing w:val="15"/>
      <w:szCs w:val="24"/>
    </w:rPr>
  </w:style>
  <w:style w:type="character" w:customStyle="1" w:styleId="SubtitleChar">
    <w:name w:val="Subtitle Char"/>
    <w:basedOn w:val="DefaultParagraphFont"/>
    <w:link w:val="Subtitle"/>
    <w:uiPriority w:val="2"/>
    <w:rsid w:val="00322964"/>
    <w:rPr>
      <w:rFonts w:asciiTheme="majorHAnsi" w:eastAsiaTheme="majorEastAsia" w:hAnsiTheme="majorHAnsi" w:cstheme="majorBidi"/>
      <w:i/>
      <w:iCs/>
      <w:color w:val="4F81BD" w:themeColor="accent1"/>
      <w:spacing w:val="15"/>
      <w:sz w:val="24"/>
      <w:szCs w:val="24"/>
      <w:lang w:eastAsia="en-US"/>
    </w:rPr>
  </w:style>
  <w:style w:type="character" w:styleId="BookTitle">
    <w:name w:val="Book Title"/>
    <w:basedOn w:val="DefaultParagraphFont"/>
    <w:uiPriority w:val="2"/>
    <w:rsid w:val="00322964"/>
    <w:rPr>
      <w:b/>
      <w:bCs/>
      <w:smallCaps/>
      <w:spacing w:val="5"/>
    </w:rPr>
  </w:style>
  <w:style w:type="character" w:styleId="Hyperlink">
    <w:name w:val="Hyperlink"/>
    <w:basedOn w:val="DefaultParagraphFont"/>
    <w:uiPriority w:val="99"/>
    <w:rsid w:val="006426A8"/>
    <w:rPr>
      <w:color w:val="0000FF" w:themeColor="hyperlink"/>
      <w:u w:val="single"/>
    </w:rPr>
  </w:style>
  <w:style w:type="paragraph" w:styleId="BalloonText">
    <w:name w:val="Balloon Text"/>
    <w:basedOn w:val="Normal"/>
    <w:link w:val="BalloonTextChar"/>
    <w:uiPriority w:val="2"/>
    <w:rsid w:val="00BF3EA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2"/>
    <w:rsid w:val="00BF3EA4"/>
    <w:rPr>
      <w:rFonts w:ascii="Tahoma" w:hAnsi="Tahoma" w:cs="Tahoma"/>
      <w:sz w:val="16"/>
      <w:szCs w:val="16"/>
      <w:lang w:eastAsia="en-US"/>
    </w:rPr>
  </w:style>
  <w:style w:type="character" w:styleId="PlaceholderText">
    <w:name w:val="Placeholder Text"/>
    <w:basedOn w:val="DefaultParagraphFont"/>
    <w:uiPriority w:val="2"/>
    <w:semiHidden/>
    <w:rsid w:val="00B21A0C"/>
    <w:rPr>
      <w:color w:val="808080"/>
    </w:rPr>
  </w:style>
  <w:style w:type="table" w:styleId="TableGrid">
    <w:name w:val="Table Grid"/>
    <w:basedOn w:val="TableNormal"/>
    <w:rsid w:val="002B76A0"/>
    <w:pPr>
      <w:spacing w:after="100" w:line="260" w:lineRule="atLeast"/>
    </w:pPr>
    <w:rPr>
      <w:rFonts w:ascii="Times New Roman" w:hAnsi="Times New Roman"/>
      <w:sz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
    <w:name w:val="annotation reference"/>
    <w:basedOn w:val="DefaultParagraphFont"/>
    <w:uiPriority w:val="2"/>
    <w:rsid w:val="002B76A0"/>
    <w:rPr>
      <w:sz w:val="16"/>
      <w:szCs w:val="16"/>
    </w:rPr>
  </w:style>
  <w:style w:type="character" w:styleId="FootnoteReference">
    <w:name w:val="footnote reference"/>
    <w:basedOn w:val="DefaultParagraphFont"/>
    <w:uiPriority w:val="99"/>
    <w:rsid w:val="00D94641"/>
    <w:rPr>
      <w:vertAlign w:val="superscript"/>
    </w:rPr>
  </w:style>
  <w:style w:type="paragraph" w:customStyle="1" w:styleId="referencelist10">
    <w:name w:val="referencelist1"/>
    <w:basedOn w:val="Normal"/>
    <w:rsid w:val="00F351F0"/>
    <w:pPr>
      <w:ind w:left="360" w:hanging="360"/>
    </w:pPr>
    <w:rPr>
      <w:rFonts w:ascii="Times New Roman" w:hAnsi="Times New Roman"/>
      <w:sz w:val="22"/>
      <w:szCs w:val="22"/>
      <w:lang w:eastAsia="en-AU"/>
    </w:rPr>
  </w:style>
  <w:style w:type="table" w:styleId="TableClassic1">
    <w:name w:val="Table Classic 1"/>
    <w:basedOn w:val="TableNormal"/>
    <w:rsid w:val="00F351F0"/>
    <w:pPr>
      <w:spacing w:after="120" w:line="280" w:lineRule="atLeast"/>
      <w:jc w:val="both"/>
    </w:pPr>
    <w:rPr>
      <w:rFonts w:ascii="Times New Roman" w:hAnsi="Times New Roman"/>
      <w:sz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Grid1">
    <w:name w:val="Table Grid1"/>
    <w:basedOn w:val="TableNormal"/>
    <w:rsid w:val="009531F8"/>
    <w:rPr>
      <w:rFonts w:ascii="Times New Roman" w:hAnsi="Times New Roman"/>
      <w:sz w:val="20"/>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table10">
    <w:name w:val="table1"/>
    <w:basedOn w:val="Normal"/>
    <w:qFormat/>
    <w:rsid w:val="00085B9C"/>
    <w:rPr>
      <w:rFonts w:ascii="Times New Roman" w:hAnsi="Times New Roman"/>
      <w:sz w:val="22"/>
    </w:rPr>
  </w:style>
  <w:style w:type="paragraph" w:customStyle="1" w:styleId="figurecaption0">
    <w:name w:val="figurecaption"/>
    <w:basedOn w:val="Normal"/>
    <w:rsid w:val="004A03E7"/>
    <w:pPr>
      <w:spacing w:before="100" w:beforeAutospacing="1" w:after="100" w:afterAutospacing="1" w:line="240" w:lineRule="auto"/>
      <w:jc w:val="left"/>
    </w:pPr>
    <w:rPr>
      <w:rFonts w:ascii="Arial" w:hAnsi="Arial"/>
      <w:sz w:val="16"/>
      <w:szCs w:val="24"/>
      <w:lang w:eastAsia="en-AU"/>
    </w:rPr>
  </w:style>
  <w:style w:type="character" w:customStyle="1" w:styleId="st">
    <w:name w:val="st"/>
    <w:basedOn w:val="DefaultParagraphFont"/>
    <w:rsid w:val="00A05829"/>
  </w:style>
  <w:style w:type="paragraph" w:styleId="CommentText">
    <w:name w:val="annotation text"/>
    <w:basedOn w:val="Normal"/>
    <w:link w:val="CommentTextChar"/>
    <w:uiPriority w:val="2"/>
    <w:rsid w:val="00224F8A"/>
    <w:pPr>
      <w:spacing w:line="240" w:lineRule="auto"/>
    </w:pPr>
    <w:rPr>
      <w:rFonts w:ascii="Times New Roman" w:hAnsi="Times New Roman"/>
      <w:sz w:val="20"/>
    </w:rPr>
  </w:style>
  <w:style w:type="character" w:customStyle="1" w:styleId="CommentTextChar">
    <w:name w:val="Comment Text Char"/>
    <w:basedOn w:val="DefaultParagraphFont"/>
    <w:link w:val="CommentText"/>
    <w:uiPriority w:val="2"/>
    <w:rsid w:val="00224F8A"/>
    <w:rPr>
      <w:rFonts w:ascii="Times New Roman" w:hAnsi="Times New Roman"/>
      <w:sz w:val="20"/>
      <w:lang w:eastAsia="en-US"/>
    </w:rPr>
  </w:style>
  <w:style w:type="paragraph" w:styleId="CommentSubject">
    <w:name w:val="annotation subject"/>
    <w:basedOn w:val="CommentText"/>
    <w:next w:val="CommentText"/>
    <w:link w:val="CommentSubjectChar"/>
    <w:uiPriority w:val="2"/>
    <w:rsid w:val="00224F8A"/>
    <w:rPr>
      <w:b/>
      <w:bCs/>
    </w:rPr>
  </w:style>
  <w:style w:type="character" w:customStyle="1" w:styleId="CommentSubjectChar">
    <w:name w:val="Comment Subject Char"/>
    <w:basedOn w:val="CommentTextChar"/>
    <w:link w:val="CommentSubject"/>
    <w:uiPriority w:val="2"/>
    <w:rsid w:val="00224F8A"/>
    <w:rPr>
      <w:b/>
      <w:bCs/>
    </w:rPr>
  </w:style>
  <w:style w:type="paragraph" w:styleId="Caption">
    <w:name w:val="caption"/>
    <w:basedOn w:val="Normal"/>
    <w:next w:val="Normal"/>
    <w:uiPriority w:val="2"/>
    <w:unhideWhenUsed/>
    <w:qFormat/>
    <w:rsid w:val="00224F8A"/>
    <w:pPr>
      <w:spacing w:after="200" w:line="240" w:lineRule="auto"/>
    </w:pPr>
    <w:rPr>
      <w:rFonts w:ascii="Times New Roman" w:hAnsi="Times New Roman"/>
      <w:b/>
      <w:bCs/>
      <w:color w:val="4F81BD" w:themeColor="accent1"/>
      <w:sz w:val="18"/>
      <w:szCs w:val="18"/>
    </w:rPr>
  </w:style>
  <w:style w:type="paragraph" w:customStyle="1" w:styleId="Styletable1Centered">
    <w:name w:val="Style table 1 + Centered"/>
    <w:basedOn w:val="table1"/>
    <w:rsid w:val="00754C47"/>
    <w:pPr>
      <w:jc w:val="center"/>
    </w:pPr>
  </w:style>
  <w:style w:type="table" w:customStyle="1" w:styleId="TableGrid2">
    <w:name w:val="Table Grid2"/>
    <w:basedOn w:val="TableNormal"/>
    <w:next w:val="TableGrid"/>
    <w:rsid w:val="002E767B"/>
    <w:rPr>
      <w:rFonts w:ascii="Times New Roman" w:hAnsi="Times New Roman"/>
      <w:sz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rsid w:val="002E767B"/>
    <w:rPr>
      <w:rFonts w:ascii="Times New Roman" w:hAnsi="Times New Roman"/>
      <w:sz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StyleListParagraphAfter3pt">
    <w:name w:val="Style List Paragraph + After:  3 pt"/>
    <w:basedOn w:val="ListParagraph"/>
    <w:rsid w:val="00A85DFD"/>
    <w:pPr>
      <w:spacing w:after="60"/>
      <w:ind w:left="567"/>
    </w:pPr>
  </w:style>
  <w:style w:type="character" w:styleId="PageNumber">
    <w:name w:val="page number"/>
    <w:basedOn w:val="DefaultParagraphFont"/>
    <w:rsid w:val="008D0133"/>
  </w:style>
  <w:style w:type="paragraph" w:styleId="Revision">
    <w:name w:val="Revision"/>
    <w:hidden/>
    <w:uiPriority w:val="99"/>
    <w:semiHidden/>
    <w:rsid w:val="006E4387"/>
    <w:rPr>
      <w:lang w:eastAsia="en-US"/>
    </w:rPr>
  </w:style>
  <w:style w:type="paragraph" w:customStyle="1" w:styleId="a">
    <w:name w:val=".."/>
    <w:basedOn w:val="Normal"/>
    <w:next w:val="Normal"/>
    <w:uiPriority w:val="99"/>
    <w:rsid w:val="00605448"/>
    <w:pPr>
      <w:autoSpaceDE w:val="0"/>
      <w:autoSpaceDN w:val="0"/>
      <w:adjustRightInd w:val="0"/>
      <w:spacing w:after="0" w:line="240" w:lineRule="auto"/>
      <w:jc w:val="left"/>
    </w:pPr>
    <w:rPr>
      <w:rFonts w:ascii="Times New Roman" w:hAnsi="Times New Roman"/>
      <w:szCs w:val="24"/>
      <w:lang w:eastAsia="en-AU"/>
    </w:rPr>
  </w:style>
  <w:style w:type="paragraph" w:styleId="EndnoteText">
    <w:name w:val="endnote text"/>
    <w:basedOn w:val="Normal"/>
    <w:link w:val="EndnoteTextChar"/>
    <w:uiPriority w:val="2"/>
    <w:rsid w:val="000605E5"/>
    <w:pPr>
      <w:spacing w:after="0" w:line="240" w:lineRule="auto"/>
    </w:pPr>
    <w:rPr>
      <w:sz w:val="20"/>
    </w:rPr>
  </w:style>
  <w:style w:type="character" w:customStyle="1" w:styleId="EndnoteTextChar">
    <w:name w:val="Endnote Text Char"/>
    <w:basedOn w:val="DefaultParagraphFont"/>
    <w:link w:val="EndnoteText"/>
    <w:uiPriority w:val="2"/>
    <w:rsid w:val="000605E5"/>
    <w:rPr>
      <w:sz w:val="20"/>
      <w:lang w:eastAsia="en-US"/>
    </w:rPr>
  </w:style>
  <w:style w:type="character" w:styleId="EndnoteReference">
    <w:name w:val="endnote reference"/>
    <w:basedOn w:val="DefaultParagraphFont"/>
    <w:uiPriority w:val="2"/>
    <w:rsid w:val="000605E5"/>
    <w:rPr>
      <w:vertAlign w:val="superscript"/>
    </w:rPr>
  </w:style>
  <w:style w:type="paragraph" w:customStyle="1" w:styleId="HeaderOddLeft">
    <w:name w:val="Header Odd Left"/>
    <w:basedOn w:val="Header"/>
    <w:qFormat/>
    <w:rsid w:val="000177D6"/>
    <w:rPr>
      <w:rFonts w:ascii="Arial" w:hAnsi="Arial"/>
      <w:sz w:val="16"/>
      <w:szCs w:val="16"/>
    </w:rPr>
  </w:style>
  <w:style w:type="character" w:customStyle="1" w:styleId="publication-title3">
    <w:name w:val="publication-title3"/>
    <w:basedOn w:val="DefaultParagraphFont"/>
    <w:rsid w:val="00BE58AB"/>
  </w:style>
  <w:style w:type="character" w:styleId="FollowedHyperlink">
    <w:name w:val="FollowedHyperlink"/>
    <w:basedOn w:val="DefaultParagraphFont"/>
    <w:uiPriority w:val="2"/>
    <w:rsid w:val="00BE58AB"/>
    <w:rPr>
      <w:color w:val="800080" w:themeColor="followedHyperlink"/>
      <w:u w:val="single"/>
    </w:rPr>
  </w:style>
  <w:style w:type="paragraph" w:styleId="TOCHeading">
    <w:name w:val="TOC Heading"/>
    <w:basedOn w:val="Heading1"/>
    <w:next w:val="Normal"/>
    <w:uiPriority w:val="39"/>
    <w:semiHidden/>
    <w:unhideWhenUsed/>
    <w:qFormat/>
    <w:rsid w:val="00E37C71"/>
    <w:pPr>
      <w:keepLines/>
      <w:spacing w:before="480" w:after="0" w:line="276" w:lineRule="auto"/>
      <w:jc w:val="left"/>
      <w:outlineLvl w:val="9"/>
    </w:pPr>
    <w:rPr>
      <w:rFonts w:asciiTheme="majorHAnsi" w:eastAsiaTheme="majorEastAsia" w:hAnsiTheme="majorHAnsi" w:cstheme="majorBidi"/>
      <w:bCs/>
      <w:color w:val="365F91" w:themeColor="accent1" w:themeShade="BF"/>
      <w:sz w:val="28"/>
      <w:szCs w:val="28"/>
      <w:lang w:val="en-US"/>
    </w:rPr>
  </w:style>
</w:styles>
</file>

<file path=word/webSettings.xml><?xml version="1.0" encoding="utf-8"?>
<w:webSettings xmlns:r="http://schemas.openxmlformats.org/officeDocument/2006/relationships" xmlns:w="http://schemas.openxmlformats.org/wordprocessingml/2006/main">
  <w:divs>
    <w:div w:id="205220001">
      <w:bodyDiv w:val="1"/>
      <w:marLeft w:val="0"/>
      <w:marRight w:val="0"/>
      <w:marTop w:val="0"/>
      <w:marBottom w:val="0"/>
      <w:divBdr>
        <w:top w:val="none" w:sz="0" w:space="0" w:color="auto"/>
        <w:left w:val="none" w:sz="0" w:space="0" w:color="auto"/>
        <w:bottom w:val="none" w:sz="0" w:space="0" w:color="auto"/>
        <w:right w:val="none" w:sz="0" w:space="0" w:color="auto"/>
      </w:divBdr>
    </w:div>
    <w:div w:id="243876776">
      <w:bodyDiv w:val="1"/>
      <w:marLeft w:val="0"/>
      <w:marRight w:val="0"/>
      <w:marTop w:val="0"/>
      <w:marBottom w:val="0"/>
      <w:divBdr>
        <w:top w:val="none" w:sz="0" w:space="0" w:color="auto"/>
        <w:left w:val="none" w:sz="0" w:space="0" w:color="auto"/>
        <w:bottom w:val="none" w:sz="0" w:space="0" w:color="auto"/>
        <w:right w:val="none" w:sz="0" w:space="0" w:color="auto"/>
      </w:divBdr>
    </w:div>
    <w:div w:id="503014492">
      <w:bodyDiv w:val="1"/>
      <w:marLeft w:val="0"/>
      <w:marRight w:val="0"/>
      <w:marTop w:val="0"/>
      <w:marBottom w:val="0"/>
      <w:divBdr>
        <w:top w:val="none" w:sz="0" w:space="0" w:color="auto"/>
        <w:left w:val="none" w:sz="0" w:space="0" w:color="auto"/>
        <w:bottom w:val="none" w:sz="0" w:space="0" w:color="auto"/>
        <w:right w:val="none" w:sz="0" w:space="0" w:color="auto"/>
      </w:divBdr>
    </w:div>
    <w:div w:id="512768637">
      <w:bodyDiv w:val="1"/>
      <w:marLeft w:val="0"/>
      <w:marRight w:val="0"/>
      <w:marTop w:val="0"/>
      <w:marBottom w:val="0"/>
      <w:divBdr>
        <w:top w:val="none" w:sz="0" w:space="0" w:color="auto"/>
        <w:left w:val="none" w:sz="0" w:space="0" w:color="auto"/>
        <w:bottom w:val="none" w:sz="0" w:space="0" w:color="auto"/>
        <w:right w:val="none" w:sz="0" w:space="0" w:color="auto"/>
      </w:divBdr>
    </w:div>
    <w:div w:id="711657134">
      <w:bodyDiv w:val="1"/>
      <w:marLeft w:val="0"/>
      <w:marRight w:val="0"/>
      <w:marTop w:val="0"/>
      <w:marBottom w:val="0"/>
      <w:divBdr>
        <w:top w:val="none" w:sz="0" w:space="0" w:color="auto"/>
        <w:left w:val="none" w:sz="0" w:space="0" w:color="auto"/>
        <w:bottom w:val="none" w:sz="0" w:space="0" w:color="auto"/>
        <w:right w:val="none" w:sz="0" w:space="0" w:color="auto"/>
      </w:divBdr>
    </w:div>
    <w:div w:id="803039909">
      <w:bodyDiv w:val="1"/>
      <w:marLeft w:val="0"/>
      <w:marRight w:val="0"/>
      <w:marTop w:val="0"/>
      <w:marBottom w:val="0"/>
      <w:divBdr>
        <w:top w:val="none" w:sz="0" w:space="0" w:color="auto"/>
        <w:left w:val="none" w:sz="0" w:space="0" w:color="auto"/>
        <w:bottom w:val="none" w:sz="0" w:space="0" w:color="auto"/>
        <w:right w:val="none" w:sz="0" w:space="0" w:color="auto"/>
      </w:divBdr>
    </w:div>
    <w:div w:id="821235673">
      <w:bodyDiv w:val="1"/>
      <w:marLeft w:val="0"/>
      <w:marRight w:val="0"/>
      <w:marTop w:val="0"/>
      <w:marBottom w:val="0"/>
      <w:divBdr>
        <w:top w:val="none" w:sz="0" w:space="0" w:color="auto"/>
        <w:left w:val="none" w:sz="0" w:space="0" w:color="auto"/>
        <w:bottom w:val="none" w:sz="0" w:space="0" w:color="auto"/>
        <w:right w:val="none" w:sz="0" w:space="0" w:color="auto"/>
      </w:divBdr>
    </w:div>
    <w:div w:id="1171260753">
      <w:bodyDiv w:val="1"/>
      <w:marLeft w:val="0"/>
      <w:marRight w:val="0"/>
      <w:marTop w:val="0"/>
      <w:marBottom w:val="0"/>
      <w:divBdr>
        <w:top w:val="none" w:sz="0" w:space="0" w:color="auto"/>
        <w:left w:val="none" w:sz="0" w:space="0" w:color="auto"/>
        <w:bottom w:val="none" w:sz="0" w:space="0" w:color="auto"/>
        <w:right w:val="none" w:sz="0" w:space="0" w:color="auto"/>
      </w:divBdr>
    </w:div>
    <w:div w:id="1332757692">
      <w:bodyDiv w:val="1"/>
      <w:marLeft w:val="0"/>
      <w:marRight w:val="0"/>
      <w:marTop w:val="0"/>
      <w:marBottom w:val="0"/>
      <w:divBdr>
        <w:top w:val="none" w:sz="0" w:space="0" w:color="auto"/>
        <w:left w:val="none" w:sz="0" w:space="0" w:color="auto"/>
        <w:bottom w:val="none" w:sz="0" w:space="0" w:color="auto"/>
        <w:right w:val="none" w:sz="0" w:space="0" w:color="auto"/>
      </w:divBdr>
    </w:div>
    <w:div w:id="1471895191">
      <w:bodyDiv w:val="1"/>
      <w:marLeft w:val="0"/>
      <w:marRight w:val="0"/>
      <w:marTop w:val="0"/>
      <w:marBottom w:val="0"/>
      <w:divBdr>
        <w:top w:val="none" w:sz="0" w:space="0" w:color="auto"/>
        <w:left w:val="none" w:sz="0" w:space="0" w:color="auto"/>
        <w:bottom w:val="none" w:sz="0" w:space="0" w:color="auto"/>
        <w:right w:val="none" w:sz="0" w:space="0" w:color="auto"/>
      </w:divBdr>
    </w:div>
    <w:div w:id="1667434831">
      <w:bodyDiv w:val="1"/>
      <w:marLeft w:val="0"/>
      <w:marRight w:val="0"/>
      <w:marTop w:val="0"/>
      <w:marBottom w:val="0"/>
      <w:divBdr>
        <w:top w:val="none" w:sz="0" w:space="0" w:color="auto"/>
        <w:left w:val="none" w:sz="0" w:space="0" w:color="auto"/>
        <w:bottom w:val="none" w:sz="0" w:space="0" w:color="auto"/>
        <w:right w:val="none" w:sz="0" w:space="0" w:color="auto"/>
      </w:divBdr>
    </w:div>
    <w:div w:id="1866166309">
      <w:bodyDiv w:val="1"/>
      <w:marLeft w:val="0"/>
      <w:marRight w:val="0"/>
      <w:marTop w:val="0"/>
      <w:marBottom w:val="0"/>
      <w:divBdr>
        <w:top w:val="none" w:sz="0" w:space="0" w:color="auto"/>
        <w:left w:val="none" w:sz="0" w:space="0" w:color="auto"/>
        <w:bottom w:val="none" w:sz="0" w:space="0" w:color="auto"/>
        <w:right w:val="none" w:sz="0" w:space="0" w:color="auto"/>
      </w:divBdr>
    </w:div>
    <w:div w:id="209042271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customizations.xml.rels><?xml version="1.0" encoding="UTF-8" standalone="yes"?>
<Relationships xmlns="http://schemas.openxmlformats.org/package/2006/relationships"><Relationship Id="rId1" Type="http://schemas.microsoft.com/office/2006/relationships/attachedToolbars" Target="attachedToolbars.bin"/></Relationships>
</file>

<file path=word/_rels/document.xml.rels><?xml version="1.0" encoding="UTF-8" standalone="yes"?>
<Relationships xmlns="http://schemas.openxmlformats.org/package/2006/relationships"><Relationship Id="rId117" Type="http://schemas.openxmlformats.org/officeDocument/2006/relationships/image" Target="media/image68.gif"/><Relationship Id="rId299" Type="http://schemas.openxmlformats.org/officeDocument/2006/relationships/image" Target="media/image199.emf"/><Relationship Id="rId303" Type="http://schemas.openxmlformats.org/officeDocument/2006/relationships/image" Target="media/image202.jpeg"/><Relationship Id="rId21" Type="http://schemas.openxmlformats.org/officeDocument/2006/relationships/image" Target="media/image4.jpeg"/><Relationship Id="rId42" Type="http://schemas.openxmlformats.org/officeDocument/2006/relationships/image" Target="media/image16.jpeg"/><Relationship Id="rId63" Type="http://schemas.openxmlformats.org/officeDocument/2006/relationships/oleObject" Target="embeddings/oleObject3.bin"/><Relationship Id="rId84" Type="http://schemas.openxmlformats.org/officeDocument/2006/relationships/image" Target="media/image49.emf"/><Relationship Id="rId138" Type="http://schemas.openxmlformats.org/officeDocument/2006/relationships/image" Target="media/image89.emf"/><Relationship Id="rId159" Type="http://schemas.openxmlformats.org/officeDocument/2006/relationships/footer" Target="footer15.xml"/><Relationship Id="rId324" Type="http://schemas.openxmlformats.org/officeDocument/2006/relationships/footer" Target="footer31.xml"/><Relationship Id="rId170" Type="http://schemas.openxmlformats.org/officeDocument/2006/relationships/image" Target="media/image109.wmf"/><Relationship Id="rId191" Type="http://schemas.openxmlformats.org/officeDocument/2006/relationships/image" Target="media/image123.emf"/><Relationship Id="rId205" Type="http://schemas.openxmlformats.org/officeDocument/2006/relationships/image" Target="media/image135.wmf"/><Relationship Id="rId226" Type="http://schemas.openxmlformats.org/officeDocument/2006/relationships/image" Target="media/image148.jpeg"/><Relationship Id="rId247" Type="http://schemas.openxmlformats.org/officeDocument/2006/relationships/footer" Target="footer22.xml"/><Relationship Id="rId107" Type="http://schemas.openxmlformats.org/officeDocument/2006/relationships/image" Target="media/image58.png"/><Relationship Id="rId268" Type="http://schemas.openxmlformats.org/officeDocument/2006/relationships/image" Target="media/image185.emf"/><Relationship Id="rId289" Type="http://schemas.openxmlformats.org/officeDocument/2006/relationships/header" Target="header36.xml"/><Relationship Id="rId11" Type="http://schemas.openxmlformats.org/officeDocument/2006/relationships/footer" Target="footer2.xml"/><Relationship Id="rId32" Type="http://schemas.openxmlformats.org/officeDocument/2006/relationships/header" Target="header9.xml"/><Relationship Id="rId53" Type="http://schemas.openxmlformats.org/officeDocument/2006/relationships/image" Target="media/image27.jpeg"/><Relationship Id="rId74" Type="http://schemas.openxmlformats.org/officeDocument/2006/relationships/image" Target="media/image39.wmf"/><Relationship Id="rId128" Type="http://schemas.openxmlformats.org/officeDocument/2006/relationships/image" Target="media/image79.jpeg"/><Relationship Id="rId149" Type="http://schemas.openxmlformats.org/officeDocument/2006/relationships/footer" Target="footer12.xml"/><Relationship Id="rId314" Type="http://schemas.openxmlformats.org/officeDocument/2006/relationships/image" Target="media/image211.jpeg"/><Relationship Id="rId5" Type="http://schemas.openxmlformats.org/officeDocument/2006/relationships/webSettings" Target="webSettings.xml"/><Relationship Id="rId95" Type="http://schemas.openxmlformats.org/officeDocument/2006/relationships/chart" Target="charts/chart6.xml"/><Relationship Id="rId160" Type="http://schemas.openxmlformats.org/officeDocument/2006/relationships/footer" Target="footer16.xml"/><Relationship Id="rId181" Type="http://schemas.openxmlformats.org/officeDocument/2006/relationships/header" Target="header20.xml"/><Relationship Id="rId216" Type="http://schemas.openxmlformats.org/officeDocument/2006/relationships/footer" Target="footer20.xml"/><Relationship Id="rId237" Type="http://schemas.openxmlformats.org/officeDocument/2006/relationships/image" Target="media/image159.jpeg"/><Relationship Id="rId258" Type="http://schemas.openxmlformats.org/officeDocument/2006/relationships/image" Target="media/image176.png"/><Relationship Id="rId279" Type="http://schemas.openxmlformats.org/officeDocument/2006/relationships/image" Target="media/image194.png"/><Relationship Id="rId22" Type="http://schemas.openxmlformats.org/officeDocument/2006/relationships/image" Target="media/image5.jpeg"/><Relationship Id="rId43" Type="http://schemas.openxmlformats.org/officeDocument/2006/relationships/image" Target="media/image17.jpeg"/><Relationship Id="rId64" Type="http://schemas.openxmlformats.org/officeDocument/2006/relationships/image" Target="media/image34.jpeg"/><Relationship Id="rId118" Type="http://schemas.openxmlformats.org/officeDocument/2006/relationships/image" Target="media/image69.emf"/><Relationship Id="rId139" Type="http://schemas.openxmlformats.org/officeDocument/2006/relationships/image" Target="media/image90.emf"/><Relationship Id="rId290" Type="http://schemas.openxmlformats.org/officeDocument/2006/relationships/footer" Target="footer26.xml"/><Relationship Id="rId304" Type="http://schemas.openxmlformats.org/officeDocument/2006/relationships/image" Target="media/image203.jpeg"/><Relationship Id="rId325" Type="http://schemas.openxmlformats.org/officeDocument/2006/relationships/footer" Target="footer32.xml"/><Relationship Id="rId85" Type="http://schemas.openxmlformats.org/officeDocument/2006/relationships/image" Target="media/image50.wmf"/><Relationship Id="rId150" Type="http://schemas.openxmlformats.org/officeDocument/2006/relationships/footer" Target="footer13.xml"/><Relationship Id="rId171" Type="http://schemas.openxmlformats.org/officeDocument/2006/relationships/image" Target="media/image110.jpeg"/><Relationship Id="rId192" Type="http://schemas.openxmlformats.org/officeDocument/2006/relationships/header" Target="header23.xml"/><Relationship Id="rId206" Type="http://schemas.openxmlformats.org/officeDocument/2006/relationships/image" Target="media/image136.wmf"/><Relationship Id="rId227" Type="http://schemas.openxmlformats.org/officeDocument/2006/relationships/image" Target="media/image149.jpeg"/><Relationship Id="rId248" Type="http://schemas.openxmlformats.org/officeDocument/2006/relationships/image" Target="media/image166.png"/><Relationship Id="rId269" Type="http://schemas.openxmlformats.org/officeDocument/2006/relationships/image" Target="media/image186.png"/><Relationship Id="rId12" Type="http://schemas.openxmlformats.org/officeDocument/2006/relationships/header" Target="header3.xml"/><Relationship Id="rId33" Type="http://schemas.openxmlformats.org/officeDocument/2006/relationships/footer" Target="footer11.xml"/><Relationship Id="rId108" Type="http://schemas.openxmlformats.org/officeDocument/2006/relationships/image" Target="media/image59.emf"/><Relationship Id="rId129" Type="http://schemas.openxmlformats.org/officeDocument/2006/relationships/image" Target="media/image80.emf"/><Relationship Id="rId280" Type="http://schemas.openxmlformats.org/officeDocument/2006/relationships/image" Target="media/image195.png"/><Relationship Id="rId315" Type="http://schemas.openxmlformats.org/officeDocument/2006/relationships/image" Target="media/image212.jpeg"/><Relationship Id="rId54" Type="http://schemas.openxmlformats.org/officeDocument/2006/relationships/image" Target="media/image28.png"/><Relationship Id="rId75" Type="http://schemas.openxmlformats.org/officeDocument/2006/relationships/image" Target="media/image40.emf"/><Relationship Id="rId96" Type="http://schemas.openxmlformats.org/officeDocument/2006/relationships/chart" Target="charts/chart7.xml"/><Relationship Id="rId140" Type="http://schemas.openxmlformats.org/officeDocument/2006/relationships/image" Target="media/image91.emf"/><Relationship Id="rId161" Type="http://schemas.openxmlformats.org/officeDocument/2006/relationships/header" Target="header17.xml"/><Relationship Id="rId182" Type="http://schemas.openxmlformats.org/officeDocument/2006/relationships/image" Target="media/image116.jpeg"/><Relationship Id="rId217" Type="http://schemas.openxmlformats.org/officeDocument/2006/relationships/header" Target="header28.xml"/><Relationship Id="rId6" Type="http://schemas.openxmlformats.org/officeDocument/2006/relationships/footnotes" Target="footnotes.xml"/><Relationship Id="rId238" Type="http://schemas.openxmlformats.org/officeDocument/2006/relationships/image" Target="media/image160.jpeg"/><Relationship Id="rId259" Type="http://schemas.openxmlformats.org/officeDocument/2006/relationships/header" Target="header32.xml"/><Relationship Id="rId23" Type="http://schemas.openxmlformats.org/officeDocument/2006/relationships/image" Target="media/image6.jpeg"/><Relationship Id="rId119" Type="http://schemas.openxmlformats.org/officeDocument/2006/relationships/image" Target="media/image70.emf"/><Relationship Id="rId270" Type="http://schemas.openxmlformats.org/officeDocument/2006/relationships/image" Target="media/image187.emf"/><Relationship Id="rId291" Type="http://schemas.openxmlformats.org/officeDocument/2006/relationships/header" Target="header37.xml"/><Relationship Id="rId305" Type="http://schemas.openxmlformats.org/officeDocument/2006/relationships/image" Target="media/image204.jpeg"/><Relationship Id="rId326" Type="http://schemas.openxmlformats.org/officeDocument/2006/relationships/header" Target="header46.xml"/><Relationship Id="rId44" Type="http://schemas.openxmlformats.org/officeDocument/2006/relationships/image" Target="media/image18.jpeg"/><Relationship Id="rId65" Type="http://schemas.openxmlformats.org/officeDocument/2006/relationships/image" Target="media/image35.wmf"/><Relationship Id="rId86" Type="http://schemas.openxmlformats.org/officeDocument/2006/relationships/image" Target="media/image51.emf"/><Relationship Id="rId130" Type="http://schemas.openxmlformats.org/officeDocument/2006/relationships/image" Target="media/image81.emf"/><Relationship Id="rId151" Type="http://schemas.openxmlformats.org/officeDocument/2006/relationships/header" Target="header15.xml"/><Relationship Id="rId172" Type="http://schemas.openxmlformats.org/officeDocument/2006/relationships/chart" Target="charts/chart10.xml"/><Relationship Id="rId193" Type="http://schemas.openxmlformats.org/officeDocument/2006/relationships/image" Target="media/image124.wmf"/><Relationship Id="rId207" Type="http://schemas.openxmlformats.org/officeDocument/2006/relationships/image" Target="media/image137.wmf"/><Relationship Id="rId228" Type="http://schemas.openxmlformats.org/officeDocument/2006/relationships/image" Target="media/image150.jpeg"/><Relationship Id="rId249" Type="http://schemas.openxmlformats.org/officeDocument/2006/relationships/image" Target="media/image167.png"/><Relationship Id="rId13" Type="http://schemas.openxmlformats.org/officeDocument/2006/relationships/footer" Target="footer3.xml"/><Relationship Id="rId109" Type="http://schemas.openxmlformats.org/officeDocument/2006/relationships/image" Target="media/image60.emf"/><Relationship Id="rId260" Type="http://schemas.openxmlformats.org/officeDocument/2006/relationships/image" Target="media/image177.jpeg"/><Relationship Id="rId281" Type="http://schemas.openxmlformats.org/officeDocument/2006/relationships/chart" Target="charts/chart14.xml"/><Relationship Id="rId316" Type="http://schemas.openxmlformats.org/officeDocument/2006/relationships/image" Target="media/image213.jpeg"/><Relationship Id="rId34" Type="http://schemas.openxmlformats.org/officeDocument/2006/relationships/image" Target="media/image8.jpeg"/><Relationship Id="rId55" Type="http://schemas.openxmlformats.org/officeDocument/2006/relationships/image" Target="media/image29.png"/><Relationship Id="rId76" Type="http://schemas.openxmlformats.org/officeDocument/2006/relationships/image" Target="media/image41.wmf"/><Relationship Id="rId97" Type="http://schemas.openxmlformats.org/officeDocument/2006/relationships/chart" Target="charts/chart8.xml"/><Relationship Id="rId120" Type="http://schemas.openxmlformats.org/officeDocument/2006/relationships/image" Target="media/image71.emf"/><Relationship Id="rId141" Type="http://schemas.openxmlformats.org/officeDocument/2006/relationships/image" Target="media/image92.emf"/><Relationship Id="rId7" Type="http://schemas.openxmlformats.org/officeDocument/2006/relationships/endnotes" Target="endnotes.xml"/><Relationship Id="rId162" Type="http://schemas.openxmlformats.org/officeDocument/2006/relationships/footer" Target="footer17.xml"/><Relationship Id="rId183" Type="http://schemas.openxmlformats.org/officeDocument/2006/relationships/header" Target="header21.xml"/><Relationship Id="rId218" Type="http://schemas.openxmlformats.org/officeDocument/2006/relationships/image" Target="media/image141.emf"/><Relationship Id="rId239" Type="http://schemas.openxmlformats.org/officeDocument/2006/relationships/image" Target="media/image161.jpeg"/><Relationship Id="rId250" Type="http://schemas.openxmlformats.org/officeDocument/2006/relationships/image" Target="media/image168.png"/><Relationship Id="rId271" Type="http://schemas.openxmlformats.org/officeDocument/2006/relationships/image" Target="media/image188.emf"/><Relationship Id="rId292" Type="http://schemas.openxmlformats.org/officeDocument/2006/relationships/header" Target="header38.xml"/><Relationship Id="rId306" Type="http://schemas.openxmlformats.org/officeDocument/2006/relationships/footer" Target="footer30.xml"/><Relationship Id="rId24" Type="http://schemas.openxmlformats.org/officeDocument/2006/relationships/header" Target="header6.xml"/><Relationship Id="rId45" Type="http://schemas.openxmlformats.org/officeDocument/2006/relationships/image" Target="media/image19.jpeg"/><Relationship Id="rId66" Type="http://schemas.openxmlformats.org/officeDocument/2006/relationships/oleObject" Target="embeddings/oleObject4.bin"/><Relationship Id="rId87" Type="http://schemas.openxmlformats.org/officeDocument/2006/relationships/oleObject" Target="embeddings/oleObject8.bin"/><Relationship Id="rId110" Type="http://schemas.openxmlformats.org/officeDocument/2006/relationships/image" Target="media/image61.emf"/><Relationship Id="rId131" Type="http://schemas.openxmlformats.org/officeDocument/2006/relationships/image" Target="media/image82.emf"/><Relationship Id="rId327" Type="http://schemas.openxmlformats.org/officeDocument/2006/relationships/footer" Target="footer33.xml"/><Relationship Id="rId152" Type="http://schemas.openxmlformats.org/officeDocument/2006/relationships/footer" Target="footer14.xml"/><Relationship Id="rId173" Type="http://schemas.openxmlformats.org/officeDocument/2006/relationships/chart" Target="charts/chart11.xml"/><Relationship Id="rId194" Type="http://schemas.openxmlformats.org/officeDocument/2006/relationships/image" Target="media/image125.wmf"/><Relationship Id="rId208" Type="http://schemas.openxmlformats.org/officeDocument/2006/relationships/header" Target="header25.xml"/><Relationship Id="rId229" Type="http://schemas.openxmlformats.org/officeDocument/2006/relationships/image" Target="media/image151.jpeg"/><Relationship Id="rId240" Type="http://schemas.openxmlformats.org/officeDocument/2006/relationships/image" Target="media/image162.jpeg"/><Relationship Id="rId261" Type="http://schemas.openxmlformats.org/officeDocument/2006/relationships/image" Target="media/image178.jpeg"/><Relationship Id="rId14" Type="http://schemas.openxmlformats.org/officeDocument/2006/relationships/image" Target="media/image2.png"/><Relationship Id="rId30" Type="http://schemas.openxmlformats.org/officeDocument/2006/relationships/footer" Target="footer10.xml"/><Relationship Id="rId35" Type="http://schemas.openxmlformats.org/officeDocument/2006/relationships/image" Target="media/image9.jpeg"/><Relationship Id="rId56" Type="http://schemas.openxmlformats.org/officeDocument/2006/relationships/image" Target="media/image30.emf"/><Relationship Id="rId77" Type="http://schemas.openxmlformats.org/officeDocument/2006/relationships/image" Target="media/image42.wmf"/><Relationship Id="rId100" Type="http://schemas.openxmlformats.org/officeDocument/2006/relationships/header" Target="header13.xml"/><Relationship Id="rId105" Type="http://schemas.openxmlformats.org/officeDocument/2006/relationships/image" Target="media/image56.emf"/><Relationship Id="rId126" Type="http://schemas.openxmlformats.org/officeDocument/2006/relationships/image" Target="media/image77.emf"/><Relationship Id="rId147" Type="http://schemas.openxmlformats.org/officeDocument/2006/relationships/image" Target="media/image98.emf"/><Relationship Id="rId168" Type="http://schemas.openxmlformats.org/officeDocument/2006/relationships/header" Target="header19.xml"/><Relationship Id="rId282" Type="http://schemas.openxmlformats.org/officeDocument/2006/relationships/footer" Target="footer23.xml"/><Relationship Id="rId312" Type="http://schemas.openxmlformats.org/officeDocument/2006/relationships/image" Target="media/image209.jpeg"/><Relationship Id="rId317" Type="http://schemas.openxmlformats.org/officeDocument/2006/relationships/image" Target="media/image214.jpeg"/><Relationship Id="rId8" Type="http://schemas.openxmlformats.org/officeDocument/2006/relationships/header" Target="header1.xml"/><Relationship Id="rId51" Type="http://schemas.openxmlformats.org/officeDocument/2006/relationships/image" Target="media/image25.jpeg"/><Relationship Id="rId72" Type="http://schemas.openxmlformats.org/officeDocument/2006/relationships/oleObject" Target="embeddings/oleObject7.bin"/><Relationship Id="rId93" Type="http://schemas.openxmlformats.org/officeDocument/2006/relationships/chart" Target="charts/chart4.xml"/><Relationship Id="rId98" Type="http://schemas.openxmlformats.org/officeDocument/2006/relationships/chart" Target="charts/chart9.xml"/><Relationship Id="rId121" Type="http://schemas.openxmlformats.org/officeDocument/2006/relationships/image" Target="media/image72.emf"/><Relationship Id="rId142" Type="http://schemas.openxmlformats.org/officeDocument/2006/relationships/image" Target="media/image93.emf"/><Relationship Id="rId163" Type="http://schemas.openxmlformats.org/officeDocument/2006/relationships/image" Target="media/image104.emf"/><Relationship Id="rId184" Type="http://schemas.openxmlformats.org/officeDocument/2006/relationships/image" Target="media/image117.emf"/><Relationship Id="rId189" Type="http://schemas.openxmlformats.org/officeDocument/2006/relationships/image" Target="media/image121.emf"/><Relationship Id="rId219" Type="http://schemas.openxmlformats.org/officeDocument/2006/relationships/image" Target="media/image142.emf"/><Relationship Id="rId3" Type="http://schemas.openxmlformats.org/officeDocument/2006/relationships/styles" Target="styles.xml"/><Relationship Id="rId214" Type="http://schemas.openxmlformats.org/officeDocument/2006/relationships/footer" Target="footer19.xml"/><Relationship Id="rId230" Type="http://schemas.openxmlformats.org/officeDocument/2006/relationships/image" Target="media/image152.jpeg"/><Relationship Id="rId235" Type="http://schemas.openxmlformats.org/officeDocument/2006/relationships/image" Target="media/image157.jpeg"/><Relationship Id="rId251" Type="http://schemas.openxmlformats.org/officeDocument/2006/relationships/image" Target="media/image169.png"/><Relationship Id="rId256" Type="http://schemas.openxmlformats.org/officeDocument/2006/relationships/image" Target="media/image174.png"/><Relationship Id="rId277" Type="http://schemas.openxmlformats.org/officeDocument/2006/relationships/header" Target="header34.xml"/><Relationship Id="rId298" Type="http://schemas.openxmlformats.org/officeDocument/2006/relationships/header" Target="header41.xml"/><Relationship Id="rId25" Type="http://schemas.openxmlformats.org/officeDocument/2006/relationships/footer" Target="footer7.xml"/><Relationship Id="rId46" Type="http://schemas.openxmlformats.org/officeDocument/2006/relationships/image" Target="media/image20.jpeg"/><Relationship Id="rId67" Type="http://schemas.openxmlformats.org/officeDocument/2006/relationships/image" Target="media/image36.wmf"/><Relationship Id="rId116" Type="http://schemas.openxmlformats.org/officeDocument/2006/relationships/image" Target="media/image67.emf"/><Relationship Id="rId137" Type="http://schemas.openxmlformats.org/officeDocument/2006/relationships/image" Target="media/image88.jpeg"/><Relationship Id="rId158" Type="http://schemas.openxmlformats.org/officeDocument/2006/relationships/header" Target="header16.xml"/><Relationship Id="rId272" Type="http://schemas.openxmlformats.org/officeDocument/2006/relationships/image" Target="media/image189.emf"/><Relationship Id="rId293" Type="http://schemas.openxmlformats.org/officeDocument/2006/relationships/header" Target="header39.xml"/><Relationship Id="rId302" Type="http://schemas.openxmlformats.org/officeDocument/2006/relationships/header" Target="header42.xml"/><Relationship Id="rId307" Type="http://schemas.openxmlformats.org/officeDocument/2006/relationships/image" Target="media/image205.jpeg"/><Relationship Id="rId323" Type="http://schemas.openxmlformats.org/officeDocument/2006/relationships/header" Target="header45.xml"/><Relationship Id="rId328" Type="http://schemas.openxmlformats.org/officeDocument/2006/relationships/hyperlink" Target="http://www.environment.gov.au/science/supervising-scientist/publications/ss-bibliography-2014" TargetMode="External"/><Relationship Id="rId20" Type="http://schemas.openxmlformats.org/officeDocument/2006/relationships/footer" Target="footer6.xml"/><Relationship Id="rId41" Type="http://schemas.openxmlformats.org/officeDocument/2006/relationships/image" Target="media/image15.emf"/><Relationship Id="rId62" Type="http://schemas.openxmlformats.org/officeDocument/2006/relationships/image" Target="media/image33.emf"/><Relationship Id="rId83" Type="http://schemas.openxmlformats.org/officeDocument/2006/relationships/image" Target="media/image48.wmf"/><Relationship Id="rId88" Type="http://schemas.openxmlformats.org/officeDocument/2006/relationships/image" Target="media/image52.png"/><Relationship Id="rId111" Type="http://schemas.openxmlformats.org/officeDocument/2006/relationships/image" Target="media/image62.emf"/><Relationship Id="rId132" Type="http://schemas.openxmlformats.org/officeDocument/2006/relationships/image" Target="media/image83.wmf"/><Relationship Id="rId153" Type="http://schemas.openxmlformats.org/officeDocument/2006/relationships/image" Target="media/image99.emf"/><Relationship Id="rId174" Type="http://schemas.openxmlformats.org/officeDocument/2006/relationships/chart" Target="charts/chart12.xml"/><Relationship Id="rId179" Type="http://schemas.openxmlformats.org/officeDocument/2006/relationships/image" Target="media/image114.jpeg"/><Relationship Id="rId195" Type="http://schemas.openxmlformats.org/officeDocument/2006/relationships/image" Target="media/image126.wmf"/><Relationship Id="rId209" Type="http://schemas.openxmlformats.org/officeDocument/2006/relationships/image" Target="media/image138.emf"/><Relationship Id="rId190" Type="http://schemas.openxmlformats.org/officeDocument/2006/relationships/image" Target="media/image122.emf"/><Relationship Id="rId204" Type="http://schemas.openxmlformats.org/officeDocument/2006/relationships/image" Target="media/image134.jpeg"/><Relationship Id="rId220" Type="http://schemas.openxmlformats.org/officeDocument/2006/relationships/image" Target="media/image143.emf"/><Relationship Id="rId225" Type="http://schemas.openxmlformats.org/officeDocument/2006/relationships/image" Target="media/image147.jpeg"/><Relationship Id="rId241" Type="http://schemas.openxmlformats.org/officeDocument/2006/relationships/image" Target="media/image163.jpeg"/><Relationship Id="rId246" Type="http://schemas.openxmlformats.org/officeDocument/2006/relationships/header" Target="header31.xml"/><Relationship Id="rId267" Type="http://schemas.openxmlformats.org/officeDocument/2006/relationships/image" Target="media/image184.emf"/><Relationship Id="rId288" Type="http://schemas.openxmlformats.org/officeDocument/2006/relationships/footer" Target="footer25.xml"/><Relationship Id="rId15" Type="http://schemas.openxmlformats.org/officeDocument/2006/relationships/image" Target="media/image3.tiff"/><Relationship Id="rId36" Type="http://schemas.openxmlformats.org/officeDocument/2006/relationships/image" Target="media/image10.jpeg"/><Relationship Id="rId57" Type="http://schemas.openxmlformats.org/officeDocument/2006/relationships/header" Target="header10.xml"/><Relationship Id="rId106" Type="http://schemas.openxmlformats.org/officeDocument/2006/relationships/image" Target="media/image57.emf"/><Relationship Id="rId127" Type="http://schemas.openxmlformats.org/officeDocument/2006/relationships/image" Target="media/image78.emf"/><Relationship Id="rId262" Type="http://schemas.openxmlformats.org/officeDocument/2006/relationships/image" Target="media/image179.emf"/><Relationship Id="rId283" Type="http://schemas.openxmlformats.org/officeDocument/2006/relationships/image" Target="media/image196.png"/><Relationship Id="rId313" Type="http://schemas.openxmlformats.org/officeDocument/2006/relationships/image" Target="media/image210.jpeg"/><Relationship Id="rId318" Type="http://schemas.openxmlformats.org/officeDocument/2006/relationships/image" Target="media/image215.jpeg"/><Relationship Id="rId10" Type="http://schemas.openxmlformats.org/officeDocument/2006/relationships/footer" Target="footer1.xml"/><Relationship Id="rId31" Type="http://schemas.openxmlformats.org/officeDocument/2006/relationships/image" Target="media/image7.jpeg"/><Relationship Id="rId52" Type="http://schemas.openxmlformats.org/officeDocument/2006/relationships/image" Target="media/image26.jpeg"/><Relationship Id="rId73" Type="http://schemas.openxmlformats.org/officeDocument/2006/relationships/chart" Target="charts/chart1.xml"/><Relationship Id="rId78" Type="http://schemas.openxmlformats.org/officeDocument/2006/relationships/image" Target="media/image43.emf"/><Relationship Id="rId94" Type="http://schemas.openxmlformats.org/officeDocument/2006/relationships/chart" Target="charts/chart5.xml"/><Relationship Id="rId99" Type="http://schemas.openxmlformats.org/officeDocument/2006/relationships/header" Target="header12.xml"/><Relationship Id="rId101" Type="http://schemas.openxmlformats.org/officeDocument/2006/relationships/hyperlink" Target="http://www.environment.gov.au/science/supervising-scientist/monitoring" TargetMode="External"/><Relationship Id="rId122" Type="http://schemas.openxmlformats.org/officeDocument/2006/relationships/image" Target="media/image73.emf"/><Relationship Id="rId143" Type="http://schemas.openxmlformats.org/officeDocument/2006/relationships/image" Target="media/image94.emf"/><Relationship Id="rId148" Type="http://schemas.openxmlformats.org/officeDocument/2006/relationships/header" Target="header14.xml"/><Relationship Id="rId164" Type="http://schemas.openxmlformats.org/officeDocument/2006/relationships/image" Target="media/image105.emf"/><Relationship Id="rId169" Type="http://schemas.openxmlformats.org/officeDocument/2006/relationships/image" Target="media/image108.png"/><Relationship Id="rId185" Type="http://schemas.openxmlformats.org/officeDocument/2006/relationships/image" Target="media/image118.emf"/><Relationship Id="rId4" Type="http://schemas.openxmlformats.org/officeDocument/2006/relationships/settings" Target="settings.xml"/><Relationship Id="rId9" Type="http://schemas.openxmlformats.org/officeDocument/2006/relationships/header" Target="header2.xml"/><Relationship Id="rId180" Type="http://schemas.openxmlformats.org/officeDocument/2006/relationships/image" Target="media/image115.jpeg"/><Relationship Id="rId210" Type="http://schemas.openxmlformats.org/officeDocument/2006/relationships/image" Target="media/image139.jpeg"/><Relationship Id="rId215" Type="http://schemas.openxmlformats.org/officeDocument/2006/relationships/header" Target="header27.xml"/><Relationship Id="rId236" Type="http://schemas.openxmlformats.org/officeDocument/2006/relationships/image" Target="media/image158.jpeg"/><Relationship Id="rId257" Type="http://schemas.openxmlformats.org/officeDocument/2006/relationships/image" Target="media/image175.png"/><Relationship Id="rId278" Type="http://schemas.openxmlformats.org/officeDocument/2006/relationships/image" Target="media/image193.png"/><Relationship Id="rId26" Type="http://schemas.openxmlformats.org/officeDocument/2006/relationships/footer" Target="footer8.xml"/><Relationship Id="rId231" Type="http://schemas.openxmlformats.org/officeDocument/2006/relationships/image" Target="media/image153.jpeg"/><Relationship Id="rId252" Type="http://schemas.openxmlformats.org/officeDocument/2006/relationships/image" Target="media/image170.png"/><Relationship Id="rId273" Type="http://schemas.openxmlformats.org/officeDocument/2006/relationships/image" Target="media/image190.emf"/><Relationship Id="rId294" Type="http://schemas.openxmlformats.org/officeDocument/2006/relationships/footer" Target="footer27.xml"/><Relationship Id="rId308" Type="http://schemas.openxmlformats.org/officeDocument/2006/relationships/image" Target="media/image206.jpeg"/><Relationship Id="rId329" Type="http://schemas.openxmlformats.org/officeDocument/2006/relationships/fontTable" Target="fontTable.xml"/><Relationship Id="rId47" Type="http://schemas.openxmlformats.org/officeDocument/2006/relationships/image" Target="media/image21.jpeg"/><Relationship Id="rId68" Type="http://schemas.openxmlformats.org/officeDocument/2006/relationships/oleObject" Target="embeddings/oleObject5.bin"/><Relationship Id="rId89" Type="http://schemas.openxmlformats.org/officeDocument/2006/relationships/image" Target="cid:8E17659F-BCB9-45A5-846C-5CBB63E2A66E" TargetMode="External"/><Relationship Id="rId112" Type="http://schemas.openxmlformats.org/officeDocument/2006/relationships/image" Target="media/image63.emf"/><Relationship Id="rId133" Type="http://schemas.openxmlformats.org/officeDocument/2006/relationships/image" Target="media/image84.wmf"/><Relationship Id="rId154" Type="http://schemas.openxmlformats.org/officeDocument/2006/relationships/image" Target="media/image100.emf"/><Relationship Id="rId175" Type="http://schemas.openxmlformats.org/officeDocument/2006/relationships/chart" Target="charts/chart13.xml"/><Relationship Id="rId196" Type="http://schemas.openxmlformats.org/officeDocument/2006/relationships/image" Target="media/image127.emf"/><Relationship Id="rId200" Type="http://schemas.openxmlformats.org/officeDocument/2006/relationships/image" Target="media/image130.wmf"/><Relationship Id="rId16" Type="http://schemas.openxmlformats.org/officeDocument/2006/relationships/header" Target="header4.xml"/><Relationship Id="rId221" Type="http://schemas.openxmlformats.org/officeDocument/2006/relationships/image" Target="media/image144.emf"/><Relationship Id="rId242" Type="http://schemas.openxmlformats.org/officeDocument/2006/relationships/image" Target="media/image164.jpeg"/><Relationship Id="rId263" Type="http://schemas.openxmlformats.org/officeDocument/2006/relationships/image" Target="media/image180.png"/><Relationship Id="rId284" Type="http://schemas.openxmlformats.org/officeDocument/2006/relationships/image" Target="media/image197.png"/><Relationship Id="rId319" Type="http://schemas.openxmlformats.org/officeDocument/2006/relationships/hyperlink" Target="http://www.environment.gov.au/science/supervising-scientist/publications" TargetMode="External"/><Relationship Id="rId37" Type="http://schemas.openxmlformats.org/officeDocument/2006/relationships/image" Target="media/image11.jpeg"/><Relationship Id="rId58" Type="http://schemas.openxmlformats.org/officeDocument/2006/relationships/image" Target="media/image31.emf"/><Relationship Id="rId79" Type="http://schemas.openxmlformats.org/officeDocument/2006/relationships/image" Target="media/image44.emf"/><Relationship Id="rId102" Type="http://schemas.openxmlformats.org/officeDocument/2006/relationships/image" Target="media/image53.emf"/><Relationship Id="rId123" Type="http://schemas.openxmlformats.org/officeDocument/2006/relationships/image" Target="media/image74.emf"/><Relationship Id="rId144" Type="http://schemas.openxmlformats.org/officeDocument/2006/relationships/image" Target="media/image95.emf"/><Relationship Id="rId330" Type="http://schemas.openxmlformats.org/officeDocument/2006/relationships/theme" Target="theme/theme1.xml"/><Relationship Id="rId90" Type="http://schemas.openxmlformats.org/officeDocument/2006/relationships/header" Target="header11.xml"/><Relationship Id="rId165" Type="http://schemas.openxmlformats.org/officeDocument/2006/relationships/header" Target="header18.xml"/><Relationship Id="rId186" Type="http://schemas.openxmlformats.org/officeDocument/2006/relationships/image" Target="media/image119.emf"/><Relationship Id="rId211" Type="http://schemas.openxmlformats.org/officeDocument/2006/relationships/image" Target="media/image140.emf"/><Relationship Id="rId232" Type="http://schemas.openxmlformats.org/officeDocument/2006/relationships/image" Target="media/image154.jpeg"/><Relationship Id="rId253" Type="http://schemas.openxmlformats.org/officeDocument/2006/relationships/image" Target="media/image171.png"/><Relationship Id="rId274" Type="http://schemas.openxmlformats.org/officeDocument/2006/relationships/image" Target="media/image191.emf"/><Relationship Id="rId295" Type="http://schemas.openxmlformats.org/officeDocument/2006/relationships/footer" Target="footer28.xml"/><Relationship Id="rId309" Type="http://schemas.openxmlformats.org/officeDocument/2006/relationships/header" Target="header43.xml"/><Relationship Id="rId27" Type="http://schemas.openxmlformats.org/officeDocument/2006/relationships/header" Target="header7.xml"/><Relationship Id="rId48" Type="http://schemas.openxmlformats.org/officeDocument/2006/relationships/image" Target="media/image22.jpeg"/><Relationship Id="rId69" Type="http://schemas.openxmlformats.org/officeDocument/2006/relationships/image" Target="media/image37.wmf"/><Relationship Id="rId113" Type="http://schemas.openxmlformats.org/officeDocument/2006/relationships/image" Target="media/image64.emf"/><Relationship Id="rId134" Type="http://schemas.openxmlformats.org/officeDocument/2006/relationships/image" Target="media/image85.jpeg"/><Relationship Id="rId320" Type="http://schemas.openxmlformats.org/officeDocument/2006/relationships/hyperlink" Target="http://www.environment.gov.au/science/supervising-scientist/publications" TargetMode="External"/><Relationship Id="rId80" Type="http://schemas.openxmlformats.org/officeDocument/2006/relationships/image" Target="media/image45.emf"/><Relationship Id="rId155" Type="http://schemas.openxmlformats.org/officeDocument/2006/relationships/image" Target="media/image101.emf"/><Relationship Id="rId176" Type="http://schemas.openxmlformats.org/officeDocument/2006/relationships/image" Target="media/image111.jpeg"/><Relationship Id="rId197" Type="http://schemas.openxmlformats.org/officeDocument/2006/relationships/header" Target="header24.xml"/><Relationship Id="rId201" Type="http://schemas.openxmlformats.org/officeDocument/2006/relationships/image" Target="media/image131.wmf"/><Relationship Id="rId222" Type="http://schemas.openxmlformats.org/officeDocument/2006/relationships/image" Target="media/image145.emf"/><Relationship Id="rId243" Type="http://schemas.openxmlformats.org/officeDocument/2006/relationships/image" Target="media/image165.jpeg"/><Relationship Id="rId264" Type="http://schemas.openxmlformats.org/officeDocument/2006/relationships/image" Target="media/image181.emf"/><Relationship Id="rId285" Type="http://schemas.openxmlformats.org/officeDocument/2006/relationships/image" Target="media/image198.png"/><Relationship Id="rId17" Type="http://schemas.openxmlformats.org/officeDocument/2006/relationships/header" Target="header5.xml"/><Relationship Id="rId38" Type="http://schemas.openxmlformats.org/officeDocument/2006/relationships/image" Target="media/image12.jpeg"/><Relationship Id="rId59" Type="http://schemas.openxmlformats.org/officeDocument/2006/relationships/oleObject" Target="embeddings/oleObject1.bin"/><Relationship Id="rId103" Type="http://schemas.openxmlformats.org/officeDocument/2006/relationships/image" Target="media/image54.emf"/><Relationship Id="rId124" Type="http://schemas.openxmlformats.org/officeDocument/2006/relationships/image" Target="media/image75.emf"/><Relationship Id="rId310" Type="http://schemas.openxmlformats.org/officeDocument/2006/relationships/image" Target="media/image207.jpeg"/><Relationship Id="rId70" Type="http://schemas.openxmlformats.org/officeDocument/2006/relationships/oleObject" Target="embeddings/oleObject6.bin"/><Relationship Id="rId91" Type="http://schemas.openxmlformats.org/officeDocument/2006/relationships/chart" Target="charts/chart2.xml"/><Relationship Id="rId145" Type="http://schemas.openxmlformats.org/officeDocument/2006/relationships/image" Target="media/image96.emf"/><Relationship Id="rId166" Type="http://schemas.openxmlformats.org/officeDocument/2006/relationships/image" Target="media/image106.jpeg"/><Relationship Id="rId187" Type="http://schemas.openxmlformats.org/officeDocument/2006/relationships/header" Target="header22.xml"/><Relationship Id="rId1" Type="http://schemas.microsoft.com/office/2006/relationships/keyMapCustomizations" Target="customizations.xml"/><Relationship Id="rId212" Type="http://schemas.openxmlformats.org/officeDocument/2006/relationships/header" Target="header26.xml"/><Relationship Id="rId233" Type="http://schemas.openxmlformats.org/officeDocument/2006/relationships/image" Target="media/image155.jpeg"/><Relationship Id="rId254" Type="http://schemas.openxmlformats.org/officeDocument/2006/relationships/image" Target="media/image172.png"/><Relationship Id="rId28" Type="http://schemas.openxmlformats.org/officeDocument/2006/relationships/footer" Target="footer9.xml"/><Relationship Id="rId49" Type="http://schemas.openxmlformats.org/officeDocument/2006/relationships/image" Target="media/image23.jpeg"/><Relationship Id="rId114" Type="http://schemas.openxmlformats.org/officeDocument/2006/relationships/image" Target="media/image65.emf"/><Relationship Id="rId275" Type="http://schemas.openxmlformats.org/officeDocument/2006/relationships/header" Target="header33.xml"/><Relationship Id="rId296" Type="http://schemas.openxmlformats.org/officeDocument/2006/relationships/header" Target="header40.xml"/><Relationship Id="rId300" Type="http://schemas.openxmlformats.org/officeDocument/2006/relationships/image" Target="media/image200.emf"/><Relationship Id="rId60" Type="http://schemas.openxmlformats.org/officeDocument/2006/relationships/image" Target="media/image32.emf"/><Relationship Id="rId81" Type="http://schemas.openxmlformats.org/officeDocument/2006/relationships/image" Target="media/image46.wmf"/><Relationship Id="rId135" Type="http://schemas.openxmlformats.org/officeDocument/2006/relationships/image" Target="media/image86.jpeg"/><Relationship Id="rId156" Type="http://schemas.openxmlformats.org/officeDocument/2006/relationships/image" Target="media/image102.emf"/><Relationship Id="rId177" Type="http://schemas.openxmlformats.org/officeDocument/2006/relationships/image" Target="media/image112.jpeg"/><Relationship Id="rId198" Type="http://schemas.openxmlformats.org/officeDocument/2006/relationships/image" Target="media/image128.emf"/><Relationship Id="rId321" Type="http://schemas.openxmlformats.org/officeDocument/2006/relationships/hyperlink" Target="http://www.environment.gov.au/science/supervising-scientist/publications/ssr" TargetMode="External"/><Relationship Id="rId202" Type="http://schemas.openxmlformats.org/officeDocument/2006/relationships/image" Target="media/image132.wmf"/><Relationship Id="rId223" Type="http://schemas.openxmlformats.org/officeDocument/2006/relationships/image" Target="media/image146.emf"/><Relationship Id="rId244" Type="http://schemas.openxmlformats.org/officeDocument/2006/relationships/header" Target="header30.xml"/><Relationship Id="rId18" Type="http://schemas.openxmlformats.org/officeDocument/2006/relationships/footer" Target="footer4.xml"/><Relationship Id="rId39" Type="http://schemas.openxmlformats.org/officeDocument/2006/relationships/image" Target="media/image13.emf"/><Relationship Id="rId265" Type="http://schemas.openxmlformats.org/officeDocument/2006/relationships/image" Target="media/image182.emf"/><Relationship Id="rId286" Type="http://schemas.openxmlformats.org/officeDocument/2006/relationships/header" Target="header35.xml"/><Relationship Id="rId50" Type="http://schemas.openxmlformats.org/officeDocument/2006/relationships/image" Target="media/image24.jpeg"/><Relationship Id="rId104" Type="http://schemas.openxmlformats.org/officeDocument/2006/relationships/image" Target="media/image55.emf"/><Relationship Id="rId125" Type="http://schemas.openxmlformats.org/officeDocument/2006/relationships/image" Target="media/image76.emf"/><Relationship Id="rId146" Type="http://schemas.openxmlformats.org/officeDocument/2006/relationships/image" Target="media/image97.emf"/><Relationship Id="rId167" Type="http://schemas.openxmlformats.org/officeDocument/2006/relationships/image" Target="media/image107.jpeg"/><Relationship Id="rId188" Type="http://schemas.openxmlformats.org/officeDocument/2006/relationships/image" Target="media/image120.emf"/><Relationship Id="rId311" Type="http://schemas.openxmlformats.org/officeDocument/2006/relationships/image" Target="media/image208.jpeg"/><Relationship Id="rId71" Type="http://schemas.openxmlformats.org/officeDocument/2006/relationships/image" Target="media/image38.wmf"/><Relationship Id="rId92" Type="http://schemas.openxmlformats.org/officeDocument/2006/relationships/chart" Target="charts/chart3.xml"/><Relationship Id="rId213" Type="http://schemas.openxmlformats.org/officeDocument/2006/relationships/footer" Target="footer18.xml"/><Relationship Id="rId234" Type="http://schemas.openxmlformats.org/officeDocument/2006/relationships/image" Target="media/image156.jpeg"/><Relationship Id="rId2" Type="http://schemas.openxmlformats.org/officeDocument/2006/relationships/numbering" Target="numbering.xml"/><Relationship Id="rId29" Type="http://schemas.openxmlformats.org/officeDocument/2006/relationships/header" Target="header8.xml"/><Relationship Id="rId255" Type="http://schemas.openxmlformats.org/officeDocument/2006/relationships/image" Target="media/image173.png"/><Relationship Id="rId276" Type="http://schemas.openxmlformats.org/officeDocument/2006/relationships/image" Target="media/image192.png"/><Relationship Id="rId297" Type="http://schemas.openxmlformats.org/officeDocument/2006/relationships/footer" Target="footer29.xml"/><Relationship Id="rId40" Type="http://schemas.openxmlformats.org/officeDocument/2006/relationships/image" Target="media/image14.jpeg"/><Relationship Id="rId115" Type="http://schemas.openxmlformats.org/officeDocument/2006/relationships/image" Target="media/image66.emf"/><Relationship Id="rId136" Type="http://schemas.openxmlformats.org/officeDocument/2006/relationships/image" Target="media/image87.jpeg"/><Relationship Id="rId157" Type="http://schemas.openxmlformats.org/officeDocument/2006/relationships/image" Target="media/image103.emf"/><Relationship Id="rId178" Type="http://schemas.openxmlformats.org/officeDocument/2006/relationships/image" Target="media/image113.jpeg"/><Relationship Id="rId301" Type="http://schemas.openxmlformats.org/officeDocument/2006/relationships/image" Target="media/image201.emf"/><Relationship Id="rId322" Type="http://schemas.openxmlformats.org/officeDocument/2006/relationships/header" Target="header44.xml"/><Relationship Id="rId61" Type="http://schemas.openxmlformats.org/officeDocument/2006/relationships/oleObject" Target="embeddings/oleObject2.bin"/><Relationship Id="rId82" Type="http://schemas.openxmlformats.org/officeDocument/2006/relationships/image" Target="media/image47.wmf"/><Relationship Id="rId199" Type="http://schemas.openxmlformats.org/officeDocument/2006/relationships/image" Target="media/image129.emf"/><Relationship Id="rId203" Type="http://schemas.openxmlformats.org/officeDocument/2006/relationships/image" Target="media/image133.wmf"/><Relationship Id="rId19" Type="http://schemas.openxmlformats.org/officeDocument/2006/relationships/footer" Target="footer5.xml"/><Relationship Id="rId224" Type="http://schemas.openxmlformats.org/officeDocument/2006/relationships/header" Target="header29.xml"/><Relationship Id="rId245" Type="http://schemas.openxmlformats.org/officeDocument/2006/relationships/footer" Target="footer21.xml"/><Relationship Id="rId266" Type="http://schemas.openxmlformats.org/officeDocument/2006/relationships/image" Target="media/image183.png"/><Relationship Id="rId287" Type="http://schemas.openxmlformats.org/officeDocument/2006/relationships/footer" Target="footer24.xml"/></Relationships>
</file>

<file path=word/_rels/header2.xml.rels><?xml version="1.0" encoding="UTF-8" standalone="yes"?>
<Relationships xmlns="http://schemas.openxmlformats.org/package/2006/relationships"><Relationship Id="rId1" Type="http://schemas.openxmlformats.org/officeDocument/2006/relationships/image" Target="media/image1.jpeg"/></Relationships>
</file>

<file path=word/charts/_rels/chart1.xml.rels><?xml version="1.0" encoding="UTF-8" standalone="yes"?>
<Relationships xmlns="http://schemas.openxmlformats.org/package/2006/relationships"><Relationship Id="rId1" Type="http://schemas.openxmlformats.org/officeDocument/2006/relationships/oleObject" Target="file:///\\pvnt01flpr01\user$\A04674\Documents\ERISS\AA%20-%20PROJECTS\Internal%20projects\Sediment%20U%20tox\Results\Main%20Exp\Main%20Exp%20Eukaryotes%20ENVIRO%20and%20Short%20names.xlsx" TargetMode="External"/></Relationships>
</file>

<file path=word/charts/_rels/chart10.xml.rels><?xml version="1.0" encoding="UTF-8" standalone="yes"?>
<Relationships xmlns="http://schemas.openxmlformats.org/package/2006/relationships"><Relationship Id="rId2" Type="http://schemas.openxmlformats.org/officeDocument/2006/relationships/oleObject" Target="file:///E:\WorkingDir\CAESAR_simulations-TLF\TLFsims-July2013\LifeMinePaper2014\plot1-24012014_test9-modPSD6-prt1&amp;2-retest4a-plot2.xlsx" TargetMode="External"/><Relationship Id="rId1" Type="http://schemas.openxmlformats.org/officeDocument/2006/relationships/themeOverride" Target="../theme/themeOverride1.xml"/></Relationships>
</file>

<file path=word/charts/_rels/chart11.xml.rels><?xml version="1.0" encoding="UTF-8" standalone="yes"?>
<Relationships xmlns="http://schemas.openxmlformats.org/package/2006/relationships"><Relationship Id="rId2" Type="http://schemas.openxmlformats.org/officeDocument/2006/relationships/oleObject" Target="file:///E:\WorkingDir\CAESAR_simulations-TLF\TLFsims-July2013\LifeMinePaper2014\plot2-part1&amp;2-PSD6.xlsx" TargetMode="External"/><Relationship Id="rId1" Type="http://schemas.openxmlformats.org/officeDocument/2006/relationships/themeOverride" Target="../theme/themeOverride2.xml"/></Relationships>
</file>

<file path=word/charts/_rels/chart12.xml.rels><?xml version="1.0" encoding="UTF-8" standalone="yes"?>
<Relationships xmlns="http://schemas.openxmlformats.org/package/2006/relationships"><Relationship Id="rId2" Type="http://schemas.openxmlformats.org/officeDocument/2006/relationships/oleObject" Target="file:///C:\cAESAR-sims-JLowry\Plot2\plot2_16022014-wc-10yrs-psd6-part2of2_p1rain-xrainmid\plot2-part1&amp;2-PSD6-10yrs-xrain-yr4.xlsx" TargetMode="External"/><Relationship Id="rId1" Type="http://schemas.openxmlformats.org/officeDocument/2006/relationships/themeOverride" Target="../theme/themeOverride3.xml"/></Relationships>
</file>

<file path=word/charts/_rels/chart13.xml.rels><?xml version="1.0" encoding="UTF-8" standalone="yes"?>
<Relationships xmlns="http://schemas.openxmlformats.org/package/2006/relationships"><Relationship Id="rId2" Type="http://schemas.openxmlformats.org/officeDocument/2006/relationships/oleObject" Target="file:///C:\cAESAR-sims-JLowry\Plot2\plot2_17022014-wc-10yrs-psd6-part2of2_p1rain-xrainend\plot2-part1&amp;2-PSD6-10yrs-xrain-end.xlsx" TargetMode="External"/><Relationship Id="rId1" Type="http://schemas.openxmlformats.org/officeDocument/2006/relationships/themeOverride" Target="../theme/themeOverride4.xml"/></Relationships>
</file>

<file path=word/charts/_rels/chart14.xml.rels><?xml version="1.0" encoding="UTF-8" standalone="yes"?>
<Relationships xmlns="http://schemas.openxmlformats.org/package/2006/relationships"><Relationship Id="rId1" Type="http://schemas.openxmlformats.org/officeDocument/2006/relationships/oleObject" Target="file:///F:\rainfall%20and%20discharge\IDCJAC0001_014198_Data12.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http://spire.nt.environment.gov.au/spire/886642/337976/200900/666/Ecotox%20-%20Reference%20Toxicity%20Testing/Reftox%20-%20Summary%20-%20Control%20charts.xls"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http://spire.nt.environment.gov.au/spire/886642/337976/200900/666/Ecotox%20-%20Reference%20Toxicity%20Testing/Reftox%20-%20Summary%20-%20Control%20charts.xls"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http://spire.nt.environment.gov.au/spire/886642/337976/200900/666/Ecotox%20-%20Reference%20Toxicity%20Testing/Reftox%20-%20Summary%20-%20Control%20charts.xls"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http://spire.nt.environment.gov.au/spire/886642/337976/200900/666/Ecotox%20-%20Reference%20Toxicity%20Testing/Reftox%20-%20Summary%20-%20Control%20charts.xls"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http://spire.nt.environment.gov.au/spire/886642/337976/200900/666/Ecotox%20-%20Reference%20Toxicity%20Testing/Reftox%20-%20Summary%20-%20Control%20charts.xls" TargetMode="External"/></Relationships>
</file>

<file path=word/charts/_rels/chart7.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file:///\\pvnt01flpr01\user$\A17508\Documents\Lemna%20method%20development\Summary%20of%20valid%20modified%20SSW%20tests.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http://spire.nt.environment.gov.au/spire/886642/337976/200900/666/Ecotox%20-%20Reference%20Toxicity%20Testing/Reftox%20-%20Summary%20-%20Control%20charts.xls"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http://spire.nt.environment.gov.au/spire/886642/337976/200900/666/Ecotox%20-%20Reference%20Toxicity%20Testing/Reftox%20-%20Summary%20-%20Control%20charts.xls"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en-AU"/>
  <c:chart>
    <c:plotArea>
      <c:layout/>
      <c:barChart>
        <c:barDir val="col"/>
        <c:grouping val="clustered"/>
        <c:ser>
          <c:idx val="1"/>
          <c:order val="0"/>
          <c:errBars>
            <c:errBarType val="both"/>
            <c:errValType val="cust"/>
            <c:plus>
              <c:numRef>
                <c:f>'SHORTNAMES - SPECIES MARTIX'!$AY$909:$AY$920</c:f>
                <c:numCache>
                  <c:formatCode>General</c:formatCode>
                  <c:ptCount val="12"/>
                  <c:pt idx="0">
                    <c:v>20.998015779274628</c:v>
                  </c:pt>
                  <c:pt idx="1">
                    <c:v>64.654852872771116</c:v>
                  </c:pt>
                  <c:pt idx="2">
                    <c:v>44.372476454065975</c:v>
                  </c:pt>
                  <c:pt idx="3">
                    <c:v>7.0474581706219865</c:v>
                  </c:pt>
                  <c:pt idx="4">
                    <c:v>20.960279896349409</c:v>
                  </c:pt>
                  <c:pt idx="5">
                    <c:v>36.120169803956763</c:v>
                  </c:pt>
                  <c:pt idx="6">
                    <c:v>68.869441699493919</c:v>
                  </c:pt>
                  <c:pt idx="7">
                    <c:v>46.151923036857305</c:v>
                  </c:pt>
                  <c:pt idx="8">
                    <c:v>24.513601666557825</c:v>
                  </c:pt>
                  <c:pt idx="9">
                    <c:v>21.623675296612635</c:v>
                  </c:pt>
                  <c:pt idx="10">
                    <c:v>10.424330514074594</c:v>
                  </c:pt>
                  <c:pt idx="11">
                    <c:v>18.583146486354789</c:v>
                  </c:pt>
                </c:numCache>
              </c:numRef>
            </c:plus>
            <c:minus>
              <c:numRef>
                <c:f>'SHORTNAMES - SPECIES MARTIX'!$AY$909:$AY$920</c:f>
                <c:numCache>
                  <c:formatCode>General</c:formatCode>
                  <c:ptCount val="12"/>
                  <c:pt idx="0">
                    <c:v>20.998015779274628</c:v>
                  </c:pt>
                  <c:pt idx="1">
                    <c:v>64.654852872771116</c:v>
                  </c:pt>
                  <c:pt idx="2">
                    <c:v>44.372476454065975</c:v>
                  </c:pt>
                  <c:pt idx="3">
                    <c:v>7.0474581706219865</c:v>
                  </c:pt>
                  <c:pt idx="4">
                    <c:v>20.960279896349409</c:v>
                  </c:pt>
                  <c:pt idx="5">
                    <c:v>36.120169803956763</c:v>
                  </c:pt>
                  <c:pt idx="6">
                    <c:v>68.869441699493919</c:v>
                  </c:pt>
                  <c:pt idx="7">
                    <c:v>46.151923036857305</c:v>
                  </c:pt>
                  <c:pt idx="8">
                    <c:v>24.513601666557825</c:v>
                  </c:pt>
                  <c:pt idx="9">
                    <c:v>21.623675296612635</c:v>
                  </c:pt>
                  <c:pt idx="10">
                    <c:v>10.424330514074594</c:v>
                  </c:pt>
                  <c:pt idx="11">
                    <c:v>18.583146486354789</c:v>
                  </c:pt>
                </c:numCache>
              </c:numRef>
            </c:minus>
          </c:errBars>
          <c:cat>
            <c:numRef>
              <c:f>'SHORTNAMES - SPECIES MARTIX'!$AW$909:$AW$920</c:f>
              <c:numCache>
                <c:formatCode>General</c:formatCode>
                <c:ptCount val="12"/>
                <c:pt idx="0">
                  <c:v>0</c:v>
                </c:pt>
                <c:pt idx="1">
                  <c:v>50</c:v>
                </c:pt>
                <c:pt idx="2">
                  <c:v>100</c:v>
                </c:pt>
                <c:pt idx="3">
                  <c:v>200</c:v>
                </c:pt>
                <c:pt idx="4">
                  <c:v>400</c:v>
                </c:pt>
                <c:pt idx="5">
                  <c:v>600</c:v>
                </c:pt>
                <c:pt idx="6">
                  <c:v>800</c:v>
                </c:pt>
                <c:pt idx="7">
                  <c:v>1000</c:v>
                </c:pt>
                <c:pt idx="8">
                  <c:v>1500</c:v>
                </c:pt>
                <c:pt idx="9">
                  <c:v>2000</c:v>
                </c:pt>
                <c:pt idx="10">
                  <c:v>3000</c:v>
                </c:pt>
                <c:pt idx="11">
                  <c:v>4000</c:v>
                </c:pt>
              </c:numCache>
            </c:numRef>
          </c:cat>
          <c:val>
            <c:numRef>
              <c:f>'SHORTNAMES - SPECIES MARTIX'!$AX$909:$AX$920</c:f>
              <c:numCache>
                <c:formatCode>General</c:formatCode>
                <c:ptCount val="12"/>
                <c:pt idx="0">
                  <c:v>401.75</c:v>
                </c:pt>
                <c:pt idx="1">
                  <c:v>448.75</c:v>
                </c:pt>
                <c:pt idx="2">
                  <c:v>407.25</c:v>
                </c:pt>
                <c:pt idx="3">
                  <c:v>429.5</c:v>
                </c:pt>
                <c:pt idx="4">
                  <c:v>447</c:v>
                </c:pt>
                <c:pt idx="5">
                  <c:v>381</c:v>
                </c:pt>
                <c:pt idx="6">
                  <c:v>424.5</c:v>
                </c:pt>
                <c:pt idx="7">
                  <c:v>452</c:v>
                </c:pt>
                <c:pt idx="8">
                  <c:v>419.25</c:v>
                </c:pt>
                <c:pt idx="9">
                  <c:v>427.25</c:v>
                </c:pt>
                <c:pt idx="10">
                  <c:v>423</c:v>
                </c:pt>
                <c:pt idx="11">
                  <c:v>441</c:v>
                </c:pt>
              </c:numCache>
            </c:numRef>
          </c:val>
        </c:ser>
        <c:axId val="89805184"/>
        <c:axId val="89807488"/>
      </c:barChart>
      <c:catAx>
        <c:axId val="89805184"/>
        <c:scaling>
          <c:orientation val="minMax"/>
        </c:scaling>
        <c:axPos val="b"/>
        <c:title>
          <c:tx>
            <c:rich>
              <a:bodyPr/>
              <a:lstStyle/>
              <a:p>
                <a:pPr>
                  <a:defRPr/>
                </a:pPr>
                <a:r>
                  <a:rPr lang="en-US"/>
                  <a:t>Nominal Uranium (mg/kg)</a:t>
                </a:r>
              </a:p>
            </c:rich>
          </c:tx>
        </c:title>
        <c:numFmt formatCode="General" sourceLinked="1"/>
        <c:tickLblPos val="nextTo"/>
        <c:crossAx val="89807488"/>
        <c:crosses val="autoZero"/>
        <c:auto val="1"/>
        <c:lblAlgn val="ctr"/>
        <c:lblOffset val="100"/>
      </c:catAx>
      <c:valAx>
        <c:axId val="89807488"/>
        <c:scaling>
          <c:orientation val="minMax"/>
        </c:scaling>
        <c:axPos val="l"/>
        <c:title>
          <c:tx>
            <c:rich>
              <a:bodyPr rot="-5400000" vert="horz"/>
              <a:lstStyle/>
              <a:p>
                <a:pPr>
                  <a:defRPr/>
                </a:pPr>
                <a:r>
                  <a:rPr lang="en-US"/>
                  <a:t>Number of OTUs</a:t>
                </a:r>
              </a:p>
            </c:rich>
          </c:tx>
        </c:title>
        <c:numFmt formatCode="General" sourceLinked="1"/>
        <c:tickLblPos val="nextTo"/>
        <c:crossAx val="89805184"/>
        <c:crosses val="autoZero"/>
        <c:crossBetween val="between"/>
      </c:valAx>
    </c:plotArea>
    <c:plotVisOnly val="1"/>
    <c:dispBlanksAs val="gap"/>
  </c:chart>
  <c:spPr>
    <a:noFill/>
    <a:ln>
      <a:noFill/>
    </a:ln>
  </c:spPr>
  <c:externalData r:id="rId1"/>
</c:chartSpace>
</file>

<file path=word/charts/chart10.xml><?xml version="1.0" encoding="utf-8"?>
<c:chartSpace xmlns:c="http://schemas.openxmlformats.org/drawingml/2006/chart" xmlns:a="http://schemas.openxmlformats.org/drawingml/2006/main" xmlns:r="http://schemas.openxmlformats.org/officeDocument/2006/relationships">
  <c:date1904 val="1"/>
  <c:lang val="en-AU"/>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2558118269283094"/>
          <c:y val="2.3176975891355801E-2"/>
          <c:w val="0.85777310792355499"/>
          <c:h val="0.82138431976540627"/>
        </c:manualLayout>
      </c:layout>
      <c:lineChart>
        <c:grouping val="standard"/>
        <c:ser>
          <c:idx val="0"/>
          <c:order val="0"/>
          <c:tx>
            <c:strRef>
              <c:f>'plot1-tc-par-djalk-sedpar-slope'!$S$1</c:f>
              <c:strCache>
                <c:ptCount val="1"/>
                <c:pt idx="0">
                  <c:v>CumulativeModelBedload</c:v>
                </c:pt>
              </c:strCache>
            </c:strRef>
          </c:tx>
          <c:spPr>
            <a:ln>
              <a:prstDash val="sysDash"/>
            </a:ln>
          </c:spPr>
          <c:marker>
            <c:symbol val="none"/>
          </c:marker>
          <c:cat>
            <c:numRef>
              <c:f>'plot1-tc-par-djalk-sedpar-slope'!$R$2:$R$1461</c:f>
              <c:numCache>
                <c:formatCode>d/mm/yyyy</c:formatCode>
                <c:ptCount val="1460"/>
                <c:pt idx="0">
                  <c:v>40057</c:v>
                </c:pt>
                <c:pt idx="1">
                  <c:v>40058</c:v>
                </c:pt>
                <c:pt idx="2">
                  <c:v>40059</c:v>
                </c:pt>
                <c:pt idx="3">
                  <c:v>40060</c:v>
                </c:pt>
                <c:pt idx="4">
                  <c:v>40061</c:v>
                </c:pt>
                <c:pt idx="5">
                  <c:v>40062</c:v>
                </c:pt>
                <c:pt idx="6">
                  <c:v>40063</c:v>
                </c:pt>
                <c:pt idx="7">
                  <c:v>40064</c:v>
                </c:pt>
                <c:pt idx="8">
                  <c:v>40065</c:v>
                </c:pt>
                <c:pt idx="9">
                  <c:v>40066</c:v>
                </c:pt>
                <c:pt idx="10">
                  <c:v>40067</c:v>
                </c:pt>
                <c:pt idx="11">
                  <c:v>40068</c:v>
                </c:pt>
                <c:pt idx="12">
                  <c:v>40069</c:v>
                </c:pt>
                <c:pt idx="13">
                  <c:v>40070</c:v>
                </c:pt>
                <c:pt idx="14">
                  <c:v>40071</c:v>
                </c:pt>
                <c:pt idx="15">
                  <c:v>40072</c:v>
                </c:pt>
                <c:pt idx="16">
                  <c:v>40073</c:v>
                </c:pt>
                <c:pt idx="17">
                  <c:v>40074</c:v>
                </c:pt>
                <c:pt idx="18">
                  <c:v>40075</c:v>
                </c:pt>
                <c:pt idx="19">
                  <c:v>40076</c:v>
                </c:pt>
                <c:pt idx="20">
                  <c:v>40077</c:v>
                </c:pt>
                <c:pt idx="21">
                  <c:v>40078</c:v>
                </c:pt>
                <c:pt idx="22">
                  <c:v>40079</c:v>
                </c:pt>
                <c:pt idx="23">
                  <c:v>40080</c:v>
                </c:pt>
                <c:pt idx="24">
                  <c:v>40081</c:v>
                </c:pt>
                <c:pt idx="25">
                  <c:v>40082</c:v>
                </c:pt>
                <c:pt idx="26">
                  <c:v>40083</c:v>
                </c:pt>
                <c:pt idx="27">
                  <c:v>40084</c:v>
                </c:pt>
                <c:pt idx="28">
                  <c:v>40085</c:v>
                </c:pt>
                <c:pt idx="29">
                  <c:v>40086</c:v>
                </c:pt>
                <c:pt idx="30">
                  <c:v>40087</c:v>
                </c:pt>
                <c:pt idx="31">
                  <c:v>40088</c:v>
                </c:pt>
                <c:pt idx="32">
                  <c:v>40089</c:v>
                </c:pt>
                <c:pt idx="33">
                  <c:v>40090</c:v>
                </c:pt>
                <c:pt idx="34">
                  <c:v>40091</c:v>
                </c:pt>
                <c:pt idx="35">
                  <c:v>40092</c:v>
                </c:pt>
                <c:pt idx="36">
                  <c:v>40093</c:v>
                </c:pt>
                <c:pt idx="37">
                  <c:v>40094</c:v>
                </c:pt>
                <c:pt idx="38">
                  <c:v>40095</c:v>
                </c:pt>
                <c:pt idx="39">
                  <c:v>40096</c:v>
                </c:pt>
                <c:pt idx="40">
                  <c:v>40097</c:v>
                </c:pt>
                <c:pt idx="41">
                  <c:v>40098</c:v>
                </c:pt>
                <c:pt idx="42">
                  <c:v>40099</c:v>
                </c:pt>
                <c:pt idx="43">
                  <c:v>40100</c:v>
                </c:pt>
                <c:pt idx="44">
                  <c:v>40101</c:v>
                </c:pt>
                <c:pt idx="45">
                  <c:v>40102</c:v>
                </c:pt>
                <c:pt idx="46">
                  <c:v>40103</c:v>
                </c:pt>
                <c:pt idx="47">
                  <c:v>40104</c:v>
                </c:pt>
                <c:pt idx="48">
                  <c:v>40105</c:v>
                </c:pt>
                <c:pt idx="49">
                  <c:v>40106</c:v>
                </c:pt>
                <c:pt idx="50">
                  <c:v>40107</c:v>
                </c:pt>
                <c:pt idx="51">
                  <c:v>40108</c:v>
                </c:pt>
                <c:pt idx="52">
                  <c:v>40109</c:v>
                </c:pt>
                <c:pt idx="53">
                  <c:v>40110</c:v>
                </c:pt>
                <c:pt idx="54">
                  <c:v>40111</c:v>
                </c:pt>
                <c:pt idx="55">
                  <c:v>40112</c:v>
                </c:pt>
                <c:pt idx="56">
                  <c:v>40113</c:v>
                </c:pt>
                <c:pt idx="57">
                  <c:v>40114</c:v>
                </c:pt>
                <c:pt idx="58">
                  <c:v>40115</c:v>
                </c:pt>
                <c:pt idx="59">
                  <c:v>40116</c:v>
                </c:pt>
                <c:pt idx="60">
                  <c:v>40117</c:v>
                </c:pt>
                <c:pt idx="61">
                  <c:v>40118</c:v>
                </c:pt>
                <c:pt idx="62">
                  <c:v>40119</c:v>
                </c:pt>
                <c:pt idx="63">
                  <c:v>40120</c:v>
                </c:pt>
                <c:pt idx="64">
                  <c:v>40121</c:v>
                </c:pt>
                <c:pt idx="65">
                  <c:v>40122</c:v>
                </c:pt>
                <c:pt idx="66">
                  <c:v>40123</c:v>
                </c:pt>
                <c:pt idx="67">
                  <c:v>40124</c:v>
                </c:pt>
                <c:pt idx="68">
                  <c:v>40125</c:v>
                </c:pt>
                <c:pt idx="69">
                  <c:v>40126</c:v>
                </c:pt>
                <c:pt idx="70">
                  <c:v>40127</c:v>
                </c:pt>
                <c:pt idx="71">
                  <c:v>40128</c:v>
                </c:pt>
                <c:pt idx="72">
                  <c:v>40129</c:v>
                </c:pt>
                <c:pt idx="73">
                  <c:v>40130</c:v>
                </c:pt>
                <c:pt idx="74">
                  <c:v>40131</c:v>
                </c:pt>
                <c:pt idx="75">
                  <c:v>40132</c:v>
                </c:pt>
                <c:pt idx="76">
                  <c:v>40133</c:v>
                </c:pt>
                <c:pt idx="77">
                  <c:v>40134</c:v>
                </c:pt>
                <c:pt idx="78">
                  <c:v>40135</c:v>
                </c:pt>
                <c:pt idx="79">
                  <c:v>40136</c:v>
                </c:pt>
                <c:pt idx="80">
                  <c:v>40137</c:v>
                </c:pt>
                <c:pt idx="81">
                  <c:v>40138</c:v>
                </c:pt>
                <c:pt idx="82">
                  <c:v>40139</c:v>
                </c:pt>
                <c:pt idx="83">
                  <c:v>40140</c:v>
                </c:pt>
                <c:pt idx="84">
                  <c:v>40141</c:v>
                </c:pt>
                <c:pt idx="85">
                  <c:v>40142</c:v>
                </c:pt>
                <c:pt idx="86">
                  <c:v>40143</c:v>
                </c:pt>
                <c:pt idx="87">
                  <c:v>40144</c:v>
                </c:pt>
                <c:pt idx="88">
                  <c:v>40145</c:v>
                </c:pt>
                <c:pt idx="89">
                  <c:v>40146</c:v>
                </c:pt>
                <c:pt idx="90">
                  <c:v>40147</c:v>
                </c:pt>
                <c:pt idx="91">
                  <c:v>40148</c:v>
                </c:pt>
                <c:pt idx="92">
                  <c:v>40149</c:v>
                </c:pt>
                <c:pt idx="93">
                  <c:v>40150</c:v>
                </c:pt>
                <c:pt idx="94">
                  <c:v>40151</c:v>
                </c:pt>
                <c:pt idx="95">
                  <c:v>40152</c:v>
                </c:pt>
                <c:pt idx="96">
                  <c:v>40153</c:v>
                </c:pt>
                <c:pt idx="97">
                  <c:v>40154</c:v>
                </c:pt>
                <c:pt idx="98">
                  <c:v>40155</c:v>
                </c:pt>
                <c:pt idx="99">
                  <c:v>40156</c:v>
                </c:pt>
                <c:pt idx="100">
                  <c:v>40157</c:v>
                </c:pt>
                <c:pt idx="101">
                  <c:v>40158</c:v>
                </c:pt>
                <c:pt idx="102">
                  <c:v>40159</c:v>
                </c:pt>
                <c:pt idx="103">
                  <c:v>40160</c:v>
                </c:pt>
                <c:pt idx="104">
                  <c:v>40161</c:v>
                </c:pt>
                <c:pt idx="105">
                  <c:v>40162</c:v>
                </c:pt>
                <c:pt idx="106">
                  <c:v>40163</c:v>
                </c:pt>
                <c:pt idx="107">
                  <c:v>40164</c:v>
                </c:pt>
                <c:pt idx="108">
                  <c:v>40165</c:v>
                </c:pt>
                <c:pt idx="109">
                  <c:v>40166</c:v>
                </c:pt>
                <c:pt idx="110">
                  <c:v>40167</c:v>
                </c:pt>
                <c:pt idx="111">
                  <c:v>40168</c:v>
                </c:pt>
                <c:pt idx="112">
                  <c:v>40169</c:v>
                </c:pt>
                <c:pt idx="113">
                  <c:v>40170</c:v>
                </c:pt>
                <c:pt idx="114">
                  <c:v>40171</c:v>
                </c:pt>
                <c:pt idx="115">
                  <c:v>40172</c:v>
                </c:pt>
                <c:pt idx="116">
                  <c:v>40173</c:v>
                </c:pt>
                <c:pt idx="117">
                  <c:v>40174</c:v>
                </c:pt>
                <c:pt idx="118">
                  <c:v>40175</c:v>
                </c:pt>
                <c:pt idx="119">
                  <c:v>40176</c:v>
                </c:pt>
                <c:pt idx="120">
                  <c:v>40177</c:v>
                </c:pt>
                <c:pt idx="121">
                  <c:v>40178</c:v>
                </c:pt>
                <c:pt idx="122">
                  <c:v>40179</c:v>
                </c:pt>
                <c:pt idx="123">
                  <c:v>40180</c:v>
                </c:pt>
                <c:pt idx="124">
                  <c:v>40181</c:v>
                </c:pt>
                <c:pt idx="125">
                  <c:v>40182</c:v>
                </c:pt>
                <c:pt idx="126">
                  <c:v>40183</c:v>
                </c:pt>
                <c:pt idx="127">
                  <c:v>40184</c:v>
                </c:pt>
                <c:pt idx="128">
                  <c:v>40185</c:v>
                </c:pt>
                <c:pt idx="129">
                  <c:v>40186</c:v>
                </c:pt>
                <c:pt idx="130">
                  <c:v>40187</c:v>
                </c:pt>
                <c:pt idx="131">
                  <c:v>40188</c:v>
                </c:pt>
                <c:pt idx="132">
                  <c:v>40189</c:v>
                </c:pt>
                <c:pt idx="133">
                  <c:v>40190</c:v>
                </c:pt>
                <c:pt idx="134">
                  <c:v>40191</c:v>
                </c:pt>
                <c:pt idx="135">
                  <c:v>40192</c:v>
                </c:pt>
                <c:pt idx="136">
                  <c:v>40193</c:v>
                </c:pt>
                <c:pt idx="137">
                  <c:v>40194</c:v>
                </c:pt>
                <c:pt idx="138">
                  <c:v>40195</c:v>
                </c:pt>
                <c:pt idx="139">
                  <c:v>40196</c:v>
                </c:pt>
                <c:pt idx="140">
                  <c:v>40197</c:v>
                </c:pt>
                <c:pt idx="141">
                  <c:v>40198</c:v>
                </c:pt>
                <c:pt idx="142">
                  <c:v>40199</c:v>
                </c:pt>
                <c:pt idx="143">
                  <c:v>40200</c:v>
                </c:pt>
                <c:pt idx="144">
                  <c:v>40201</c:v>
                </c:pt>
                <c:pt idx="145">
                  <c:v>40202</c:v>
                </c:pt>
                <c:pt idx="146">
                  <c:v>40203</c:v>
                </c:pt>
                <c:pt idx="147">
                  <c:v>40204</c:v>
                </c:pt>
                <c:pt idx="148">
                  <c:v>40205</c:v>
                </c:pt>
                <c:pt idx="149">
                  <c:v>40206</c:v>
                </c:pt>
                <c:pt idx="150">
                  <c:v>40207</c:v>
                </c:pt>
                <c:pt idx="151">
                  <c:v>40208</c:v>
                </c:pt>
                <c:pt idx="152">
                  <c:v>40209</c:v>
                </c:pt>
                <c:pt idx="153">
                  <c:v>40210</c:v>
                </c:pt>
                <c:pt idx="154">
                  <c:v>40211</c:v>
                </c:pt>
                <c:pt idx="155">
                  <c:v>40212</c:v>
                </c:pt>
                <c:pt idx="156">
                  <c:v>40213</c:v>
                </c:pt>
                <c:pt idx="157">
                  <c:v>40214</c:v>
                </c:pt>
                <c:pt idx="158">
                  <c:v>40215</c:v>
                </c:pt>
                <c:pt idx="159">
                  <c:v>40216</c:v>
                </c:pt>
                <c:pt idx="160">
                  <c:v>40217</c:v>
                </c:pt>
                <c:pt idx="161">
                  <c:v>40218</c:v>
                </c:pt>
                <c:pt idx="162">
                  <c:v>40219</c:v>
                </c:pt>
                <c:pt idx="163">
                  <c:v>40220</c:v>
                </c:pt>
                <c:pt idx="164">
                  <c:v>40221</c:v>
                </c:pt>
                <c:pt idx="165">
                  <c:v>40222</c:v>
                </c:pt>
                <c:pt idx="166">
                  <c:v>40223</c:v>
                </c:pt>
                <c:pt idx="167">
                  <c:v>40224</c:v>
                </c:pt>
                <c:pt idx="168">
                  <c:v>40225</c:v>
                </c:pt>
                <c:pt idx="169">
                  <c:v>40226</c:v>
                </c:pt>
                <c:pt idx="170">
                  <c:v>40227</c:v>
                </c:pt>
                <c:pt idx="171">
                  <c:v>40228</c:v>
                </c:pt>
                <c:pt idx="172">
                  <c:v>40229</c:v>
                </c:pt>
                <c:pt idx="173">
                  <c:v>40230</c:v>
                </c:pt>
                <c:pt idx="174">
                  <c:v>40231</c:v>
                </c:pt>
                <c:pt idx="175">
                  <c:v>40232</c:v>
                </c:pt>
                <c:pt idx="176">
                  <c:v>40233</c:v>
                </c:pt>
                <c:pt idx="177">
                  <c:v>40234</c:v>
                </c:pt>
                <c:pt idx="178">
                  <c:v>40235</c:v>
                </c:pt>
                <c:pt idx="179">
                  <c:v>40236</c:v>
                </c:pt>
                <c:pt idx="180">
                  <c:v>40237</c:v>
                </c:pt>
                <c:pt idx="181">
                  <c:v>40238</c:v>
                </c:pt>
                <c:pt idx="182">
                  <c:v>40239</c:v>
                </c:pt>
                <c:pt idx="183">
                  <c:v>40240</c:v>
                </c:pt>
                <c:pt idx="184">
                  <c:v>40241</c:v>
                </c:pt>
                <c:pt idx="185">
                  <c:v>40242</c:v>
                </c:pt>
                <c:pt idx="186">
                  <c:v>40243</c:v>
                </c:pt>
                <c:pt idx="187">
                  <c:v>40244</c:v>
                </c:pt>
                <c:pt idx="188">
                  <c:v>40245</c:v>
                </c:pt>
                <c:pt idx="189">
                  <c:v>40246</c:v>
                </c:pt>
                <c:pt idx="190">
                  <c:v>40247</c:v>
                </c:pt>
                <c:pt idx="191">
                  <c:v>40248</c:v>
                </c:pt>
                <c:pt idx="192">
                  <c:v>40249</c:v>
                </c:pt>
                <c:pt idx="193">
                  <c:v>40250</c:v>
                </c:pt>
                <c:pt idx="194">
                  <c:v>40251</c:v>
                </c:pt>
                <c:pt idx="195">
                  <c:v>40252</c:v>
                </c:pt>
                <c:pt idx="196">
                  <c:v>40253</c:v>
                </c:pt>
                <c:pt idx="197">
                  <c:v>40254</c:v>
                </c:pt>
                <c:pt idx="198">
                  <c:v>40255</c:v>
                </c:pt>
                <c:pt idx="199">
                  <c:v>40256</c:v>
                </c:pt>
                <c:pt idx="200">
                  <c:v>40257</c:v>
                </c:pt>
                <c:pt idx="201">
                  <c:v>40258</c:v>
                </c:pt>
                <c:pt idx="202">
                  <c:v>40259</c:v>
                </c:pt>
                <c:pt idx="203">
                  <c:v>40260</c:v>
                </c:pt>
                <c:pt idx="204">
                  <c:v>40261</c:v>
                </c:pt>
                <c:pt idx="205">
                  <c:v>40262</c:v>
                </c:pt>
                <c:pt idx="206">
                  <c:v>40263</c:v>
                </c:pt>
                <c:pt idx="207">
                  <c:v>40264</c:v>
                </c:pt>
                <c:pt idx="208">
                  <c:v>40265</c:v>
                </c:pt>
                <c:pt idx="209">
                  <c:v>40266</c:v>
                </c:pt>
                <c:pt idx="210">
                  <c:v>40267</c:v>
                </c:pt>
                <c:pt idx="211">
                  <c:v>40268</c:v>
                </c:pt>
                <c:pt idx="212">
                  <c:v>40269</c:v>
                </c:pt>
                <c:pt idx="213">
                  <c:v>40270</c:v>
                </c:pt>
                <c:pt idx="214">
                  <c:v>40271</c:v>
                </c:pt>
                <c:pt idx="215">
                  <c:v>40272</c:v>
                </c:pt>
                <c:pt idx="216">
                  <c:v>40273</c:v>
                </c:pt>
                <c:pt idx="217">
                  <c:v>40274</c:v>
                </c:pt>
                <c:pt idx="218">
                  <c:v>40275</c:v>
                </c:pt>
                <c:pt idx="219">
                  <c:v>40276</c:v>
                </c:pt>
                <c:pt idx="220">
                  <c:v>40277</c:v>
                </c:pt>
                <c:pt idx="221">
                  <c:v>40278</c:v>
                </c:pt>
                <c:pt idx="222">
                  <c:v>40279</c:v>
                </c:pt>
                <c:pt idx="223">
                  <c:v>40280</c:v>
                </c:pt>
                <c:pt idx="224">
                  <c:v>40281</c:v>
                </c:pt>
                <c:pt idx="225">
                  <c:v>40282</c:v>
                </c:pt>
                <c:pt idx="226">
                  <c:v>40283</c:v>
                </c:pt>
                <c:pt idx="227">
                  <c:v>40284</c:v>
                </c:pt>
                <c:pt idx="228">
                  <c:v>40285</c:v>
                </c:pt>
                <c:pt idx="229">
                  <c:v>40286</c:v>
                </c:pt>
                <c:pt idx="230">
                  <c:v>40287</c:v>
                </c:pt>
                <c:pt idx="231">
                  <c:v>40288</c:v>
                </c:pt>
                <c:pt idx="232">
                  <c:v>40289</c:v>
                </c:pt>
                <c:pt idx="233">
                  <c:v>40290</c:v>
                </c:pt>
                <c:pt idx="234">
                  <c:v>40291</c:v>
                </c:pt>
                <c:pt idx="235">
                  <c:v>40292</c:v>
                </c:pt>
                <c:pt idx="236">
                  <c:v>40293</c:v>
                </c:pt>
                <c:pt idx="237">
                  <c:v>40294</c:v>
                </c:pt>
                <c:pt idx="238">
                  <c:v>40295</c:v>
                </c:pt>
                <c:pt idx="239">
                  <c:v>40296</c:v>
                </c:pt>
                <c:pt idx="240">
                  <c:v>40297</c:v>
                </c:pt>
                <c:pt idx="241">
                  <c:v>40298</c:v>
                </c:pt>
                <c:pt idx="242">
                  <c:v>40299</c:v>
                </c:pt>
                <c:pt idx="243">
                  <c:v>40300</c:v>
                </c:pt>
                <c:pt idx="244">
                  <c:v>40301</c:v>
                </c:pt>
                <c:pt idx="245">
                  <c:v>40302</c:v>
                </c:pt>
                <c:pt idx="246">
                  <c:v>40303</c:v>
                </c:pt>
                <c:pt idx="247">
                  <c:v>40304</c:v>
                </c:pt>
                <c:pt idx="248">
                  <c:v>40305</c:v>
                </c:pt>
                <c:pt idx="249">
                  <c:v>40306</c:v>
                </c:pt>
                <c:pt idx="250">
                  <c:v>40307</c:v>
                </c:pt>
                <c:pt idx="251">
                  <c:v>40308</c:v>
                </c:pt>
                <c:pt idx="252">
                  <c:v>40309</c:v>
                </c:pt>
                <c:pt idx="253">
                  <c:v>40310</c:v>
                </c:pt>
                <c:pt idx="254">
                  <c:v>40311</c:v>
                </c:pt>
                <c:pt idx="255">
                  <c:v>40312</c:v>
                </c:pt>
                <c:pt idx="256">
                  <c:v>40313</c:v>
                </c:pt>
                <c:pt idx="257">
                  <c:v>40314</c:v>
                </c:pt>
                <c:pt idx="258">
                  <c:v>40315</c:v>
                </c:pt>
                <c:pt idx="259">
                  <c:v>40316</c:v>
                </c:pt>
                <c:pt idx="260">
                  <c:v>40317</c:v>
                </c:pt>
                <c:pt idx="261">
                  <c:v>40318</c:v>
                </c:pt>
                <c:pt idx="262">
                  <c:v>40319</c:v>
                </c:pt>
                <c:pt idx="263">
                  <c:v>40320</c:v>
                </c:pt>
                <c:pt idx="264">
                  <c:v>40321</c:v>
                </c:pt>
                <c:pt idx="265">
                  <c:v>40322</c:v>
                </c:pt>
                <c:pt idx="266">
                  <c:v>40323</c:v>
                </c:pt>
                <c:pt idx="267">
                  <c:v>40324</c:v>
                </c:pt>
                <c:pt idx="268">
                  <c:v>40325</c:v>
                </c:pt>
                <c:pt idx="269">
                  <c:v>40326</c:v>
                </c:pt>
                <c:pt idx="270">
                  <c:v>40327</c:v>
                </c:pt>
                <c:pt idx="271">
                  <c:v>40328</c:v>
                </c:pt>
                <c:pt idx="272">
                  <c:v>40329</c:v>
                </c:pt>
                <c:pt idx="273">
                  <c:v>40330</c:v>
                </c:pt>
                <c:pt idx="274">
                  <c:v>40331</c:v>
                </c:pt>
                <c:pt idx="275">
                  <c:v>40332</c:v>
                </c:pt>
                <c:pt idx="276">
                  <c:v>40333</c:v>
                </c:pt>
                <c:pt idx="277">
                  <c:v>40334</c:v>
                </c:pt>
                <c:pt idx="278">
                  <c:v>40335</c:v>
                </c:pt>
                <c:pt idx="279">
                  <c:v>40336</c:v>
                </c:pt>
                <c:pt idx="280">
                  <c:v>40337</c:v>
                </c:pt>
                <c:pt idx="281">
                  <c:v>40338</c:v>
                </c:pt>
                <c:pt idx="282">
                  <c:v>40339</c:v>
                </c:pt>
                <c:pt idx="283">
                  <c:v>40340</c:v>
                </c:pt>
                <c:pt idx="284">
                  <c:v>40341</c:v>
                </c:pt>
                <c:pt idx="285">
                  <c:v>40342</c:v>
                </c:pt>
                <c:pt idx="286">
                  <c:v>40343</c:v>
                </c:pt>
                <c:pt idx="287">
                  <c:v>40344</c:v>
                </c:pt>
                <c:pt idx="288">
                  <c:v>40345</c:v>
                </c:pt>
                <c:pt idx="289">
                  <c:v>40346</c:v>
                </c:pt>
                <c:pt idx="290">
                  <c:v>40347</c:v>
                </c:pt>
                <c:pt idx="291">
                  <c:v>40348</c:v>
                </c:pt>
                <c:pt idx="292">
                  <c:v>40349</c:v>
                </c:pt>
                <c:pt idx="293">
                  <c:v>40350</c:v>
                </c:pt>
                <c:pt idx="294">
                  <c:v>40351</c:v>
                </c:pt>
                <c:pt idx="295">
                  <c:v>40352</c:v>
                </c:pt>
                <c:pt idx="296">
                  <c:v>40353</c:v>
                </c:pt>
                <c:pt idx="297">
                  <c:v>40354</c:v>
                </c:pt>
                <c:pt idx="298">
                  <c:v>40355</c:v>
                </c:pt>
                <c:pt idx="299">
                  <c:v>40356</c:v>
                </c:pt>
                <c:pt idx="300">
                  <c:v>40357</c:v>
                </c:pt>
                <c:pt idx="301">
                  <c:v>40358</c:v>
                </c:pt>
                <c:pt idx="302">
                  <c:v>40359</c:v>
                </c:pt>
                <c:pt idx="303">
                  <c:v>40360</c:v>
                </c:pt>
                <c:pt idx="304">
                  <c:v>40361</c:v>
                </c:pt>
                <c:pt idx="305">
                  <c:v>40362</c:v>
                </c:pt>
                <c:pt idx="306">
                  <c:v>40363</c:v>
                </c:pt>
                <c:pt idx="307">
                  <c:v>40364</c:v>
                </c:pt>
                <c:pt idx="308">
                  <c:v>40365</c:v>
                </c:pt>
                <c:pt idx="309">
                  <c:v>40366</c:v>
                </c:pt>
                <c:pt idx="310">
                  <c:v>40367</c:v>
                </c:pt>
                <c:pt idx="311">
                  <c:v>40368</c:v>
                </c:pt>
                <c:pt idx="312">
                  <c:v>40369</c:v>
                </c:pt>
                <c:pt idx="313">
                  <c:v>40370</c:v>
                </c:pt>
                <c:pt idx="314">
                  <c:v>40371</c:v>
                </c:pt>
                <c:pt idx="315">
                  <c:v>40372</c:v>
                </c:pt>
                <c:pt idx="316">
                  <c:v>40373</c:v>
                </c:pt>
                <c:pt idx="317">
                  <c:v>40374</c:v>
                </c:pt>
                <c:pt idx="318">
                  <c:v>40375</c:v>
                </c:pt>
                <c:pt idx="319">
                  <c:v>40376</c:v>
                </c:pt>
                <c:pt idx="320">
                  <c:v>40377</c:v>
                </c:pt>
                <c:pt idx="321">
                  <c:v>40378</c:v>
                </c:pt>
                <c:pt idx="322">
                  <c:v>40379</c:v>
                </c:pt>
                <c:pt idx="323">
                  <c:v>40380</c:v>
                </c:pt>
                <c:pt idx="324">
                  <c:v>40381</c:v>
                </c:pt>
                <c:pt idx="325">
                  <c:v>40382</c:v>
                </c:pt>
                <c:pt idx="326">
                  <c:v>40383</c:v>
                </c:pt>
                <c:pt idx="327">
                  <c:v>40384</c:v>
                </c:pt>
                <c:pt idx="328">
                  <c:v>40385</c:v>
                </c:pt>
                <c:pt idx="329">
                  <c:v>40386</c:v>
                </c:pt>
                <c:pt idx="330">
                  <c:v>40387</c:v>
                </c:pt>
                <c:pt idx="331">
                  <c:v>40388</c:v>
                </c:pt>
                <c:pt idx="332">
                  <c:v>40389</c:v>
                </c:pt>
                <c:pt idx="333">
                  <c:v>40390</c:v>
                </c:pt>
                <c:pt idx="334">
                  <c:v>40391</c:v>
                </c:pt>
                <c:pt idx="335">
                  <c:v>40392</c:v>
                </c:pt>
                <c:pt idx="336">
                  <c:v>40393</c:v>
                </c:pt>
                <c:pt idx="337">
                  <c:v>40394</c:v>
                </c:pt>
                <c:pt idx="338">
                  <c:v>40395</c:v>
                </c:pt>
                <c:pt idx="339">
                  <c:v>40396</c:v>
                </c:pt>
                <c:pt idx="340">
                  <c:v>40397</c:v>
                </c:pt>
                <c:pt idx="341">
                  <c:v>40398</c:v>
                </c:pt>
                <c:pt idx="342">
                  <c:v>40399</c:v>
                </c:pt>
                <c:pt idx="343">
                  <c:v>40400</c:v>
                </c:pt>
                <c:pt idx="344">
                  <c:v>40401</c:v>
                </c:pt>
                <c:pt idx="345">
                  <c:v>40402</c:v>
                </c:pt>
                <c:pt idx="346">
                  <c:v>40403</c:v>
                </c:pt>
                <c:pt idx="347">
                  <c:v>40404</c:v>
                </c:pt>
                <c:pt idx="348">
                  <c:v>40405</c:v>
                </c:pt>
                <c:pt idx="349">
                  <c:v>40406</c:v>
                </c:pt>
                <c:pt idx="350">
                  <c:v>40407</c:v>
                </c:pt>
                <c:pt idx="351">
                  <c:v>40408</c:v>
                </c:pt>
                <c:pt idx="352">
                  <c:v>40409</c:v>
                </c:pt>
                <c:pt idx="353">
                  <c:v>40410</c:v>
                </c:pt>
                <c:pt idx="354">
                  <c:v>40411</c:v>
                </c:pt>
                <c:pt idx="355">
                  <c:v>40412</c:v>
                </c:pt>
                <c:pt idx="356">
                  <c:v>40413</c:v>
                </c:pt>
                <c:pt idx="357">
                  <c:v>40414</c:v>
                </c:pt>
                <c:pt idx="358">
                  <c:v>40415</c:v>
                </c:pt>
                <c:pt idx="359">
                  <c:v>40416</c:v>
                </c:pt>
                <c:pt idx="360">
                  <c:v>40417</c:v>
                </c:pt>
                <c:pt idx="361">
                  <c:v>40418</c:v>
                </c:pt>
                <c:pt idx="362">
                  <c:v>40419</c:v>
                </c:pt>
                <c:pt idx="363">
                  <c:v>40420</c:v>
                </c:pt>
                <c:pt idx="364">
                  <c:v>40421</c:v>
                </c:pt>
                <c:pt idx="365">
                  <c:v>40422</c:v>
                </c:pt>
                <c:pt idx="366">
                  <c:v>40423</c:v>
                </c:pt>
                <c:pt idx="367">
                  <c:v>40424</c:v>
                </c:pt>
                <c:pt idx="368">
                  <c:v>40425</c:v>
                </c:pt>
                <c:pt idx="369">
                  <c:v>40426</c:v>
                </c:pt>
                <c:pt idx="370">
                  <c:v>40427</c:v>
                </c:pt>
                <c:pt idx="371">
                  <c:v>40428</c:v>
                </c:pt>
                <c:pt idx="372">
                  <c:v>40429</c:v>
                </c:pt>
                <c:pt idx="373">
                  <c:v>40430</c:v>
                </c:pt>
                <c:pt idx="374">
                  <c:v>40431</c:v>
                </c:pt>
                <c:pt idx="375">
                  <c:v>40432</c:v>
                </c:pt>
                <c:pt idx="376">
                  <c:v>40433</c:v>
                </c:pt>
                <c:pt idx="377">
                  <c:v>40434</c:v>
                </c:pt>
                <c:pt idx="378">
                  <c:v>40435</c:v>
                </c:pt>
                <c:pt idx="379">
                  <c:v>40436</c:v>
                </c:pt>
                <c:pt idx="380">
                  <c:v>40437</c:v>
                </c:pt>
                <c:pt idx="381">
                  <c:v>40438</c:v>
                </c:pt>
                <c:pt idx="382">
                  <c:v>40439</c:v>
                </c:pt>
                <c:pt idx="383">
                  <c:v>40440</c:v>
                </c:pt>
                <c:pt idx="384">
                  <c:v>40441</c:v>
                </c:pt>
                <c:pt idx="385">
                  <c:v>40442</c:v>
                </c:pt>
                <c:pt idx="386">
                  <c:v>40443</c:v>
                </c:pt>
                <c:pt idx="387">
                  <c:v>40444</c:v>
                </c:pt>
                <c:pt idx="388">
                  <c:v>40445</c:v>
                </c:pt>
                <c:pt idx="389">
                  <c:v>40446</c:v>
                </c:pt>
                <c:pt idx="390">
                  <c:v>40447</c:v>
                </c:pt>
                <c:pt idx="391">
                  <c:v>40448</c:v>
                </c:pt>
                <c:pt idx="392">
                  <c:v>40449</c:v>
                </c:pt>
                <c:pt idx="393">
                  <c:v>40450</c:v>
                </c:pt>
                <c:pt idx="394">
                  <c:v>40451</c:v>
                </c:pt>
                <c:pt idx="395">
                  <c:v>40452</c:v>
                </c:pt>
                <c:pt idx="396">
                  <c:v>40453</c:v>
                </c:pt>
                <c:pt idx="397">
                  <c:v>40454</c:v>
                </c:pt>
                <c:pt idx="398">
                  <c:v>40455</c:v>
                </c:pt>
                <c:pt idx="399">
                  <c:v>40456</c:v>
                </c:pt>
                <c:pt idx="400">
                  <c:v>40457</c:v>
                </c:pt>
                <c:pt idx="401">
                  <c:v>40458</c:v>
                </c:pt>
                <c:pt idx="402">
                  <c:v>40459</c:v>
                </c:pt>
                <c:pt idx="403">
                  <c:v>40460</c:v>
                </c:pt>
                <c:pt idx="404">
                  <c:v>40461</c:v>
                </c:pt>
                <c:pt idx="405">
                  <c:v>40462</c:v>
                </c:pt>
                <c:pt idx="406">
                  <c:v>40463</c:v>
                </c:pt>
                <c:pt idx="407">
                  <c:v>40464</c:v>
                </c:pt>
                <c:pt idx="408">
                  <c:v>40465</c:v>
                </c:pt>
                <c:pt idx="409">
                  <c:v>40466</c:v>
                </c:pt>
                <c:pt idx="410">
                  <c:v>40467</c:v>
                </c:pt>
                <c:pt idx="411">
                  <c:v>40468</c:v>
                </c:pt>
                <c:pt idx="412">
                  <c:v>40469</c:v>
                </c:pt>
                <c:pt idx="413">
                  <c:v>40470</c:v>
                </c:pt>
                <c:pt idx="414">
                  <c:v>40471</c:v>
                </c:pt>
                <c:pt idx="415">
                  <c:v>40472</c:v>
                </c:pt>
                <c:pt idx="416">
                  <c:v>40473</c:v>
                </c:pt>
                <c:pt idx="417">
                  <c:v>40474</c:v>
                </c:pt>
                <c:pt idx="418">
                  <c:v>40475</c:v>
                </c:pt>
                <c:pt idx="419">
                  <c:v>40476</c:v>
                </c:pt>
                <c:pt idx="420">
                  <c:v>40477</c:v>
                </c:pt>
                <c:pt idx="421">
                  <c:v>40478</c:v>
                </c:pt>
                <c:pt idx="422">
                  <c:v>40479</c:v>
                </c:pt>
                <c:pt idx="423">
                  <c:v>40480</c:v>
                </c:pt>
                <c:pt idx="424">
                  <c:v>40481</c:v>
                </c:pt>
                <c:pt idx="425">
                  <c:v>40482</c:v>
                </c:pt>
                <c:pt idx="426">
                  <c:v>40483</c:v>
                </c:pt>
                <c:pt idx="427">
                  <c:v>40484</c:v>
                </c:pt>
                <c:pt idx="428">
                  <c:v>40485</c:v>
                </c:pt>
                <c:pt idx="429">
                  <c:v>40486</c:v>
                </c:pt>
                <c:pt idx="430">
                  <c:v>40487</c:v>
                </c:pt>
                <c:pt idx="431">
                  <c:v>40488</c:v>
                </c:pt>
                <c:pt idx="432">
                  <c:v>40489</c:v>
                </c:pt>
                <c:pt idx="433">
                  <c:v>40490</c:v>
                </c:pt>
                <c:pt idx="434">
                  <c:v>40491</c:v>
                </c:pt>
                <c:pt idx="435">
                  <c:v>40492</c:v>
                </c:pt>
                <c:pt idx="436">
                  <c:v>40493</c:v>
                </c:pt>
                <c:pt idx="437">
                  <c:v>40494</c:v>
                </c:pt>
                <c:pt idx="438">
                  <c:v>40495</c:v>
                </c:pt>
                <c:pt idx="439">
                  <c:v>40496</c:v>
                </c:pt>
                <c:pt idx="440">
                  <c:v>40497</c:v>
                </c:pt>
                <c:pt idx="441">
                  <c:v>40498</c:v>
                </c:pt>
                <c:pt idx="442">
                  <c:v>40499</c:v>
                </c:pt>
                <c:pt idx="443">
                  <c:v>40500</c:v>
                </c:pt>
                <c:pt idx="444">
                  <c:v>40501</c:v>
                </c:pt>
                <c:pt idx="445">
                  <c:v>40502</c:v>
                </c:pt>
                <c:pt idx="446">
                  <c:v>40503</c:v>
                </c:pt>
                <c:pt idx="447">
                  <c:v>40504</c:v>
                </c:pt>
                <c:pt idx="448">
                  <c:v>40505</c:v>
                </c:pt>
                <c:pt idx="449">
                  <c:v>40506</c:v>
                </c:pt>
                <c:pt idx="450">
                  <c:v>40507</c:v>
                </c:pt>
                <c:pt idx="451">
                  <c:v>40508</c:v>
                </c:pt>
                <c:pt idx="452">
                  <c:v>40509</c:v>
                </c:pt>
                <c:pt idx="453">
                  <c:v>40510</c:v>
                </c:pt>
                <c:pt idx="454">
                  <c:v>40511</c:v>
                </c:pt>
                <c:pt idx="455">
                  <c:v>40512</c:v>
                </c:pt>
                <c:pt idx="456">
                  <c:v>40513</c:v>
                </c:pt>
                <c:pt idx="457">
                  <c:v>40514</c:v>
                </c:pt>
                <c:pt idx="458">
                  <c:v>40515</c:v>
                </c:pt>
                <c:pt idx="459">
                  <c:v>40516</c:v>
                </c:pt>
                <c:pt idx="460">
                  <c:v>40517</c:v>
                </c:pt>
                <c:pt idx="461">
                  <c:v>40518</c:v>
                </c:pt>
                <c:pt idx="462">
                  <c:v>40519</c:v>
                </c:pt>
                <c:pt idx="463">
                  <c:v>40520</c:v>
                </c:pt>
                <c:pt idx="464">
                  <c:v>40521</c:v>
                </c:pt>
                <c:pt idx="465">
                  <c:v>40522</c:v>
                </c:pt>
                <c:pt idx="466">
                  <c:v>40523</c:v>
                </c:pt>
                <c:pt idx="467">
                  <c:v>40524</c:v>
                </c:pt>
                <c:pt idx="468">
                  <c:v>40525</c:v>
                </c:pt>
                <c:pt idx="469">
                  <c:v>40526</c:v>
                </c:pt>
                <c:pt idx="470">
                  <c:v>40527</c:v>
                </c:pt>
                <c:pt idx="471">
                  <c:v>40528</c:v>
                </c:pt>
                <c:pt idx="472">
                  <c:v>40529</c:v>
                </c:pt>
                <c:pt idx="473">
                  <c:v>40530</c:v>
                </c:pt>
                <c:pt idx="474">
                  <c:v>40531</c:v>
                </c:pt>
                <c:pt idx="475">
                  <c:v>40532</c:v>
                </c:pt>
                <c:pt idx="476">
                  <c:v>40533</c:v>
                </c:pt>
                <c:pt idx="477">
                  <c:v>40534</c:v>
                </c:pt>
                <c:pt idx="478">
                  <c:v>40535</c:v>
                </c:pt>
                <c:pt idx="479">
                  <c:v>40536</c:v>
                </c:pt>
                <c:pt idx="480">
                  <c:v>40537</c:v>
                </c:pt>
                <c:pt idx="481">
                  <c:v>40538</c:v>
                </c:pt>
                <c:pt idx="482">
                  <c:v>40539</c:v>
                </c:pt>
                <c:pt idx="483">
                  <c:v>40540</c:v>
                </c:pt>
                <c:pt idx="484">
                  <c:v>40541</c:v>
                </c:pt>
                <c:pt idx="485">
                  <c:v>40542</c:v>
                </c:pt>
                <c:pt idx="486">
                  <c:v>40543</c:v>
                </c:pt>
                <c:pt idx="487">
                  <c:v>40544</c:v>
                </c:pt>
                <c:pt idx="488">
                  <c:v>40545</c:v>
                </c:pt>
                <c:pt idx="489">
                  <c:v>40546</c:v>
                </c:pt>
                <c:pt idx="490">
                  <c:v>40547</c:v>
                </c:pt>
                <c:pt idx="491">
                  <c:v>40548</c:v>
                </c:pt>
                <c:pt idx="492">
                  <c:v>40549</c:v>
                </c:pt>
                <c:pt idx="493">
                  <c:v>40550</c:v>
                </c:pt>
                <c:pt idx="494">
                  <c:v>40551</c:v>
                </c:pt>
                <c:pt idx="495">
                  <c:v>40552</c:v>
                </c:pt>
                <c:pt idx="496">
                  <c:v>40553</c:v>
                </c:pt>
                <c:pt idx="497">
                  <c:v>40554</c:v>
                </c:pt>
                <c:pt idx="498">
                  <c:v>40555</c:v>
                </c:pt>
                <c:pt idx="499">
                  <c:v>40556</c:v>
                </c:pt>
                <c:pt idx="500">
                  <c:v>40557</c:v>
                </c:pt>
                <c:pt idx="501">
                  <c:v>40558</c:v>
                </c:pt>
                <c:pt idx="502">
                  <c:v>40559</c:v>
                </c:pt>
                <c:pt idx="503">
                  <c:v>40560</c:v>
                </c:pt>
                <c:pt idx="504">
                  <c:v>40561</c:v>
                </c:pt>
                <c:pt idx="505">
                  <c:v>40562</c:v>
                </c:pt>
                <c:pt idx="506">
                  <c:v>40563</c:v>
                </c:pt>
                <c:pt idx="507">
                  <c:v>40564</c:v>
                </c:pt>
                <c:pt idx="508">
                  <c:v>40565</c:v>
                </c:pt>
                <c:pt idx="509">
                  <c:v>40566</c:v>
                </c:pt>
                <c:pt idx="510">
                  <c:v>40567</c:v>
                </c:pt>
                <c:pt idx="511">
                  <c:v>40568</c:v>
                </c:pt>
                <c:pt idx="512">
                  <c:v>40569</c:v>
                </c:pt>
                <c:pt idx="513">
                  <c:v>40570</c:v>
                </c:pt>
                <c:pt idx="514">
                  <c:v>40571</c:v>
                </c:pt>
                <c:pt idx="515">
                  <c:v>40572</c:v>
                </c:pt>
                <c:pt idx="516">
                  <c:v>40573</c:v>
                </c:pt>
                <c:pt idx="517">
                  <c:v>40574</c:v>
                </c:pt>
                <c:pt idx="518">
                  <c:v>40575</c:v>
                </c:pt>
                <c:pt idx="519">
                  <c:v>40576</c:v>
                </c:pt>
                <c:pt idx="520">
                  <c:v>40577</c:v>
                </c:pt>
                <c:pt idx="521">
                  <c:v>40578</c:v>
                </c:pt>
                <c:pt idx="522">
                  <c:v>40579</c:v>
                </c:pt>
                <c:pt idx="523">
                  <c:v>40580</c:v>
                </c:pt>
                <c:pt idx="524">
                  <c:v>40581</c:v>
                </c:pt>
                <c:pt idx="525">
                  <c:v>40582</c:v>
                </c:pt>
                <c:pt idx="526">
                  <c:v>40583</c:v>
                </c:pt>
                <c:pt idx="527">
                  <c:v>40584</c:v>
                </c:pt>
                <c:pt idx="528">
                  <c:v>40585</c:v>
                </c:pt>
                <c:pt idx="529">
                  <c:v>40586</c:v>
                </c:pt>
                <c:pt idx="530">
                  <c:v>40587</c:v>
                </c:pt>
                <c:pt idx="531">
                  <c:v>40588</c:v>
                </c:pt>
                <c:pt idx="532">
                  <c:v>40589</c:v>
                </c:pt>
                <c:pt idx="533">
                  <c:v>40590</c:v>
                </c:pt>
                <c:pt idx="534">
                  <c:v>40591</c:v>
                </c:pt>
                <c:pt idx="535">
                  <c:v>40592</c:v>
                </c:pt>
                <c:pt idx="536">
                  <c:v>40593</c:v>
                </c:pt>
                <c:pt idx="537">
                  <c:v>40594</c:v>
                </c:pt>
                <c:pt idx="538">
                  <c:v>40595</c:v>
                </c:pt>
                <c:pt idx="539">
                  <c:v>40596</c:v>
                </c:pt>
                <c:pt idx="540">
                  <c:v>40597</c:v>
                </c:pt>
                <c:pt idx="541">
                  <c:v>40598</c:v>
                </c:pt>
                <c:pt idx="542">
                  <c:v>40599</c:v>
                </c:pt>
                <c:pt idx="543">
                  <c:v>40600</c:v>
                </c:pt>
                <c:pt idx="544">
                  <c:v>40601</c:v>
                </c:pt>
                <c:pt idx="545">
                  <c:v>40602</c:v>
                </c:pt>
                <c:pt idx="546">
                  <c:v>40603</c:v>
                </c:pt>
                <c:pt idx="547">
                  <c:v>40604</c:v>
                </c:pt>
                <c:pt idx="548">
                  <c:v>40605</c:v>
                </c:pt>
                <c:pt idx="549">
                  <c:v>40606</c:v>
                </c:pt>
                <c:pt idx="550">
                  <c:v>40607</c:v>
                </c:pt>
                <c:pt idx="551">
                  <c:v>40608</c:v>
                </c:pt>
                <c:pt idx="552">
                  <c:v>40609</c:v>
                </c:pt>
                <c:pt idx="553">
                  <c:v>40610</c:v>
                </c:pt>
                <c:pt idx="554">
                  <c:v>40611</c:v>
                </c:pt>
                <c:pt idx="555">
                  <c:v>40612</c:v>
                </c:pt>
                <c:pt idx="556">
                  <c:v>40613</c:v>
                </c:pt>
                <c:pt idx="557">
                  <c:v>40614</c:v>
                </c:pt>
                <c:pt idx="558">
                  <c:v>40615</c:v>
                </c:pt>
                <c:pt idx="559">
                  <c:v>40616</c:v>
                </c:pt>
                <c:pt idx="560">
                  <c:v>40617</c:v>
                </c:pt>
                <c:pt idx="561">
                  <c:v>40618</c:v>
                </c:pt>
                <c:pt idx="562">
                  <c:v>40619</c:v>
                </c:pt>
                <c:pt idx="563">
                  <c:v>40620</c:v>
                </c:pt>
                <c:pt idx="564">
                  <c:v>40621</c:v>
                </c:pt>
                <c:pt idx="565">
                  <c:v>40622</c:v>
                </c:pt>
                <c:pt idx="566">
                  <c:v>40623</c:v>
                </c:pt>
                <c:pt idx="567">
                  <c:v>40624</c:v>
                </c:pt>
                <c:pt idx="568">
                  <c:v>40625</c:v>
                </c:pt>
                <c:pt idx="569">
                  <c:v>40626</c:v>
                </c:pt>
                <c:pt idx="570">
                  <c:v>40627</c:v>
                </c:pt>
                <c:pt idx="571">
                  <c:v>40628</c:v>
                </c:pt>
                <c:pt idx="572">
                  <c:v>40629</c:v>
                </c:pt>
                <c:pt idx="573">
                  <c:v>40630</c:v>
                </c:pt>
                <c:pt idx="574">
                  <c:v>40631</c:v>
                </c:pt>
                <c:pt idx="575">
                  <c:v>40632</c:v>
                </c:pt>
                <c:pt idx="576">
                  <c:v>40633</c:v>
                </c:pt>
                <c:pt idx="577">
                  <c:v>40634</c:v>
                </c:pt>
                <c:pt idx="578">
                  <c:v>40635</c:v>
                </c:pt>
                <c:pt idx="579">
                  <c:v>40636</c:v>
                </c:pt>
                <c:pt idx="580">
                  <c:v>40637</c:v>
                </c:pt>
                <c:pt idx="581">
                  <c:v>40638</c:v>
                </c:pt>
                <c:pt idx="582">
                  <c:v>40639</c:v>
                </c:pt>
                <c:pt idx="583">
                  <c:v>40640</c:v>
                </c:pt>
                <c:pt idx="584">
                  <c:v>40641</c:v>
                </c:pt>
                <c:pt idx="585">
                  <c:v>40642</c:v>
                </c:pt>
                <c:pt idx="586">
                  <c:v>40643</c:v>
                </c:pt>
                <c:pt idx="587">
                  <c:v>40644</c:v>
                </c:pt>
                <c:pt idx="588">
                  <c:v>40645</c:v>
                </c:pt>
                <c:pt idx="589">
                  <c:v>40646</c:v>
                </c:pt>
                <c:pt idx="590">
                  <c:v>40647</c:v>
                </c:pt>
                <c:pt idx="591">
                  <c:v>40648</c:v>
                </c:pt>
                <c:pt idx="592">
                  <c:v>40649</c:v>
                </c:pt>
                <c:pt idx="593">
                  <c:v>40650</c:v>
                </c:pt>
                <c:pt idx="594">
                  <c:v>40651</c:v>
                </c:pt>
                <c:pt idx="595">
                  <c:v>40652</c:v>
                </c:pt>
                <c:pt idx="596">
                  <c:v>40653</c:v>
                </c:pt>
                <c:pt idx="597">
                  <c:v>40654</c:v>
                </c:pt>
                <c:pt idx="598">
                  <c:v>40655</c:v>
                </c:pt>
                <c:pt idx="599">
                  <c:v>40656</c:v>
                </c:pt>
                <c:pt idx="600">
                  <c:v>40657</c:v>
                </c:pt>
                <c:pt idx="601">
                  <c:v>40658</c:v>
                </c:pt>
                <c:pt idx="602">
                  <c:v>40659</c:v>
                </c:pt>
                <c:pt idx="603">
                  <c:v>40660</c:v>
                </c:pt>
                <c:pt idx="604">
                  <c:v>40661</c:v>
                </c:pt>
                <c:pt idx="605">
                  <c:v>40662</c:v>
                </c:pt>
                <c:pt idx="606">
                  <c:v>40663</c:v>
                </c:pt>
                <c:pt idx="607">
                  <c:v>40664</c:v>
                </c:pt>
                <c:pt idx="608">
                  <c:v>40665</c:v>
                </c:pt>
                <c:pt idx="609">
                  <c:v>40666</c:v>
                </c:pt>
                <c:pt idx="610">
                  <c:v>40667</c:v>
                </c:pt>
                <c:pt idx="611">
                  <c:v>40668</c:v>
                </c:pt>
                <c:pt idx="612">
                  <c:v>40669</c:v>
                </c:pt>
                <c:pt idx="613">
                  <c:v>40670</c:v>
                </c:pt>
                <c:pt idx="614">
                  <c:v>40671</c:v>
                </c:pt>
                <c:pt idx="615">
                  <c:v>40672</c:v>
                </c:pt>
                <c:pt idx="616">
                  <c:v>40673</c:v>
                </c:pt>
                <c:pt idx="617">
                  <c:v>40674</c:v>
                </c:pt>
                <c:pt idx="618">
                  <c:v>40675</c:v>
                </c:pt>
                <c:pt idx="619">
                  <c:v>40676</c:v>
                </c:pt>
                <c:pt idx="620">
                  <c:v>40677</c:v>
                </c:pt>
                <c:pt idx="621">
                  <c:v>40678</c:v>
                </c:pt>
                <c:pt idx="622">
                  <c:v>40679</c:v>
                </c:pt>
                <c:pt idx="623">
                  <c:v>40680</c:v>
                </c:pt>
                <c:pt idx="624">
                  <c:v>40681</c:v>
                </c:pt>
                <c:pt idx="625">
                  <c:v>40682</c:v>
                </c:pt>
                <c:pt idx="626">
                  <c:v>40683</c:v>
                </c:pt>
                <c:pt idx="627">
                  <c:v>40684</c:v>
                </c:pt>
                <c:pt idx="628">
                  <c:v>40685</c:v>
                </c:pt>
                <c:pt idx="629">
                  <c:v>40686</c:v>
                </c:pt>
                <c:pt idx="630">
                  <c:v>40687</c:v>
                </c:pt>
                <c:pt idx="631">
                  <c:v>40688</c:v>
                </c:pt>
                <c:pt idx="632">
                  <c:v>40689</c:v>
                </c:pt>
                <c:pt idx="633">
                  <c:v>40690</c:v>
                </c:pt>
                <c:pt idx="634">
                  <c:v>40691</c:v>
                </c:pt>
                <c:pt idx="635">
                  <c:v>40692</c:v>
                </c:pt>
                <c:pt idx="636">
                  <c:v>40693</c:v>
                </c:pt>
                <c:pt idx="637">
                  <c:v>40694</c:v>
                </c:pt>
                <c:pt idx="638">
                  <c:v>40695</c:v>
                </c:pt>
                <c:pt idx="639">
                  <c:v>40696</c:v>
                </c:pt>
                <c:pt idx="640">
                  <c:v>40697</c:v>
                </c:pt>
                <c:pt idx="641">
                  <c:v>40698</c:v>
                </c:pt>
                <c:pt idx="642">
                  <c:v>40699</c:v>
                </c:pt>
                <c:pt idx="643">
                  <c:v>40700</c:v>
                </c:pt>
                <c:pt idx="644">
                  <c:v>40701</c:v>
                </c:pt>
                <c:pt idx="645">
                  <c:v>40702</c:v>
                </c:pt>
                <c:pt idx="646">
                  <c:v>40703</c:v>
                </c:pt>
                <c:pt idx="647">
                  <c:v>40704</c:v>
                </c:pt>
                <c:pt idx="648">
                  <c:v>40705</c:v>
                </c:pt>
                <c:pt idx="649">
                  <c:v>40706</c:v>
                </c:pt>
                <c:pt idx="650">
                  <c:v>40707</c:v>
                </c:pt>
                <c:pt idx="651">
                  <c:v>40708</c:v>
                </c:pt>
                <c:pt idx="652">
                  <c:v>40709</c:v>
                </c:pt>
                <c:pt idx="653">
                  <c:v>40710</c:v>
                </c:pt>
                <c:pt idx="654">
                  <c:v>40711</c:v>
                </c:pt>
                <c:pt idx="655">
                  <c:v>40712</c:v>
                </c:pt>
                <c:pt idx="656">
                  <c:v>40713</c:v>
                </c:pt>
                <c:pt idx="657">
                  <c:v>40714</c:v>
                </c:pt>
                <c:pt idx="658">
                  <c:v>40715</c:v>
                </c:pt>
                <c:pt idx="659">
                  <c:v>40716</c:v>
                </c:pt>
                <c:pt idx="660">
                  <c:v>40717</c:v>
                </c:pt>
                <c:pt idx="661">
                  <c:v>40718</c:v>
                </c:pt>
                <c:pt idx="662">
                  <c:v>40719</c:v>
                </c:pt>
                <c:pt idx="663">
                  <c:v>40720</c:v>
                </c:pt>
                <c:pt idx="664">
                  <c:v>40721</c:v>
                </c:pt>
                <c:pt idx="665">
                  <c:v>40722</c:v>
                </c:pt>
                <c:pt idx="666">
                  <c:v>40723</c:v>
                </c:pt>
                <c:pt idx="667">
                  <c:v>40724</c:v>
                </c:pt>
                <c:pt idx="668">
                  <c:v>40725</c:v>
                </c:pt>
                <c:pt idx="669">
                  <c:v>40726</c:v>
                </c:pt>
                <c:pt idx="670">
                  <c:v>40727</c:v>
                </c:pt>
                <c:pt idx="671">
                  <c:v>40728</c:v>
                </c:pt>
                <c:pt idx="672">
                  <c:v>40729</c:v>
                </c:pt>
                <c:pt idx="673">
                  <c:v>40730</c:v>
                </c:pt>
                <c:pt idx="674">
                  <c:v>40731</c:v>
                </c:pt>
                <c:pt idx="675">
                  <c:v>40732</c:v>
                </c:pt>
                <c:pt idx="676">
                  <c:v>40733</c:v>
                </c:pt>
                <c:pt idx="677">
                  <c:v>40734</c:v>
                </c:pt>
                <c:pt idx="678">
                  <c:v>40735</c:v>
                </c:pt>
                <c:pt idx="679">
                  <c:v>40736</c:v>
                </c:pt>
                <c:pt idx="680">
                  <c:v>40737</c:v>
                </c:pt>
                <c:pt idx="681">
                  <c:v>40738</c:v>
                </c:pt>
                <c:pt idx="682">
                  <c:v>40739</c:v>
                </c:pt>
                <c:pt idx="683">
                  <c:v>40740</c:v>
                </c:pt>
                <c:pt idx="684">
                  <c:v>40741</c:v>
                </c:pt>
                <c:pt idx="685">
                  <c:v>40742</c:v>
                </c:pt>
                <c:pt idx="686">
                  <c:v>40743</c:v>
                </c:pt>
                <c:pt idx="687">
                  <c:v>40744</c:v>
                </c:pt>
                <c:pt idx="688">
                  <c:v>40745</c:v>
                </c:pt>
                <c:pt idx="689">
                  <c:v>40746</c:v>
                </c:pt>
                <c:pt idx="690">
                  <c:v>40747</c:v>
                </c:pt>
                <c:pt idx="691">
                  <c:v>40748</c:v>
                </c:pt>
                <c:pt idx="692">
                  <c:v>40749</c:v>
                </c:pt>
                <c:pt idx="693">
                  <c:v>40750</c:v>
                </c:pt>
                <c:pt idx="694">
                  <c:v>40751</c:v>
                </c:pt>
                <c:pt idx="695">
                  <c:v>40752</c:v>
                </c:pt>
                <c:pt idx="696">
                  <c:v>40753</c:v>
                </c:pt>
                <c:pt idx="697">
                  <c:v>40754</c:v>
                </c:pt>
                <c:pt idx="698">
                  <c:v>40755</c:v>
                </c:pt>
                <c:pt idx="699">
                  <c:v>40756</c:v>
                </c:pt>
                <c:pt idx="700">
                  <c:v>40757</c:v>
                </c:pt>
                <c:pt idx="701">
                  <c:v>40758</c:v>
                </c:pt>
                <c:pt idx="702">
                  <c:v>40759</c:v>
                </c:pt>
                <c:pt idx="703">
                  <c:v>40760</c:v>
                </c:pt>
                <c:pt idx="704">
                  <c:v>40761</c:v>
                </c:pt>
                <c:pt idx="705">
                  <c:v>40762</c:v>
                </c:pt>
                <c:pt idx="706">
                  <c:v>40763</c:v>
                </c:pt>
                <c:pt idx="707">
                  <c:v>40764</c:v>
                </c:pt>
                <c:pt idx="708">
                  <c:v>40765</c:v>
                </c:pt>
                <c:pt idx="709">
                  <c:v>40766</c:v>
                </c:pt>
                <c:pt idx="710">
                  <c:v>40767</c:v>
                </c:pt>
                <c:pt idx="711">
                  <c:v>40768</c:v>
                </c:pt>
                <c:pt idx="712">
                  <c:v>40769</c:v>
                </c:pt>
                <c:pt idx="713">
                  <c:v>40770</c:v>
                </c:pt>
                <c:pt idx="714">
                  <c:v>40771</c:v>
                </c:pt>
                <c:pt idx="715">
                  <c:v>40772</c:v>
                </c:pt>
                <c:pt idx="716">
                  <c:v>40773</c:v>
                </c:pt>
                <c:pt idx="717">
                  <c:v>40774</c:v>
                </c:pt>
                <c:pt idx="718">
                  <c:v>40775</c:v>
                </c:pt>
                <c:pt idx="719">
                  <c:v>40776</c:v>
                </c:pt>
                <c:pt idx="720">
                  <c:v>40777</c:v>
                </c:pt>
                <c:pt idx="721">
                  <c:v>40778</c:v>
                </c:pt>
                <c:pt idx="722">
                  <c:v>40779</c:v>
                </c:pt>
                <c:pt idx="723">
                  <c:v>40780</c:v>
                </c:pt>
                <c:pt idx="724">
                  <c:v>40781</c:v>
                </c:pt>
                <c:pt idx="725">
                  <c:v>40782</c:v>
                </c:pt>
                <c:pt idx="726">
                  <c:v>40783</c:v>
                </c:pt>
                <c:pt idx="727">
                  <c:v>40784</c:v>
                </c:pt>
                <c:pt idx="728">
                  <c:v>40785</c:v>
                </c:pt>
                <c:pt idx="729">
                  <c:v>40786</c:v>
                </c:pt>
                <c:pt idx="730">
                  <c:v>40787</c:v>
                </c:pt>
                <c:pt idx="731">
                  <c:v>40788</c:v>
                </c:pt>
                <c:pt idx="732">
                  <c:v>40789</c:v>
                </c:pt>
                <c:pt idx="733">
                  <c:v>40790</c:v>
                </c:pt>
                <c:pt idx="734">
                  <c:v>40791</c:v>
                </c:pt>
                <c:pt idx="735">
                  <c:v>40792</c:v>
                </c:pt>
                <c:pt idx="736">
                  <c:v>40793</c:v>
                </c:pt>
                <c:pt idx="737">
                  <c:v>40794</c:v>
                </c:pt>
                <c:pt idx="738">
                  <c:v>40795</c:v>
                </c:pt>
                <c:pt idx="739">
                  <c:v>40796</c:v>
                </c:pt>
                <c:pt idx="740">
                  <c:v>40797</c:v>
                </c:pt>
                <c:pt idx="741">
                  <c:v>40798</c:v>
                </c:pt>
                <c:pt idx="742">
                  <c:v>40799</c:v>
                </c:pt>
                <c:pt idx="743">
                  <c:v>40800</c:v>
                </c:pt>
                <c:pt idx="744">
                  <c:v>40801</c:v>
                </c:pt>
                <c:pt idx="745">
                  <c:v>40802</c:v>
                </c:pt>
                <c:pt idx="746">
                  <c:v>40803</c:v>
                </c:pt>
                <c:pt idx="747">
                  <c:v>40804</c:v>
                </c:pt>
                <c:pt idx="748">
                  <c:v>40805</c:v>
                </c:pt>
                <c:pt idx="749">
                  <c:v>40806</c:v>
                </c:pt>
                <c:pt idx="750">
                  <c:v>40807</c:v>
                </c:pt>
                <c:pt idx="751">
                  <c:v>40808</c:v>
                </c:pt>
                <c:pt idx="752">
                  <c:v>40809</c:v>
                </c:pt>
                <c:pt idx="753">
                  <c:v>40810</c:v>
                </c:pt>
                <c:pt idx="754">
                  <c:v>40811</c:v>
                </c:pt>
                <c:pt idx="755">
                  <c:v>40812</c:v>
                </c:pt>
                <c:pt idx="756">
                  <c:v>40813</c:v>
                </c:pt>
                <c:pt idx="757">
                  <c:v>40814</c:v>
                </c:pt>
                <c:pt idx="758">
                  <c:v>40815</c:v>
                </c:pt>
                <c:pt idx="759">
                  <c:v>40816</c:v>
                </c:pt>
                <c:pt idx="760">
                  <c:v>40817</c:v>
                </c:pt>
                <c:pt idx="761">
                  <c:v>40818</c:v>
                </c:pt>
                <c:pt idx="762">
                  <c:v>40819</c:v>
                </c:pt>
                <c:pt idx="763">
                  <c:v>40820</c:v>
                </c:pt>
                <c:pt idx="764">
                  <c:v>40821</c:v>
                </c:pt>
                <c:pt idx="765">
                  <c:v>40822</c:v>
                </c:pt>
                <c:pt idx="766">
                  <c:v>40823</c:v>
                </c:pt>
                <c:pt idx="767">
                  <c:v>40824</c:v>
                </c:pt>
                <c:pt idx="768">
                  <c:v>40825</c:v>
                </c:pt>
                <c:pt idx="769">
                  <c:v>40826</c:v>
                </c:pt>
                <c:pt idx="770">
                  <c:v>40827</c:v>
                </c:pt>
                <c:pt idx="771">
                  <c:v>40828</c:v>
                </c:pt>
                <c:pt idx="772">
                  <c:v>40829</c:v>
                </c:pt>
                <c:pt idx="773">
                  <c:v>40830</c:v>
                </c:pt>
                <c:pt idx="774">
                  <c:v>40831</c:v>
                </c:pt>
                <c:pt idx="775">
                  <c:v>40832</c:v>
                </c:pt>
                <c:pt idx="776">
                  <c:v>40833</c:v>
                </c:pt>
                <c:pt idx="777">
                  <c:v>40834</c:v>
                </c:pt>
                <c:pt idx="778">
                  <c:v>40835</c:v>
                </c:pt>
                <c:pt idx="779">
                  <c:v>40836</c:v>
                </c:pt>
                <c:pt idx="780">
                  <c:v>40837</c:v>
                </c:pt>
                <c:pt idx="781">
                  <c:v>40838</c:v>
                </c:pt>
                <c:pt idx="782">
                  <c:v>40839</c:v>
                </c:pt>
                <c:pt idx="783">
                  <c:v>40840</c:v>
                </c:pt>
                <c:pt idx="784">
                  <c:v>40841</c:v>
                </c:pt>
                <c:pt idx="785">
                  <c:v>40842</c:v>
                </c:pt>
                <c:pt idx="786">
                  <c:v>40843</c:v>
                </c:pt>
                <c:pt idx="787">
                  <c:v>40844</c:v>
                </c:pt>
                <c:pt idx="788">
                  <c:v>40845</c:v>
                </c:pt>
                <c:pt idx="789">
                  <c:v>40846</c:v>
                </c:pt>
                <c:pt idx="790">
                  <c:v>40847</c:v>
                </c:pt>
                <c:pt idx="791">
                  <c:v>40848</c:v>
                </c:pt>
                <c:pt idx="792">
                  <c:v>40849</c:v>
                </c:pt>
                <c:pt idx="793">
                  <c:v>40850</c:v>
                </c:pt>
                <c:pt idx="794">
                  <c:v>40851</c:v>
                </c:pt>
                <c:pt idx="795">
                  <c:v>40852</c:v>
                </c:pt>
                <c:pt idx="796">
                  <c:v>40853</c:v>
                </c:pt>
                <c:pt idx="797">
                  <c:v>40854</c:v>
                </c:pt>
                <c:pt idx="798">
                  <c:v>40855</c:v>
                </c:pt>
                <c:pt idx="799">
                  <c:v>40856</c:v>
                </c:pt>
                <c:pt idx="800">
                  <c:v>40857</c:v>
                </c:pt>
                <c:pt idx="801">
                  <c:v>40858</c:v>
                </c:pt>
                <c:pt idx="802">
                  <c:v>40859</c:v>
                </c:pt>
                <c:pt idx="803">
                  <c:v>40860</c:v>
                </c:pt>
                <c:pt idx="804">
                  <c:v>40861</c:v>
                </c:pt>
                <c:pt idx="805">
                  <c:v>40862</c:v>
                </c:pt>
                <c:pt idx="806">
                  <c:v>40863</c:v>
                </c:pt>
                <c:pt idx="807">
                  <c:v>40864</c:v>
                </c:pt>
                <c:pt idx="808">
                  <c:v>40865</c:v>
                </c:pt>
                <c:pt idx="809">
                  <c:v>40866</c:v>
                </c:pt>
                <c:pt idx="810">
                  <c:v>40867</c:v>
                </c:pt>
                <c:pt idx="811">
                  <c:v>40868</c:v>
                </c:pt>
                <c:pt idx="812">
                  <c:v>40869</c:v>
                </c:pt>
                <c:pt idx="813">
                  <c:v>40870</c:v>
                </c:pt>
                <c:pt idx="814">
                  <c:v>40871</c:v>
                </c:pt>
                <c:pt idx="815">
                  <c:v>40872</c:v>
                </c:pt>
                <c:pt idx="816">
                  <c:v>40873</c:v>
                </c:pt>
                <c:pt idx="817">
                  <c:v>40874</c:v>
                </c:pt>
                <c:pt idx="818">
                  <c:v>40875</c:v>
                </c:pt>
                <c:pt idx="819">
                  <c:v>40876</c:v>
                </c:pt>
                <c:pt idx="820">
                  <c:v>40877</c:v>
                </c:pt>
                <c:pt idx="821">
                  <c:v>40878</c:v>
                </c:pt>
                <c:pt idx="822">
                  <c:v>40879</c:v>
                </c:pt>
                <c:pt idx="823">
                  <c:v>40880</c:v>
                </c:pt>
                <c:pt idx="824">
                  <c:v>40881</c:v>
                </c:pt>
                <c:pt idx="825">
                  <c:v>40882</c:v>
                </c:pt>
                <c:pt idx="826">
                  <c:v>40883</c:v>
                </c:pt>
                <c:pt idx="827">
                  <c:v>40884</c:v>
                </c:pt>
                <c:pt idx="828">
                  <c:v>40885</c:v>
                </c:pt>
                <c:pt idx="829">
                  <c:v>40886</c:v>
                </c:pt>
                <c:pt idx="830">
                  <c:v>40887</c:v>
                </c:pt>
                <c:pt idx="831">
                  <c:v>40888</c:v>
                </c:pt>
                <c:pt idx="832">
                  <c:v>40889</c:v>
                </c:pt>
                <c:pt idx="833">
                  <c:v>40890</c:v>
                </c:pt>
                <c:pt idx="834">
                  <c:v>40891</c:v>
                </c:pt>
                <c:pt idx="835">
                  <c:v>40892</c:v>
                </c:pt>
                <c:pt idx="836">
                  <c:v>40893</c:v>
                </c:pt>
                <c:pt idx="837">
                  <c:v>40894</c:v>
                </c:pt>
                <c:pt idx="838">
                  <c:v>40895</c:v>
                </c:pt>
                <c:pt idx="839">
                  <c:v>40896</c:v>
                </c:pt>
                <c:pt idx="840">
                  <c:v>40897</c:v>
                </c:pt>
                <c:pt idx="841">
                  <c:v>40898</c:v>
                </c:pt>
                <c:pt idx="842">
                  <c:v>40899</c:v>
                </c:pt>
                <c:pt idx="843">
                  <c:v>40900</c:v>
                </c:pt>
                <c:pt idx="844">
                  <c:v>40901</c:v>
                </c:pt>
                <c:pt idx="845">
                  <c:v>40902</c:v>
                </c:pt>
                <c:pt idx="846">
                  <c:v>40903</c:v>
                </c:pt>
                <c:pt idx="847">
                  <c:v>40904</c:v>
                </c:pt>
                <c:pt idx="848">
                  <c:v>40905</c:v>
                </c:pt>
                <c:pt idx="849">
                  <c:v>40906</c:v>
                </c:pt>
                <c:pt idx="850">
                  <c:v>40907</c:v>
                </c:pt>
                <c:pt idx="851">
                  <c:v>40908</c:v>
                </c:pt>
                <c:pt idx="852">
                  <c:v>40909</c:v>
                </c:pt>
                <c:pt idx="853">
                  <c:v>40910</c:v>
                </c:pt>
                <c:pt idx="854">
                  <c:v>40911</c:v>
                </c:pt>
                <c:pt idx="855">
                  <c:v>40912</c:v>
                </c:pt>
                <c:pt idx="856">
                  <c:v>40913</c:v>
                </c:pt>
                <c:pt idx="857">
                  <c:v>40914</c:v>
                </c:pt>
                <c:pt idx="858">
                  <c:v>40915</c:v>
                </c:pt>
                <c:pt idx="859">
                  <c:v>40916</c:v>
                </c:pt>
                <c:pt idx="860">
                  <c:v>40917</c:v>
                </c:pt>
                <c:pt idx="861">
                  <c:v>40918</c:v>
                </c:pt>
                <c:pt idx="862">
                  <c:v>40919</c:v>
                </c:pt>
                <c:pt idx="863">
                  <c:v>40920</c:v>
                </c:pt>
                <c:pt idx="864">
                  <c:v>40921</c:v>
                </c:pt>
                <c:pt idx="865">
                  <c:v>40922</c:v>
                </c:pt>
                <c:pt idx="866">
                  <c:v>40923</c:v>
                </c:pt>
                <c:pt idx="867">
                  <c:v>40924</c:v>
                </c:pt>
                <c:pt idx="868">
                  <c:v>40925</c:v>
                </c:pt>
                <c:pt idx="869">
                  <c:v>40926</c:v>
                </c:pt>
                <c:pt idx="870">
                  <c:v>40927</c:v>
                </c:pt>
                <c:pt idx="871">
                  <c:v>40928</c:v>
                </c:pt>
                <c:pt idx="872">
                  <c:v>40929</c:v>
                </c:pt>
                <c:pt idx="873">
                  <c:v>40930</c:v>
                </c:pt>
                <c:pt idx="874">
                  <c:v>40931</c:v>
                </c:pt>
                <c:pt idx="875">
                  <c:v>40932</c:v>
                </c:pt>
                <c:pt idx="876">
                  <c:v>40933</c:v>
                </c:pt>
                <c:pt idx="877">
                  <c:v>40934</c:v>
                </c:pt>
                <c:pt idx="878">
                  <c:v>40935</c:v>
                </c:pt>
                <c:pt idx="879">
                  <c:v>40936</c:v>
                </c:pt>
                <c:pt idx="880">
                  <c:v>40937</c:v>
                </c:pt>
                <c:pt idx="881">
                  <c:v>40938</c:v>
                </c:pt>
                <c:pt idx="882">
                  <c:v>40939</c:v>
                </c:pt>
                <c:pt idx="883">
                  <c:v>40940</c:v>
                </c:pt>
                <c:pt idx="884">
                  <c:v>40941</c:v>
                </c:pt>
                <c:pt idx="885">
                  <c:v>40942</c:v>
                </c:pt>
                <c:pt idx="886">
                  <c:v>40943</c:v>
                </c:pt>
                <c:pt idx="887">
                  <c:v>40944</c:v>
                </c:pt>
                <c:pt idx="888">
                  <c:v>40945</c:v>
                </c:pt>
                <c:pt idx="889">
                  <c:v>40946</c:v>
                </c:pt>
                <c:pt idx="890">
                  <c:v>40947</c:v>
                </c:pt>
                <c:pt idx="891">
                  <c:v>40948</c:v>
                </c:pt>
                <c:pt idx="892">
                  <c:v>40949</c:v>
                </c:pt>
                <c:pt idx="893">
                  <c:v>40950</c:v>
                </c:pt>
                <c:pt idx="894">
                  <c:v>40951</c:v>
                </c:pt>
                <c:pt idx="895">
                  <c:v>40952</c:v>
                </c:pt>
                <c:pt idx="896">
                  <c:v>40953</c:v>
                </c:pt>
                <c:pt idx="897">
                  <c:v>40954</c:v>
                </c:pt>
                <c:pt idx="898">
                  <c:v>40955</c:v>
                </c:pt>
                <c:pt idx="899">
                  <c:v>40956</c:v>
                </c:pt>
                <c:pt idx="900">
                  <c:v>40957</c:v>
                </c:pt>
                <c:pt idx="901">
                  <c:v>40958</c:v>
                </c:pt>
                <c:pt idx="902">
                  <c:v>40959</c:v>
                </c:pt>
                <c:pt idx="903">
                  <c:v>40960</c:v>
                </c:pt>
                <c:pt idx="904">
                  <c:v>40961</c:v>
                </c:pt>
                <c:pt idx="905">
                  <c:v>40962</c:v>
                </c:pt>
                <c:pt idx="906">
                  <c:v>40963</c:v>
                </c:pt>
                <c:pt idx="907">
                  <c:v>40964</c:v>
                </c:pt>
                <c:pt idx="908">
                  <c:v>40965</c:v>
                </c:pt>
                <c:pt idx="909">
                  <c:v>40966</c:v>
                </c:pt>
                <c:pt idx="910">
                  <c:v>40967</c:v>
                </c:pt>
                <c:pt idx="911">
                  <c:v>40968</c:v>
                </c:pt>
                <c:pt idx="912">
                  <c:v>40969</c:v>
                </c:pt>
                <c:pt idx="913">
                  <c:v>40970</c:v>
                </c:pt>
                <c:pt idx="914">
                  <c:v>40971</c:v>
                </c:pt>
                <c:pt idx="915">
                  <c:v>40972</c:v>
                </c:pt>
                <c:pt idx="916">
                  <c:v>40973</c:v>
                </c:pt>
                <c:pt idx="917">
                  <c:v>40974</c:v>
                </c:pt>
                <c:pt idx="918">
                  <c:v>40975</c:v>
                </c:pt>
                <c:pt idx="919">
                  <c:v>40976</c:v>
                </c:pt>
                <c:pt idx="920">
                  <c:v>40977</c:v>
                </c:pt>
                <c:pt idx="921">
                  <c:v>40978</c:v>
                </c:pt>
                <c:pt idx="922">
                  <c:v>40979</c:v>
                </c:pt>
                <c:pt idx="923">
                  <c:v>40980</c:v>
                </c:pt>
                <c:pt idx="924">
                  <c:v>40981</c:v>
                </c:pt>
                <c:pt idx="925">
                  <c:v>40982</c:v>
                </c:pt>
                <c:pt idx="926">
                  <c:v>40983</c:v>
                </c:pt>
                <c:pt idx="927">
                  <c:v>40984</c:v>
                </c:pt>
                <c:pt idx="928">
                  <c:v>40985</c:v>
                </c:pt>
                <c:pt idx="929">
                  <c:v>40986</c:v>
                </c:pt>
                <c:pt idx="930">
                  <c:v>40987</c:v>
                </c:pt>
                <c:pt idx="931">
                  <c:v>40988</c:v>
                </c:pt>
                <c:pt idx="932">
                  <c:v>40989</c:v>
                </c:pt>
                <c:pt idx="933">
                  <c:v>40990</c:v>
                </c:pt>
                <c:pt idx="934">
                  <c:v>40991</c:v>
                </c:pt>
                <c:pt idx="935">
                  <c:v>40992</c:v>
                </c:pt>
                <c:pt idx="936">
                  <c:v>40993</c:v>
                </c:pt>
                <c:pt idx="937">
                  <c:v>40994</c:v>
                </c:pt>
                <c:pt idx="938">
                  <c:v>40995</c:v>
                </c:pt>
                <c:pt idx="939">
                  <c:v>40996</c:v>
                </c:pt>
                <c:pt idx="940">
                  <c:v>40997</c:v>
                </c:pt>
                <c:pt idx="941">
                  <c:v>40998</c:v>
                </c:pt>
                <c:pt idx="942">
                  <c:v>40999</c:v>
                </c:pt>
                <c:pt idx="943">
                  <c:v>41000</c:v>
                </c:pt>
                <c:pt idx="944">
                  <c:v>41001</c:v>
                </c:pt>
                <c:pt idx="945">
                  <c:v>41002</c:v>
                </c:pt>
                <c:pt idx="946">
                  <c:v>41003</c:v>
                </c:pt>
                <c:pt idx="947">
                  <c:v>41004</c:v>
                </c:pt>
                <c:pt idx="948">
                  <c:v>41005</c:v>
                </c:pt>
                <c:pt idx="949">
                  <c:v>41006</c:v>
                </c:pt>
                <c:pt idx="950">
                  <c:v>41007</c:v>
                </c:pt>
                <c:pt idx="951">
                  <c:v>41008</c:v>
                </c:pt>
                <c:pt idx="952">
                  <c:v>41009</c:v>
                </c:pt>
                <c:pt idx="953">
                  <c:v>41010</c:v>
                </c:pt>
                <c:pt idx="954">
                  <c:v>41011</c:v>
                </c:pt>
                <c:pt idx="955">
                  <c:v>41012</c:v>
                </c:pt>
                <c:pt idx="956">
                  <c:v>41013</c:v>
                </c:pt>
                <c:pt idx="957">
                  <c:v>41014</c:v>
                </c:pt>
                <c:pt idx="958">
                  <c:v>41015</c:v>
                </c:pt>
                <c:pt idx="959">
                  <c:v>41016</c:v>
                </c:pt>
                <c:pt idx="960">
                  <c:v>41017</c:v>
                </c:pt>
                <c:pt idx="961">
                  <c:v>41018</c:v>
                </c:pt>
                <c:pt idx="962">
                  <c:v>41019</c:v>
                </c:pt>
                <c:pt idx="963">
                  <c:v>41020</c:v>
                </c:pt>
                <c:pt idx="964">
                  <c:v>41021</c:v>
                </c:pt>
                <c:pt idx="965">
                  <c:v>41022</c:v>
                </c:pt>
                <c:pt idx="966">
                  <c:v>41023</c:v>
                </c:pt>
                <c:pt idx="967">
                  <c:v>41024</c:v>
                </c:pt>
                <c:pt idx="968">
                  <c:v>41025</c:v>
                </c:pt>
                <c:pt idx="969">
                  <c:v>41026</c:v>
                </c:pt>
                <c:pt idx="970">
                  <c:v>41027</c:v>
                </c:pt>
                <c:pt idx="971">
                  <c:v>41028</c:v>
                </c:pt>
                <c:pt idx="972">
                  <c:v>41029</c:v>
                </c:pt>
                <c:pt idx="973">
                  <c:v>41030</c:v>
                </c:pt>
                <c:pt idx="974">
                  <c:v>41031</c:v>
                </c:pt>
                <c:pt idx="975">
                  <c:v>41032</c:v>
                </c:pt>
                <c:pt idx="976">
                  <c:v>41033</c:v>
                </c:pt>
                <c:pt idx="977">
                  <c:v>41034</c:v>
                </c:pt>
                <c:pt idx="978">
                  <c:v>41035</c:v>
                </c:pt>
                <c:pt idx="979">
                  <c:v>41036</c:v>
                </c:pt>
                <c:pt idx="980">
                  <c:v>41037</c:v>
                </c:pt>
                <c:pt idx="981">
                  <c:v>41038</c:v>
                </c:pt>
                <c:pt idx="982">
                  <c:v>41039</c:v>
                </c:pt>
                <c:pt idx="983">
                  <c:v>41040</c:v>
                </c:pt>
                <c:pt idx="984">
                  <c:v>41041</c:v>
                </c:pt>
                <c:pt idx="985">
                  <c:v>41042</c:v>
                </c:pt>
                <c:pt idx="986">
                  <c:v>41043</c:v>
                </c:pt>
                <c:pt idx="987">
                  <c:v>41044</c:v>
                </c:pt>
                <c:pt idx="988">
                  <c:v>41045</c:v>
                </c:pt>
                <c:pt idx="989">
                  <c:v>41046</c:v>
                </c:pt>
                <c:pt idx="990">
                  <c:v>41047</c:v>
                </c:pt>
                <c:pt idx="991">
                  <c:v>41048</c:v>
                </c:pt>
                <c:pt idx="992">
                  <c:v>41049</c:v>
                </c:pt>
                <c:pt idx="993">
                  <c:v>41050</c:v>
                </c:pt>
                <c:pt idx="994">
                  <c:v>41051</c:v>
                </c:pt>
                <c:pt idx="995">
                  <c:v>41052</c:v>
                </c:pt>
                <c:pt idx="996">
                  <c:v>41053</c:v>
                </c:pt>
                <c:pt idx="997">
                  <c:v>41054</c:v>
                </c:pt>
                <c:pt idx="998">
                  <c:v>41055</c:v>
                </c:pt>
                <c:pt idx="999">
                  <c:v>41056</c:v>
                </c:pt>
                <c:pt idx="1000">
                  <c:v>41057</c:v>
                </c:pt>
                <c:pt idx="1001">
                  <c:v>41058</c:v>
                </c:pt>
                <c:pt idx="1002">
                  <c:v>41059</c:v>
                </c:pt>
                <c:pt idx="1003">
                  <c:v>41060</c:v>
                </c:pt>
                <c:pt idx="1004">
                  <c:v>41061</c:v>
                </c:pt>
                <c:pt idx="1005">
                  <c:v>41062</c:v>
                </c:pt>
                <c:pt idx="1006">
                  <c:v>41063</c:v>
                </c:pt>
                <c:pt idx="1007">
                  <c:v>41064</c:v>
                </c:pt>
                <c:pt idx="1008">
                  <c:v>41065</c:v>
                </c:pt>
                <c:pt idx="1009">
                  <c:v>41066</c:v>
                </c:pt>
                <c:pt idx="1010">
                  <c:v>41067</c:v>
                </c:pt>
                <c:pt idx="1011">
                  <c:v>41068</c:v>
                </c:pt>
                <c:pt idx="1012">
                  <c:v>41069</c:v>
                </c:pt>
                <c:pt idx="1013">
                  <c:v>41070</c:v>
                </c:pt>
                <c:pt idx="1014">
                  <c:v>41071</c:v>
                </c:pt>
                <c:pt idx="1015">
                  <c:v>41072</c:v>
                </c:pt>
                <c:pt idx="1016">
                  <c:v>41073</c:v>
                </c:pt>
                <c:pt idx="1017">
                  <c:v>41074</c:v>
                </c:pt>
                <c:pt idx="1018">
                  <c:v>41075</c:v>
                </c:pt>
                <c:pt idx="1019">
                  <c:v>41076</c:v>
                </c:pt>
                <c:pt idx="1020">
                  <c:v>41077</c:v>
                </c:pt>
                <c:pt idx="1021">
                  <c:v>41078</c:v>
                </c:pt>
                <c:pt idx="1022">
                  <c:v>41079</c:v>
                </c:pt>
                <c:pt idx="1023">
                  <c:v>41080</c:v>
                </c:pt>
                <c:pt idx="1024">
                  <c:v>41081</c:v>
                </c:pt>
                <c:pt idx="1025">
                  <c:v>41082</c:v>
                </c:pt>
                <c:pt idx="1026">
                  <c:v>41083</c:v>
                </c:pt>
                <c:pt idx="1027">
                  <c:v>41084</c:v>
                </c:pt>
                <c:pt idx="1028">
                  <c:v>41085</c:v>
                </c:pt>
                <c:pt idx="1029">
                  <c:v>41086</c:v>
                </c:pt>
                <c:pt idx="1030">
                  <c:v>41087</c:v>
                </c:pt>
                <c:pt idx="1031">
                  <c:v>41088</c:v>
                </c:pt>
                <c:pt idx="1032">
                  <c:v>41089</c:v>
                </c:pt>
                <c:pt idx="1033">
                  <c:v>41090</c:v>
                </c:pt>
                <c:pt idx="1034">
                  <c:v>41091</c:v>
                </c:pt>
                <c:pt idx="1035">
                  <c:v>41092</c:v>
                </c:pt>
                <c:pt idx="1036">
                  <c:v>41093</c:v>
                </c:pt>
                <c:pt idx="1037">
                  <c:v>41094</c:v>
                </c:pt>
                <c:pt idx="1038">
                  <c:v>41095</c:v>
                </c:pt>
                <c:pt idx="1039">
                  <c:v>41096</c:v>
                </c:pt>
                <c:pt idx="1040">
                  <c:v>41097</c:v>
                </c:pt>
                <c:pt idx="1041">
                  <c:v>41098</c:v>
                </c:pt>
                <c:pt idx="1042">
                  <c:v>41099</c:v>
                </c:pt>
                <c:pt idx="1043">
                  <c:v>41100</c:v>
                </c:pt>
                <c:pt idx="1044">
                  <c:v>41101</c:v>
                </c:pt>
                <c:pt idx="1045">
                  <c:v>41102</c:v>
                </c:pt>
                <c:pt idx="1046">
                  <c:v>41103</c:v>
                </c:pt>
                <c:pt idx="1047">
                  <c:v>41104</c:v>
                </c:pt>
                <c:pt idx="1048">
                  <c:v>41105</c:v>
                </c:pt>
                <c:pt idx="1049">
                  <c:v>41106</c:v>
                </c:pt>
                <c:pt idx="1050">
                  <c:v>41107</c:v>
                </c:pt>
                <c:pt idx="1051">
                  <c:v>41108</c:v>
                </c:pt>
                <c:pt idx="1052">
                  <c:v>41109</c:v>
                </c:pt>
                <c:pt idx="1053">
                  <c:v>41110</c:v>
                </c:pt>
                <c:pt idx="1054">
                  <c:v>41111</c:v>
                </c:pt>
                <c:pt idx="1055">
                  <c:v>41112</c:v>
                </c:pt>
                <c:pt idx="1056">
                  <c:v>41113</c:v>
                </c:pt>
                <c:pt idx="1057">
                  <c:v>41114</c:v>
                </c:pt>
                <c:pt idx="1058">
                  <c:v>41115</c:v>
                </c:pt>
                <c:pt idx="1059">
                  <c:v>41116</c:v>
                </c:pt>
                <c:pt idx="1060">
                  <c:v>41117</c:v>
                </c:pt>
                <c:pt idx="1061">
                  <c:v>41118</c:v>
                </c:pt>
                <c:pt idx="1062">
                  <c:v>41119</c:v>
                </c:pt>
                <c:pt idx="1063">
                  <c:v>41120</c:v>
                </c:pt>
                <c:pt idx="1064">
                  <c:v>41121</c:v>
                </c:pt>
                <c:pt idx="1065">
                  <c:v>41122</c:v>
                </c:pt>
                <c:pt idx="1066">
                  <c:v>41123</c:v>
                </c:pt>
                <c:pt idx="1067">
                  <c:v>41124</c:v>
                </c:pt>
                <c:pt idx="1068">
                  <c:v>41125</c:v>
                </c:pt>
                <c:pt idx="1069">
                  <c:v>41126</c:v>
                </c:pt>
                <c:pt idx="1070">
                  <c:v>41127</c:v>
                </c:pt>
                <c:pt idx="1071">
                  <c:v>41128</c:v>
                </c:pt>
                <c:pt idx="1072">
                  <c:v>41129</c:v>
                </c:pt>
                <c:pt idx="1073">
                  <c:v>41130</c:v>
                </c:pt>
                <c:pt idx="1074">
                  <c:v>41131</c:v>
                </c:pt>
                <c:pt idx="1075">
                  <c:v>41132</c:v>
                </c:pt>
                <c:pt idx="1076">
                  <c:v>41133</c:v>
                </c:pt>
                <c:pt idx="1077">
                  <c:v>41134</c:v>
                </c:pt>
                <c:pt idx="1078">
                  <c:v>41135</c:v>
                </c:pt>
                <c:pt idx="1079">
                  <c:v>41136</c:v>
                </c:pt>
                <c:pt idx="1080">
                  <c:v>41137</c:v>
                </c:pt>
                <c:pt idx="1081">
                  <c:v>41138</c:v>
                </c:pt>
                <c:pt idx="1082">
                  <c:v>41139</c:v>
                </c:pt>
                <c:pt idx="1083">
                  <c:v>41140</c:v>
                </c:pt>
                <c:pt idx="1084">
                  <c:v>41141</c:v>
                </c:pt>
                <c:pt idx="1085">
                  <c:v>41142</c:v>
                </c:pt>
                <c:pt idx="1086">
                  <c:v>41143</c:v>
                </c:pt>
                <c:pt idx="1087">
                  <c:v>41144</c:v>
                </c:pt>
                <c:pt idx="1088">
                  <c:v>41145</c:v>
                </c:pt>
                <c:pt idx="1089">
                  <c:v>41146</c:v>
                </c:pt>
                <c:pt idx="1090">
                  <c:v>41147</c:v>
                </c:pt>
                <c:pt idx="1091">
                  <c:v>41148</c:v>
                </c:pt>
                <c:pt idx="1092">
                  <c:v>41149</c:v>
                </c:pt>
                <c:pt idx="1093">
                  <c:v>41150</c:v>
                </c:pt>
                <c:pt idx="1094">
                  <c:v>41151</c:v>
                </c:pt>
                <c:pt idx="1095">
                  <c:v>41152</c:v>
                </c:pt>
                <c:pt idx="1096">
                  <c:v>41153</c:v>
                </c:pt>
                <c:pt idx="1097">
                  <c:v>41154</c:v>
                </c:pt>
                <c:pt idx="1098">
                  <c:v>41155</c:v>
                </c:pt>
                <c:pt idx="1099">
                  <c:v>41156</c:v>
                </c:pt>
                <c:pt idx="1100">
                  <c:v>41157</c:v>
                </c:pt>
                <c:pt idx="1101">
                  <c:v>41158</c:v>
                </c:pt>
                <c:pt idx="1102">
                  <c:v>41159</c:v>
                </c:pt>
                <c:pt idx="1103">
                  <c:v>41160</c:v>
                </c:pt>
                <c:pt idx="1104">
                  <c:v>41161</c:v>
                </c:pt>
                <c:pt idx="1105">
                  <c:v>41162</c:v>
                </c:pt>
                <c:pt idx="1106">
                  <c:v>41163</c:v>
                </c:pt>
                <c:pt idx="1107">
                  <c:v>41164</c:v>
                </c:pt>
                <c:pt idx="1108">
                  <c:v>41165</c:v>
                </c:pt>
                <c:pt idx="1109">
                  <c:v>41166</c:v>
                </c:pt>
                <c:pt idx="1110">
                  <c:v>41167</c:v>
                </c:pt>
                <c:pt idx="1111">
                  <c:v>41168</c:v>
                </c:pt>
                <c:pt idx="1112">
                  <c:v>41169</c:v>
                </c:pt>
                <c:pt idx="1113">
                  <c:v>41170</c:v>
                </c:pt>
                <c:pt idx="1114">
                  <c:v>41171</c:v>
                </c:pt>
                <c:pt idx="1115">
                  <c:v>41172</c:v>
                </c:pt>
                <c:pt idx="1116">
                  <c:v>41173</c:v>
                </c:pt>
                <c:pt idx="1117">
                  <c:v>41174</c:v>
                </c:pt>
                <c:pt idx="1118">
                  <c:v>41175</c:v>
                </c:pt>
                <c:pt idx="1119">
                  <c:v>41176</c:v>
                </c:pt>
                <c:pt idx="1120">
                  <c:v>41177</c:v>
                </c:pt>
                <c:pt idx="1121">
                  <c:v>41178</c:v>
                </c:pt>
                <c:pt idx="1122">
                  <c:v>41179</c:v>
                </c:pt>
                <c:pt idx="1123">
                  <c:v>41180</c:v>
                </c:pt>
                <c:pt idx="1124">
                  <c:v>41181</c:v>
                </c:pt>
                <c:pt idx="1125">
                  <c:v>41182</c:v>
                </c:pt>
                <c:pt idx="1126">
                  <c:v>41183</c:v>
                </c:pt>
                <c:pt idx="1127">
                  <c:v>41184</c:v>
                </c:pt>
                <c:pt idx="1128">
                  <c:v>41185</c:v>
                </c:pt>
                <c:pt idx="1129">
                  <c:v>41186</c:v>
                </c:pt>
                <c:pt idx="1130">
                  <c:v>41187</c:v>
                </c:pt>
                <c:pt idx="1131">
                  <c:v>41188</c:v>
                </c:pt>
                <c:pt idx="1132">
                  <c:v>41189</c:v>
                </c:pt>
                <c:pt idx="1133">
                  <c:v>41190</c:v>
                </c:pt>
                <c:pt idx="1134">
                  <c:v>41191</c:v>
                </c:pt>
                <c:pt idx="1135">
                  <c:v>41192</c:v>
                </c:pt>
                <c:pt idx="1136">
                  <c:v>41193</c:v>
                </c:pt>
                <c:pt idx="1137">
                  <c:v>41194</c:v>
                </c:pt>
                <c:pt idx="1138">
                  <c:v>41195</c:v>
                </c:pt>
                <c:pt idx="1139">
                  <c:v>41196</c:v>
                </c:pt>
                <c:pt idx="1140">
                  <c:v>41197</c:v>
                </c:pt>
                <c:pt idx="1141">
                  <c:v>41198</c:v>
                </c:pt>
                <c:pt idx="1142">
                  <c:v>41199</c:v>
                </c:pt>
                <c:pt idx="1143">
                  <c:v>41200</c:v>
                </c:pt>
                <c:pt idx="1144">
                  <c:v>41201</c:v>
                </c:pt>
                <c:pt idx="1145">
                  <c:v>41202</c:v>
                </c:pt>
                <c:pt idx="1146">
                  <c:v>41203</c:v>
                </c:pt>
                <c:pt idx="1147">
                  <c:v>41204</c:v>
                </c:pt>
                <c:pt idx="1148">
                  <c:v>41205</c:v>
                </c:pt>
                <c:pt idx="1149">
                  <c:v>41206</c:v>
                </c:pt>
                <c:pt idx="1150">
                  <c:v>41207</c:v>
                </c:pt>
                <c:pt idx="1151">
                  <c:v>41208</c:v>
                </c:pt>
                <c:pt idx="1152">
                  <c:v>41209</c:v>
                </c:pt>
                <c:pt idx="1153">
                  <c:v>41210</c:v>
                </c:pt>
                <c:pt idx="1154">
                  <c:v>41211</c:v>
                </c:pt>
                <c:pt idx="1155">
                  <c:v>41212</c:v>
                </c:pt>
                <c:pt idx="1156">
                  <c:v>41213</c:v>
                </c:pt>
                <c:pt idx="1157">
                  <c:v>41214</c:v>
                </c:pt>
                <c:pt idx="1158">
                  <c:v>41215</c:v>
                </c:pt>
                <c:pt idx="1159">
                  <c:v>41216</c:v>
                </c:pt>
                <c:pt idx="1160">
                  <c:v>41217</c:v>
                </c:pt>
                <c:pt idx="1161">
                  <c:v>41218</c:v>
                </c:pt>
                <c:pt idx="1162">
                  <c:v>41219</c:v>
                </c:pt>
                <c:pt idx="1163">
                  <c:v>41220</c:v>
                </c:pt>
                <c:pt idx="1164">
                  <c:v>41221</c:v>
                </c:pt>
                <c:pt idx="1165">
                  <c:v>41222</c:v>
                </c:pt>
                <c:pt idx="1166">
                  <c:v>41223</c:v>
                </c:pt>
                <c:pt idx="1167">
                  <c:v>41224</c:v>
                </c:pt>
                <c:pt idx="1168">
                  <c:v>41225</c:v>
                </c:pt>
                <c:pt idx="1169">
                  <c:v>41226</c:v>
                </c:pt>
                <c:pt idx="1170">
                  <c:v>41227</c:v>
                </c:pt>
                <c:pt idx="1171">
                  <c:v>41228</c:v>
                </c:pt>
                <c:pt idx="1172">
                  <c:v>41229</c:v>
                </c:pt>
                <c:pt idx="1173">
                  <c:v>41230</c:v>
                </c:pt>
                <c:pt idx="1174">
                  <c:v>41231</c:v>
                </c:pt>
                <c:pt idx="1175">
                  <c:v>41232</c:v>
                </c:pt>
                <c:pt idx="1176">
                  <c:v>41233</c:v>
                </c:pt>
                <c:pt idx="1177">
                  <c:v>41234</c:v>
                </c:pt>
                <c:pt idx="1178">
                  <c:v>41235</c:v>
                </c:pt>
                <c:pt idx="1179">
                  <c:v>41236</c:v>
                </c:pt>
                <c:pt idx="1180">
                  <c:v>41237</c:v>
                </c:pt>
                <c:pt idx="1181">
                  <c:v>41238</c:v>
                </c:pt>
                <c:pt idx="1182">
                  <c:v>41239</c:v>
                </c:pt>
                <c:pt idx="1183">
                  <c:v>41240</c:v>
                </c:pt>
                <c:pt idx="1184">
                  <c:v>41241</c:v>
                </c:pt>
                <c:pt idx="1185">
                  <c:v>41242</c:v>
                </c:pt>
                <c:pt idx="1186">
                  <c:v>41243</c:v>
                </c:pt>
                <c:pt idx="1187">
                  <c:v>41244</c:v>
                </c:pt>
                <c:pt idx="1188">
                  <c:v>41245</c:v>
                </c:pt>
                <c:pt idx="1189">
                  <c:v>41246</c:v>
                </c:pt>
                <c:pt idx="1190">
                  <c:v>41247</c:v>
                </c:pt>
                <c:pt idx="1191">
                  <c:v>41248</c:v>
                </c:pt>
                <c:pt idx="1192">
                  <c:v>41249</c:v>
                </c:pt>
                <c:pt idx="1193">
                  <c:v>41250</c:v>
                </c:pt>
                <c:pt idx="1194">
                  <c:v>41251</c:v>
                </c:pt>
                <c:pt idx="1195">
                  <c:v>41252</c:v>
                </c:pt>
                <c:pt idx="1196">
                  <c:v>41253</c:v>
                </c:pt>
                <c:pt idx="1197">
                  <c:v>41254</c:v>
                </c:pt>
                <c:pt idx="1198">
                  <c:v>41255</c:v>
                </c:pt>
                <c:pt idx="1199">
                  <c:v>41256</c:v>
                </c:pt>
                <c:pt idx="1200">
                  <c:v>41257</c:v>
                </c:pt>
                <c:pt idx="1201">
                  <c:v>41258</c:v>
                </c:pt>
                <c:pt idx="1202">
                  <c:v>41259</c:v>
                </c:pt>
                <c:pt idx="1203">
                  <c:v>41260</c:v>
                </c:pt>
                <c:pt idx="1204">
                  <c:v>41261</c:v>
                </c:pt>
                <c:pt idx="1205">
                  <c:v>41262</c:v>
                </c:pt>
                <c:pt idx="1206">
                  <c:v>41263</c:v>
                </c:pt>
                <c:pt idx="1207">
                  <c:v>41264</c:v>
                </c:pt>
                <c:pt idx="1208">
                  <c:v>41265</c:v>
                </c:pt>
                <c:pt idx="1209">
                  <c:v>41266</c:v>
                </c:pt>
                <c:pt idx="1210">
                  <c:v>41267</c:v>
                </c:pt>
                <c:pt idx="1211">
                  <c:v>41268</c:v>
                </c:pt>
                <c:pt idx="1212">
                  <c:v>41269</c:v>
                </c:pt>
                <c:pt idx="1213">
                  <c:v>41270</c:v>
                </c:pt>
                <c:pt idx="1214">
                  <c:v>41271</c:v>
                </c:pt>
                <c:pt idx="1215">
                  <c:v>41272</c:v>
                </c:pt>
                <c:pt idx="1216">
                  <c:v>41273</c:v>
                </c:pt>
                <c:pt idx="1217">
                  <c:v>41274</c:v>
                </c:pt>
                <c:pt idx="1218">
                  <c:v>41275</c:v>
                </c:pt>
                <c:pt idx="1219">
                  <c:v>41276</c:v>
                </c:pt>
                <c:pt idx="1220">
                  <c:v>41277</c:v>
                </c:pt>
                <c:pt idx="1221">
                  <c:v>41278</c:v>
                </c:pt>
                <c:pt idx="1222">
                  <c:v>41279</c:v>
                </c:pt>
                <c:pt idx="1223">
                  <c:v>41280</c:v>
                </c:pt>
                <c:pt idx="1224">
                  <c:v>41281</c:v>
                </c:pt>
                <c:pt idx="1225">
                  <c:v>41282</c:v>
                </c:pt>
                <c:pt idx="1226">
                  <c:v>41283</c:v>
                </c:pt>
                <c:pt idx="1227">
                  <c:v>41284</c:v>
                </c:pt>
                <c:pt idx="1228">
                  <c:v>41285</c:v>
                </c:pt>
                <c:pt idx="1229">
                  <c:v>41286</c:v>
                </c:pt>
                <c:pt idx="1230">
                  <c:v>41287</c:v>
                </c:pt>
                <c:pt idx="1231">
                  <c:v>41288</c:v>
                </c:pt>
                <c:pt idx="1232">
                  <c:v>41289</c:v>
                </c:pt>
                <c:pt idx="1233">
                  <c:v>41290</c:v>
                </c:pt>
                <c:pt idx="1234">
                  <c:v>41291</c:v>
                </c:pt>
                <c:pt idx="1235">
                  <c:v>41292</c:v>
                </c:pt>
                <c:pt idx="1236">
                  <c:v>41293</c:v>
                </c:pt>
                <c:pt idx="1237">
                  <c:v>41294</c:v>
                </c:pt>
                <c:pt idx="1238">
                  <c:v>41295</c:v>
                </c:pt>
                <c:pt idx="1239">
                  <c:v>41296</c:v>
                </c:pt>
                <c:pt idx="1240">
                  <c:v>41297</c:v>
                </c:pt>
                <c:pt idx="1241">
                  <c:v>41298</c:v>
                </c:pt>
                <c:pt idx="1242">
                  <c:v>41299</c:v>
                </c:pt>
                <c:pt idx="1243">
                  <c:v>41300</c:v>
                </c:pt>
                <c:pt idx="1244">
                  <c:v>41301</c:v>
                </c:pt>
                <c:pt idx="1245">
                  <c:v>41302</c:v>
                </c:pt>
                <c:pt idx="1246">
                  <c:v>41303</c:v>
                </c:pt>
                <c:pt idx="1247">
                  <c:v>41304</c:v>
                </c:pt>
                <c:pt idx="1248">
                  <c:v>41305</c:v>
                </c:pt>
                <c:pt idx="1249">
                  <c:v>41306</c:v>
                </c:pt>
                <c:pt idx="1250">
                  <c:v>41307</c:v>
                </c:pt>
                <c:pt idx="1251">
                  <c:v>41308</c:v>
                </c:pt>
                <c:pt idx="1252">
                  <c:v>41309</c:v>
                </c:pt>
                <c:pt idx="1253">
                  <c:v>41310</c:v>
                </c:pt>
                <c:pt idx="1254">
                  <c:v>41311</c:v>
                </c:pt>
                <c:pt idx="1255">
                  <c:v>41312</c:v>
                </c:pt>
                <c:pt idx="1256">
                  <c:v>41313</c:v>
                </c:pt>
                <c:pt idx="1257">
                  <c:v>41314</c:v>
                </c:pt>
                <c:pt idx="1258">
                  <c:v>41315</c:v>
                </c:pt>
                <c:pt idx="1259">
                  <c:v>41316</c:v>
                </c:pt>
                <c:pt idx="1260">
                  <c:v>41317</c:v>
                </c:pt>
                <c:pt idx="1261">
                  <c:v>41318</c:v>
                </c:pt>
                <c:pt idx="1262">
                  <c:v>41319</c:v>
                </c:pt>
                <c:pt idx="1263">
                  <c:v>41320</c:v>
                </c:pt>
                <c:pt idx="1264">
                  <c:v>41321</c:v>
                </c:pt>
                <c:pt idx="1265">
                  <c:v>41322</c:v>
                </c:pt>
                <c:pt idx="1266">
                  <c:v>41323</c:v>
                </c:pt>
                <c:pt idx="1267">
                  <c:v>41324</c:v>
                </c:pt>
                <c:pt idx="1268">
                  <c:v>41325</c:v>
                </c:pt>
                <c:pt idx="1269">
                  <c:v>41326</c:v>
                </c:pt>
                <c:pt idx="1270">
                  <c:v>41327</c:v>
                </c:pt>
                <c:pt idx="1271">
                  <c:v>41328</c:v>
                </c:pt>
                <c:pt idx="1272">
                  <c:v>41329</c:v>
                </c:pt>
                <c:pt idx="1273">
                  <c:v>41330</c:v>
                </c:pt>
                <c:pt idx="1274">
                  <c:v>41331</c:v>
                </c:pt>
                <c:pt idx="1275">
                  <c:v>41332</c:v>
                </c:pt>
                <c:pt idx="1276">
                  <c:v>41333</c:v>
                </c:pt>
                <c:pt idx="1277">
                  <c:v>41334</c:v>
                </c:pt>
                <c:pt idx="1278">
                  <c:v>41335</c:v>
                </c:pt>
                <c:pt idx="1279">
                  <c:v>41336</c:v>
                </c:pt>
                <c:pt idx="1280">
                  <c:v>41337</c:v>
                </c:pt>
                <c:pt idx="1281">
                  <c:v>41338</c:v>
                </c:pt>
                <c:pt idx="1282">
                  <c:v>41339</c:v>
                </c:pt>
                <c:pt idx="1283">
                  <c:v>41340</c:v>
                </c:pt>
                <c:pt idx="1284">
                  <c:v>41341</c:v>
                </c:pt>
                <c:pt idx="1285">
                  <c:v>41342</c:v>
                </c:pt>
                <c:pt idx="1286">
                  <c:v>41343</c:v>
                </c:pt>
                <c:pt idx="1287">
                  <c:v>41344</c:v>
                </c:pt>
                <c:pt idx="1288">
                  <c:v>41345</c:v>
                </c:pt>
                <c:pt idx="1289">
                  <c:v>41346</c:v>
                </c:pt>
                <c:pt idx="1290">
                  <c:v>41347</c:v>
                </c:pt>
                <c:pt idx="1291">
                  <c:v>41348</c:v>
                </c:pt>
                <c:pt idx="1292">
                  <c:v>41349</c:v>
                </c:pt>
                <c:pt idx="1293">
                  <c:v>41350</c:v>
                </c:pt>
                <c:pt idx="1294">
                  <c:v>41351</c:v>
                </c:pt>
                <c:pt idx="1295">
                  <c:v>41352</c:v>
                </c:pt>
                <c:pt idx="1296">
                  <c:v>41353</c:v>
                </c:pt>
                <c:pt idx="1297">
                  <c:v>41354</c:v>
                </c:pt>
                <c:pt idx="1298">
                  <c:v>41355</c:v>
                </c:pt>
                <c:pt idx="1299">
                  <c:v>41356</c:v>
                </c:pt>
                <c:pt idx="1300">
                  <c:v>41357</c:v>
                </c:pt>
                <c:pt idx="1301">
                  <c:v>41358</c:v>
                </c:pt>
                <c:pt idx="1302">
                  <c:v>41359</c:v>
                </c:pt>
                <c:pt idx="1303">
                  <c:v>41360</c:v>
                </c:pt>
                <c:pt idx="1304">
                  <c:v>41361</c:v>
                </c:pt>
                <c:pt idx="1305">
                  <c:v>41362</c:v>
                </c:pt>
                <c:pt idx="1306">
                  <c:v>41363</c:v>
                </c:pt>
                <c:pt idx="1307">
                  <c:v>41364</c:v>
                </c:pt>
                <c:pt idx="1308">
                  <c:v>41365</c:v>
                </c:pt>
                <c:pt idx="1309">
                  <c:v>41366</c:v>
                </c:pt>
                <c:pt idx="1310">
                  <c:v>41367</c:v>
                </c:pt>
                <c:pt idx="1311">
                  <c:v>41368</c:v>
                </c:pt>
                <c:pt idx="1312">
                  <c:v>41369</c:v>
                </c:pt>
                <c:pt idx="1313">
                  <c:v>41370</c:v>
                </c:pt>
                <c:pt idx="1314">
                  <c:v>41371</c:v>
                </c:pt>
                <c:pt idx="1315">
                  <c:v>41372</c:v>
                </c:pt>
                <c:pt idx="1316">
                  <c:v>41373</c:v>
                </c:pt>
                <c:pt idx="1317">
                  <c:v>41374</c:v>
                </c:pt>
                <c:pt idx="1318">
                  <c:v>41375</c:v>
                </c:pt>
                <c:pt idx="1319">
                  <c:v>41376</c:v>
                </c:pt>
                <c:pt idx="1320">
                  <c:v>41377</c:v>
                </c:pt>
                <c:pt idx="1321">
                  <c:v>41378</c:v>
                </c:pt>
                <c:pt idx="1322">
                  <c:v>41379</c:v>
                </c:pt>
                <c:pt idx="1323">
                  <c:v>41380</c:v>
                </c:pt>
                <c:pt idx="1324">
                  <c:v>41381</c:v>
                </c:pt>
                <c:pt idx="1325">
                  <c:v>41382</c:v>
                </c:pt>
                <c:pt idx="1326">
                  <c:v>41383</c:v>
                </c:pt>
                <c:pt idx="1327">
                  <c:v>41384</c:v>
                </c:pt>
                <c:pt idx="1328">
                  <c:v>41385</c:v>
                </c:pt>
                <c:pt idx="1329">
                  <c:v>41386</c:v>
                </c:pt>
                <c:pt idx="1330">
                  <c:v>41387</c:v>
                </c:pt>
                <c:pt idx="1331">
                  <c:v>41388</c:v>
                </c:pt>
                <c:pt idx="1332">
                  <c:v>41389</c:v>
                </c:pt>
                <c:pt idx="1333">
                  <c:v>41390</c:v>
                </c:pt>
                <c:pt idx="1334">
                  <c:v>41391</c:v>
                </c:pt>
                <c:pt idx="1335">
                  <c:v>41392</c:v>
                </c:pt>
                <c:pt idx="1336">
                  <c:v>41393</c:v>
                </c:pt>
                <c:pt idx="1337">
                  <c:v>41394</c:v>
                </c:pt>
                <c:pt idx="1338">
                  <c:v>41395</c:v>
                </c:pt>
                <c:pt idx="1339">
                  <c:v>41396</c:v>
                </c:pt>
                <c:pt idx="1340">
                  <c:v>41397</c:v>
                </c:pt>
                <c:pt idx="1341">
                  <c:v>41398</c:v>
                </c:pt>
                <c:pt idx="1342">
                  <c:v>41399</c:v>
                </c:pt>
                <c:pt idx="1343">
                  <c:v>41400</c:v>
                </c:pt>
                <c:pt idx="1344">
                  <c:v>41401</c:v>
                </c:pt>
                <c:pt idx="1345">
                  <c:v>41402</c:v>
                </c:pt>
                <c:pt idx="1346">
                  <c:v>41403</c:v>
                </c:pt>
                <c:pt idx="1347">
                  <c:v>41404</c:v>
                </c:pt>
                <c:pt idx="1348">
                  <c:v>41405</c:v>
                </c:pt>
                <c:pt idx="1349">
                  <c:v>41406</c:v>
                </c:pt>
                <c:pt idx="1350">
                  <c:v>41407</c:v>
                </c:pt>
                <c:pt idx="1351">
                  <c:v>41408</c:v>
                </c:pt>
                <c:pt idx="1352">
                  <c:v>41409</c:v>
                </c:pt>
                <c:pt idx="1353">
                  <c:v>41410</c:v>
                </c:pt>
                <c:pt idx="1354">
                  <c:v>41411</c:v>
                </c:pt>
                <c:pt idx="1355">
                  <c:v>41412</c:v>
                </c:pt>
                <c:pt idx="1356">
                  <c:v>41413</c:v>
                </c:pt>
                <c:pt idx="1357">
                  <c:v>41414</c:v>
                </c:pt>
                <c:pt idx="1358">
                  <c:v>41415</c:v>
                </c:pt>
                <c:pt idx="1359">
                  <c:v>41416</c:v>
                </c:pt>
                <c:pt idx="1360">
                  <c:v>41417</c:v>
                </c:pt>
                <c:pt idx="1361">
                  <c:v>41418</c:v>
                </c:pt>
                <c:pt idx="1362">
                  <c:v>41419</c:v>
                </c:pt>
                <c:pt idx="1363">
                  <c:v>41420</c:v>
                </c:pt>
                <c:pt idx="1364">
                  <c:v>41421</c:v>
                </c:pt>
                <c:pt idx="1365">
                  <c:v>41422</c:v>
                </c:pt>
                <c:pt idx="1366">
                  <c:v>41423</c:v>
                </c:pt>
                <c:pt idx="1367">
                  <c:v>41424</c:v>
                </c:pt>
                <c:pt idx="1368">
                  <c:v>41425</c:v>
                </c:pt>
                <c:pt idx="1369">
                  <c:v>41426</c:v>
                </c:pt>
                <c:pt idx="1370">
                  <c:v>41427</c:v>
                </c:pt>
                <c:pt idx="1371">
                  <c:v>41428</c:v>
                </c:pt>
                <c:pt idx="1372">
                  <c:v>41429</c:v>
                </c:pt>
                <c:pt idx="1373">
                  <c:v>41430</c:v>
                </c:pt>
                <c:pt idx="1374">
                  <c:v>41431</c:v>
                </c:pt>
                <c:pt idx="1375">
                  <c:v>41432</c:v>
                </c:pt>
                <c:pt idx="1376">
                  <c:v>41433</c:v>
                </c:pt>
                <c:pt idx="1377">
                  <c:v>41434</c:v>
                </c:pt>
                <c:pt idx="1378">
                  <c:v>41435</c:v>
                </c:pt>
                <c:pt idx="1379">
                  <c:v>41436</c:v>
                </c:pt>
                <c:pt idx="1380">
                  <c:v>41437</c:v>
                </c:pt>
                <c:pt idx="1381">
                  <c:v>41438</c:v>
                </c:pt>
                <c:pt idx="1382">
                  <c:v>41439</c:v>
                </c:pt>
                <c:pt idx="1383">
                  <c:v>41440</c:v>
                </c:pt>
                <c:pt idx="1384">
                  <c:v>41441</c:v>
                </c:pt>
                <c:pt idx="1385">
                  <c:v>41442</c:v>
                </c:pt>
                <c:pt idx="1386">
                  <c:v>41443</c:v>
                </c:pt>
                <c:pt idx="1387">
                  <c:v>41444</c:v>
                </c:pt>
                <c:pt idx="1388">
                  <c:v>41445</c:v>
                </c:pt>
                <c:pt idx="1389">
                  <c:v>41446</c:v>
                </c:pt>
                <c:pt idx="1390">
                  <c:v>41447</c:v>
                </c:pt>
                <c:pt idx="1391">
                  <c:v>41448</c:v>
                </c:pt>
                <c:pt idx="1392">
                  <c:v>41449</c:v>
                </c:pt>
                <c:pt idx="1393">
                  <c:v>41450</c:v>
                </c:pt>
                <c:pt idx="1394">
                  <c:v>41451</c:v>
                </c:pt>
                <c:pt idx="1395">
                  <c:v>41452</c:v>
                </c:pt>
                <c:pt idx="1396">
                  <c:v>41453</c:v>
                </c:pt>
                <c:pt idx="1397">
                  <c:v>41454</c:v>
                </c:pt>
                <c:pt idx="1398">
                  <c:v>41455</c:v>
                </c:pt>
                <c:pt idx="1399">
                  <c:v>41456</c:v>
                </c:pt>
                <c:pt idx="1400">
                  <c:v>41457</c:v>
                </c:pt>
                <c:pt idx="1401">
                  <c:v>41458</c:v>
                </c:pt>
                <c:pt idx="1402">
                  <c:v>41459</c:v>
                </c:pt>
                <c:pt idx="1403">
                  <c:v>41460</c:v>
                </c:pt>
                <c:pt idx="1404">
                  <c:v>41461</c:v>
                </c:pt>
                <c:pt idx="1405">
                  <c:v>41462</c:v>
                </c:pt>
                <c:pt idx="1406">
                  <c:v>41463</c:v>
                </c:pt>
                <c:pt idx="1407">
                  <c:v>41464</c:v>
                </c:pt>
                <c:pt idx="1408">
                  <c:v>41465</c:v>
                </c:pt>
                <c:pt idx="1409">
                  <c:v>41466</c:v>
                </c:pt>
                <c:pt idx="1410">
                  <c:v>41467</c:v>
                </c:pt>
                <c:pt idx="1411">
                  <c:v>41468</c:v>
                </c:pt>
                <c:pt idx="1412">
                  <c:v>41469</c:v>
                </c:pt>
                <c:pt idx="1413">
                  <c:v>41470</c:v>
                </c:pt>
                <c:pt idx="1414">
                  <c:v>41471</c:v>
                </c:pt>
                <c:pt idx="1415">
                  <c:v>41472</c:v>
                </c:pt>
                <c:pt idx="1416">
                  <c:v>41473</c:v>
                </c:pt>
                <c:pt idx="1417">
                  <c:v>41474</c:v>
                </c:pt>
                <c:pt idx="1418">
                  <c:v>41475</c:v>
                </c:pt>
                <c:pt idx="1419">
                  <c:v>41476</c:v>
                </c:pt>
                <c:pt idx="1420">
                  <c:v>41477</c:v>
                </c:pt>
                <c:pt idx="1421">
                  <c:v>41478</c:v>
                </c:pt>
                <c:pt idx="1422">
                  <c:v>41479</c:v>
                </c:pt>
                <c:pt idx="1423">
                  <c:v>41480</c:v>
                </c:pt>
                <c:pt idx="1424">
                  <c:v>41481</c:v>
                </c:pt>
                <c:pt idx="1425">
                  <c:v>41482</c:v>
                </c:pt>
                <c:pt idx="1426">
                  <c:v>41483</c:v>
                </c:pt>
                <c:pt idx="1427">
                  <c:v>41484</c:v>
                </c:pt>
                <c:pt idx="1428">
                  <c:v>41485</c:v>
                </c:pt>
                <c:pt idx="1429">
                  <c:v>41486</c:v>
                </c:pt>
                <c:pt idx="1430">
                  <c:v>41487</c:v>
                </c:pt>
                <c:pt idx="1431">
                  <c:v>41488</c:v>
                </c:pt>
                <c:pt idx="1432">
                  <c:v>41489</c:v>
                </c:pt>
                <c:pt idx="1433">
                  <c:v>41490</c:v>
                </c:pt>
                <c:pt idx="1434">
                  <c:v>41491</c:v>
                </c:pt>
                <c:pt idx="1435">
                  <c:v>41492</c:v>
                </c:pt>
                <c:pt idx="1436">
                  <c:v>41493</c:v>
                </c:pt>
                <c:pt idx="1437">
                  <c:v>41494</c:v>
                </c:pt>
                <c:pt idx="1438">
                  <c:v>41495</c:v>
                </c:pt>
                <c:pt idx="1439">
                  <c:v>41496</c:v>
                </c:pt>
                <c:pt idx="1440">
                  <c:v>41497</c:v>
                </c:pt>
                <c:pt idx="1441">
                  <c:v>41498</c:v>
                </c:pt>
                <c:pt idx="1442">
                  <c:v>41499</c:v>
                </c:pt>
                <c:pt idx="1443">
                  <c:v>41500</c:v>
                </c:pt>
                <c:pt idx="1444">
                  <c:v>41501</c:v>
                </c:pt>
                <c:pt idx="1445">
                  <c:v>41502</c:v>
                </c:pt>
                <c:pt idx="1446">
                  <c:v>41503</c:v>
                </c:pt>
                <c:pt idx="1447">
                  <c:v>41504</c:v>
                </c:pt>
                <c:pt idx="1448">
                  <c:v>41505</c:v>
                </c:pt>
                <c:pt idx="1449">
                  <c:v>41506</c:v>
                </c:pt>
                <c:pt idx="1450">
                  <c:v>41507</c:v>
                </c:pt>
                <c:pt idx="1451">
                  <c:v>41508</c:v>
                </c:pt>
                <c:pt idx="1452">
                  <c:v>41509</c:v>
                </c:pt>
                <c:pt idx="1453">
                  <c:v>41510</c:v>
                </c:pt>
                <c:pt idx="1454">
                  <c:v>41511</c:v>
                </c:pt>
                <c:pt idx="1455">
                  <c:v>41512</c:v>
                </c:pt>
                <c:pt idx="1456">
                  <c:v>41513</c:v>
                </c:pt>
                <c:pt idx="1457">
                  <c:v>41514</c:v>
                </c:pt>
                <c:pt idx="1458">
                  <c:v>41515</c:v>
                </c:pt>
                <c:pt idx="1459">
                  <c:v>41516</c:v>
                </c:pt>
              </c:numCache>
            </c:numRef>
          </c:cat>
          <c:val>
            <c:numRef>
              <c:f>'plot1-tc-par-djalk-sedpar-slope'!$S$2:$S$1461</c:f>
              <c:numCache>
                <c:formatCode>General</c:formatCode>
                <c:ptCount val="1460"/>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0</c:v>
                </c:pt>
                <c:pt idx="95">
                  <c:v>0</c:v>
                </c:pt>
                <c:pt idx="96">
                  <c:v>0</c:v>
                </c:pt>
                <c:pt idx="97">
                  <c:v>0</c:v>
                </c:pt>
                <c:pt idx="98">
                  <c:v>0</c:v>
                </c:pt>
                <c:pt idx="99">
                  <c:v>0</c:v>
                </c:pt>
                <c:pt idx="100">
                  <c:v>0</c:v>
                </c:pt>
                <c:pt idx="101">
                  <c:v>0</c:v>
                </c:pt>
                <c:pt idx="102">
                  <c:v>0</c:v>
                </c:pt>
                <c:pt idx="103">
                  <c:v>0</c:v>
                </c:pt>
                <c:pt idx="104">
                  <c:v>0</c:v>
                </c:pt>
                <c:pt idx="105">
                  <c:v>0</c:v>
                </c:pt>
                <c:pt idx="106">
                  <c:v>0</c:v>
                </c:pt>
                <c:pt idx="107">
                  <c:v>0</c:v>
                </c:pt>
                <c:pt idx="108">
                  <c:v>0</c:v>
                </c:pt>
                <c:pt idx="109">
                  <c:v>0</c:v>
                </c:pt>
                <c:pt idx="110">
                  <c:v>0</c:v>
                </c:pt>
                <c:pt idx="111">
                  <c:v>0</c:v>
                </c:pt>
                <c:pt idx="112">
                  <c:v>0</c:v>
                </c:pt>
                <c:pt idx="113">
                  <c:v>0</c:v>
                </c:pt>
                <c:pt idx="114">
                  <c:v>8.0403080999999991E-3</c:v>
                </c:pt>
                <c:pt idx="115">
                  <c:v>8.1330863000000728E-3</c:v>
                </c:pt>
                <c:pt idx="116">
                  <c:v>8.5969646000000066E-3</c:v>
                </c:pt>
                <c:pt idx="117">
                  <c:v>8.6917642000000246E-3</c:v>
                </c:pt>
                <c:pt idx="118">
                  <c:v>8.7275074000000025E-3</c:v>
                </c:pt>
                <c:pt idx="119">
                  <c:v>8.9271959000000022E-3</c:v>
                </c:pt>
                <c:pt idx="120">
                  <c:v>8.988367399999999E-3</c:v>
                </c:pt>
                <c:pt idx="121">
                  <c:v>9.0281388000000209E-3</c:v>
                </c:pt>
                <c:pt idx="122">
                  <c:v>9.0752926000001767E-3</c:v>
                </c:pt>
                <c:pt idx="123">
                  <c:v>9.0850731000000021E-3</c:v>
                </c:pt>
                <c:pt idx="124">
                  <c:v>9.0981835000000007E-3</c:v>
                </c:pt>
                <c:pt idx="125">
                  <c:v>9.1062048000000728E-3</c:v>
                </c:pt>
                <c:pt idx="126">
                  <c:v>9.1376639000000006E-3</c:v>
                </c:pt>
                <c:pt idx="127">
                  <c:v>1.02079567E-2</c:v>
                </c:pt>
                <c:pt idx="128">
                  <c:v>1.0222554300000627E-2</c:v>
                </c:pt>
                <c:pt idx="129">
                  <c:v>1.02553643E-2</c:v>
                </c:pt>
                <c:pt idx="130">
                  <c:v>1.0272617299999998E-2</c:v>
                </c:pt>
                <c:pt idx="131">
                  <c:v>1.02793895E-2</c:v>
                </c:pt>
                <c:pt idx="132">
                  <c:v>1.0282463700000001E-2</c:v>
                </c:pt>
                <c:pt idx="133">
                  <c:v>1.0288647999999958E-2</c:v>
                </c:pt>
                <c:pt idx="134">
                  <c:v>1.0289625700000101E-2</c:v>
                </c:pt>
                <c:pt idx="135">
                  <c:v>1.02899047E-2</c:v>
                </c:pt>
                <c:pt idx="136">
                  <c:v>1.0289965899999998E-2</c:v>
                </c:pt>
                <c:pt idx="137">
                  <c:v>1.02899884E-2</c:v>
                </c:pt>
                <c:pt idx="138">
                  <c:v>1.02900023E-2</c:v>
                </c:pt>
                <c:pt idx="139">
                  <c:v>1.02900027E-2</c:v>
                </c:pt>
                <c:pt idx="140">
                  <c:v>1.02900027E-2</c:v>
                </c:pt>
                <c:pt idx="141">
                  <c:v>1.0394294899999998E-2</c:v>
                </c:pt>
                <c:pt idx="142">
                  <c:v>1.0408797899999999E-2</c:v>
                </c:pt>
                <c:pt idx="143">
                  <c:v>1.0418715199999998E-2</c:v>
                </c:pt>
                <c:pt idx="144">
                  <c:v>1.0423465700000283E-2</c:v>
                </c:pt>
                <c:pt idx="145">
                  <c:v>2.2699889400000652E-2</c:v>
                </c:pt>
                <c:pt idx="146">
                  <c:v>2.2726276200000003E-2</c:v>
                </c:pt>
                <c:pt idx="147">
                  <c:v>2.2732043000000642E-2</c:v>
                </c:pt>
                <c:pt idx="148">
                  <c:v>2.2735583300000001E-2</c:v>
                </c:pt>
                <c:pt idx="149">
                  <c:v>2.2880852500001447E-2</c:v>
                </c:pt>
                <c:pt idx="150">
                  <c:v>2.2941480400000012E-2</c:v>
                </c:pt>
                <c:pt idx="151">
                  <c:v>2.2948221000000001E-2</c:v>
                </c:pt>
                <c:pt idx="152">
                  <c:v>2.2955878500001459E-2</c:v>
                </c:pt>
                <c:pt idx="153">
                  <c:v>2.2958946800000012E-2</c:v>
                </c:pt>
                <c:pt idx="154">
                  <c:v>2.5621070100000452E-2</c:v>
                </c:pt>
                <c:pt idx="155">
                  <c:v>2.5630579700000405E-2</c:v>
                </c:pt>
                <c:pt idx="156">
                  <c:v>2.5634745400001699E-2</c:v>
                </c:pt>
                <c:pt idx="157">
                  <c:v>2.5636294800000042E-2</c:v>
                </c:pt>
                <c:pt idx="158">
                  <c:v>2.5636934100000012E-2</c:v>
                </c:pt>
                <c:pt idx="159">
                  <c:v>2.563708130000001E-2</c:v>
                </c:pt>
                <c:pt idx="160">
                  <c:v>2.5637177200001759E-2</c:v>
                </c:pt>
                <c:pt idx="161">
                  <c:v>2.5637192800001461E-2</c:v>
                </c:pt>
                <c:pt idx="162">
                  <c:v>2.5637193300000492E-2</c:v>
                </c:pt>
                <c:pt idx="163">
                  <c:v>2.5637193300000492E-2</c:v>
                </c:pt>
                <c:pt idx="164">
                  <c:v>2.5637193300000492E-2</c:v>
                </c:pt>
                <c:pt idx="165">
                  <c:v>2.5637193300000492E-2</c:v>
                </c:pt>
                <c:pt idx="166">
                  <c:v>2.5637193300000492E-2</c:v>
                </c:pt>
                <c:pt idx="167">
                  <c:v>2.5637193300000492E-2</c:v>
                </c:pt>
                <c:pt idx="168">
                  <c:v>2.5637193300000492E-2</c:v>
                </c:pt>
                <c:pt idx="169">
                  <c:v>2.5637193300000492E-2</c:v>
                </c:pt>
                <c:pt idx="170">
                  <c:v>2.5637193300000492E-2</c:v>
                </c:pt>
                <c:pt idx="171">
                  <c:v>2.5637193300000492E-2</c:v>
                </c:pt>
                <c:pt idx="172">
                  <c:v>2.5637193300000492E-2</c:v>
                </c:pt>
                <c:pt idx="173">
                  <c:v>2.5637193300000492E-2</c:v>
                </c:pt>
                <c:pt idx="174">
                  <c:v>2.5637193300000492E-2</c:v>
                </c:pt>
                <c:pt idx="175">
                  <c:v>2.5637193300000492E-2</c:v>
                </c:pt>
                <c:pt idx="176">
                  <c:v>2.5637193300000492E-2</c:v>
                </c:pt>
                <c:pt idx="177">
                  <c:v>2.5637193300000492E-2</c:v>
                </c:pt>
                <c:pt idx="178">
                  <c:v>2.5719189199999989E-2</c:v>
                </c:pt>
                <c:pt idx="179">
                  <c:v>2.5798239099999995E-2</c:v>
                </c:pt>
                <c:pt idx="180">
                  <c:v>2.5985266700000492E-2</c:v>
                </c:pt>
                <c:pt idx="181">
                  <c:v>2.6000474999999995E-2</c:v>
                </c:pt>
                <c:pt idx="182">
                  <c:v>2.6007190000000856E-2</c:v>
                </c:pt>
                <c:pt idx="183">
                  <c:v>2.6008798200000002E-2</c:v>
                </c:pt>
                <c:pt idx="184">
                  <c:v>2.6009786800000049E-2</c:v>
                </c:pt>
                <c:pt idx="185">
                  <c:v>2.6010295700000612E-2</c:v>
                </c:pt>
                <c:pt idx="186">
                  <c:v>2.6010420000000003E-2</c:v>
                </c:pt>
                <c:pt idx="187">
                  <c:v>2.6010441100000007E-2</c:v>
                </c:pt>
                <c:pt idx="188">
                  <c:v>2.6010443200000011E-2</c:v>
                </c:pt>
                <c:pt idx="189">
                  <c:v>2.6010443200000011E-2</c:v>
                </c:pt>
                <c:pt idx="190">
                  <c:v>2.6010443200000011E-2</c:v>
                </c:pt>
                <c:pt idx="191">
                  <c:v>2.6010443200000011E-2</c:v>
                </c:pt>
                <c:pt idx="192">
                  <c:v>2.6010443200000011E-2</c:v>
                </c:pt>
                <c:pt idx="193">
                  <c:v>2.6010443200000011E-2</c:v>
                </c:pt>
                <c:pt idx="194">
                  <c:v>2.6010443200000011E-2</c:v>
                </c:pt>
                <c:pt idx="195">
                  <c:v>2.6010444600000002E-2</c:v>
                </c:pt>
                <c:pt idx="196">
                  <c:v>2.6010455500000002E-2</c:v>
                </c:pt>
                <c:pt idx="197">
                  <c:v>2.6010459299999997E-2</c:v>
                </c:pt>
                <c:pt idx="198">
                  <c:v>2.60104603E-2</c:v>
                </c:pt>
                <c:pt idx="199">
                  <c:v>2.6010460400000216E-2</c:v>
                </c:pt>
                <c:pt idx="200">
                  <c:v>2.6010460400000216E-2</c:v>
                </c:pt>
                <c:pt idx="201">
                  <c:v>2.6010460400000216E-2</c:v>
                </c:pt>
                <c:pt idx="202">
                  <c:v>2.6010460400000216E-2</c:v>
                </c:pt>
                <c:pt idx="203">
                  <c:v>2.6010460400000216E-2</c:v>
                </c:pt>
                <c:pt idx="204">
                  <c:v>2.6018922900000012E-2</c:v>
                </c:pt>
                <c:pt idx="205">
                  <c:v>2.6032896200000016E-2</c:v>
                </c:pt>
                <c:pt idx="206">
                  <c:v>2.6038414800000052E-2</c:v>
                </c:pt>
                <c:pt idx="207">
                  <c:v>2.6041739200000052E-2</c:v>
                </c:pt>
                <c:pt idx="208">
                  <c:v>2.6042335300000656E-2</c:v>
                </c:pt>
                <c:pt idx="209">
                  <c:v>2.6042533700000012E-2</c:v>
                </c:pt>
                <c:pt idx="210">
                  <c:v>2.6042623500000056E-2</c:v>
                </c:pt>
                <c:pt idx="211">
                  <c:v>2.6042641500000612E-2</c:v>
                </c:pt>
                <c:pt idx="212">
                  <c:v>2.6042642400001609E-2</c:v>
                </c:pt>
                <c:pt idx="213">
                  <c:v>2.6042642400001609E-2</c:v>
                </c:pt>
                <c:pt idx="214">
                  <c:v>2.6042642400001609E-2</c:v>
                </c:pt>
                <c:pt idx="215">
                  <c:v>2.6042642400001609E-2</c:v>
                </c:pt>
                <c:pt idx="216">
                  <c:v>2.6042642400001609E-2</c:v>
                </c:pt>
                <c:pt idx="217">
                  <c:v>2.6042642400001609E-2</c:v>
                </c:pt>
                <c:pt idx="218">
                  <c:v>2.6063673000000492E-2</c:v>
                </c:pt>
                <c:pt idx="219">
                  <c:v>2.6070549600000811E-2</c:v>
                </c:pt>
                <c:pt idx="220">
                  <c:v>2.6082034100000002E-2</c:v>
                </c:pt>
                <c:pt idx="221">
                  <c:v>2.6908049900000001E-2</c:v>
                </c:pt>
                <c:pt idx="222">
                  <c:v>2.6924155400000049E-2</c:v>
                </c:pt>
                <c:pt idx="223">
                  <c:v>2.6933198500001563E-2</c:v>
                </c:pt>
                <c:pt idx="224">
                  <c:v>2.8018459899999928E-2</c:v>
                </c:pt>
                <c:pt idx="225">
                  <c:v>2.8339397300000482E-2</c:v>
                </c:pt>
                <c:pt idx="226">
                  <c:v>2.8564393699999999E-2</c:v>
                </c:pt>
                <c:pt idx="227">
                  <c:v>2.8593153600000001E-2</c:v>
                </c:pt>
                <c:pt idx="228">
                  <c:v>2.85976418E-2</c:v>
                </c:pt>
                <c:pt idx="229">
                  <c:v>2.8599746299999999E-2</c:v>
                </c:pt>
                <c:pt idx="230">
                  <c:v>2.8601582100000009E-2</c:v>
                </c:pt>
                <c:pt idx="231">
                  <c:v>2.8601820500000812E-2</c:v>
                </c:pt>
                <c:pt idx="232">
                  <c:v>2.8601893000000492E-2</c:v>
                </c:pt>
                <c:pt idx="233">
                  <c:v>2.8601904500000812E-2</c:v>
                </c:pt>
                <c:pt idx="234">
                  <c:v>2.8601904900000016E-2</c:v>
                </c:pt>
                <c:pt idx="235">
                  <c:v>2.8601904900000016E-2</c:v>
                </c:pt>
                <c:pt idx="236">
                  <c:v>2.8601904900000016E-2</c:v>
                </c:pt>
                <c:pt idx="237">
                  <c:v>2.8601904900000016E-2</c:v>
                </c:pt>
                <c:pt idx="238">
                  <c:v>2.8601904900000016E-2</c:v>
                </c:pt>
                <c:pt idx="239">
                  <c:v>2.8601904900000016E-2</c:v>
                </c:pt>
                <c:pt idx="240">
                  <c:v>2.8601904900000016E-2</c:v>
                </c:pt>
                <c:pt idx="241">
                  <c:v>2.8601904900000016E-2</c:v>
                </c:pt>
                <c:pt idx="242">
                  <c:v>2.8601904900000016E-2</c:v>
                </c:pt>
                <c:pt idx="243">
                  <c:v>2.8601904900000016E-2</c:v>
                </c:pt>
                <c:pt idx="244">
                  <c:v>2.8601904900000016E-2</c:v>
                </c:pt>
                <c:pt idx="245">
                  <c:v>2.8601904900000016E-2</c:v>
                </c:pt>
                <c:pt idx="246">
                  <c:v>2.8601904900000016E-2</c:v>
                </c:pt>
                <c:pt idx="247">
                  <c:v>2.8601904900000016E-2</c:v>
                </c:pt>
                <c:pt idx="248">
                  <c:v>2.8601904900000016E-2</c:v>
                </c:pt>
                <c:pt idx="249">
                  <c:v>2.8601904900000016E-2</c:v>
                </c:pt>
                <c:pt idx="250">
                  <c:v>2.8601904900000016E-2</c:v>
                </c:pt>
                <c:pt idx="251">
                  <c:v>2.8601904900000016E-2</c:v>
                </c:pt>
                <c:pt idx="252">
                  <c:v>2.8601904900000016E-2</c:v>
                </c:pt>
                <c:pt idx="253">
                  <c:v>2.8601904900000016E-2</c:v>
                </c:pt>
                <c:pt idx="254">
                  <c:v>2.8601904900000016E-2</c:v>
                </c:pt>
                <c:pt idx="255">
                  <c:v>2.8601904900000016E-2</c:v>
                </c:pt>
                <c:pt idx="256">
                  <c:v>2.8601904900000016E-2</c:v>
                </c:pt>
                <c:pt idx="257">
                  <c:v>2.8601904900000016E-2</c:v>
                </c:pt>
                <c:pt idx="258">
                  <c:v>2.8601904900000016E-2</c:v>
                </c:pt>
                <c:pt idx="259">
                  <c:v>2.8601904900000016E-2</c:v>
                </c:pt>
                <c:pt idx="260">
                  <c:v>2.8601904900000016E-2</c:v>
                </c:pt>
                <c:pt idx="261">
                  <c:v>2.8601904900000016E-2</c:v>
                </c:pt>
                <c:pt idx="262">
                  <c:v>2.8601904900000016E-2</c:v>
                </c:pt>
                <c:pt idx="263">
                  <c:v>2.8601904900000016E-2</c:v>
                </c:pt>
                <c:pt idx="264">
                  <c:v>2.8601904900000016E-2</c:v>
                </c:pt>
                <c:pt idx="265">
                  <c:v>2.8601904900000016E-2</c:v>
                </c:pt>
                <c:pt idx="266">
                  <c:v>2.8601904900000016E-2</c:v>
                </c:pt>
                <c:pt idx="267">
                  <c:v>2.8601904900000016E-2</c:v>
                </c:pt>
                <c:pt idx="268">
                  <c:v>2.8601904900000016E-2</c:v>
                </c:pt>
                <c:pt idx="269">
                  <c:v>2.8601904900000016E-2</c:v>
                </c:pt>
                <c:pt idx="270">
                  <c:v>2.8601904900000016E-2</c:v>
                </c:pt>
                <c:pt idx="271">
                  <c:v>2.8601904900000016E-2</c:v>
                </c:pt>
                <c:pt idx="272">
                  <c:v>2.8601904900000016E-2</c:v>
                </c:pt>
                <c:pt idx="273">
                  <c:v>2.8601904900000016E-2</c:v>
                </c:pt>
                <c:pt idx="274">
                  <c:v>2.8601904900000016E-2</c:v>
                </c:pt>
                <c:pt idx="275">
                  <c:v>2.8601904900000016E-2</c:v>
                </c:pt>
                <c:pt idx="276">
                  <c:v>2.8601904900000016E-2</c:v>
                </c:pt>
                <c:pt idx="277">
                  <c:v>2.8601904900000016E-2</c:v>
                </c:pt>
                <c:pt idx="278">
                  <c:v>2.8601904900000016E-2</c:v>
                </c:pt>
                <c:pt idx="279">
                  <c:v>2.8601904900000016E-2</c:v>
                </c:pt>
                <c:pt idx="280">
                  <c:v>2.8601904900000016E-2</c:v>
                </c:pt>
                <c:pt idx="281">
                  <c:v>2.8601904900000016E-2</c:v>
                </c:pt>
                <c:pt idx="282">
                  <c:v>2.8601904900000016E-2</c:v>
                </c:pt>
                <c:pt idx="283">
                  <c:v>2.8601904900000016E-2</c:v>
                </c:pt>
                <c:pt idx="284">
                  <c:v>2.8601904900000016E-2</c:v>
                </c:pt>
                <c:pt idx="285">
                  <c:v>2.8601904900000016E-2</c:v>
                </c:pt>
                <c:pt idx="286">
                  <c:v>2.8601904900000016E-2</c:v>
                </c:pt>
                <c:pt idx="287">
                  <c:v>2.8601904900000016E-2</c:v>
                </c:pt>
                <c:pt idx="288">
                  <c:v>2.8601904900000016E-2</c:v>
                </c:pt>
                <c:pt idx="289">
                  <c:v>2.8601904900000016E-2</c:v>
                </c:pt>
                <c:pt idx="290">
                  <c:v>2.8601904900000016E-2</c:v>
                </c:pt>
                <c:pt idx="291">
                  <c:v>2.8601904900000016E-2</c:v>
                </c:pt>
                <c:pt idx="292">
                  <c:v>2.8601904900000016E-2</c:v>
                </c:pt>
                <c:pt idx="293">
                  <c:v>2.8601904900000016E-2</c:v>
                </c:pt>
                <c:pt idx="294">
                  <c:v>2.8601904900000016E-2</c:v>
                </c:pt>
                <c:pt idx="295">
                  <c:v>2.8601904900000016E-2</c:v>
                </c:pt>
                <c:pt idx="296">
                  <c:v>2.8601904900000016E-2</c:v>
                </c:pt>
                <c:pt idx="297">
                  <c:v>2.8601904900000016E-2</c:v>
                </c:pt>
                <c:pt idx="298">
                  <c:v>2.8601904900000016E-2</c:v>
                </c:pt>
                <c:pt idx="299">
                  <c:v>2.8601904900000016E-2</c:v>
                </c:pt>
                <c:pt idx="300">
                  <c:v>2.8601904900000016E-2</c:v>
                </c:pt>
                <c:pt idx="301">
                  <c:v>2.8601904900000016E-2</c:v>
                </c:pt>
                <c:pt idx="302">
                  <c:v>2.8601904900000016E-2</c:v>
                </c:pt>
                <c:pt idx="303">
                  <c:v>2.8601904900000016E-2</c:v>
                </c:pt>
                <c:pt idx="304">
                  <c:v>2.8601904900000016E-2</c:v>
                </c:pt>
                <c:pt idx="305">
                  <c:v>2.8601904900000016E-2</c:v>
                </c:pt>
                <c:pt idx="306">
                  <c:v>2.8601904900000016E-2</c:v>
                </c:pt>
                <c:pt idx="307">
                  <c:v>2.8601904900000016E-2</c:v>
                </c:pt>
                <c:pt idx="308">
                  <c:v>2.8601904900000016E-2</c:v>
                </c:pt>
                <c:pt idx="309">
                  <c:v>2.8601904900000016E-2</c:v>
                </c:pt>
                <c:pt idx="310">
                  <c:v>2.8601904900000016E-2</c:v>
                </c:pt>
                <c:pt idx="311">
                  <c:v>2.8601904900000016E-2</c:v>
                </c:pt>
                <c:pt idx="312">
                  <c:v>2.8601904900000016E-2</c:v>
                </c:pt>
                <c:pt idx="313">
                  <c:v>2.8601904900000016E-2</c:v>
                </c:pt>
                <c:pt idx="314">
                  <c:v>2.8601904900000016E-2</c:v>
                </c:pt>
                <c:pt idx="315">
                  <c:v>2.8601904900000016E-2</c:v>
                </c:pt>
                <c:pt idx="316">
                  <c:v>2.8601904900000016E-2</c:v>
                </c:pt>
                <c:pt idx="317">
                  <c:v>2.8601904900000016E-2</c:v>
                </c:pt>
                <c:pt idx="318">
                  <c:v>2.8601904900000016E-2</c:v>
                </c:pt>
                <c:pt idx="319">
                  <c:v>2.8601904900000016E-2</c:v>
                </c:pt>
                <c:pt idx="320">
                  <c:v>2.8601904900000016E-2</c:v>
                </c:pt>
                <c:pt idx="321">
                  <c:v>2.8601904900000016E-2</c:v>
                </c:pt>
                <c:pt idx="322">
                  <c:v>2.8601904900000016E-2</c:v>
                </c:pt>
                <c:pt idx="323">
                  <c:v>2.8601904900000016E-2</c:v>
                </c:pt>
                <c:pt idx="324">
                  <c:v>2.8601904900000016E-2</c:v>
                </c:pt>
                <c:pt idx="325">
                  <c:v>2.8601904900000016E-2</c:v>
                </c:pt>
                <c:pt idx="326">
                  <c:v>2.8601904900000016E-2</c:v>
                </c:pt>
                <c:pt idx="327">
                  <c:v>2.8601904900000016E-2</c:v>
                </c:pt>
                <c:pt idx="328">
                  <c:v>2.8601904900000016E-2</c:v>
                </c:pt>
                <c:pt idx="329">
                  <c:v>2.8601904900000016E-2</c:v>
                </c:pt>
                <c:pt idx="330">
                  <c:v>2.8601904900000016E-2</c:v>
                </c:pt>
                <c:pt idx="331">
                  <c:v>2.8601904900000016E-2</c:v>
                </c:pt>
                <c:pt idx="332">
                  <c:v>2.8601904900000016E-2</c:v>
                </c:pt>
                <c:pt idx="333">
                  <c:v>2.8601904900000016E-2</c:v>
                </c:pt>
                <c:pt idx="334">
                  <c:v>2.8601904900000016E-2</c:v>
                </c:pt>
                <c:pt idx="335">
                  <c:v>2.8601904900000016E-2</c:v>
                </c:pt>
                <c:pt idx="336">
                  <c:v>2.8601904900000016E-2</c:v>
                </c:pt>
                <c:pt idx="337">
                  <c:v>2.8601904900000016E-2</c:v>
                </c:pt>
                <c:pt idx="338">
                  <c:v>2.8601904900000016E-2</c:v>
                </c:pt>
                <c:pt idx="339">
                  <c:v>2.8601904900000016E-2</c:v>
                </c:pt>
                <c:pt idx="340">
                  <c:v>2.8601904900000016E-2</c:v>
                </c:pt>
                <c:pt idx="341">
                  <c:v>2.8601904900000016E-2</c:v>
                </c:pt>
                <c:pt idx="342">
                  <c:v>2.8601904900000016E-2</c:v>
                </c:pt>
                <c:pt idx="343">
                  <c:v>2.8601904900000016E-2</c:v>
                </c:pt>
                <c:pt idx="344">
                  <c:v>2.8601904900000016E-2</c:v>
                </c:pt>
                <c:pt idx="345">
                  <c:v>2.8601904900000016E-2</c:v>
                </c:pt>
                <c:pt idx="346">
                  <c:v>2.8601904900000016E-2</c:v>
                </c:pt>
                <c:pt idx="347">
                  <c:v>2.8601904900000016E-2</c:v>
                </c:pt>
                <c:pt idx="348">
                  <c:v>2.8601904900000016E-2</c:v>
                </c:pt>
                <c:pt idx="349">
                  <c:v>2.8601904900000016E-2</c:v>
                </c:pt>
                <c:pt idx="350">
                  <c:v>2.8601904900000016E-2</c:v>
                </c:pt>
                <c:pt idx="351">
                  <c:v>2.8601904900000016E-2</c:v>
                </c:pt>
                <c:pt idx="352">
                  <c:v>2.8601904900000016E-2</c:v>
                </c:pt>
                <c:pt idx="353">
                  <c:v>2.8601904900000016E-2</c:v>
                </c:pt>
                <c:pt idx="354">
                  <c:v>2.8601904900000016E-2</c:v>
                </c:pt>
                <c:pt idx="355">
                  <c:v>2.8601904900000016E-2</c:v>
                </c:pt>
                <c:pt idx="356">
                  <c:v>2.8601904900000016E-2</c:v>
                </c:pt>
                <c:pt idx="357">
                  <c:v>2.8601904900000016E-2</c:v>
                </c:pt>
                <c:pt idx="358">
                  <c:v>2.8601904900000016E-2</c:v>
                </c:pt>
                <c:pt idx="359">
                  <c:v>2.8601904900000016E-2</c:v>
                </c:pt>
                <c:pt idx="360">
                  <c:v>2.8601904900000016E-2</c:v>
                </c:pt>
                <c:pt idx="361">
                  <c:v>2.8601904900000016E-2</c:v>
                </c:pt>
                <c:pt idx="362">
                  <c:v>2.8601904900000016E-2</c:v>
                </c:pt>
                <c:pt idx="363">
                  <c:v>2.8601904900000016E-2</c:v>
                </c:pt>
                <c:pt idx="364">
                  <c:v>2.8601904900000016E-2</c:v>
                </c:pt>
                <c:pt idx="365">
                  <c:v>2.8601904900000016E-2</c:v>
                </c:pt>
                <c:pt idx="366">
                  <c:v>2.8601904900000016E-2</c:v>
                </c:pt>
                <c:pt idx="367">
                  <c:v>2.8601904900000016E-2</c:v>
                </c:pt>
                <c:pt idx="368">
                  <c:v>2.8601904900000016E-2</c:v>
                </c:pt>
                <c:pt idx="369">
                  <c:v>2.8601904900000016E-2</c:v>
                </c:pt>
                <c:pt idx="370">
                  <c:v>2.8601904900000016E-2</c:v>
                </c:pt>
                <c:pt idx="371">
                  <c:v>2.8601904900000016E-2</c:v>
                </c:pt>
                <c:pt idx="372">
                  <c:v>2.8601904900000016E-2</c:v>
                </c:pt>
                <c:pt idx="373">
                  <c:v>2.8601904900000016E-2</c:v>
                </c:pt>
                <c:pt idx="374">
                  <c:v>2.8601904900000016E-2</c:v>
                </c:pt>
                <c:pt idx="375">
                  <c:v>2.8601904900000016E-2</c:v>
                </c:pt>
                <c:pt idx="376">
                  <c:v>2.8601904900000016E-2</c:v>
                </c:pt>
                <c:pt idx="377">
                  <c:v>2.8601904900000016E-2</c:v>
                </c:pt>
                <c:pt idx="378">
                  <c:v>2.8601904900000016E-2</c:v>
                </c:pt>
                <c:pt idx="379">
                  <c:v>2.8601904900000016E-2</c:v>
                </c:pt>
                <c:pt idx="380">
                  <c:v>2.8601904900000016E-2</c:v>
                </c:pt>
                <c:pt idx="381">
                  <c:v>2.8601904900000016E-2</c:v>
                </c:pt>
                <c:pt idx="382">
                  <c:v>2.8601904900000016E-2</c:v>
                </c:pt>
                <c:pt idx="383">
                  <c:v>2.8601904900000016E-2</c:v>
                </c:pt>
                <c:pt idx="384">
                  <c:v>2.8601904900000016E-2</c:v>
                </c:pt>
                <c:pt idx="385">
                  <c:v>2.8601904900000016E-2</c:v>
                </c:pt>
                <c:pt idx="386">
                  <c:v>2.8601904900000016E-2</c:v>
                </c:pt>
                <c:pt idx="387">
                  <c:v>2.8601904900000016E-2</c:v>
                </c:pt>
                <c:pt idx="388">
                  <c:v>2.8601904900000016E-2</c:v>
                </c:pt>
                <c:pt idx="389">
                  <c:v>2.8601904900000016E-2</c:v>
                </c:pt>
                <c:pt idx="390">
                  <c:v>2.8601904900000016E-2</c:v>
                </c:pt>
                <c:pt idx="391">
                  <c:v>2.8601904900000016E-2</c:v>
                </c:pt>
                <c:pt idx="392">
                  <c:v>2.8601904900000016E-2</c:v>
                </c:pt>
                <c:pt idx="393">
                  <c:v>2.8601904900000016E-2</c:v>
                </c:pt>
                <c:pt idx="394">
                  <c:v>2.8601904900000016E-2</c:v>
                </c:pt>
                <c:pt idx="395">
                  <c:v>2.8601904900000016E-2</c:v>
                </c:pt>
                <c:pt idx="396">
                  <c:v>2.8601904900000016E-2</c:v>
                </c:pt>
                <c:pt idx="397">
                  <c:v>2.8601904900000016E-2</c:v>
                </c:pt>
                <c:pt idx="398">
                  <c:v>2.8601904900000016E-2</c:v>
                </c:pt>
                <c:pt idx="399">
                  <c:v>2.8601904900000016E-2</c:v>
                </c:pt>
                <c:pt idx="400">
                  <c:v>2.8601904900000016E-2</c:v>
                </c:pt>
                <c:pt idx="401">
                  <c:v>2.8601904900000016E-2</c:v>
                </c:pt>
                <c:pt idx="402">
                  <c:v>2.8601904900000016E-2</c:v>
                </c:pt>
                <c:pt idx="403">
                  <c:v>2.8652466799999998E-2</c:v>
                </c:pt>
                <c:pt idx="404">
                  <c:v>3.1481850500001622E-2</c:v>
                </c:pt>
                <c:pt idx="405">
                  <c:v>3.1508121899999998E-2</c:v>
                </c:pt>
                <c:pt idx="406">
                  <c:v>3.1514413399999996E-2</c:v>
                </c:pt>
                <c:pt idx="407">
                  <c:v>3.1516771999999998E-2</c:v>
                </c:pt>
                <c:pt idx="408">
                  <c:v>3.1517854999999997E-2</c:v>
                </c:pt>
                <c:pt idx="409">
                  <c:v>3.1518159800000001E-2</c:v>
                </c:pt>
                <c:pt idx="410">
                  <c:v>3.151821780000065E-2</c:v>
                </c:pt>
                <c:pt idx="411">
                  <c:v>3.1518223299999995E-2</c:v>
                </c:pt>
                <c:pt idx="412">
                  <c:v>3.1518223500000012E-2</c:v>
                </c:pt>
                <c:pt idx="413">
                  <c:v>3.1518223500000012E-2</c:v>
                </c:pt>
                <c:pt idx="414">
                  <c:v>3.1518223500000012E-2</c:v>
                </c:pt>
                <c:pt idx="415">
                  <c:v>3.1518223500000012E-2</c:v>
                </c:pt>
                <c:pt idx="416">
                  <c:v>3.1518223500000012E-2</c:v>
                </c:pt>
                <c:pt idx="417">
                  <c:v>3.1518223500000012E-2</c:v>
                </c:pt>
                <c:pt idx="418">
                  <c:v>3.1518223500000012E-2</c:v>
                </c:pt>
                <c:pt idx="419">
                  <c:v>3.1518223500000012E-2</c:v>
                </c:pt>
                <c:pt idx="420">
                  <c:v>3.1518223500000012E-2</c:v>
                </c:pt>
                <c:pt idx="421">
                  <c:v>3.1518223500000012E-2</c:v>
                </c:pt>
                <c:pt idx="422">
                  <c:v>3.1518223500000012E-2</c:v>
                </c:pt>
                <c:pt idx="423">
                  <c:v>3.1521387000000602E-2</c:v>
                </c:pt>
                <c:pt idx="424">
                  <c:v>3.1524384400000001E-2</c:v>
                </c:pt>
                <c:pt idx="425">
                  <c:v>3.1526053599999999E-2</c:v>
                </c:pt>
                <c:pt idx="426">
                  <c:v>3.1529182400000091E-2</c:v>
                </c:pt>
                <c:pt idx="427">
                  <c:v>3.1550449700000004E-2</c:v>
                </c:pt>
                <c:pt idx="428">
                  <c:v>3.1555847700001256E-2</c:v>
                </c:pt>
                <c:pt idx="429">
                  <c:v>3.1559325600000611E-2</c:v>
                </c:pt>
                <c:pt idx="430">
                  <c:v>3.1560555299999994E-2</c:v>
                </c:pt>
                <c:pt idx="431">
                  <c:v>3.1560891700000003E-2</c:v>
                </c:pt>
                <c:pt idx="432">
                  <c:v>3.1560938100000005E-2</c:v>
                </c:pt>
                <c:pt idx="433">
                  <c:v>3.1560942700000691E-2</c:v>
                </c:pt>
                <c:pt idx="434">
                  <c:v>3.1560942800000012E-2</c:v>
                </c:pt>
                <c:pt idx="435">
                  <c:v>3.1560942800000012E-2</c:v>
                </c:pt>
                <c:pt idx="436">
                  <c:v>3.1560942800000012E-2</c:v>
                </c:pt>
                <c:pt idx="437">
                  <c:v>3.1562006700000006E-2</c:v>
                </c:pt>
                <c:pt idx="438">
                  <c:v>3.1579050800000091E-2</c:v>
                </c:pt>
                <c:pt idx="439">
                  <c:v>3.1586199200000005E-2</c:v>
                </c:pt>
                <c:pt idx="440">
                  <c:v>3.1605370400002407E-2</c:v>
                </c:pt>
                <c:pt idx="441">
                  <c:v>3.1618806100000042E-2</c:v>
                </c:pt>
                <c:pt idx="442">
                  <c:v>3.1625881800000005E-2</c:v>
                </c:pt>
                <c:pt idx="443">
                  <c:v>3.1629783000000015E-2</c:v>
                </c:pt>
                <c:pt idx="444">
                  <c:v>3.1630838400001873E-2</c:v>
                </c:pt>
                <c:pt idx="445">
                  <c:v>3.1631197200001876E-2</c:v>
                </c:pt>
                <c:pt idx="446">
                  <c:v>3.1631277200002313E-2</c:v>
                </c:pt>
                <c:pt idx="447">
                  <c:v>3.1631290100001749E-2</c:v>
                </c:pt>
                <c:pt idx="448">
                  <c:v>3.1631290200001452E-2</c:v>
                </c:pt>
                <c:pt idx="449">
                  <c:v>3.1631290200001452E-2</c:v>
                </c:pt>
                <c:pt idx="450">
                  <c:v>3.1631290200001452E-2</c:v>
                </c:pt>
                <c:pt idx="451">
                  <c:v>3.1631290200001452E-2</c:v>
                </c:pt>
                <c:pt idx="452">
                  <c:v>3.1631290200001452E-2</c:v>
                </c:pt>
                <c:pt idx="453">
                  <c:v>3.1631290200001452E-2</c:v>
                </c:pt>
                <c:pt idx="454">
                  <c:v>3.1631290200001452E-2</c:v>
                </c:pt>
                <c:pt idx="455">
                  <c:v>3.1631290200001452E-2</c:v>
                </c:pt>
                <c:pt idx="456">
                  <c:v>3.1631290200001452E-2</c:v>
                </c:pt>
                <c:pt idx="457">
                  <c:v>3.1631290200001452E-2</c:v>
                </c:pt>
                <c:pt idx="458">
                  <c:v>3.1631290200001452E-2</c:v>
                </c:pt>
                <c:pt idx="459">
                  <c:v>3.1631290200001452E-2</c:v>
                </c:pt>
                <c:pt idx="460">
                  <c:v>3.1631290200001452E-2</c:v>
                </c:pt>
                <c:pt idx="461">
                  <c:v>3.1654507600000811E-2</c:v>
                </c:pt>
                <c:pt idx="462">
                  <c:v>3.1678003900000216E-2</c:v>
                </c:pt>
                <c:pt idx="463">
                  <c:v>3.1684913600001682E-2</c:v>
                </c:pt>
                <c:pt idx="464">
                  <c:v>3.1689674400001012E-2</c:v>
                </c:pt>
                <c:pt idx="465">
                  <c:v>3.1690940800001052E-2</c:v>
                </c:pt>
                <c:pt idx="466">
                  <c:v>3.1691614300000052E-2</c:v>
                </c:pt>
                <c:pt idx="467">
                  <c:v>3.1691688200000012E-2</c:v>
                </c:pt>
                <c:pt idx="468">
                  <c:v>3.1691702100001252E-2</c:v>
                </c:pt>
                <c:pt idx="469">
                  <c:v>3.1691702400001923E-2</c:v>
                </c:pt>
                <c:pt idx="470">
                  <c:v>3.1691702400001923E-2</c:v>
                </c:pt>
                <c:pt idx="471">
                  <c:v>3.1691702400001923E-2</c:v>
                </c:pt>
                <c:pt idx="472">
                  <c:v>3.1691702400001923E-2</c:v>
                </c:pt>
                <c:pt idx="473">
                  <c:v>3.1691702400001923E-2</c:v>
                </c:pt>
                <c:pt idx="474">
                  <c:v>3.1711216700000856E-2</c:v>
                </c:pt>
                <c:pt idx="475">
                  <c:v>3.1721167500000882E-2</c:v>
                </c:pt>
                <c:pt idx="476">
                  <c:v>3.1729373200000056E-2</c:v>
                </c:pt>
                <c:pt idx="477">
                  <c:v>3.173286430000001E-2</c:v>
                </c:pt>
                <c:pt idx="478">
                  <c:v>3.1733693300000011E-2</c:v>
                </c:pt>
                <c:pt idx="479">
                  <c:v>3.1734038100000042E-2</c:v>
                </c:pt>
                <c:pt idx="480">
                  <c:v>3.1734081600000012E-2</c:v>
                </c:pt>
                <c:pt idx="481">
                  <c:v>3.1734088500000056E-2</c:v>
                </c:pt>
                <c:pt idx="482">
                  <c:v>3.1743787600000802E-2</c:v>
                </c:pt>
                <c:pt idx="483">
                  <c:v>3.1750366600000052E-2</c:v>
                </c:pt>
                <c:pt idx="484">
                  <c:v>3.1755362900000611E-2</c:v>
                </c:pt>
                <c:pt idx="485">
                  <c:v>3.1777770700001012E-2</c:v>
                </c:pt>
                <c:pt idx="486">
                  <c:v>3.1800074400000891E-2</c:v>
                </c:pt>
                <c:pt idx="487">
                  <c:v>3.1806589700000013E-2</c:v>
                </c:pt>
                <c:pt idx="488">
                  <c:v>3.1810126600000016E-2</c:v>
                </c:pt>
                <c:pt idx="489">
                  <c:v>3.1811474800000052E-2</c:v>
                </c:pt>
                <c:pt idx="490">
                  <c:v>3.1811859200000042E-2</c:v>
                </c:pt>
                <c:pt idx="491">
                  <c:v>3.181193500000172E-2</c:v>
                </c:pt>
                <c:pt idx="492">
                  <c:v>3.1811944800001012E-2</c:v>
                </c:pt>
                <c:pt idx="493">
                  <c:v>3.1820181200000006E-2</c:v>
                </c:pt>
                <c:pt idx="494">
                  <c:v>3.1844609100000011E-2</c:v>
                </c:pt>
                <c:pt idx="495">
                  <c:v>3.1850176400001012E-2</c:v>
                </c:pt>
                <c:pt idx="496">
                  <c:v>3.1872460700000292E-2</c:v>
                </c:pt>
                <c:pt idx="497">
                  <c:v>3.1882423400000012E-2</c:v>
                </c:pt>
                <c:pt idx="498">
                  <c:v>3.1931036900000292E-2</c:v>
                </c:pt>
                <c:pt idx="499">
                  <c:v>3.1938490800000011E-2</c:v>
                </c:pt>
                <c:pt idx="500">
                  <c:v>3.194068030000001E-2</c:v>
                </c:pt>
                <c:pt idx="501">
                  <c:v>3.194489930000001E-2</c:v>
                </c:pt>
                <c:pt idx="502">
                  <c:v>3.1961719600000292E-2</c:v>
                </c:pt>
                <c:pt idx="503">
                  <c:v>3.1978503600000006E-2</c:v>
                </c:pt>
                <c:pt idx="504">
                  <c:v>3.1984390300000012E-2</c:v>
                </c:pt>
                <c:pt idx="505">
                  <c:v>3.2005500700001042E-2</c:v>
                </c:pt>
                <c:pt idx="506">
                  <c:v>3.2018072300000491E-2</c:v>
                </c:pt>
                <c:pt idx="507">
                  <c:v>3.2026658200000002E-2</c:v>
                </c:pt>
                <c:pt idx="508">
                  <c:v>3.2030911000001452E-2</c:v>
                </c:pt>
                <c:pt idx="509">
                  <c:v>3.2032162900001056E-2</c:v>
                </c:pt>
                <c:pt idx="510">
                  <c:v>3.2032640700001412E-2</c:v>
                </c:pt>
                <c:pt idx="511">
                  <c:v>3.2032933800001002E-2</c:v>
                </c:pt>
                <c:pt idx="512">
                  <c:v>3.2032974700001056E-2</c:v>
                </c:pt>
                <c:pt idx="513">
                  <c:v>3.2032979500001821E-2</c:v>
                </c:pt>
                <c:pt idx="514">
                  <c:v>3.2032980400001416E-2</c:v>
                </c:pt>
                <c:pt idx="515">
                  <c:v>3.2032980400001416E-2</c:v>
                </c:pt>
                <c:pt idx="516">
                  <c:v>3.2032980400001416E-2</c:v>
                </c:pt>
                <c:pt idx="517">
                  <c:v>3.2032980400001416E-2</c:v>
                </c:pt>
                <c:pt idx="518">
                  <c:v>3.2032980400001416E-2</c:v>
                </c:pt>
                <c:pt idx="519">
                  <c:v>3.2032980400001416E-2</c:v>
                </c:pt>
                <c:pt idx="520">
                  <c:v>3.2032980400001416E-2</c:v>
                </c:pt>
                <c:pt idx="521">
                  <c:v>3.2032980400001416E-2</c:v>
                </c:pt>
                <c:pt idx="522">
                  <c:v>3.2032980400001416E-2</c:v>
                </c:pt>
                <c:pt idx="523">
                  <c:v>3.2032980400001416E-2</c:v>
                </c:pt>
                <c:pt idx="524">
                  <c:v>3.21229814E-2</c:v>
                </c:pt>
                <c:pt idx="525">
                  <c:v>3.2135931400001212E-2</c:v>
                </c:pt>
                <c:pt idx="526">
                  <c:v>3.2141023000000012E-2</c:v>
                </c:pt>
                <c:pt idx="527">
                  <c:v>3.2143632800000682E-2</c:v>
                </c:pt>
                <c:pt idx="528">
                  <c:v>3.2145035800000651E-2</c:v>
                </c:pt>
                <c:pt idx="529">
                  <c:v>3.2145500800000212E-2</c:v>
                </c:pt>
                <c:pt idx="530">
                  <c:v>3.2145581499999992E-2</c:v>
                </c:pt>
                <c:pt idx="531">
                  <c:v>3.50282949E-2</c:v>
                </c:pt>
                <c:pt idx="532">
                  <c:v>3.5206145800000851E-2</c:v>
                </c:pt>
                <c:pt idx="533">
                  <c:v>3.5213640000000851E-2</c:v>
                </c:pt>
                <c:pt idx="534">
                  <c:v>3.5262405399999995E-2</c:v>
                </c:pt>
                <c:pt idx="535">
                  <c:v>3.5271946600002047E-2</c:v>
                </c:pt>
                <c:pt idx="536">
                  <c:v>3.5274364600000802E-2</c:v>
                </c:pt>
                <c:pt idx="537">
                  <c:v>3.5281394700000815E-2</c:v>
                </c:pt>
                <c:pt idx="538">
                  <c:v>3.5284518000000556E-2</c:v>
                </c:pt>
                <c:pt idx="539">
                  <c:v>3.5285834900000292E-2</c:v>
                </c:pt>
                <c:pt idx="540">
                  <c:v>5.3947139999999977E-2</c:v>
                </c:pt>
                <c:pt idx="541">
                  <c:v>5.4039146399999946E-2</c:v>
                </c:pt>
                <c:pt idx="542">
                  <c:v>5.4039258899999977E-2</c:v>
                </c:pt>
                <c:pt idx="543">
                  <c:v>5.4082935400002134E-2</c:v>
                </c:pt>
                <c:pt idx="544">
                  <c:v>5.4085224700001898E-2</c:v>
                </c:pt>
                <c:pt idx="545">
                  <c:v>5.4087230100003339E-2</c:v>
                </c:pt>
                <c:pt idx="546">
                  <c:v>5.4087801699999986E-2</c:v>
                </c:pt>
                <c:pt idx="547">
                  <c:v>5.4088078699999965E-2</c:v>
                </c:pt>
                <c:pt idx="548">
                  <c:v>5.4088154799999975E-2</c:v>
                </c:pt>
                <c:pt idx="549">
                  <c:v>5.4088184000001989E-2</c:v>
                </c:pt>
                <c:pt idx="550">
                  <c:v>5.4088186599999977E-2</c:v>
                </c:pt>
                <c:pt idx="551">
                  <c:v>5.4088186699999985E-2</c:v>
                </c:pt>
                <c:pt idx="552">
                  <c:v>5.4088186699999985E-2</c:v>
                </c:pt>
                <c:pt idx="553">
                  <c:v>5.4088186699999985E-2</c:v>
                </c:pt>
                <c:pt idx="554">
                  <c:v>5.4088186699999985E-2</c:v>
                </c:pt>
                <c:pt idx="555">
                  <c:v>5.4088186699999985E-2</c:v>
                </c:pt>
                <c:pt idx="556">
                  <c:v>5.4088210000002114E-2</c:v>
                </c:pt>
                <c:pt idx="557">
                  <c:v>5.4088382599999985E-2</c:v>
                </c:pt>
                <c:pt idx="558">
                  <c:v>5.4088443900002024E-2</c:v>
                </c:pt>
                <c:pt idx="559">
                  <c:v>5.4088466299999992E-2</c:v>
                </c:pt>
                <c:pt idx="560">
                  <c:v>5.4088776699999987E-2</c:v>
                </c:pt>
                <c:pt idx="561">
                  <c:v>5.4103792499999984E-2</c:v>
                </c:pt>
                <c:pt idx="562">
                  <c:v>5.4104210099999994E-2</c:v>
                </c:pt>
                <c:pt idx="563">
                  <c:v>5.4104837000001987E-2</c:v>
                </c:pt>
                <c:pt idx="564">
                  <c:v>5.4104955299999966E-2</c:v>
                </c:pt>
                <c:pt idx="565">
                  <c:v>5.4104985999999994E-2</c:v>
                </c:pt>
                <c:pt idx="566">
                  <c:v>5.4105003799999975E-2</c:v>
                </c:pt>
                <c:pt idx="567">
                  <c:v>5.4105004799999967E-2</c:v>
                </c:pt>
                <c:pt idx="568">
                  <c:v>5.4105004799999967E-2</c:v>
                </c:pt>
                <c:pt idx="569">
                  <c:v>5.4105004799999967E-2</c:v>
                </c:pt>
                <c:pt idx="570">
                  <c:v>5.4105004799999967E-2</c:v>
                </c:pt>
                <c:pt idx="571">
                  <c:v>5.4105004799999967E-2</c:v>
                </c:pt>
                <c:pt idx="572">
                  <c:v>5.4105004799999967E-2</c:v>
                </c:pt>
                <c:pt idx="573">
                  <c:v>5.4187018399999967E-2</c:v>
                </c:pt>
                <c:pt idx="574">
                  <c:v>5.4189829099999975E-2</c:v>
                </c:pt>
                <c:pt idx="575">
                  <c:v>5.4194675499999984E-2</c:v>
                </c:pt>
                <c:pt idx="576">
                  <c:v>5.4198758799999976E-2</c:v>
                </c:pt>
                <c:pt idx="577">
                  <c:v>5.4200009999999986E-2</c:v>
                </c:pt>
                <c:pt idx="578">
                  <c:v>5.4201528999999977E-2</c:v>
                </c:pt>
                <c:pt idx="579">
                  <c:v>5.4211931900003812E-2</c:v>
                </c:pt>
                <c:pt idx="580">
                  <c:v>5.4212304200002184E-2</c:v>
                </c:pt>
                <c:pt idx="581">
                  <c:v>5.4212677400003635E-2</c:v>
                </c:pt>
                <c:pt idx="582">
                  <c:v>5.4214455499999988E-2</c:v>
                </c:pt>
                <c:pt idx="583">
                  <c:v>5.4219171900000938E-2</c:v>
                </c:pt>
                <c:pt idx="584">
                  <c:v>5.4220129399999956E-2</c:v>
                </c:pt>
                <c:pt idx="585">
                  <c:v>5.4220374899999993E-2</c:v>
                </c:pt>
                <c:pt idx="586">
                  <c:v>5.4220468399999965E-2</c:v>
                </c:pt>
                <c:pt idx="587">
                  <c:v>5.4220487100000984E-2</c:v>
                </c:pt>
                <c:pt idx="588">
                  <c:v>5.4220488399999975E-2</c:v>
                </c:pt>
                <c:pt idx="589">
                  <c:v>5.4220488399999975E-2</c:v>
                </c:pt>
                <c:pt idx="590">
                  <c:v>5.4220488399999975E-2</c:v>
                </c:pt>
                <c:pt idx="591">
                  <c:v>5.4220488399999975E-2</c:v>
                </c:pt>
                <c:pt idx="592">
                  <c:v>5.4220488399999975E-2</c:v>
                </c:pt>
                <c:pt idx="593">
                  <c:v>5.4220488399999975E-2</c:v>
                </c:pt>
                <c:pt idx="594">
                  <c:v>5.4220488399999975E-2</c:v>
                </c:pt>
                <c:pt idx="595">
                  <c:v>5.4220488399999975E-2</c:v>
                </c:pt>
                <c:pt idx="596">
                  <c:v>5.4220488399999975E-2</c:v>
                </c:pt>
                <c:pt idx="597">
                  <c:v>5.4220488399999975E-2</c:v>
                </c:pt>
                <c:pt idx="598">
                  <c:v>5.4220488399999975E-2</c:v>
                </c:pt>
                <c:pt idx="599">
                  <c:v>5.4220488399999975E-2</c:v>
                </c:pt>
                <c:pt idx="600">
                  <c:v>5.4220488399999975E-2</c:v>
                </c:pt>
                <c:pt idx="601">
                  <c:v>5.4220488399999975E-2</c:v>
                </c:pt>
                <c:pt idx="602">
                  <c:v>5.4220488399999975E-2</c:v>
                </c:pt>
                <c:pt idx="603">
                  <c:v>5.4220488399999975E-2</c:v>
                </c:pt>
                <c:pt idx="604">
                  <c:v>5.4220488399999975E-2</c:v>
                </c:pt>
                <c:pt idx="605">
                  <c:v>5.4220488399999975E-2</c:v>
                </c:pt>
                <c:pt idx="606">
                  <c:v>5.4220488399999975E-2</c:v>
                </c:pt>
                <c:pt idx="607">
                  <c:v>5.4220488399999975E-2</c:v>
                </c:pt>
                <c:pt idx="608">
                  <c:v>5.4220488399999975E-2</c:v>
                </c:pt>
                <c:pt idx="609">
                  <c:v>5.4220488399999975E-2</c:v>
                </c:pt>
                <c:pt idx="610">
                  <c:v>5.4220488399999975E-2</c:v>
                </c:pt>
                <c:pt idx="611">
                  <c:v>5.4220488399999975E-2</c:v>
                </c:pt>
                <c:pt idx="612">
                  <c:v>5.4220488399999975E-2</c:v>
                </c:pt>
                <c:pt idx="613">
                  <c:v>5.4220488399999975E-2</c:v>
                </c:pt>
                <c:pt idx="614">
                  <c:v>5.4220488399999975E-2</c:v>
                </c:pt>
                <c:pt idx="615">
                  <c:v>5.4220488399999975E-2</c:v>
                </c:pt>
                <c:pt idx="616">
                  <c:v>5.4220488399999975E-2</c:v>
                </c:pt>
                <c:pt idx="617">
                  <c:v>5.4220488399999975E-2</c:v>
                </c:pt>
                <c:pt idx="618">
                  <c:v>5.4220488399999975E-2</c:v>
                </c:pt>
                <c:pt idx="619">
                  <c:v>5.4220488399999975E-2</c:v>
                </c:pt>
                <c:pt idx="620">
                  <c:v>5.4220488399999975E-2</c:v>
                </c:pt>
                <c:pt idx="621">
                  <c:v>5.4220488399999975E-2</c:v>
                </c:pt>
                <c:pt idx="622">
                  <c:v>5.4220488399999975E-2</c:v>
                </c:pt>
                <c:pt idx="623">
                  <c:v>5.4220488399999975E-2</c:v>
                </c:pt>
                <c:pt idx="624">
                  <c:v>5.4220488399999975E-2</c:v>
                </c:pt>
                <c:pt idx="625">
                  <c:v>5.4220488399999975E-2</c:v>
                </c:pt>
                <c:pt idx="626">
                  <c:v>5.4220488399999975E-2</c:v>
                </c:pt>
                <c:pt idx="627">
                  <c:v>5.4220488399999975E-2</c:v>
                </c:pt>
                <c:pt idx="628">
                  <c:v>5.4220488399999975E-2</c:v>
                </c:pt>
                <c:pt idx="629">
                  <c:v>5.4220488399999975E-2</c:v>
                </c:pt>
                <c:pt idx="630">
                  <c:v>5.4220488399999975E-2</c:v>
                </c:pt>
                <c:pt idx="631">
                  <c:v>5.4220488399999975E-2</c:v>
                </c:pt>
                <c:pt idx="632">
                  <c:v>5.4220488399999975E-2</c:v>
                </c:pt>
                <c:pt idx="633">
                  <c:v>5.4220488399999975E-2</c:v>
                </c:pt>
                <c:pt idx="634">
                  <c:v>5.4220488399999975E-2</c:v>
                </c:pt>
                <c:pt idx="635">
                  <c:v>5.4220488399999975E-2</c:v>
                </c:pt>
                <c:pt idx="636">
                  <c:v>5.4220488399999975E-2</c:v>
                </c:pt>
                <c:pt idx="637">
                  <c:v>5.4220488399999975E-2</c:v>
                </c:pt>
                <c:pt idx="638">
                  <c:v>5.4220488399999975E-2</c:v>
                </c:pt>
                <c:pt idx="639">
                  <c:v>5.4220488399999975E-2</c:v>
                </c:pt>
                <c:pt idx="640">
                  <c:v>5.4220488399999975E-2</c:v>
                </c:pt>
                <c:pt idx="641">
                  <c:v>5.4220488399999975E-2</c:v>
                </c:pt>
                <c:pt idx="642">
                  <c:v>5.4220488399999975E-2</c:v>
                </c:pt>
                <c:pt idx="643">
                  <c:v>5.4220488399999975E-2</c:v>
                </c:pt>
                <c:pt idx="644">
                  <c:v>5.4220488399999975E-2</c:v>
                </c:pt>
                <c:pt idx="645">
                  <c:v>5.4220488399999975E-2</c:v>
                </c:pt>
                <c:pt idx="646">
                  <c:v>5.4220488399999975E-2</c:v>
                </c:pt>
                <c:pt idx="647">
                  <c:v>5.4220488399999975E-2</c:v>
                </c:pt>
                <c:pt idx="648">
                  <c:v>5.4220488399999975E-2</c:v>
                </c:pt>
                <c:pt idx="649">
                  <c:v>5.4220488399999975E-2</c:v>
                </c:pt>
                <c:pt idx="650">
                  <c:v>5.4220488399999975E-2</c:v>
                </c:pt>
                <c:pt idx="651">
                  <c:v>5.4220488399999975E-2</c:v>
                </c:pt>
                <c:pt idx="652">
                  <c:v>5.4220488399999975E-2</c:v>
                </c:pt>
                <c:pt idx="653">
                  <c:v>5.4220488399999975E-2</c:v>
                </c:pt>
                <c:pt idx="654">
                  <c:v>5.4220488399999975E-2</c:v>
                </c:pt>
                <c:pt idx="655">
                  <c:v>5.4220488399999975E-2</c:v>
                </c:pt>
                <c:pt idx="656">
                  <c:v>5.4220488399999975E-2</c:v>
                </c:pt>
                <c:pt idx="657">
                  <c:v>5.4220488399999975E-2</c:v>
                </c:pt>
                <c:pt idx="658">
                  <c:v>5.4220488399999975E-2</c:v>
                </c:pt>
                <c:pt idx="659">
                  <c:v>5.4220488399999975E-2</c:v>
                </c:pt>
                <c:pt idx="660">
                  <c:v>5.4220488399999975E-2</c:v>
                </c:pt>
                <c:pt idx="661">
                  <c:v>5.4220488399999975E-2</c:v>
                </c:pt>
                <c:pt idx="662">
                  <c:v>5.4220488399999975E-2</c:v>
                </c:pt>
                <c:pt idx="663">
                  <c:v>5.4220488399999975E-2</c:v>
                </c:pt>
                <c:pt idx="664">
                  <c:v>5.4220488399999975E-2</c:v>
                </c:pt>
                <c:pt idx="665">
                  <c:v>5.4220488399999975E-2</c:v>
                </c:pt>
                <c:pt idx="666">
                  <c:v>5.4220488399999975E-2</c:v>
                </c:pt>
                <c:pt idx="667">
                  <c:v>5.4220488399999975E-2</c:v>
                </c:pt>
                <c:pt idx="668">
                  <c:v>5.4220488399999975E-2</c:v>
                </c:pt>
                <c:pt idx="669">
                  <c:v>5.4220488399999975E-2</c:v>
                </c:pt>
                <c:pt idx="670">
                  <c:v>5.4220488399999975E-2</c:v>
                </c:pt>
                <c:pt idx="671">
                  <c:v>5.4220488399999975E-2</c:v>
                </c:pt>
                <c:pt idx="672">
                  <c:v>5.4220488399999975E-2</c:v>
                </c:pt>
                <c:pt idx="673">
                  <c:v>5.4220488399999975E-2</c:v>
                </c:pt>
                <c:pt idx="674">
                  <c:v>5.4220488399999975E-2</c:v>
                </c:pt>
                <c:pt idx="675">
                  <c:v>5.4220488399999975E-2</c:v>
                </c:pt>
                <c:pt idx="676">
                  <c:v>5.4220488399999975E-2</c:v>
                </c:pt>
                <c:pt idx="677">
                  <c:v>5.4220488399999975E-2</c:v>
                </c:pt>
                <c:pt idx="678">
                  <c:v>5.4220488399999975E-2</c:v>
                </c:pt>
                <c:pt idx="679">
                  <c:v>5.4220488399999975E-2</c:v>
                </c:pt>
                <c:pt idx="680">
                  <c:v>5.4220488399999975E-2</c:v>
                </c:pt>
                <c:pt idx="681">
                  <c:v>5.4220488399999975E-2</c:v>
                </c:pt>
                <c:pt idx="682">
                  <c:v>5.4220488399999975E-2</c:v>
                </c:pt>
                <c:pt idx="683">
                  <c:v>5.4220488399999975E-2</c:v>
                </c:pt>
                <c:pt idx="684">
                  <c:v>5.4220488399999975E-2</c:v>
                </c:pt>
                <c:pt idx="685">
                  <c:v>5.4220488399999975E-2</c:v>
                </c:pt>
                <c:pt idx="686">
                  <c:v>5.4220488399999975E-2</c:v>
                </c:pt>
                <c:pt idx="687">
                  <c:v>5.4220488399999975E-2</c:v>
                </c:pt>
                <c:pt idx="688">
                  <c:v>5.4220488399999975E-2</c:v>
                </c:pt>
                <c:pt idx="689">
                  <c:v>5.4220488399999975E-2</c:v>
                </c:pt>
                <c:pt idx="690">
                  <c:v>5.4220488399999975E-2</c:v>
                </c:pt>
                <c:pt idx="691">
                  <c:v>5.4220488399999975E-2</c:v>
                </c:pt>
                <c:pt idx="692">
                  <c:v>5.4220488399999975E-2</c:v>
                </c:pt>
                <c:pt idx="693">
                  <c:v>5.4220488399999975E-2</c:v>
                </c:pt>
                <c:pt idx="694">
                  <c:v>5.4220488399999975E-2</c:v>
                </c:pt>
                <c:pt idx="695">
                  <c:v>5.4220488399999975E-2</c:v>
                </c:pt>
                <c:pt idx="696">
                  <c:v>5.4220488399999975E-2</c:v>
                </c:pt>
                <c:pt idx="697">
                  <c:v>5.4220488399999975E-2</c:v>
                </c:pt>
                <c:pt idx="698">
                  <c:v>5.4220488399999975E-2</c:v>
                </c:pt>
                <c:pt idx="699">
                  <c:v>5.4220488399999975E-2</c:v>
                </c:pt>
                <c:pt idx="700">
                  <c:v>5.4220488399999975E-2</c:v>
                </c:pt>
                <c:pt idx="701">
                  <c:v>5.4220488399999975E-2</c:v>
                </c:pt>
                <c:pt idx="702">
                  <c:v>5.4220488399999975E-2</c:v>
                </c:pt>
                <c:pt idx="703">
                  <c:v>5.4220488399999975E-2</c:v>
                </c:pt>
                <c:pt idx="704">
                  <c:v>5.4220488399999975E-2</c:v>
                </c:pt>
                <c:pt idx="705">
                  <c:v>5.4220488399999975E-2</c:v>
                </c:pt>
                <c:pt idx="706">
                  <c:v>5.4220488399999975E-2</c:v>
                </c:pt>
                <c:pt idx="707">
                  <c:v>5.4220488399999975E-2</c:v>
                </c:pt>
                <c:pt idx="708">
                  <c:v>5.4220488399999975E-2</c:v>
                </c:pt>
                <c:pt idx="709">
                  <c:v>5.4220488399999975E-2</c:v>
                </c:pt>
                <c:pt idx="710">
                  <c:v>5.4220488399999975E-2</c:v>
                </c:pt>
                <c:pt idx="711">
                  <c:v>5.4220488399999975E-2</c:v>
                </c:pt>
                <c:pt idx="712">
                  <c:v>5.4220488399999975E-2</c:v>
                </c:pt>
                <c:pt idx="713">
                  <c:v>5.4220488399999975E-2</c:v>
                </c:pt>
                <c:pt idx="714">
                  <c:v>5.4220488399999975E-2</c:v>
                </c:pt>
                <c:pt idx="715">
                  <c:v>5.4220488399999975E-2</c:v>
                </c:pt>
                <c:pt idx="716">
                  <c:v>5.4220488399999975E-2</c:v>
                </c:pt>
                <c:pt idx="717">
                  <c:v>5.4220488399999975E-2</c:v>
                </c:pt>
                <c:pt idx="718">
                  <c:v>5.4220488399999975E-2</c:v>
                </c:pt>
                <c:pt idx="719">
                  <c:v>5.4220488399999975E-2</c:v>
                </c:pt>
                <c:pt idx="720">
                  <c:v>5.4220488399999975E-2</c:v>
                </c:pt>
                <c:pt idx="721">
                  <c:v>5.4220488399999975E-2</c:v>
                </c:pt>
                <c:pt idx="722">
                  <c:v>5.4220488399999975E-2</c:v>
                </c:pt>
                <c:pt idx="723">
                  <c:v>5.4220488399999975E-2</c:v>
                </c:pt>
                <c:pt idx="724">
                  <c:v>5.4220488399999975E-2</c:v>
                </c:pt>
                <c:pt idx="725">
                  <c:v>5.4220488399999975E-2</c:v>
                </c:pt>
                <c:pt idx="726">
                  <c:v>5.4220488399999975E-2</c:v>
                </c:pt>
                <c:pt idx="727">
                  <c:v>5.4220488399999975E-2</c:v>
                </c:pt>
                <c:pt idx="728">
                  <c:v>5.4220488399999975E-2</c:v>
                </c:pt>
                <c:pt idx="729">
                  <c:v>5.4220488399999975E-2</c:v>
                </c:pt>
                <c:pt idx="730">
                  <c:v>5.4220488399999975E-2</c:v>
                </c:pt>
                <c:pt idx="731">
                  <c:v>5.4220488399999975E-2</c:v>
                </c:pt>
                <c:pt idx="732">
                  <c:v>5.4220488399999975E-2</c:v>
                </c:pt>
                <c:pt idx="733">
                  <c:v>5.4220488399999975E-2</c:v>
                </c:pt>
                <c:pt idx="734">
                  <c:v>5.4220488399999975E-2</c:v>
                </c:pt>
                <c:pt idx="735">
                  <c:v>5.4220488399999975E-2</c:v>
                </c:pt>
                <c:pt idx="736">
                  <c:v>5.4220488399999975E-2</c:v>
                </c:pt>
                <c:pt idx="737">
                  <c:v>5.4220488399999975E-2</c:v>
                </c:pt>
                <c:pt idx="738">
                  <c:v>5.4220488399999975E-2</c:v>
                </c:pt>
                <c:pt idx="739">
                  <c:v>5.4220488399999975E-2</c:v>
                </c:pt>
                <c:pt idx="740">
                  <c:v>5.4220488399999975E-2</c:v>
                </c:pt>
                <c:pt idx="741">
                  <c:v>5.4220488399999975E-2</c:v>
                </c:pt>
                <c:pt idx="742">
                  <c:v>5.4220488399999975E-2</c:v>
                </c:pt>
                <c:pt idx="743">
                  <c:v>5.4220488399999975E-2</c:v>
                </c:pt>
                <c:pt idx="744">
                  <c:v>5.4220488399999975E-2</c:v>
                </c:pt>
                <c:pt idx="745">
                  <c:v>5.4220488399999975E-2</c:v>
                </c:pt>
                <c:pt idx="746">
                  <c:v>5.4220488399999975E-2</c:v>
                </c:pt>
                <c:pt idx="747">
                  <c:v>5.4220488399999975E-2</c:v>
                </c:pt>
                <c:pt idx="748">
                  <c:v>5.4220488399999975E-2</c:v>
                </c:pt>
                <c:pt idx="749">
                  <c:v>5.4220488399999975E-2</c:v>
                </c:pt>
                <c:pt idx="750">
                  <c:v>5.4220488399999975E-2</c:v>
                </c:pt>
                <c:pt idx="751">
                  <c:v>5.4220488399999975E-2</c:v>
                </c:pt>
                <c:pt idx="752">
                  <c:v>5.4220488399999975E-2</c:v>
                </c:pt>
                <c:pt idx="753">
                  <c:v>5.4220488399999975E-2</c:v>
                </c:pt>
                <c:pt idx="754">
                  <c:v>5.4220488399999975E-2</c:v>
                </c:pt>
                <c:pt idx="755">
                  <c:v>5.4220488399999975E-2</c:v>
                </c:pt>
                <c:pt idx="756">
                  <c:v>5.4220488399999975E-2</c:v>
                </c:pt>
                <c:pt idx="757">
                  <c:v>5.4220488399999975E-2</c:v>
                </c:pt>
                <c:pt idx="758">
                  <c:v>5.4220488399999975E-2</c:v>
                </c:pt>
                <c:pt idx="759">
                  <c:v>5.4220488399999975E-2</c:v>
                </c:pt>
                <c:pt idx="760">
                  <c:v>5.4220488399999975E-2</c:v>
                </c:pt>
                <c:pt idx="761">
                  <c:v>5.4220488399999975E-2</c:v>
                </c:pt>
                <c:pt idx="762">
                  <c:v>5.4220488399999975E-2</c:v>
                </c:pt>
                <c:pt idx="763">
                  <c:v>5.4220488399999975E-2</c:v>
                </c:pt>
                <c:pt idx="764">
                  <c:v>5.4220488399999975E-2</c:v>
                </c:pt>
                <c:pt idx="765">
                  <c:v>5.4220488399999975E-2</c:v>
                </c:pt>
                <c:pt idx="766">
                  <c:v>5.4220488399999975E-2</c:v>
                </c:pt>
                <c:pt idx="767">
                  <c:v>5.4220488399999975E-2</c:v>
                </c:pt>
                <c:pt idx="768">
                  <c:v>5.4220488399999975E-2</c:v>
                </c:pt>
                <c:pt idx="769">
                  <c:v>5.4220488399999975E-2</c:v>
                </c:pt>
                <c:pt idx="770">
                  <c:v>5.4220488399999975E-2</c:v>
                </c:pt>
                <c:pt idx="771">
                  <c:v>5.4220488399999975E-2</c:v>
                </c:pt>
                <c:pt idx="772">
                  <c:v>5.4220488399999975E-2</c:v>
                </c:pt>
                <c:pt idx="773">
                  <c:v>5.4220488399999975E-2</c:v>
                </c:pt>
                <c:pt idx="774">
                  <c:v>5.4220488399999975E-2</c:v>
                </c:pt>
                <c:pt idx="775">
                  <c:v>5.4220488399999975E-2</c:v>
                </c:pt>
                <c:pt idx="776">
                  <c:v>5.4220488399999975E-2</c:v>
                </c:pt>
                <c:pt idx="777">
                  <c:v>5.4220488399999975E-2</c:v>
                </c:pt>
                <c:pt idx="778">
                  <c:v>5.4220488399999975E-2</c:v>
                </c:pt>
                <c:pt idx="779">
                  <c:v>5.4220488399999975E-2</c:v>
                </c:pt>
                <c:pt idx="780">
                  <c:v>5.4220488399999975E-2</c:v>
                </c:pt>
                <c:pt idx="781">
                  <c:v>5.4220488399999975E-2</c:v>
                </c:pt>
                <c:pt idx="782">
                  <c:v>5.4220488399999975E-2</c:v>
                </c:pt>
                <c:pt idx="783">
                  <c:v>5.4220488399999975E-2</c:v>
                </c:pt>
                <c:pt idx="784">
                  <c:v>5.4220488399999975E-2</c:v>
                </c:pt>
                <c:pt idx="785">
                  <c:v>5.4220488399999975E-2</c:v>
                </c:pt>
                <c:pt idx="786">
                  <c:v>5.4220488399999975E-2</c:v>
                </c:pt>
                <c:pt idx="787">
                  <c:v>5.4220488399999975E-2</c:v>
                </c:pt>
                <c:pt idx="788">
                  <c:v>5.4220488399999975E-2</c:v>
                </c:pt>
                <c:pt idx="789">
                  <c:v>5.4220488399999975E-2</c:v>
                </c:pt>
                <c:pt idx="790">
                  <c:v>5.4220488399999975E-2</c:v>
                </c:pt>
                <c:pt idx="791">
                  <c:v>5.4220488399999975E-2</c:v>
                </c:pt>
                <c:pt idx="792">
                  <c:v>5.4220488399999975E-2</c:v>
                </c:pt>
                <c:pt idx="793">
                  <c:v>5.4220488399999975E-2</c:v>
                </c:pt>
                <c:pt idx="794">
                  <c:v>5.4220488399999975E-2</c:v>
                </c:pt>
                <c:pt idx="795">
                  <c:v>5.4220488399999975E-2</c:v>
                </c:pt>
                <c:pt idx="796">
                  <c:v>5.4220488399999975E-2</c:v>
                </c:pt>
                <c:pt idx="797">
                  <c:v>5.4220488399999975E-2</c:v>
                </c:pt>
                <c:pt idx="798">
                  <c:v>5.4220488399999975E-2</c:v>
                </c:pt>
                <c:pt idx="799">
                  <c:v>5.4220488399999975E-2</c:v>
                </c:pt>
                <c:pt idx="800">
                  <c:v>5.4220488399999975E-2</c:v>
                </c:pt>
                <c:pt idx="801">
                  <c:v>5.4220488399999975E-2</c:v>
                </c:pt>
                <c:pt idx="802">
                  <c:v>5.4220488399999975E-2</c:v>
                </c:pt>
                <c:pt idx="803">
                  <c:v>5.4220488399999975E-2</c:v>
                </c:pt>
                <c:pt idx="804">
                  <c:v>5.4220488399999975E-2</c:v>
                </c:pt>
                <c:pt idx="805">
                  <c:v>5.4220488399999975E-2</c:v>
                </c:pt>
                <c:pt idx="806">
                  <c:v>5.4220488399999975E-2</c:v>
                </c:pt>
                <c:pt idx="807">
                  <c:v>5.4220488399999975E-2</c:v>
                </c:pt>
                <c:pt idx="808">
                  <c:v>5.4220488399999975E-2</c:v>
                </c:pt>
                <c:pt idx="809">
                  <c:v>5.4220488399999975E-2</c:v>
                </c:pt>
                <c:pt idx="810">
                  <c:v>5.4220488399999975E-2</c:v>
                </c:pt>
                <c:pt idx="811">
                  <c:v>5.4220488399999975E-2</c:v>
                </c:pt>
                <c:pt idx="812">
                  <c:v>6.0071846299999745E-2</c:v>
                </c:pt>
                <c:pt idx="813">
                  <c:v>6.2491066699999986E-2</c:v>
                </c:pt>
                <c:pt idx="814">
                  <c:v>6.3027619199999982E-2</c:v>
                </c:pt>
                <c:pt idx="815">
                  <c:v>6.3293540099999976E-2</c:v>
                </c:pt>
                <c:pt idx="816">
                  <c:v>6.3427017799999971E-2</c:v>
                </c:pt>
                <c:pt idx="817">
                  <c:v>6.348204889999999E-2</c:v>
                </c:pt>
                <c:pt idx="818">
                  <c:v>6.3514458999999981E-2</c:v>
                </c:pt>
                <c:pt idx="819">
                  <c:v>6.3537572999999986E-2</c:v>
                </c:pt>
                <c:pt idx="820">
                  <c:v>6.3546284199999983E-2</c:v>
                </c:pt>
                <c:pt idx="821">
                  <c:v>6.3547301699999975E-2</c:v>
                </c:pt>
                <c:pt idx="822">
                  <c:v>6.354731399999998E-2</c:v>
                </c:pt>
                <c:pt idx="823">
                  <c:v>8.1011284399999994E-2</c:v>
                </c:pt>
                <c:pt idx="824">
                  <c:v>8.1014137300000011E-2</c:v>
                </c:pt>
                <c:pt idx="825">
                  <c:v>8.1015190100000245E-2</c:v>
                </c:pt>
                <c:pt idx="826">
                  <c:v>8.10157502E-2</c:v>
                </c:pt>
                <c:pt idx="827">
                  <c:v>8.1016150500000023E-2</c:v>
                </c:pt>
                <c:pt idx="828">
                  <c:v>8.1016428000000265E-2</c:v>
                </c:pt>
                <c:pt idx="829">
                  <c:v>8.1016575300000268E-2</c:v>
                </c:pt>
                <c:pt idx="830">
                  <c:v>8.1016621500000024E-2</c:v>
                </c:pt>
                <c:pt idx="831">
                  <c:v>8.1016626000000022E-2</c:v>
                </c:pt>
                <c:pt idx="832">
                  <c:v>8.1016626000000022E-2</c:v>
                </c:pt>
                <c:pt idx="833">
                  <c:v>8.1016631900000011E-2</c:v>
                </c:pt>
                <c:pt idx="834">
                  <c:v>8.1016708200000009E-2</c:v>
                </c:pt>
                <c:pt idx="835">
                  <c:v>8.1016751599999978E-2</c:v>
                </c:pt>
                <c:pt idx="836">
                  <c:v>8.1016839800000004E-2</c:v>
                </c:pt>
                <c:pt idx="837">
                  <c:v>8.1016968000001244E-2</c:v>
                </c:pt>
                <c:pt idx="838">
                  <c:v>8.1066104700000044E-2</c:v>
                </c:pt>
                <c:pt idx="839">
                  <c:v>8.1078024200000001E-2</c:v>
                </c:pt>
                <c:pt idx="840">
                  <c:v>8.1080344800000009E-2</c:v>
                </c:pt>
                <c:pt idx="841">
                  <c:v>8.1375584399999978E-2</c:v>
                </c:pt>
                <c:pt idx="842">
                  <c:v>8.1382564100000013E-2</c:v>
                </c:pt>
                <c:pt idx="843">
                  <c:v>8.1385749999999979E-2</c:v>
                </c:pt>
                <c:pt idx="844">
                  <c:v>8.1386977299999996E-2</c:v>
                </c:pt>
                <c:pt idx="845">
                  <c:v>8.1387842700000226E-2</c:v>
                </c:pt>
                <c:pt idx="846">
                  <c:v>8.1701662800000047E-2</c:v>
                </c:pt>
                <c:pt idx="847">
                  <c:v>8.1703569800000014E-2</c:v>
                </c:pt>
                <c:pt idx="848">
                  <c:v>8.1704828300006596E-2</c:v>
                </c:pt>
                <c:pt idx="849">
                  <c:v>8.1705609200000043E-2</c:v>
                </c:pt>
                <c:pt idx="850">
                  <c:v>8.1706038100001266E-2</c:v>
                </c:pt>
                <c:pt idx="851">
                  <c:v>8.1706294900000045E-2</c:v>
                </c:pt>
                <c:pt idx="852">
                  <c:v>8.1706462200005048E-2</c:v>
                </c:pt>
                <c:pt idx="853">
                  <c:v>8.1706503000000208E-2</c:v>
                </c:pt>
                <c:pt idx="854">
                  <c:v>8.1706506100001228E-2</c:v>
                </c:pt>
                <c:pt idx="855">
                  <c:v>8.1706506100001228E-2</c:v>
                </c:pt>
                <c:pt idx="856">
                  <c:v>8.1706506100001228E-2</c:v>
                </c:pt>
                <c:pt idx="857">
                  <c:v>8.1706506100001228E-2</c:v>
                </c:pt>
                <c:pt idx="858">
                  <c:v>8.1706506100001228E-2</c:v>
                </c:pt>
                <c:pt idx="859">
                  <c:v>8.1706506100001228E-2</c:v>
                </c:pt>
                <c:pt idx="860">
                  <c:v>8.1706506100001228E-2</c:v>
                </c:pt>
                <c:pt idx="861">
                  <c:v>8.1706506100001228E-2</c:v>
                </c:pt>
                <c:pt idx="862">
                  <c:v>8.1706506100001228E-2</c:v>
                </c:pt>
                <c:pt idx="863">
                  <c:v>8.1706506100001228E-2</c:v>
                </c:pt>
                <c:pt idx="864">
                  <c:v>8.1706506100001228E-2</c:v>
                </c:pt>
                <c:pt idx="865">
                  <c:v>8.1706506100001228E-2</c:v>
                </c:pt>
                <c:pt idx="866">
                  <c:v>8.1706506100001228E-2</c:v>
                </c:pt>
                <c:pt idx="867">
                  <c:v>8.1706506100001228E-2</c:v>
                </c:pt>
                <c:pt idx="868">
                  <c:v>8.1706506100001228E-2</c:v>
                </c:pt>
                <c:pt idx="869">
                  <c:v>8.1706506100001228E-2</c:v>
                </c:pt>
                <c:pt idx="870">
                  <c:v>8.1706506100001228E-2</c:v>
                </c:pt>
                <c:pt idx="871">
                  <c:v>8.1706506100001228E-2</c:v>
                </c:pt>
                <c:pt idx="872">
                  <c:v>8.1706506100001228E-2</c:v>
                </c:pt>
                <c:pt idx="873">
                  <c:v>8.1706506100001228E-2</c:v>
                </c:pt>
                <c:pt idx="874">
                  <c:v>8.1706568600001264E-2</c:v>
                </c:pt>
                <c:pt idx="875">
                  <c:v>8.1706841200000727E-2</c:v>
                </c:pt>
                <c:pt idx="876">
                  <c:v>8.1707027700000226E-2</c:v>
                </c:pt>
                <c:pt idx="877">
                  <c:v>8.1707225300001227E-2</c:v>
                </c:pt>
                <c:pt idx="878">
                  <c:v>8.1707395900004268E-2</c:v>
                </c:pt>
                <c:pt idx="879">
                  <c:v>8.1707488100000766E-2</c:v>
                </c:pt>
                <c:pt idx="880">
                  <c:v>8.1707601900000024E-2</c:v>
                </c:pt>
                <c:pt idx="881">
                  <c:v>8.1707646200000067E-2</c:v>
                </c:pt>
                <c:pt idx="882">
                  <c:v>8.1709311300000045E-2</c:v>
                </c:pt>
                <c:pt idx="883">
                  <c:v>8.1713010200000019E-2</c:v>
                </c:pt>
                <c:pt idx="884">
                  <c:v>8.1714434900000063E-2</c:v>
                </c:pt>
                <c:pt idx="885">
                  <c:v>8.1715108200000067E-2</c:v>
                </c:pt>
                <c:pt idx="886">
                  <c:v>8.1715539100000067E-2</c:v>
                </c:pt>
                <c:pt idx="887">
                  <c:v>8.1715848700005228E-2</c:v>
                </c:pt>
                <c:pt idx="888">
                  <c:v>8.1716049400000046E-2</c:v>
                </c:pt>
                <c:pt idx="889">
                  <c:v>8.1716148500000765E-2</c:v>
                </c:pt>
                <c:pt idx="890">
                  <c:v>8.1825495300005768E-2</c:v>
                </c:pt>
                <c:pt idx="891">
                  <c:v>8.1835062500006023E-2</c:v>
                </c:pt>
                <c:pt idx="892">
                  <c:v>8.1836065400001268E-2</c:v>
                </c:pt>
                <c:pt idx="893">
                  <c:v>8.1836826600000745E-2</c:v>
                </c:pt>
                <c:pt idx="894">
                  <c:v>8.1837319300000266E-2</c:v>
                </c:pt>
                <c:pt idx="895">
                  <c:v>8.1837555900000247E-2</c:v>
                </c:pt>
                <c:pt idx="896">
                  <c:v>8.1837722400000062E-2</c:v>
                </c:pt>
                <c:pt idx="897">
                  <c:v>8.1837872100005246E-2</c:v>
                </c:pt>
                <c:pt idx="898">
                  <c:v>8.1837889400000044E-2</c:v>
                </c:pt>
                <c:pt idx="899">
                  <c:v>8.1837889600000033E-2</c:v>
                </c:pt>
                <c:pt idx="900">
                  <c:v>8.1837889600000033E-2</c:v>
                </c:pt>
                <c:pt idx="901">
                  <c:v>8.1837889600000033E-2</c:v>
                </c:pt>
                <c:pt idx="902">
                  <c:v>8.1837889600000033E-2</c:v>
                </c:pt>
                <c:pt idx="903">
                  <c:v>8.1837889600000033E-2</c:v>
                </c:pt>
                <c:pt idx="904">
                  <c:v>8.1837889600000033E-2</c:v>
                </c:pt>
                <c:pt idx="905">
                  <c:v>8.1837889600000033E-2</c:v>
                </c:pt>
                <c:pt idx="906">
                  <c:v>8.1837889600000033E-2</c:v>
                </c:pt>
                <c:pt idx="907">
                  <c:v>8.1837889600000033E-2</c:v>
                </c:pt>
                <c:pt idx="908">
                  <c:v>8.1837889600000033E-2</c:v>
                </c:pt>
                <c:pt idx="909">
                  <c:v>8.1837889600000033E-2</c:v>
                </c:pt>
                <c:pt idx="910">
                  <c:v>8.1837889600000033E-2</c:v>
                </c:pt>
                <c:pt idx="911">
                  <c:v>8.1837889600000033E-2</c:v>
                </c:pt>
                <c:pt idx="912">
                  <c:v>8.1837889600000033E-2</c:v>
                </c:pt>
                <c:pt idx="913">
                  <c:v>8.1837889600000033E-2</c:v>
                </c:pt>
                <c:pt idx="914">
                  <c:v>8.1837889600000033E-2</c:v>
                </c:pt>
                <c:pt idx="915">
                  <c:v>8.1837889600000033E-2</c:v>
                </c:pt>
                <c:pt idx="916">
                  <c:v>8.1837889600000033E-2</c:v>
                </c:pt>
                <c:pt idx="917">
                  <c:v>8.1837889600000033E-2</c:v>
                </c:pt>
                <c:pt idx="918">
                  <c:v>8.1837889600000033E-2</c:v>
                </c:pt>
                <c:pt idx="919">
                  <c:v>8.1837889600000033E-2</c:v>
                </c:pt>
                <c:pt idx="920">
                  <c:v>8.1837889600000033E-2</c:v>
                </c:pt>
                <c:pt idx="921">
                  <c:v>8.1837889600000033E-2</c:v>
                </c:pt>
                <c:pt idx="922">
                  <c:v>8.1837889600000033E-2</c:v>
                </c:pt>
                <c:pt idx="923">
                  <c:v>8.1837889600000033E-2</c:v>
                </c:pt>
                <c:pt idx="924">
                  <c:v>8.1837889600000033E-2</c:v>
                </c:pt>
                <c:pt idx="925">
                  <c:v>8.1837889600000033E-2</c:v>
                </c:pt>
                <c:pt idx="926">
                  <c:v>8.1838116900000021E-2</c:v>
                </c:pt>
                <c:pt idx="927">
                  <c:v>8.1838597400000018E-2</c:v>
                </c:pt>
                <c:pt idx="928">
                  <c:v>8.1838901900000025E-2</c:v>
                </c:pt>
                <c:pt idx="929">
                  <c:v>8.1839087600000027E-2</c:v>
                </c:pt>
                <c:pt idx="930">
                  <c:v>8.183922450000003E-2</c:v>
                </c:pt>
                <c:pt idx="931">
                  <c:v>8.1839317000000036E-2</c:v>
                </c:pt>
                <c:pt idx="932">
                  <c:v>8.1839351000000032E-2</c:v>
                </c:pt>
                <c:pt idx="933">
                  <c:v>8.1839355500001265E-2</c:v>
                </c:pt>
                <c:pt idx="934">
                  <c:v>8.1839355600000066E-2</c:v>
                </c:pt>
                <c:pt idx="935">
                  <c:v>8.1839355600000066E-2</c:v>
                </c:pt>
                <c:pt idx="936">
                  <c:v>8.1839355600000066E-2</c:v>
                </c:pt>
                <c:pt idx="937">
                  <c:v>8.1839355600000066E-2</c:v>
                </c:pt>
                <c:pt idx="938">
                  <c:v>8.1839355600000066E-2</c:v>
                </c:pt>
                <c:pt idx="939">
                  <c:v>8.1839355600000066E-2</c:v>
                </c:pt>
                <c:pt idx="940">
                  <c:v>8.1839355600000066E-2</c:v>
                </c:pt>
                <c:pt idx="941">
                  <c:v>8.1839355600000066E-2</c:v>
                </c:pt>
                <c:pt idx="942">
                  <c:v>8.1839355600000066E-2</c:v>
                </c:pt>
                <c:pt idx="943">
                  <c:v>8.1839355600000066E-2</c:v>
                </c:pt>
                <c:pt idx="944">
                  <c:v>8.1839355600000066E-2</c:v>
                </c:pt>
                <c:pt idx="945">
                  <c:v>8.1839355600000066E-2</c:v>
                </c:pt>
                <c:pt idx="946">
                  <c:v>8.1839355600000066E-2</c:v>
                </c:pt>
                <c:pt idx="947">
                  <c:v>8.1839355600000066E-2</c:v>
                </c:pt>
                <c:pt idx="948">
                  <c:v>8.1839355600000066E-2</c:v>
                </c:pt>
                <c:pt idx="949">
                  <c:v>8.1839355600000066E-2</c:v>
                </c:pt>
                <c:pt idx="950">
                  <c:v>8.1839355600000066E-2</c:v>
                </c:pt>
                <c:pt idx="951">
                  <c:v>8.1839355600000066E-2</c:v>
                </c:pt>
                <c:pt idx="952">
                  <c:v>8.1839355600000066E-2</c:v>
                </c:pt>
                <c:pt idx="953">
                  <c:v>8.1839355600000066E-2</c:v>
                </c:pt>
                <c:pt idx="954">
                  <c:v>8.1839355600000066E-2</c:v>
                </c:pt>
                <c:pt idx="955">
                  <c:v>8.1839355600000066E-2</c:v>
                </c:pt>
                <c:pt idx="956">
                  <c:v>8.1839355600000066E-2</c:v>
                </c:pt>
                <c:pt idx="957">
                  <c:v>8.1839355600000066E-2</c:v>
                </c:pt>
                <c:pt idx="958">
                  <c:v>8.1839355600000066E-2</c:v>
                </c:pt>
                <c:pt idx="959">
                  <c:v>8.1839355600000066E-2</c:v>
                </c:pt>
                <c:pt idx="960">
                  <c:v>8.1839355600000066E-2</c:v>
                </c:pt>
                <c:pt idx="961">
                  <c:v>8.1839355600000066E-2</c:v>
                </c:pt>
                <c:pt idx="962">
                  <c:v>8.1839355600000066E-2</c:v>
                </c:pt>
                <c:pt idx="963">
                  <c:v>8.1839355600000066E-2</c:v>
                </c:pt>
                <c:pt idx="964">
                  <c:v>8.1839355600000066E-2</c:v>
                </c:pt>
                <c:pt idx="965">
                  <c:v>8.1855866300007518E-2</c:v>
                </c:pt>
                <c:pt idx="966">
                  <c:v>8.1865682500000744E-2</c:v>
                </c:pt>
                <c:pt idx="967">
                  <c:v>8.1867320900001747E-2</c:v>
                </c:pt>
                <c:pt idx="968">
                  <c:v>8.1868285400000032E-2</c:v>
                </c:pt>
                <c:pt idx="969">
                  <c:v>8.1868803100001247E-2</c:v>
                </c:pt>
                <c:pt idx="970">
                  <c:v>8.1869052900000266E-2</c:v>
                </c:pt>
                <c:pt idx="971">
                  <c:v>8.1869236300000037E-2</c:v>
                </c:pt>
                <c:pt idx="972">
                  <c:v>8.1869347300001227E-2</c:v>
                </c:pt>
                <c:pt idx="973">
                  <c:v>8.1869371600000032E-2</c:v>
                </c:pt>
                <c:pt idx="974">
                  <c:v>8.1869372500004228E-2</c:v>
                </c:pt>
                <c:pt idx="975">
                  <c:v>8.1869372500004228E-2</c:v>
                </c:pt>
                <c:pt idx="976">
                  <c:v>8.1869372500004228E-2</c:v>
                </c:pt>
                <c:pt idx="977">
                  <c:v>8.1869372500004228E-2</c:v>
                </c:pt>
                <c:pt idx="978">
                  <c:v>8.1869372500004228E-2</c:v>
                </c:pt>
                <c:pt idx="979">
                  <c:v>8.1869372500004228E-2</c:v>
                </c:pt>
                <c:pt idx="980">
                  <c:v>8.1869372500004228E-2</c:v>
                </c:pt>
                <c:pt idx="981">
                  <c:v>8.1869372500004228E-2</c:v>
                </c:pt>
                <c:pt idx="982">
                  <c:v>8.1869372500004228E-2</c:v>
                </c:pt>
                <c:pt idx="983">
                  <c:v>8.1869372500004228E-2</c:v>
                </c:pt>
                <c:pt idx="984">
                  <c:v>8.1869372500004228E-2</c:v>
                </c:pt>
                <c:pt idx="985">
                  <c:v>8.1869372500004228E-2</c:v>
                </c:pt>
                <c:pt idx="986">
                  <c:v>8.1869372500004228E-2</c:v>
                </c:pt>
                <c:pt idx="987">
                  <c:v>8.1869372500004228E-2</c:v>
                </c:pt>
                <c:pt idx="988">
                  <c:v>8.1869372500004228E-2</c:v>
                </c:pt>
                <c:pt idx="989">
                  <c:v>8.1869372500004228E-2</c:v>
                </c:pt>
                <c:pt idx="990">
                  <c:v>8.1869372500004228E-2</c:v>
                </c:pt>
                <c:pt idx="991">
                  <c:v>8.1869372500004228E-2</c:v>
                </c:pt>
                <c:pt idx="992">
                  <c:v>8.1869372500004228E-2</c:v>
                </c:pt>
                <c:pt idx="993">
                  <c:v>8.1869372500004228E-2</c:v>
                </c:pt>
                <c:pt idx="994">
                  <c:v>8.1869372500004228E-2</c:v>
                </c:pt>
                <c:pt idx="995">
                  <c:v>8.1869372500004228E-2</c:v>
                </c:pt>
                <c:pt idx="996">
                  <c:v>8.1869372500004228E-2</c:v>
                </c:pt>
                <c:pt idx="997">
                  <c:v>8.1869372500004228E-2</c:v>
                </c:pt>
                <c:pt idx="998">
                  <c:v>8.1869372500004228E-2</c:v>
                </c:pt>
                <c:pt idx="999">
                  <c:v>8.1869372500004228E-2</c:v>
                </c:pt>
                <c:pt idx="1000">
                  <c:v>8.1869372500004228E-2</c:v>
                </c:pt>
                <c:pt idx="1001">
                  <c:v>8.1869372500004228E-2</c:v>
                </c:pt>
                <c:pt idx="1002">
                  <c:v>8.1869372500004228E-2</c:v>
                </c:pt>
                <c:pt idx="1003">
                  <c:v>8.1869372500004228E-2</c:v>
                </c:pt>
                <c:pt idx="1004">
                  <c:v>8.1869372500004228E-2</c:v>
                </c:pt>
                <c:pt idx="1005">
                  <c:v>8.1869372500004228E-2</c:v>
                </c:pt>
                <c:pt idx="1006">
                  <c:v>8.1869372500004228E-2</c:v>
                </c:pt>
                <c:pt idx="1007">
                  <c:v>8.1869372500004228E-2</c:v>
                </c:pt>
                <c:pt idx="1008">
                  <c:v>8.1869372500004228E-2</c:v>
                </c:pt>
                <c:pt idx="1009">
                  <c:v>8.1869372500004228E-2</c:v>
                </c:pt>
                <c:pt idx="1010">
                  <c:v>8.1869372500004228E-2</c:v>
                </c:pt>
                <c:pt idx="1011">
                  <c:v>8.1869372500004228E-2</c:v>
                </c:pt>
                <c:pt idx="1012">
                  <c:v>8.1869372500004228E-2</c:v>
                </c:pt>
                <c:pt idx="1013">
                  <c:v>8.1869372500004228E-2</c:v>
                </c:pt>
                <c:pt idx="1014">
                  <c:v>8.1869372500004228E-2</c:v>
                </c:pt>
                <c:pt idx="1015">
                  <c:v>8.1869372500004228E-2</c:v>
                </c:pt>
                <c:pt idx="1016">
                  <c:v>8.1869372500004228E-2</c:v>
                </c:pt>
                <c:pt idx="1017">
                  <c:v>8.1869372500004228E-2</c:v>
                </c:pt>
                <c:pt idx="1018">
                  <c:v>8.1869372500004228E-2</c:v>
                </c:pt>
                <c:pt idx="1019">
                  <c:v>8.1869372500004228E-2</c:v>
                </c:pt>
                <c:pt idx="1020">
                  <c:v>8.1869372500004228E-2</c:v>
                </c:pt>
                <c:pt idx="1021">
                  <c:v>8.1869372500004228E-2</c:v>
                </c:pt>
                <c:pt idx="1022">
                  <c:v>8.1869372500004228E-2</c:v>
                </c:pt>
                <c:pt idx="1023">
                  <c:v>8.1869372500004228E-2</c:v>
                </c:pt>
                <c:pt idx="1024">
                  <c:v>8.1869372500004228E-2</c:v>
                </c:pt>
                <c:pt idx="1025">
                  <c:v>8.1869372500004228E-2</c:v>
                </c:pt>
                <c:pt idx="1026">
                  <c:v>8.1869372500004228E-2</c:v>
                </c:pt>
                <c:pt idx="1027">
                  <c:v>8.1869372500004228E-2</c:v>
                </c:pt>
                <c:pt idx="1028">
                  <c:v>8.1869372500004228E-2</c:v>
                </c:pt>
                <c:pt idx="1029">
                  <c:v>8.1869372500004228E-2</c:v>
                </c:pt>
                <c:pt idx="1030">
                  <c:v>8.1869372500004228E-2</c:v>
                </c:pt>
                <c:pt idx="1031">
                  <c:v>8.1869372500004228E-2</c:v>
                </c:pt>
                <c:pt idx="1032">
                  <c:v>8.1869372500004228E-2</c:v>
                </c:pt>
                <c:pt idx="1033">
                  <c:v>8.1869372500004228E-2</c:v>
                </c:pt>
                <c:pt idx="1034">
                  <c:v>8.1869372500004228E-2</c:v>
                </c:pt>
                <c:pt idx="1035">
                  <c:v>8.1869372500004228E-2</c:v>
                </c:pt>
                <c:pt idx="1036">
                  <c:v>8.1869372500004228E-2</c:v>
                </c:pt>
                <c:pt idx="1037">
                  <c:v>8.1869372500004228E-2</c:v>
                </c:pt>
                <c:pt idx="1038">
                  <c:v>8.1869372500004228E-2</c:v>
                </c:pt>
                <c:pt idx="1039">
                  <c:v>8.1869372500004228E-2</c:v>
                </c:pt>
                <c:pt idx="1040">
                  <c:v>8.1869372500004228E-2</c:v>
                </c:pt>
                <c:pt idx="1041">
                  <c:v>8.1869372500004228E-2</c:v>
                </c:pt>
                <c:pt idx="1042">
                  <c:v>8.1869372500004228E-2</c:v>
                </c:pt>
                <c:pt idx="1043">
                  <c:v>8.1869372500004228E-2</c:v>
                </c:pt>
                <c:pt idx="1044">
                  <c:v>8.1869372500004228E-2</c:v>
                </c:pt>
                <c:pt idx="1045">
                  <c:v>8.1869372500004228E-2</c:v>
                </c:pt>
                <c:pt idx="1046">
                  <c:v>8.1869372500004228E-2</c:v>
                </c:pt>
                <c:pt idx="1047">
                  <c:v>8.1869372500004228E-2</c:v>
                </c:pt>
                <c:pt idx="1048">
                  <c:v>8.1869372500004228E-2</c:v>
                </c:pt>
                <c:pt idx="1049">
                  <c:v>8.1869372500004228E-2</c:v>
                </c:pt>
                <c:pt idx="1050">
                  <c:v>8.1869372500004228E-2</c:v>
                </c:pt>
                <c:pt idx="1051">
                  <c:v>8.1869372500004228E-2</c:v>
                </c:pt>
                <c:pt idx="1052">
                  <c:v>8.1869372500004228E-2</c:v>
                </c:pt>
                <c:pt idx="1053">
                  <c:v>8.1869372500004228E-2</c:v>
                </c:pt>
                <c:pt idx="1054">
                  <c:v>8.1869372500004228E-2</c:v>
                </c:pt>
                <c:pt idx="1055">
                  <c:v>8.1869372500004228E-2</c:v>
                </c:pt>
                <c:pt idx="1056">
                  <c:v>8.1869372500004228E-2</c:v>
                </c:pt>
                <c:pt idx="1057">
                  <c:v>8.1869372500004228E-2</c:v>
                </c:pt>
                <c:pt idx="1058">
                  <c:v>8.1869372500004228E-2</c:v>
                </c:pt>
                <c:pt idx="1059">
                  <c:v>8.1869372500004228E-2</c:v>
                </c:pt>
                <c:pt idx="1060">
                  <c:v>8.1869372500004228E-2</c:v>
                </c:pt>
                <c:pt idx="1061">
                  <c:v>8.1869372500004228E-2</c:v>
                </c:pt>
                <c:pt idx="1062">
                  <c:v>8.1869372500004228E-2</c:v>
                </c:pt>
                <c:pt idx="1063">
                  <c:v>8.1869372500004228E-2</c:v>
                </c:pt>
                <c:pt idx="1064">
                  <c:v>8.1869372500004228E-2</c:v>
                </c:pt>
                <c:pt idx="1065">
                  <c:v>8.1869372500004228E-2</c:v>
                </c:pt>
                <c:pt idx="1066">
                  <c:v>8.1869372500004228E-2</c:v>
                </c:pt>
                <c:pt idx="1067">
                  <c:v>8.1869372500004228E-2</c:v>
                </c:pt>
                <c:pt idx="1068">
                  <c:v>8.1869372500004228E-2</c:v>
                </c:pt>
                <c:pt idx="1069">
                  <c:v>8.1869372500004228E-2</c:v>
                </c:pt>
                <c:pt idx="1070">
                  <c:v>8.1869372500004228E-2</c:v>
                </c:pt>
                <c:pt idx="1071">
                  <c:v>8.1869372500004228E-2</c:v>
                </c:pt>
                <c:pt idx="1072">
                  <c:v>8.1869372500004228E-2</c:v>
                </c:pt>
                <c:pt idx="1073">
                  <c:v>8.1869372500004228E-2</c:v>
                </c:pt>
                <c:pt idx="1074">
                  <c:v>8.1869372500004228E-2</c:v>
                </c:pt>
                <c:pt idx="1075">
                  <c:v>8.1869372500004228E-2</c:v>
                </c:pt>
                <c:pt idx="1076">
                  <c:v>8.1869372500004228E-2</c:v>
                </c:pt>
                <c:pt idx="1077">
                  <c:v>8.1869372500004228E-2</c:v>
                </c:pt>
                <c:pt idx="1078">
                  <c:v>8.1869372500004228E-2</c:v>
                </c:pt>
                <c:pt idx="1079">
                  <c:v>8.1869372500004228E-2</c:v>
                </c:pt>
                <c:pt idx="1080">
                  <c:v>8.1869372500004228E-2</c:v>
                </c:pt>
                <c:pt idx="1081">
                  <c:v>8.1869372500004228E-2</c:v>
                </c:pt>
                <c:pt idx="1082">
                  <c:v>8.1869372500004228E-2</c:v>
                </c:pt>
                <c:pt idx="1083">
                  <c:v>8.1869372500004228E-2</c:v>
                </c:pt>
                <c:pt idx="1084">
                  <c:v>8.1869372500004228E-2</c:v>
                </c:pt>
                <c:pt idx="1085">
                  <c:v>8.1869372500004228E-2</c:v>
                </c:pt>
                <c:pt idx="1086">
                  <c:v>8.1869372500004228E-2</c:v>
                </c:pt>
                <c:pt idx="1087">
                  <c:v>8.1869372500004228E-2</c:v>
                </c:pt>
                <c:pt idx="1088">
                  <c:v>8.1869372500004228E-2</c:v>
                </c:pt>
                <c:pt idx="1089">
                  <c:v>8.1869372500004228E-2</c:v>
                </c:pt>
                <c:pt idx="1090">
                  <c:v>8.1869372500004228E-2</c:v>
                </c:pt>
                <c:pt idx="1091">
                  <c:v>8.1869372500004228E-2</c:v>
                </c:pt>
                <c:pt idx="1092">
                  <c:v>8.1869372500004228E-2</c:v>
                </c:pt>
                <c:pt idx="1093">
                  <c:v>8.1869372500004228E-2</c:v>
                </c:pt>
                <c:pt idx="1094">
                  <c:v>8.1869372500004228E-2</c:v>
                </c:pt>
                <c:pt idx="1095">
                  <c:v>8.1869372500004228E-2</c:v>
                </c:pt>
                <c:pt idx="1096">
                  <c:v>8.1869372500004228E-2</c:v>
                </c:pt>
                <c:pt idx="1097">
                  <c:v>8.1869372500004228E-2</c:v>
                </c:pt>
                <c:pt idx="1098">
                  <c:v>8.1869372500004228E-2</c:v>
                </c:pt>
                <c:pt idx="1099">
                  <c:v>8.1869372500004228E-2</c:v>
                </c:pt>
                <c:pt idx="1100">
                  <c:v>8.1869372500004228E-2</c:v>
                </c:pt>
                <c:pt idx="1101">
                  <c:v>8.1869372500004228E-2</c:v>
                </c:pt>
                <c:pt idx="1102">
                  <c:v>8.1869372500004228E-2</c:v>
                </c:pt>
                <c:pt idx="1103">
                  <c:v>8.1869372500004228E-2</c:v>
                </c:pt>
                <c:pt idx="1104">
                  <c:v>8.1869372500004228E-2</c:v>
                </c:pt>
                <c:pt idx="1105">
                  <c:v>8.1869372500004228E-2</c:v>
                </c:pt>
                <c:pt idx="1106">
                  <c:v>8.1869372500004228E-2</c:v>
                </c:pt>
                <c:pt idx="1107">
                  <c:v>8.1869372500004228E-2</c:v>
                </c:pt>
                <c:pt idx="1108">
                  <c:v>8.1869372500004228E-2</c:v>
                </c:pt>
                <c:pt idx="1109">
                  <c:v>8.1869372500004228E-2</c:v>
                </c:pt>
                <c:pt idx="1110">
                  <c:v>8.1869372500004228E-2</c:v>
                </c:pt>
                <c:pt idx="1111">
                  <c:v>8.1869372500004228E-2</c:v>
                </c:pt>
                <c:pt idx="1112">
                  <c:v>8.1869372500004228E-2</c:v>
                </c:pt>
                <c:pt idx="1113">
                  <c:v>8.1869372500004228E-2</c:v>
                </c:pt>
                <c:pt idx="1114">
                  <c:v>8.1869372500004228E-2</c:v>
                </c:pt>
                <c:pt idx="1115">
                  <c:v>8.1869372500004228E-2</c:v>
                </c:pt>
                <c:pt idx="1116">
                  <c:v>8.1869372500004228E-2</c:v>
                </c:pt>
                <c:pt idx="1117">
                  <c:v>8.1869372500004228E-2</c:v>
                </c:pt>
                <c:pt idx="1118">
                  <c:v>8.1869372500004228E-2</c:v>
                </c:pt>
                <c:pt idx="1119">
                  <c:v>8.1869372500004228E-2</c:v>
                </c:pt>
                <c:pt idx="1120">
                  <c:v>8.1869372500004228E-2</c:v>
                </c:pt>
                <c:pt idx="1121">
                  <c:v>8.1869372500004228E-2</c:v>
                </c:pt>
                <c:pt idx="1122">
                  <c:v>8.1869372500004228E-2</c:v>
                </c:pt>
                <c:pt idx="1123">
                  <c:v>8.1869372500004228E-2</c:v>
                </c:pt>
                <c:pt idx="1124">
                  <c:v>8.1869372500004228E-2</c:v>
                </c:pt>
                <c:pt idx="1125">
                  <c:v>8.1869372500004228E-2</c:v>
                </c:pt>
                <c:pt idx="1126">
                  <c:v>8.1869372500004228E-2</c:v>
                </c:pt>
                <c:pt idx="1127">
                  <c:v>8.1869372500004228E-2</c:v>
                </c:pt>
                <c:pt idx="1128">
                  <c:v>8.1869372500004228E-2</c:v>
                </c:pt>
                <c:pt idx="1129">
                  <c:v>8.1869372500004228E-2</c:v>
                </c:pt>
                <c:pt idx="1130">
                  <c:v>8.1869372500004228E-2</c:v>
                </c:pt>
                <c:pt idx="1131">
                  <c:v>8.1869372500004228E-2</c:v>
                </c:pt>
                <c:pt idx="1132">
                  <c:v>8.1869372500004228E-2</c:v>
                </c:pt>
                <c:pt idx="1133">
                  <c:v>8.1869372500004228E-2</c:v>
                </c:pt>
                <c:pt idx="1134">
                  <c:v>8.1869372500004228E-2</c:v>
                </c:pt>
                <c:pt idx="1135">
                  <c:v>8.1869372500004228E-2</c:v>
                </c:pt>
                <c:pt idx="1136">
                  <c:v>8.1869372500004228E-2</c:v>
                </c:pt>
                <c:pt idx="1137">
                  <c:v>8.1869372500004228E-2</c:v>
                </c:pt>
                <c:pt idx="1138">
                  <c:v>8.1869372500004228E-2</c:v>
                </c:pt>
                <c:pt idx="1139">
                  <c:v>8.1869372500004228E-2</c:v>
                </c:pt>
                <c:pt idx="1140">
                  <c:v>8.1869372500004228E-2</c:v>
                </c:pt>
                <c:pt idx="1141">
                  <c:v>8.1869372500004228E-2</c:v>
                </c:pt>
                <c:pt idx="1142">
                  <c:v>8.1869372500004228E-2</c:v>
                </c:pt>
                <c:pt idx="1143">
                  <c:v>8.1869372500004228E-2</c:v>
                </c:pt>
                <c:pt idx="1144">
                  <c:v>8.1869372500004228E-2</c:v>
                </c:pt>
                <c:pt idx="1145">
                  <c:v>8.1869372500004228E-2</c:v>
                </c:pt>
                <c:pt idx="1146">
                  <c:v>8.1869372500004228E-2</c:v>
                </c:pt>
                <c:pt idx="1147">
                  <c:v>8.1869372500004228E-2</c:v>
                </c:pt>
                <c:pt idx="1148">
                  <c:v>8.1869372500004228E-2</c:v>
                </c:pt>
                <c:pt idx="1149">
                  <c:v>8.1869372500004228E-2</c:v>
                </c:pt>
                <c:pt idx="1150">
                  <c:v>8.1869372500004228E-2</c:v>
                </c:pt>
                <c:pt idx="1151">
                  <c:v>8.1869372500004228E-2</c:v>
                </c:pt>
                <c:pt idx="1152">
                  <c:v>8.1869372500004228E-2</c:v>
                </c:pt>
                <c:pt idx="1153">
                  <c:v>8.1869372500004228E-2</c:v>
                </c:pt>
                <c:pt idx="1154">
                  <c:v>8.1869372500004228E-2</c:v>
                </c:pt>
                <c:pt idx="1155">
                  <c:v>8.1869372500004228E-2</c:v>
                </c:pt>
                <c:pt idx="1156">
                  <c:v>8.1869372500004228E-2</c:v>
                </c:pt>
                <c:pt idx="1157">
                  <c:v>8.1869372500004228E-2</c:v>
                </c:pt>
                <c:pt idx="1158">
                  <c:v>8.1869372500004228E-2</c:v>
                </c:pt>
                <c:pt idx="1159">
                  <c:v>8.1869372500004228E-2</c:v>
                </c:pt>
                <c:pt idx="1160">
                  <c:v>8.1869372500004228E-2</c:v>
                </c:pt>
                <c:pt idx="1161">
                  <c:v>8.1869372500004228E-2</c:v>
                </c:pt>
                <c:pt idx="1162">
                  <c:v>8.1869372500004228E-2</c:v>
                </c:pt>
                <c:pt idx="1163">
                  <c:v>8.1869372500004228E-2</c:v>
                </c:pt>
                <c:pt idx="1164">
                  <c:v>8.1869372500004228E-2</c:v>
                </c:pt>
                <c:pt idx="1165">
                  <c:v>8.1869372500004228E-2</c:v>
                </c:pt>
                <c:pt idx="1166">
                  <c:v>8.1869372500004228E-2</c:v>
                </c:pt>
                <c:pt idx="1167">
                  <c:v>8.1869372500004228E-2</c:v>
                </c:pt>
                <c:pt idx="1168">
                  <c:v>8.1869372500004228E-2</c:v>
                </c:pt>
                <c:pt idx="1169">
                  <c:v>8.1869372500004228E-2</c:v>
                </c:pt>
                <c:pt idx="1170">
                  <c:v>8.1869372500004228E-2</c:v>
                </c:pt>
                <c:pt idx="1171">
                  <c:v>8.1869372500004228E-2</c:v>
                </c:pt>
                <c:pt idx="1172">
                  <c:v>8.1869372500004228E-2</c:v>
                </c:pt>
                <c:pt idx="1173">
                  <c:v>8.1869372500004228E-2</c:v>
                </c:pt>
                <c:pt idx="1174">
                  <c:v>8.1869372500004228E-2</c:v>
                </c:pt>
                <c:pt idx="1175">
                  <c:v>8.1869372500004228E-2</c:v>
                </c:pt>
                <c:pt idx="1176">
                  <c:v>8.1869372500004228E-2</c:v>
                </c:pt>
                <c:pt idx="1177">
                  <c:v>8.1869372500004228E-2</c:v>
                </c:pt>
                <c:pt idx="1178">
                  <c:v>8.1869372500004228E-2</c:v>
                </c:pt>
                <c:pt idx="1179">
                  <c:v>8.1869372500004228E-2</c:v>
                </c:pt>
                <c:pt idx="1180">
                  <c:v>8.2093867200000045E-2</c:v>
                </c:pt>
                <c:pt idx="1181">
                  <c:v>8.2102567700000031E-2</c:v>
                </c:pt>
                <c:pt idx="1182">
                  <c:v>8.2104391900000268E-2</c:v>
                </c:pt>
                <c:pt idx="1183">
                  <c:v>8.2105358600000067E-2</c:v>
                </c:pt>
                <c:pt idx="1184">
                  <c:v>8.2106085400000015E-2</c:v>
                </c:pt>
                <c:pt idx="1185">
                  <c:v>8.2106474800000009E-2</c:v>
                </c:pt>
                <c:pt idx="1186">
                  <c:v>8.2106666800000033E-2</c:v>
                </c:pt>
                <c:pt idx="1187">
                  <c:v>8.2106789099999994E-2</c:v>
                </c:pt>
                <c:pt idx="1188">
                  <c:v>8.2106804300000225E-2</c:v>
                </c:pt>
                <c:pt idx="1189">
                  <c:v>8.2106807000000032E-2</c:v>
                </c:pt>
                <c:pt idx="1190">
                  <c:v>8.2106807000000032E-2</c:v>
                </c:pt>
                <c:pt idx="1191">
                  <c:v>8.2106807000000032E-2</c:v>
                </c:pt>
                <c:pt idx="1192">
                  <c:v>8.2106807000000032E-2</c:v>
                </c:pt>
                <c:pt idx="1193">
                  <c:v>8.2106807000000032E-2</c:v>
                </c:pt>
                <c:pt idx="1194">
                  <c:v>8.2106807000000032E-2</c:v>
                </c:pt>
                <c:pt idx="1195">
                  <c:v>8.2106807000000032E-2</c:v>
                </c:pt>
                <c:pt idx="1196">
                  <c:v>8.2106807000000032E-2</c:v>
                </c:pt>
                <c:pt idx="1197">
                  <c:v>8.2106807000000032E-2</c:v>
                </c:pt>
                <c:pt idx="1198">
                  <c:v>8.2106807000000032E-2</c:v>
                </c:pt>
                <c:pt idx="1199">
                  <c:v>8.2106807000000032E-2</c:v>
                </c:pt>
                <c:pt idx="1200">
                  <c:v>8.2106807000000032E-2</c:v>
                </c:pt>
                <c:pt idx="1201">
                  <c:v>8.2106807000000032E-2</c:v>
                </c:pt>
                <c:pt idx="1202">
                  <c:v>8.2106807000000032E-2</c:v>
                </c:pt>
                <c:pt idx="1203">
                  <c:v>8.2106807000000032E-2</c:v>
                </c:pt>
                <c:pt idx="1204">
                  <c:v>8.2578959900000026E-2</c:v>
                </c:pt>
                <c:pt idx="1205">
                  <c:v>8.2588939500000014E-2</c:v>
                </c:pt>
                <c:pt idx="1206">
                  <c:v>8.2590570600000066E-2</c:v>
                </c:pt>
                <c:pt idx="1207">
                  <c:v>8.2591522700001266E-2</c:v>
                </c:pt>
                <c:pt idx="1208">
                  <c:v>8.2591941400000063E-2</c:v>
                </c:pt>
                <c:pt idx="1209">
                  <c:v>8.3015248400000768E-2</c:v>
                </c:pt>
                <c:pt idx="1210">
                  <c:v>8.3016560200001727E-2</c:v>
                </c:pt>
                <c:pt idx="1211">
                  <c:v>8.3017263400000207E-2</c:v>
                </c:pt>
                <c:pt idx="1212">
                  <c:v>8.3017734299999993E-2</c:v>
                </c:pt>
                <c:pt idx="1213">
                  <c:v>8.3018100700000208E-2</c:v>
                </c:pt>
                <c:pt idx="1214">
                  <c:v>8.3018240700000245E-2</c:v>
                </c:pt>
                <c:pt idx="1215">
                  <c:v>8.3018323900004048E-2</c:v>
                </c:pt>
                <c:pt idx="1216">
                  <c:v>8.3018341200000248E-2</c:v>
                </c:pt>
                <c:pt idx="1217">
                  <c:v>8.3018342500005268E-2</c:v>
                </c:pt>
                <c:pt idx="1218">
                  <c:v>8.3018342500005268E-2</c:v>
                </c:pt>
                <c:pt idx="1219">
                  <c:v>8.3018342500005268E-2</c:v>
                </c:pt>
                <c:pt idx="1220">
                  <c:v>8.3018342500005268E-2</c:v>
                </c:pt>
                <c:pt idx="1221">
                  <c:v>8.3018342500005268E-2</c:v>
                </c:pt>
                <c:pt idx="1222">
                  <c:v>8.3018342500005268E-2</c:v>
                </c:pt>
                <c:pt idx="1223">
                  <c:v>8.3018342500005268E-2</c:v>
                </c:pt>
                <c:pt idx="1224">
                  <c:v>8.3018342500005268E-2</c:v>
                </c:pt>
                <c:pt idx="1225">
                  <c:v>8.3018342500005268E-2</c:v>
                </c:pt>
                <c:pt idx="1226">
                  <c:v>8.3018342500005268E-2</c:v>
                </c:pt>
                <c:pt idx="1227">
                  <c:v>8.3018342500005268E-2</c:v>
                </c:pt>
                <c:pt idx="1228">
                  <c:v>8.3018342500005268E-2</c:v>
                </c:pt>
                <c:pt idx="1229">
                  <c:v>8.3018342500005268E-2</c:v>
                </c:pt>
                <c:pt idx="1230">
                  <c:v>8.3018342500005268E-2</c:v>
                </c:pt>
                <c:pt idx="1231">
                  <c:v>8.3018342500005268E-2</c:v>
                </c:pt>
                <c:pt idx="1232">
                  <c:v>8.3018342500005268E-2</c:v>
                </c:pt>
                <c:pt idx="1233">
                  <c:v>8.3018342500005268E-2</c:v>
                </c:pt>
                <c:pt idx="1234">
                  <c:v>8.3104155100004767E-2</c:v>
                </c:pt>
                <c:pt idx="1235">
                  <c:v>8.3105564100005247E-2</c:v>
                </c:pt>
                <c:pt idx="1236">
                  <c:v>8.3106311100001246E-2</c:v>
                </c:pt>
                <c:pt idx="1237">
                  <c:v>8.3106785700000227E-2</c:v>
                </c:pt>
                <c:pt idx="1238">
                  <c:v>8.3107066900005078E-2</c:v>
                </c:pt>
                <c:pt idx="1239">
                  <c:v>8.3107251900000026E-2</c:v>
                </c:pt>
                <c:pt idx="1240">
                  <c:v>8.3107326200001747E-2</c:v>
                </c:pt>
                <c:pt idx="1241">
                  <c:v>8.3107338200001268E-2</c:v>
                </c:pt>
                <c:pt idx="1242">
                  <c:v>8.3107339000000266E-2</c:v>
                </c:pt>
                <c:pt idx="1243">
                  <c:v>8.3107339000000266E-2</c:v>
                </c:pt>
                <c:pt idx="1244">
                  <c:v>8.3121848300007559E-2</c:v>
                </c:pt>
                <c:pt idx="1245">
                  <c:v>8.3127234100000266E-2</c:v>
                </c:pt>
                <c:pt idx="1246">
                  <c:v>8.3128303700005568E-2</c:v>
                </c:pt>
                <c:pt idx="1247">
                  <c:v>8.3128710900000027E-2</c:v>
                </c:pt>
                <c:pt idx="1248">
                  <c:v>8.3129030500001228E-2</c:v>
                </c:pt>
                <c:pt idx="1249">
                  <c:v>8.312923160000002E-2</c:v>
                </c:pt>
                <c:pt idx="1250">
                  <c:v>8.3129388500005244E-2</c:v>
                </c:pt>
                <c:pt idx="1251">
                  <c:v>8.3129434600000024E-2</c:v>
                </c:pt>
                <c:pt idx="1252">
                  <c:v>8.3129445500007018E-2</c:v>
                </c:pt>
                <c:pt idx="1253">
                  <c:v>8.3129445800003768E-2</c:v>
                </c:pt>
                <c:pt idx="1254">
                  <c:v>8.3129445800003768E-2</c:v>
                </c:pt>
                <c:pt idx="1255">
                  <c:v>8.3129445800003768E-2</c:v>
                </c:pt>
                <c:pt idx="1256">
                  <c:v>8.3129445800003768E-2</c:v>
                </c:pt>
                <c:pt idx="1257">
                  <c:v>8.3129445800003768E-2</c:v>
                </c:pt>
                <c:pt idx="1258">
                  <c:v>8.3129445800003768E-2</c:v>
                </c:pt>
                <c:pt idx="1259">
                  <c:v>8.3129445800003768E-2</c:v>
                </c:pt>
                <c:pt idx="1260">
                  <c:v>8.3129445800003768E-2</c:v>
                </c:pt>
                <c:pt idx="1261">
                  <c:v>8.3129445800003768E-2</c:v>
                </c:pt>
                <c:pt idx="1262">
                  <c:v>8.3129445800003768E-2</c:v>
                </c:pt>
                <c:pt idx="1263">
                  <c:v>8.3129445800003768E-2</c:v>
                </c:pt>
                <c:pt idx="1264">
                  <c:v>8.3129445800003768E-2</c:v>
                </c:pt>
                <c:pt idx="1265">
                  <c:v>8.3129445800003768E-2</c:v>
                </c:pt>
                <c:pt idx="1266">
                  <c:v>8.3129445800003768E-2</c:v>
                </c:pt>
                <c:pt idx="1267">
                  <c:v>8.3129445800003768E-2</c:v>
                </c:pt>
                <c:pt idx="1268">
                  <c:v>8.3129445800003768E-2</c:v>
                </c:pt>
                <c:pt idx="1269">
                  <c:v>8.3129445800003768E-2</c:v>
                </c:pt>
                <c:pt idx="1270">
                  <c:v>8.3129445800003768E-2</c:v>
                </c:pt>
                <c:pt idx="1271">
                  <c:v>8.3129445800003768E-2</c:v>
                </c:pt>
                <c:pt idx="1272">
                  <c:v>8.3129445800003768E-2</c:v>
                </c:pt>
                <c:pt idx="1273">
                  <c:v>8.3129445800003768E-2</c:v>
                </c:pt>
                <c:pt idx="1274">
                  <c:v>8.3129445800003768E-2</c:v>
                </c:pt>
                <c:pt idx="1275">
                  <c:v>8.3129445800003768E-2</c:v>
                </c:pt>
                <c:pt idx="1276">
                  <c:v>8.3129445800003768E-2</c:v>
                </c:pt>
                <c:pt idx="1277">
                  <c:v>8.3129445800003768E-2</c:v>
                </c:pt>
                <c:pt idx="1278">
                  <c:v>8.3129445800003768E-2</c:v>
                </c:pt>
                <c:pt idx="1279">
                  <c:v>8.3129445800003768E-2</c:v>
                </c:pt>
                <c:pt idx="1280">
                  <c:v>8.3129445800003768E-2</c:v>
                </c:pt>
                <c:pt idx="1281">
                  <c:v>8.3129445800003768E-2</c:v>
                </c:pt>
                <c:pt idx="1282">
                  <c:v>8.3129445800003768E-2</c:v>
                </c:pt>
                <c:pt idx="1283">
                  <c:v>8.3129445800003768E-2</c:v>
                </c:pt>
                <c:pt idx="1284">
                  <c:v>8.3129445800003768E-2</c:v>
                </c:pt>
                <c:pt idx="1285">
                  <c:v>8.3129445800003768E-2</c:v>
                </c:pt>
                <c:pt idx="1286">
                  <c:v>8.3129445800003768E-2</c:v>
                </c:pt>
                <c:pt idx="1287">
                  <c:v>8.3129445800003768E-2</c:v>
                </c:pt>
                <c:pt idx="1288">
                  <c:v>8.3129445800003768E-2</c:v>
                </c:pt>
                <c:pt idx="1289">
                  <c:v>8.3129445800003768E-2</c:v>
                </c:pt>
                <c:pt idx="1290">
                  <c:v>8.3129445800003768E-2</c:v>
                </c:pt>
                <c:pt idx="1291">
                  <c:v>8.3129445800003768E-2</c:v>
                </c:pt>
                <c:pt idx="1292">
                  <c:v>8.3129445800003768E-2</c:v>
                </c:pt>
                <c:pt idx="1293">
                  <c:v>8.3129445900006232E-2</c:v>
                </c:pt>
                <c:pt idx="1294">
                  <c:v>8.3129446000004228E-2</c:v>
                </c:pt>
                <c:pt idx="1295">
                  <c:v>8.3129446000004228E-2</c:v>
                </c:pt>
                <c:pt idx="1296">
                  <c:v>8.3129446000004228E-2</c:v>
                </c:pt>
                <c:pt idx="1297">
                  <c:v>8.3129446000004228E-2</c:v>
                </c:pt>
                <c:pt idx="1298">
                  <c:v>8.3129446000004228E-2</c:v>
                </c:pt>
                <c:pt idx="1299">
                  <c:v>8.3129446000004228E-2</c:v>
                </c:pt>
                <c:pt idx="1300">
                  <c:v>8.3129446000004228E-2</c:v>
                </c:pt>
                <c:pt idx="1301">
                  <c:v>8.3129446000004228E-2</c:v>
                </c:pt>
                <c:pt idx="1302">
                  <c:v>8.3129446000004228E-2</c:v>
                </c:pt>
                <c:pt idx="1303">
                  <c:v>8.3129446000004228E-2</c:v>
                </c:pt>
                <c:pt idx="1304">
                  <c:v>8.3129446000004228E-2</c:v>
                </c:pt>
                <c:pt idx="1305">
                  <c:v>8.3165661600000745E-2</c:v>
                </c:pt>
                <c:pt idx="1306">
                  <c:v>8.5073121300000012E-2</c:v>
                </c:pt>
                <c:pt idx="1307">
                  <c:v>8.5237066700001266E-2</c:v>
                </c:pt>
                <c:pt idx="1308">
                  <c:v>8.5237983000000031E-2</c:v>
                </c:pt>
                <c:pt idx="1309">
                  <c:v>8.5238368800001268E-2</c:v>
                </c:pt>
                <c:pt idx="1310">
                  <c:v>8.5238610400000012E-2</c:v>
                </c:pt>
                <c:pt idx="1311">
                  <c:v>8.523881760000003E-2</c:v>
                </c:pt>
                <c:pt idx="1312">
                  <c:v>8.5238900400000026E-2</c:v>
                </c:pt>
                <c:pt idx="1313">
                  <c:v>8.5238934399999994E-2</c:v>
                </c:pt>
                <c:pt idx="1314">
                  <c:v>8.5238951600000001E-2</c:v>
                </c:pt>
                <c:pt idx="1315">
                  <c:v>8.5238953200000023E-2</c:v>
                </c:pt>
                <c:pt idx="1316">
                  <c:v>8.5238953200000023E-2</c:v>
                </c:pt>
                <c:pt idx="1317">
                  <c:v>8.5238953200000023E-2</c:v>
                </c:pt>
                <c:pt idx="1318">
                  <c:v>8.5238953200000023E-2</c:v>
                </c:pt>
                <c:pt idx="1319">
                  <c:v>8.5238953200000023E-2</c:v>
                </c:pt>
                <c:pt idx="1320">
                  <c:v>8.5238953200000023E-2</c:v>
                </c:pt>
                <c:pt idx="1321">
                  <c:v>8.5238953200000023E-2</c:v>
                </c:pt>
                <c:pt idx="1322">
                  <c:v>8.5238953200000023E-2</c:v>
                </c:pt>
                <c:pt idx="1323">
                  <c:v>8.5238953200000023E-2</c:v>
                </c:pt>
                <c:pt idx="1324">
                  <c:v>8.5238953200000023E-2</c:v>
                </c:pt>
                <c:pt idx="1325">
                  <c:v>8.5238953200000023E-2</c:v>
                </c:pt>
                <c:pt idx="1326">
                  <c:v>8.5238953200000023E-2</c:v>
                </c:pt>
                <c:pt idx="1327">
                  <c:v>8.5238953200000023E-2</c:v>
                </c:pt>
                <c:pt idx="1328">
                  <c:v>8.5238953200000023E-2</c:v>
                </c:pt>
                <c:pt idx="1329">
                  <c:v>8.5238953200000023E-2</c:v>
                </c:pt>
                <c:pt idx="1330">
                  <c:v>8.5238953200000023E-2</c:v>
                </c:pt>
                <c:pt idx="1331">
                  <c:v>8.5238953200000023E-2</c:v>
                </c:pt>
                <c:pt idx="1332">
                  <c:v>8.5238953200000023E-2</c:v>
                </c:pt>
                <c:pt idx="1333">
                  <c:v>8.5238953200000023E-2</c:v>
                </c:pt>
                <c:pt idx="1334">
                  <c:v>8.5238953200000023E-2</c:v>
                </c:pt>
                <c:pt idx="1335">
                  <c:v>8.5238953200000023E-2</c:v>
                </c:pt>
                <c:pt idx="1336">
                  <c:v>8.5238953200000023E-2</c:v>
                </c:pt>
                <c:pt idx="1337">
                  <c:v>8.5238953200000023E-2</c:v>
                </c:pt>
                <c:pt idx="1338">
                  <c:v>8.5238953200000023E-2</c:v>
                </c:pt>
                <c:pt idx="1339">
                  <c:v>8.5238953200000023E-2</c:v>
                </c:pt>
                <c:pt idx="1340">
                  <c:v>8.5238953200000023E-2</c:v>
                </c:pt>
                <c:pt idx="1341">
                  <c:v>8.5238953200000023E-2</c:v>
                </c:pt>
                <c:pt idx="1342">
                  <c:v>8.5238953200000023E-2</c:v>
                </c:pt>
                <c:pt idx="1343">
                  <c:v>8.5238953200000023E-2</c:v>
                </c:pt>
                <c:pt idx="1344">
                  <c:v>8.5238953200000023E-2</c:v>
                </c:pt>
                <c:pt idx="1345">
                  <c:v>8.5238953200000023E-2</c:v>
                </c:pt>
                <c:pt idx="1346">
                  <c:v>8.5238953200000023E-2</c:v>
                </c:pt>
                <c:pt idx="1347">
                  <c:v>8.5238953200000023E-2</c:v>
                </c:pt>
                <c:pt idx="1348">
                  <c:v>8.5238953200000023E-2</c:v>
                </c:pt>
                <c:pt idx="1349">
                  <c:v>8.5238953200000023E-2</c:v>
                </c:pt>
                <c:pt idx="1350">
                  <c:v>8.5238953200000023E-2</c:v>
                </c:pt>
                <c:pt idx="1351">
                  <c:v>8.5238953200000023E-2</c:v>
                </c:pt>
                <c:pt idx="1352">
                  <c:v>8.5238953200000023E-2</c:v>
                </c:pt>
                <c:pt idx="1353">
                  <c:v>8.5238953200000023E-2</c:v>
                </c:pt>
                <c:pt idx="1354">
                  <c:v>8.5238953200000023E-2</c:v>
                </c:pt>
                <c:pt idx="1355">
                  <c:v>8.5238953200000023E-2</c:v>
                </c:pt>
                <c:pt idx="1356">
                  <c:v>8.5238953200000023E-2</c:v>
                </c:pt>
                <c:pt idx="1357">
                  <c:v>8.5238953200000023E-2</c:v>
                </c:pt>
                <c:pt idx="1358">
                  <c:v>8.5238953200000023E-2</c:v>
                </c:pt>
                <c:pt idx="1359">
                  <c:v>8.5238953200000023E-2</c:v>
                </c:pt>
                <c:pt idx="1360">
                  <c:v>8.5238953200000023E-2</c:v>
                </c:pt>
                <c:pt idx="1361">
                  <c:v>8.5238953200000023E-2</c:v>
                </c:pt>
                <c:pt idx="1362">
                  <c:v>8.5238953200000023E-2</c:v>
                </c:pt>
                <c:pt idx="1363">
                  <c:v>8.5238953200000023E-2</c:v>
                </c:pt>
                <c:pt idx="1364">
                  <c:v>8.5238953200000023E-2</c:v>
                </c:pt>
                <c:pt idx="1365">
                  <c:v>8.5238953200000023E-2</c:v>
                </c:pt>
                <c:pt idx="1366">
                  <c:v>8.5238953200000023E-2</c:v>
                </c:pt>
                <c:pt idx="1367">
                  <c:v>8.5238953200000023E-2</c:v>
                </c:pt>
                <c:pt idx="1368">
                  <c:v>8.5238953200000023E-2</c:v>
                </c:pt>
                <c:pt idx="1369">
                  <c:v>8.5238953200000023E-2</c:v>
                </c:pt>
                <c:pt idx="1370">
                  <c:v>8.5238953200000023E-2</c:v>
                </c:pt>
                <c:pt idx="1371">
                  <c:v>8.5238953200000023E-2</c:v>
                </c:pt>
                <c:pt idx="1372">
                  <c:v>8.5238953200000023E-2</c:v>
                </c:pt>
                <c:pt idx="1373">
                  <c:v>8.5238953200000023E-2</c:v>
                </c:pt>
                <c:pt idx="1374">
                  <c:v>8.5238953200000023E-2</c:v>
                </c:pt>
                <c:pt idx="1375">
                  <c:v>8.5238953200000023E-2</c:v>
                </c:pt>
                <c:pt idx="1376">
                  <c:v>8.5238953200000023E-2</c:v>
                </c:pt>
                <c:pt idx="1377">
                  <c:v>8.5238953200000023E-2</c:v>
                </c:pt>
                <c:pt idx="1378">
                  <c:v>8.5238953200000023E-2</c:v>
                </c:pt>
                <c:pt idx="1379">
                  <c:v>8.5238953200000023E-2</c:v>
                </c:pt>
                <c:pt idx="1380">
                  <c:v>8.5238953200000023E-2</c:v>
                </c:pt>
                <c:pt idx="1381">
                  <c:v>8.5238953200000023E-2</c:v>
                </c:pt>
                <c:pt idx="1382">
                  <c:v>8.5238953200000023E-2</c:v>
                </c:pt>
                <c:pt idx="1383">
                  <c:v>8.5238953200000023E-2</c:v>
                </c:pt>
                <c:pt idx="1384">
                  <c:v>8.5238953200000023E-2</c:v>
                </c:pt>
                <c:pt idx="1385">
                  <c:v>8.5238953200000023E-2</c:v>
                </c:pt>
                <c:pt idx="1386">
                  <c:v>8.5238953200000023E-2</c:v>
                </c:pt>
                <c:pt idx="1387">
                  <c:v>8.5238953200000023E-2</c:v>
                </c:pt>
                <c:pt idx="1388">
                  <c:v>8.5238953200000023E-2</c:v>
                </c:pt>
                <c:pt idx="1389">
                  <c:v>8.5238953200000023E-2</c:v>
                </c:pt>
                <c:pt idx="1390">
                  <c:v>8.5238953200000023E-2</c:v>
                </c:pt>
                <c:pt idx="1391">
                  <c:v>8.5238953200000023E-2</c:v>
                </c:pt>
                <c:pt idx="1392">
                  <c:v>8.5238953200000023E-2</c:v>
                </c:pt>
                <c:pt idx="1393">
                  <c:v>8.5238953200000023E-2</c:v>
                </c:pt>
                <c:pt idx="1394">
                  <c:v>8.5238953200000023E-2</c:v>
                </c:pt>
                <c:pt idx="1395">
                  <c:v>8.5238953200000023E-2</c:v>
                </c:pt>
                <c:pt idx="1396">
                  <c:v>8.5238953200000023E-2</c:v>
                </c:pt>
                <c:pt idx="1397">
                  <c:v>8.5238953200000023E-2</c:v>
                </c:pt>
                <c:pt idx="1398">
                  <c:v>8.5238953200000023E-2</c:v>
                </c:pt>
                <c:pt idx="1399">
                  <c:v>8.5238953200000023E-2</c:v>
                </c:pt>
                <c:pt idx="1400">
                  <c:v>8.5238953200000023E-2</c:v>
                </c:pt>
                <c:pt idx="1401">
                  <c:v>8.5238953200000023E-2</c:v>
                </c:pt>
                <c:pt idx="1402">
                  <c:v>8.5238953200000023E-2</c:v>
                </c:pt>
                <c:pt idx="1403">
                  <c:v>8.5238953200000023E-2</c:v>
                </c:pt>
                <c:pt idx="1404">
                  <c:v>8.5238953200000023E-2</c:v>
                </c:pt>
                <c:pt idx="1405">
                  <c:v>8.5238953200000023E-2</c:v>
                </c:pt>
                <c:pt idx="1406">
                  <c:v>8.5238953200000023E-2</c:v>
                </c:pt>
                <c:pt idx="1407">
                  <c:v>8.5238953200000023E-2</c:v>
                </c:pt>
                <c:pt idx="1408">
                  <c:v>8.5238953200000023E-2</c:v>
                </c:pt>
                <c:pt idx="1409">
                  <c:v>8.5238953200000023E-2</c:v>
                </c:pt>
                <c:pt idx="1410">
                  <c:v>8.5238953200000023E-2</c:v>
                </c:pt>
                <c:pt idx="1411">
                  <c:v>8.5238953200000023E-2</c:v>
                </c:pt>
                <c:pt idx="1412">
                  <c:v>8.5238953200000023E-2</c:v>
                </c:pt>
                <c:pt idx="1413">
                  <c:v>8.5238953200000023E-2</c:v>
                </c:pt>
                <c:pt idx="1414">
                  <c:v>8.5238953200000023E-2</c:v>
                </c:pt>
                <c:pt idx="1415">
                  <c:v>8.5238953200000023E-2</c:v>
                </c:pt>
                <c:pt idx="1416">
                  <c:v>8.5238953200000023E-2</c:v>
                </c:pt>
                <c:pt idx="1417">
                  <c:v>8.5238953200000023E-2</c:v>
                </c:pt>
                <c:pt idx="1418">
                  <c:v>8.5238953200000023E-2</c:v>
                </c:pt>
                <c:pt idx="1419">
                  <c:v>8.5238953200000023E-2</c:v>
                </c:pt>
                <c:pt idx="1420">
                  <c:v>8.5238953200000023E-2</c:v>
                </c:pt>
                <c:pt idx="1421">
                  <c:v>8.5238953200000023E-2</c:v>
                </c:pt>
                <c:pt idx="1422">
                  <c:v>8.5238953200000023E-2</c:v>
                </c:pt>
                <c:pt idx="1423">
                  <c:v>8.5238953200000023E-2</c:v>
                </c:pt>
                <c:pt idx="1424">
                  <c:v>8.5238953200000023E-2</c:v>
                </c:pt>
                <c:pt idx="1425">
                  <c:v>8.5238953200000023E-2</c:v>
                </c:pt>
                <c:pt idx="1426">
                  <c:v>8.5238953200000023E-2</c:v>
                </c:pt>
                <c:pt idx="1427">
                  <c:v>8.5238953200000023E-2</c:v>
                </c:pt>
                <c:pt idx="1428">
                  <c:v>8.5238953200000023E-2</c:v>
                </c:pt>
                <c:pt idx="1429">
                  <c:v>8.5238953200000023E-2</c:v>
                </c:pt>
                <c:pt idx="1430">
                  <c:v>8.5238953200000023E-2</c:v>
                </c:pt>
                <c:pt idx="1431">
                  <c:v>8.5238953200000023E-2</c:v>
                </c:pt>
                <c:pt idx="1432">
                  <c:v>8.5238953200000023E-2</c:v>
                </c:pt>
                <c:pt idx="1433">
                  <c:v>8.5238953200000023E-2</c:v>
                </c:pt>
                <c:pt idx="1434">
                  <c:v>8.5238953200000023E-2</c:v>
                </c:pt>
                <c:pt idx="1435">
                  <c:v>8.5238953200000023E-2</c:v>
                </c:pt>
                <c:pt idx="1436">
                  <c:v>8.5238953200000023E-2</c:v>
                </c:pt>
                <c:pt idx="1437">
                  <c:v>8.5238953200000023E-2</c:v>
                </c:pt>
                <c:pt idx="1438">
                  <c:v>8.5238953200000023E-2</c:v>
                </c:pt>
                <c:pt idx="1439">
                  <c:v>8.5238953200000023E-2</c:v>
                </c:pt>
                <c:pt idx="1440">
                  <c:v>8.5238953200000023E-2</c:v>
                </c:pt>
                <c:pt idx="1441">
                  <c:v>8.5238953200000023E-2</c:v>
                </c:pt>
                <c:pt idx="1442">
                  <c:v>8.5238953200000023E-2</c:v>
                </c:pt>
                <c:pt idx="1443">
                  <c:v>8.5238953200000023E-2</c:v>
                </c:pt>
                <c:pt idx="1444">
                  <c:v>8.5238953200000023E-2</c:v>
                </c:pt>
                <c:pt idx="1445">
                  <c:v>8.5238953200000023E-2</c:v>
                </c:pt>
                <c:pt idx="1446">
                  <c:v>8.5238953200000023E-2</c:v>
                </c:pt>
                <c:pt idx="1447">
                  <c:v>8.5238953200000023E-2</c:v>
                </c:pt>
                <c:pt idx="1448">
                  <c:v>8.5238953200000023E-2</c:v>
                </c:pt>
                <c:pt idx="1449">
                  <c:v>8.5238953200000023E-2</c:v>
                </c:pt>
                <c:pt idx="1450">
                  <c:v>8.5238953200000023E-2</c:v>
                </c:pt>
                <c:pt idx="1451">
                  <c:v>8.5238953200000023E-2</c:v>
                </c:pt>
                <c:pt idx="1452">
                  <c:v>8.5238953200000023E-2</c:v>
                </c:pt>
                <c:pt idx="1453">
                  <c:v>8.5238953200000023E-2</c:v>
                </c:pt>
                <c:pt idx="1454">
                  <c:v>8.5238953200000023E-2</c:v>
                </c:pt>
                <c:pt idx="1455">
                  <c:v>8.5238953200000023E-2</c:v>
                </c:pt>
                <c:pt idx="1456">
                  <c:v>8.5238953200000023E-2</c:v>
                </c:pt>
                <c:pt idx="1457">
                  <c:v>8.5238953200000023E-2</c:v>
                </c:pt>
                <c:pt idx="1458">
                  <c:v>8.5238953200000023E-2</c:v>
                </c:pt>
                <c:pt idx="1459">
                  <c:v>8.5238953200000023E-2</c:v>
                </c:pt>
              </c:numCache>
            </c:numRef>
          </c:val>
        </c:ser>
        <c:ser>
          <c:idx val="1"/>
          <c:order val="1"/>
          <c:tx>
            <c:strRef>
              <c:f>'plot1-tc-par-djalk-sedpar-slope'!$T$1</c:f>
              <c:strCache>
                <c:ptCount val="1"/>
                <c:pt idx="0">
                  <c:v>CumulativeFieldBedload</c:v>
                </c:pt>
              </c:strCache>
            </c:strRef>
          </c:tx>
          <c:marker>
            <c:symbol val="none"/>
          </c:marker>
          <c:cat>
            <c:numRef>
              <c:f>'plot1-tc-par-djalk-sedpar-slope'!$R$2:$R$1461</c:f>
              <c:numCache>
                <c:formatCode>d/mm/yyyy</c:formatCode>
                <c:ptCount val="1460"/>
                <c:pt idx="0">
                  <c:v>40057</c:v>
                </c:pt>
                <c:pt idx="1">
                  <c:v>40058</c:v>
                </c:pt>
                <c:pt idx="2">
                  <c:v>40059</c:v>
                </c:pt>
                <c:pt idx="3">
                  <c:v>40060</c:v>
                </c:pt>
                <c:pt idx="4">
                  <c:v>40061</c:v>
                </c:pt>
                <c:pt idx="5">
                  <c:v>40062</c:v>
                </c:pt>
                <c:pt idx="6">
                  <c:v>40063</c:v>
                </c:pt>
                <c:pt idx="7">
                  <c:v>40064</c:v>
                </c:pt>
                <c:pt idx="8">
                  <c:v>40065</c:v>
                </c:pt>
                <c:pt idx="9">
                  <c:v>40066</c:v>
                </c:pt>
                <c:pt idx="10">
                  <c:v>40067</c:v>
                </c:pt>
                <c:pt idx="11">
                  <c:v>40068</c:v>
                </c:pt>
                <c:pt idx="12">
                  <c:v>40069</c:v>
                </c:pt>
                <c:pt idx="13">
                  <c:v>40070</c:v>
                </c:pt>
                <c:pt idx="14">
                  <c:v>40071</c:v>
                </c:pt>
                <c:pt idx="15">
                  <c:v>40072</c:v>
                </c:pt>
                <c:pt idx="16">
                  <c:v>40073</c:v>
                </c:pt>
                <c:pt idx="17">
                  <c:v>40074</c:v>
                </c:pt>
                <c:pt idx="18">
                  <c:v>40075</c:v>
                </c:pt>
                <c:pt idx="19">
                  <c:v>40076</c:v>
                </c:pt>
                <c:pt idx="20">
                  <c:v>40077</c:v>
                </c:pt>
                <c:pt idx="21">
                  <c:v>40078</c:v>
                </c:pt>
                <c:pt idx="22">
                  <c:v>40079</c:v>
                </c:pt>
                <c:pt idx="23">
                  <c:v>40080</c:v>
                </c:pt>
                <c:pt idx="24">
                  <c:v>40081</c:v>
                </c:pt>
                <c:pt idx="25">
                  <c:v>40082</c:v>
                </c:pt>
                <c:pt idx="26">
                  <c:v>40083</c:v>
                </c:pt>
                <c:pt idx="27">
                  <c:v>40084</c:v>
                </c:pt>
                <c:pt idx="28">
                  <c:v>40085</c:v>
                </c:pt>
                <c:pt idx="29">
                  <c:v>40086</c:v>
                </c:pt>
                <c:pt idx="30">
                  <c:v>40087</c:v>
                </c:pt>
                <c:pt idx="31">
                  <c:v>40088</c:v>
                </c:pt>
                <c:pt idx="32">
                  <c:v>40089</c:v>
                </c:pt>
                <c:pt idx="33">
                  <c:v>40090</c:v>
                </c:pt>
                <c:pt idx="34">
                  <c:v>40091</c:v>
                </c:pt>
                <c:pt idx="35">
                  <c:v>40092</c:v>
                </c:pt>
                <c:pt idx="36">
                  <c:v>40093</c:v>
                </c:pt>
                <c:pt idx="37">
                  <c:v>40094</c:v>
                </c:pt>
                <c:pt idx="38">
                  <c:v>40095</c:v>
                </c:pt>
                <c:pt idx="39">
                  <c:v>40096</c:v>
                </c:pt>
                <c:pt idx="40">
                  <c:v>40097</c:v>
                </c:pt>
                <c:pt idx="41">
                  <c:v>40098</c:v>
                </c:pt>
                <c:pt idx="42">
                  <c:v>40099</c:v>
                </c:pt>
                <c:pt idx="43">
                  <c:v>40100</c:v>
                </c:pt>
                <c:pt idx="44">
                  <c:v>40101</c:v>
                </c:pt>
                <c:pt idx="45">
                  <c:v>40102</c:v>
                </c:pt>
                <c:pt idx="46">
                  <c:v>40103</c:v>
                </c:pt>
                <c:pt idx="47">
                  <c:v>40104</c:v>
                </c:pt>
                <c:pt idx="48">
                  <c:v>40105</c:v>
                </c:pt>
                <c:pt idx="49">
                  <c:v>40106</c:v>
                </c:pt>
                <c:pt idx="50">
                  <c:v>40107</c:v>
                </c:pt>
                <c:pt idx="51">
                  <c:v>40108</c:v>
                </c:pt>
                <c:pt idx="52">
                  <c:v>40109</c:v>
                </c:pt>
                <c:pt idx="53">
                  <c:v>40110</c:v>
                </c:pt>
                <c:pt idx="54">
                  <c:v>40111</c:v>
                </c:pt>
                <c:pt idx="55">
                  <c:v>40112</c:v>
                </c:pt>
                <c:pt idx="56">
                  <c:v>40113</c:v>
                </c:pt>
                <c:pt idx="57">
                  <c:v>40114</c:v>
                </c:pt>
                <c:pt idx="58">
                  <c:v>40115</c:v>
                </c:pt>
                <c:pt idx="59">
                  <c:v>40116</c:v>
                </c:pt>
                <c:pt idx="60">
                  <c:v>40117</c:v>
                </c:pt>
                <c:pt idx="61">
                  <c:v>40118</c:v>
                </c:pt>
                <c:pt idx="62">
                  <c:v>40119</c:v>
                </c:pt>
                <c:pt idx="63">
                  <c:v>40120</c:v>
                </c:pt>
                <c:pt idx="64">
                  <c:v>40121</c:v>
                </c:pt>
                <c:pt idx="65">
                  <c:v>40122</c:v>
                </c:pt>
                <c:pt idx="66">
                  <c:v>40123</c:v>
                </c:pt>
                <c:pt idx="67">
                  <c:v>40124</c:v>
                </c:pt>
                <c:pt idx="68">
                  <c:v>40125</c:v>
                </c:pt>
                <c:pt idx="69">
                  <c:v>40126</c:v>
                </c:pt>
                <c:pt idx="70">
                  <c:v>40127</c:v>
                </c:pt>
                <c:pt idx="71">
                  <c:v>40128</c:v>
                </c:pt>
                <c:pt idx="72">
                  <c:v>40129</c:v>
                </c:pt>
                <c:pt idx="73">
                  <c:v>40130</c:v>
                </c:pt>
                <c:pt idx="74">
                  <c:v>40131</c:v>
                </c:pt>
                <c:pt idx="75">
                  <c:v>40132</c:v>
                </c:pt>
                <c:pt idx="76">
                  <c:v>40133</c:v>
                </c:pt>
                <c:pt idx="77">
                  <c:v>40134</c:v>
                </c:pt>
                <c:pt idx="78">
                  <c:v>40135</c:v>
                </c:pt>
                <c:pt idx="79">
                  <c:v>40136</c:v>
                </c:pt>
                <c:pt idx="80">
                  <c:v>40137</c:v>
                </c:pt>
                <c:pt idx="81">
                  <c:v>40138</c:v>
                </c:pt>
                <c:pt idx="82">
                  <c:v>40139</c:v>
                </c:pt>
                <c:pt idx="83">
                  <c:v>40140</c:v>
                </c:pt>
                <c:pt idx="84">
                  <c:v>40141</c:v>
                </c:pt>
                <c:pt idx="85">
                  <c:v>40142</c:v>
                </c:pt>
                <c:pt idx="86">
                  <c:v>40143</c:v>
                </c:pt>
                <c:pt idx="87">
                  <c:v>40144</c:v>
                </c:pt>
                <c:pt idx="88">
                  <c:v>40145</c:v>
                </c:pt>
                <c:pt idx="89">
                  <c:v>40146</c:v>
                </c:pt>
                <c:pt idx="90">
                  <c:v>40147</c:v>
                </c:pt>
                <c:pt idx="91">
                  <c:v>40148</c:v>
                </c:pt>
                <c:pt idx="92">
                  <c:v>40149</c:v>
                </c:pt>
                <c:pt idx="93">
                  <c:v>40150</c:v>
                </c:pt>
                <c:pt idx="94">
                  <c:v>40151</c:v>
                </c:pt>
                <c:pt idx="95">
                  <c:v>40152</c:v>
                </c:pt>
                <c:pt idx="96">
                  <c:v>40153</c:v>
                </c:pt>
                <c:pt idx="97">
                  <c:v>40154</c:v>
                </c:pt>
                <c:pt idx="98">
                  <c:v>40155</c:v>
                </c:pt>
                <c:pt idx="99">
                  <c:v>40156</c:v>
                </c:pt>
                <c:pt idx="100">
                  <c:v>40157</c:v>
                </c:pt>
                <c:pt idx="101">
                  <c:v>40158</c:v>
                </c:pt>
                <c:pt idx="102">
                  <c:v>40159</c:v>
                </c:pt>
                <c:pt idx="103">
                  <c:v>40160</c:v>
                </c:pt>
                <c:pt idx="104">
                  <c:v>40161</c:v>
                </c:pt>
                <c:pt idx="105">
                  <c:v>40162</c:v>
                </c:pt>
                <c:pt idx="106">
                  <c:v>40163</c:v>
                </c:pt>
                <c:pt idx="107">
                  <c:v>40164</c:v>
                </c:pt>
                <c:pt idx="108">
                  <c:v>40165</c:v>
                </c:pt>
                <c:pt idx="109">
                  <c:v>40166</c:v>
                </c:pt>
                <c:pt idx="110">
                  <c:v>40167</c:v>
                </c:pt>
                <c:pt idx="111">
                  <c:v>40168</c:v>
                </c:pt>
                <c:pt idx="112">
                  <c:v>40169</c:v>
                </c:pt>
                <c:pt idx="113">
                  <c:v>40170</c:v>
                </c:pt>
                <c:pt idx="114">
                  <c:v>40171</c:v>
                </c:pt>
                <c:pt idx="115">
                  <c:v>40172</c:v>
                </c:pt>
                <c:pt idx="116">
                  <c:v>40173</c:v>
                </c:pt>
                <c:pt idx="117">
                  <c:v>40174</c:v>
                </c:pt>
                <c:pt idx="118">
                  <c:v>40175</c:v>
                </c:pt>
                <c:pt idx="119">
                  <c:v>40176</c:v>
                </c:pt>
                <c:pt idx="120">
                  <c:v>40177</c:v>
                </c:pt>
                <c:pt idx="121">
                  <c:v>40178</c:v>
                </c:pt>
                <c:pt idx="122">
                  <c:v>40179</c:v>
                </c:pt>
                <c:pt idx="123">
                  <c:v>40180</c:v>
                </c:pt>
                <c:pt idx="124">
                  <c:v>40181</c:v>
                </c:pt>
                <c:pt idx="125">
                  <c:v>40182</c:v>
                </c:pt>
                <c:pt idx="126">
                  <c:v>40183</c:v>
                </c:pt>
                <c:pt idx="127">
                  <c:v>40184</c:v>
                </c:pt>
                <c:pt idx="128">
                  <c:v>40185</c:v>
                </c:pt>
                <c:pt idx="129">
                  <c:v>40186</c:v>
                </c:pt>
                <c:pt idx="130">
                  <c:v>40187</c:v>
                </c:pt>
                <c:pt idx="131">
                  <c:v>40188</c:v>
                </c:pt>
                <c:pt idx="132">
                  <c:v>40189</c:v>
                </c:pt>
                <c:pt idx="133">
                  <c:v>40190</c:v>
                </c:pt>
                <c:pt idx="134">
                  <c:v>40191</c:v>
                </c:pt>
                <c:pt idx="135">
                  <c:v>40192</c:v>
                </c:pt>
                <c:pt idx="136">
                  <c:v>40193</c:v>
                </c:pt>
                <c:pt idx="137">
                  <c:v>40194</c:v>
                </c:pt>
                <c:pt idx="138">
                  <c:v>40195</c:v>
                </c:pt>
                <c:pt idx="139">
                  <c:v>40196</c:v>
                </c:pt>
                <c:pt idx="140">
                  <c:v>40197</c:v>
                </c:pt>
                <c:pt idx="141">
                  <c:v>40198</c:v>
                </c:pt>
                <c:pt idx="142">
                  <c:v>40199</c:v>
                </c:pt>
                <c:pt idx="143">
                  <c:v>40200</c:v>
                </c:pt>
                <c:pt idx="144">
                  <c:v>40201</c:v>
                </c:pt>
                <c:pt idx="145">
                  <c:v>40202</c:v>
                </c:pt>
                <c:pt idx="146">
                  <c:v>40203</c:v>
                </c:pt>
                <c:pt idx="147">
                  <c:v>40204</c:v>
                </c:pt>
                <c:pt idx="148">
                  <c:v>40205</c:v>
                </c:pt>
                <c:pt idx="149">
                  <c:v>40206</c:v>
                </c:pt>
                <c:pt idx="150">
                  <c:v>40207</c:v>
                </c:pt>
                <c:pt idx="151">
                  <c:v>40208</c:v>
                </c:pt>
                <c:pt idx="152">
                  <c:v>40209</c:v>
                </c:pt>
                <c:pt idx="153">
                  <c:v>40210</c:v>
                </c:pt>
                <c:pt idx="154">
                  <c:v>40211</c:v>
                </c:pt>
                <c:pt idx="155">
                  <c:v>40212</c:v>
                </c:pt>
                <c:pt idx="156">
                  <c:v>40213</c:v>
                </c:pt>
                <c:pt idx="157">
                  <c:v>40214</c:v>
                </c:pt>
                <c:pt idx="158">
                  <c:v>40215</c:v>
                </c:pt>
                <c:pt idx="159">
                  <c:v>40216</c:v>
                </c:pt>
                <c:pt idx="160">
                  <c:v>40217</c:v>
                </c:pt>
                <c:pt idx="161">
                  <c:v>40218</c:v>
                </c:pt>
                <c:pt idx="162">
                  <c:v>40219</c:v>
                </c:pt>
                <c:pt idx="163">
                  <c:v>40220</c:v>
                </c:pt>
                <c:pt idx="164">
                  <c:v>40221</c:v>
                </c:pt>
                <c:pt idx="165">
                  <c:v>40222</c:v>
                </c:pt>
                <c:pt idx="166">
                  <c:v>40223</c:v>
                </c:pt>
                <c:pt idx="167">
                  <c:v>40224</c:v>
                </c:pt>
                <c:pt idx="168">
                  <c:v>40225</c:v>
                </c:pt>
                <c:pt idx="169">
                  <c:v>40226</c:v>
                </c:pt>
                <c:pt idx="170">
                  <c:v>40227</c:v>
                </c:pt>
                <c:pt idx="171">
                  <c:v>40228</c:v>
                </c:pt>
                <c:pt idx="172">
                  <c:v>40229</c:v>
                </c:pt>
                <c:pt idx="173">
                  <c:v>40230</c:v>
                </c:pt>
                <c:pt idx="174">
                  <c:v>40231</c:v>
                </c:pt>
                <c:pt idx="175">
                  <c:v>40232</c:v>
                </c:pt>
                <c:pt idx="176">
                  <c:v>40233</c:v>
                </c:pt>
                <c:pt idx="177">
                  <c:v>40234</c:v>
                </c:pt>
                <c:pt idx="178">
                  <c:v>40235</c:v>
                </c:pt>
                <c:pt idx="179">
                  <c:v>40236</c:v>
                </c:pt>
                <c:pt idx="180">
                  <c:v>40237</c:v>
                </c:pt>
                <c:pt idx="181">
                  <c:v>40238</c:v>
                </c:pt>
                <c:pt idx="182">
                  <c:v>40239</c:v>
                </c:pt>
                <c:pt idx="183">
                  <c:v>40240</c:v>
                </c:pt>
                <c:pt idx="184">
                  <c:v>40241</c:v>
                </c:pt>
                <c:pt idx="185">
                  <c:v>40242</c:v>
                </c:pt>
                <c:pt idx="186">
                  <c:v>40243</c:v>
                </c:pt>
                <c:pt idx="187">
                  <c:v>40244</c:v>
                </c:pt>
                <c:pt idx="188">
                  <c:v>40245</c:v>
                </c:pt>
                <c:pt idx="189">
                  <c:v>40246</c:v>
                </c:pt>
                <c:pt idx="190">
                  <c:v>40247</c:v>
                </c:pt>
                <c:pt idx="191">
                  <c:v>40248</c:v>
                </c:pt>
                <c:pt idx="192">
                  <c:v>40249</c:v>
                </c:pt>
                <c:pt idx="193">
                  <c:v>40250</c:v>
                </c:pt>
                <c:pt idx="194">
                  <c:v>40251</c:v>
                </c:pt>
                <c:pt idx="195">
                  <c:v>40252</c:v>
                </c:pt>
                <c:pt idx="196">
                  <c:v>40253</c:v>
                </c:pt>
                <c:pt idx="197">
                  <c:v>40254</c:v>
                </c:pt>
                <c:pt idx="198">
                  <c:v>40255</c:v>
                </c:pt>
                <c:pt idx="199">
                  <c:v>40256</c:v>
                </c:pt>
                <c:pt idx="200">
                  <c:v>40257</c:v>
                </c:pt>
                <c:pt idx="201">
                  <c:v>40258</c:v>
                </c:pt>
                <c:pt idx="202">
                  <c:v>40259</c:v>
                </c:pt>
                <c:pt idx="203">
                  <c:v>40260</c:v>
                </c:pt>
                <c:pt idx="204">
                  <c:v>40261</c:v>
                </c:pt>
                <c:pt idx="205">
                  <c:v>40262</c:v>
                </c:pt>
                <c:pt idx="206">
                  <c:v>40263</c:v>
                </c:pt>
                <c:pt idx="207">
                  <c:v>40264</c:v>
                </c:pt>
                <c:pt idx="208">
                  <c:v>40265</c:v>
                </c:pt>
                <c:pt idx="209">
                  <c:v>40266</c:v>
                </c:pt>
                <c:pt idx="210">
                  <c:v>40267</c:v>
                </c:pt>
                <c:pt idx="211">
                  <c:v>40268</c:v>
                </c:pt>
                <c:pt idx="212">
                  <c:v>40269</c:v>
                </c:pt>
                <c:pt idx="213">
                  <c:v>40270</c:v>
                </c:pt>
                <c:pt idx="214">
                  <c:v>40271</c:v>
                </c:pt>
                <c:pt idx="215">
                  <c:v>40272</c:v>
                </c:pt>
                <c:pt idx="216">
                  <c:v>40273</c:v>
                </c:pt>
                <c:pt idx="217">
                  <c:v>40274</c:v>
                </c:pt>
                <c:pt idx="218">
                  <c:v>40275</c:v>
                </c:pt>
                <c:pt idx="219">
                  <c:v>40276</c:v>
                </c:pt>
                <c:pt idx="220">
                  <c:v>40277</c:v>
                </c:pt>
                <c:pt idx="221">
                  <c:v>40278</c:v>
                </c:pt>
                <c:pt idx="222">
                  <c:v>40279</c:v>
                </c:pt>
                <c:pt idx="223">
                  <c:v>40280</c:v>
                </c:pt>
                <c:pt idx="224">
                  <c:v>40281</c:v>
                </c:pt>
                <c:pt idx="225">
                  <c:v>40282</c:v>
                </c:pt>
                <c:pt idx="226">
                  <c:v>40283</c:v>
                </c:pt>
                <c:pt idx="227">
                  <c:v>40284</c:v>
                </c:pt>
                <c:pt idx="228">
                  <c:v>40285</c:v>
                </c:pt>
                <c:pt idx="229">
                  <c:v>40286</c:v>
                </c:pt>
                <c:pt idx="230">
                  <c:v>40287</c:v>
                </c:pt>
                <c:pt idx="231">
                  <c:v>40288</c:v>
                </c:pt>
                <c:pt idx="232">
                  <c:v>40289</c:v>
                </c:pt>
                <c:pt idx="233">
                  <c:v>40290</c:v>
                </c:pt>
                <c:pt idx="234">
                  <c:v>40291</c:v>
                </c:pt>
                <c:pt idx="235">
                  <c:v>40292</c:v>
                </c:pt>
                <c:pt idx="236">
                  <c:v>40293</c:v>
                </c:pt>
                <c:pt idx="237">
                  <c:v>40294</c:v>
                </c:pt>
                <c:pt idx="238">
                  <c:v>40295</c:v>
                </c:pt>
                <c:pt idx="239">
                  <c:v>40296</c:v>
                </c:pt>
                <c:pt idx="240">
                  <c:v>40297</c:v>
                </c:pt>
                <c:pt idx="241">
                  <c:v>40298</c:v>
                </c:pt>
                <c:pt idx="242">
                  <c:v>40299</c:v>
                </c:pt>
                <c:pt idx="243">
                  <c:v>40300</c:v>
                </c:pt>
                <c:pt idx="244">
                  <c:v>40301</c:v>
                </c:pt>
                <c:pt idx="245">
                  <c:v>40302</c:v>
                </c:pt>
                <c:pt idx="246">
                  <c:v>40303</c:v>
                </c:pt>
                <c:pt idx="247">
                  <c:v>40304</c:v>
                </c:pt>
                <c:pt idx="248">
                  <c:v>40305</c:v>
                </c:pt>
                <c:pt idx="249">
                  <c:v>40306</c:v>
                </c:pt>
                <c:pt idx="250">
                  <c:v>40307</c:v>
                </c:pt>
                <c:pt idx="251">
                  <c:v>40308</c:v>
                </c:pt>
                <c:pt idx="252">
                  <c:v>40309</c:v>
                </c:pt>
                <c:pt idx="253">
                  <c:v>40310</c:v>
                </c:pt>
                <c:pt idx="254">
                  <c:v>40311</c:v>
                </c:pt>
                <c:pt idx="255">
                  <c:v>40312</c:v>
                </c:pt>
                <c:pt idx="256">
                  <c:v>40313</c:v>
                </c:pt>
                <c:pt idx="257">
                  <c:v>40314</c:v>
                </c:pt>
                <c:pt idx="258">
                  <c:v>40315</c:v>
                </c:pt>
                <c:pt idx="259">
                  <c:v>40316</c:v>
                </c:pt>
                <c:pt idx="260">
                  <c:v>40317</c:v>
                </c:pt>
                <c:pt idx="261">
                  <c:v>40318</c:v>
                </c:pt>
                <c:pt idx="262">
                  <c:v>40319</c:v>
                </c:pt>
                <c:pt idx="263">
                  <c:v>40320</c:v>
                </c:pt>
                <c:pt idx="264">
                  <c:v>40321</c:v>
                </c:pt>
                <c:pt idx="265">
                  <c:v>40322</c:v>
                </c:pt>
                <c:pt idx="266">
                  <c:v>40323</c:v>
                </c:pt>
                <c:pt idx="267">
                  <c:v>40324</c:v>
                </c:pt>
                <c:pt idx="268">
                  <c:v>40325</c:v>
                </c:pt>
                <c:pt idx="269">
                  <c:v>40326</c:v>
                </c:pt>
                <c:pt idx="270">
                  <c:v>40327</c:v>
                </c:pt>
                <c:pt idx="271">
                  <c:v>40328</c:v>
                </c:pt>
                <c:pt idx="272">
                  <c:v>40329</c:v>
                </c:pt>
                <c:pt idx="273">
                  <c:v>40330</c:v>
                </c:pt>
                <c:pt idx="274">
                  <c:v>40331</c:v>
                </c:pt>
                <c:pt idx="275">
                  <c:v>40332</c:v>
                </c:pt>
                <c:pt idx="276">
                  <c:v>40333</c:v>
                </c:pt>
                <c:pt idx="277">
                  <c:v>40334</c:v>
                </c:pt>
                <c:pt idx="278">
                  <c:v>40335</c:v>
                </c:pt>
                <c:pt idx="279">
                  <c:v>40336</c:v>
                </c:pt>
                <c:pt idx="280">
                  <c:v>40337</c:v>
                </c:pt>
                <c:pt idx="281">
                  <c:v>40338</c:v>
                </c:pt>
                <c:pt idx="282">
                  <c:v>40339</c:v>
                </c:pt>
                <c:pt idx="283">
                  <c:v>40340</c:v>
                </c:pt>
                <c:pt idx="284">
                  <c:v>40341</c:v>
                </c:pt>
                <c:pt idx="285">
                  <c:v>40342</c:v>
                </c:pt>
                <c:pt idx="286">
                  <c:v>40343</c:v>
                </c:pt>
                <c:pt idx="287">
                  <c:v>40344</c:v>
                </c:pt>
                <c:pt idx="288">
                  <c:v>40345</c:v>
                </c:pt>
                <c:pt idx="289">
                  <c:v>40346</c:v>
                </c:pt>
                <c:pt idx="290">
                  <c:v>40347</c:v>
                </c:pt>
                <c:pt idx="291">
                  <c:v>40348</c:v>
                </c:pt>
                <c:pt idx="292">
                  <c:v>40349</c:v>
                </c:pt>
                <c:pt idx="293">
                  <c:v>40350</c:v>
                </c:pt>
                <c:pt idx="294">
                  <c:v>40351</c:v>
                </c:pt>
                <c:pt idx="295">
                  <c:v>40352</c:v>
                </c:pt>
                <c:pt idx="296">
                  <c:v>40353</c:v>
                </c:pt>
                <c:pt idx="297">
                  <c:v>40354</c:v>
                </c:pt>
                <c:pt idx="298">
                  <c:v>40355</c:v>
                </c:pt>
                <c:pt idx="299">
                  <c:v>40356</c:v>
                </c:pt>
                <c:pt idx="300">
                  <c:v>40357</c:v>
                </c:pt>
                <c:pt idx="301">
                  <c:v>40358</c:v>
                </c:pt>
                <c:pt idx="302">
                  <c:v>40359</c:v>
                </c:pt>
                <c:pt idx="303">
                  <c:v>40360</c:v>
                </c:pt>
                <c:pt idx="304">
                  <c:v>40361</c:v>
                </c:pt>
                <c:pt idx="305">
                  <c:v>40362</c:v>
                </c:pt>
                <c:pt idx="306">
                  <c:v>40363</c:v>
                </c:pt>
                <c:pt idx="307">
                  <c:v>40364</c:v>
                </c:pt>
                <c:pt idx="308">
                  <c:v>40365</c:v>
                </c:pt>
                <c:pt idx="309">
                  <c:v>40366</c:v>
                </c:pt>
                <c:pt idx="310">
                  <c:v>40367</c:v>
                </c:pt>
                <c:pt idx="311">
                  <c:v>40368</c:v>
                </c:pt>
                <c:pt idx="312">
                  <c:v>40369</c:v>
                </c:pt>
                <c:pt idx="313">
                  <c:v>40370</c:v>
                </c:pt>
                <c:pt idx="314">
                  <c:v>40371</c:v>
                </c:pt>
                <c:pt idx="315">
                  <c:v>40372</c:v>
                </c:pt>
                <c:pt idx="316">
                  <c:v>40373</c:v>
                </c:pt>
                <c:pt idx="317">
                  <c:v>40374</c:v>
                </c:pt>
                <c:pt idx="318">
                  <c:v>40375</c:v>
                </c:pt>
                <c:pt idx="319">
                  <c:v>40376</c:v>
                </c:pt>
                <c:pt idx="320">
                  <c:v>40377</c:v>
                </c:pt>
                <c:pt idx="321">
                  <c:v>40378</c:v>
                </c:pt>
                <c:pt idx="322">
                  <c:v>40379</c:v>
                </c:pt>
                <c:pt idx="323">
                  <c:v>40380</c:v>
                </c:pt>
                <c:pt idx="324">
                  <c:v>40381</c:v>
                </c:pt>
                <c:pt idx="325">
                  <c:v>40382</c:v>
                </c:pt>
                <c:pt idx="326">
                  <c:v>40383</c:v>
                </c:pt>
                <c:pt idx="327">
                  <c:v>40384</c:v>
                </c:pt>
                <c:pt idx="328">
                  <c:v>40385</c:v>
                </c:pt>
                <c:pt idx="329">
                  <c:v>40386</c:v>
                </c:pt>
                <c:pt idx="330">
                  <c:v>40387</c:v>
                </c:pt>
                <c:pt idx="331">
                  <c:v>40388</c:v>
                </c:pt>
                <c:pt idx="332">
                  <c:v>40389</c:v>
                </c:pt>
                <c:pt idx="333">
                  <c:v>40390</c:v>
                </c:pt>
                <c:pt idx="334">
                  <c:v>40391</c:v>
                </c:pt>
                <c:pt idx="335">
                  <c:v>40392</c:v>
                </c:pt>
                <c:pt idx="336">
                  <c:v>40393</c:v>
                </c:pt>
                <c:pt idx="337">
                  <c:v>40394</c:v>
                </c:pt>
                <c:pt idx="338">
                  <c:v>40395</c:v>
                </c:pt>
                <c:pt idx="339">
                  <c:v>40396</c:v>
                </c:pt>
                <c:pt idx="340">
                  <c:v>40397</c:v>
                </c:pt>
                <c:pt idx="341">
                  <c:v>40398</c:v>
                </c:pt>
                <c:pt idx="342">
                  <c:v>40399</c:v>
                </c:pt>
                <c:pt idx="343">
                  <c:v>40400</c:v>
                </c:pt>
                <c:pt idx="344">
                  <c:v>40401</c:v>
                </c:pt>
                <c:pt idx="345">
                  <c:v>40402</c:v>
                </c:pt>
                <c:pt idx="346">
                  <c:v>40403</c:v>
                </c:pt>
                <c:pt idx="347">
                  <c:v>40404</c:v>
                </c:pt>
                <c:pt idx="348">
                  <c:v>40405</c:v>
                </c:pt>
                <c:pt idx="349">
                  <c:v>40406</c:v>
                </c:pt>
                <c:pt idx="350">
                  <c:v>40407</c:v>
                </c:pt>
                <c:pt idx="351">
                  <c:v>40408</c:v>
                </c:pt>
                <c:pt idx="352">
                  <c:v>40409</c:v>
                </c:pt>
                <c:pt idx="353">
                  <c:v>40410</c:v>
                </c:pt>
                <c:pt idx="354">
                  <c:v>40411</c:v>
                </c:pt>
                <c:pt idx="355">
                  <c:v>40412</c:v>
                </c:pt>
                <c:pt idx="356">
                  <c:v>40413</c:v>
                </c:pt>
                <c:pt idx="357">
                  <c:v>40414</c:v>
                </c:pt>
                <c:pt idx="358">
                  <c:v>40415</c:v>
                </c:pt>
                <c:pt idx="359">
                  <c:v>40416</c:v>
                </c:pt>
                <c:pt idx="360">
                  <c:v>40417</c:v>
                </c:pt>
                <c:pt idx="361">
                  <c:v>40418</c:v>
                </c:pt>
                <c:pt idx="362">
                  <c:v>40419</c:v>
                </c:pt>
                <c:pt idx="363">
                  <c:v>40420</c:v>
                </c:pt>
                <c:pt idx="364">
                  <c:v>40421</c:v>
                </c:pt>
                <c:pt idx="365">
                  <c:v>40422</c:v>
                </c:pt>
                <c:pt idx="366">
                  <c:v>40423</c:v>
                </c:pt>
                <c:pt idx="367">
                  <c:v>40424</c:v>
                </c:pt>
                <c:pt idx="368">
                  <c:v>40425</c:v>
                </c:pt>
                <c:pt idx="369">
                  <c:v>40426</c:v>
                </c:pt>
                <c:pt idx="370">
                  <c:v>40427</c:v>
                </c:pt>
                <c:pt idx="371">
                  <c:v>40428</c:v>
                </c:pt>
                <c:pt idx="372">
                  <c:v>40429</c:v>
                </c:pt>
                <c:pt idx="373">
                  <c:v>40430</c:v>
                </c:pt>
                <c:pt idx="374">
                  <c:v>40431</c:v>
                </c:pt>
                <c:pt idx="375">
                  <c:v>40432</c:v>
                </c:pt>
                <c:pt idx="376">
                  <c:v>40433</c:v>
                </c:pt>
                <c:pt idx="377">
                  <c:v>40434</c:v>
                </c:pt>
                <c:pt idx="378">
                  <c:v>40435</c:v>
                </c:pt>
                <c:pt idx="379">
                  <c:v>40436</c:v>
                </c:pt>
                <c:pt idx="380">
                  <c:v>40437</c:v>
                </c:pt>
                <c:pt idx="381">
                  <c:v>40438</c:v>
                </c:pt>
                <c:pt idx="382">
                  <c:v>40439</c:v>
                </c:pt>
                <c:pt idx="383">
                  <c:v>40440</c:v>
                </c:pt>
                <c:pt idx="384">
                  <c:v>40441</c:v>
                </c:pt>
                <c:pt idx="385">
                  <c:v>40442</c:v>
                </c:pt>
                <c:pt idx="386">
                  <c:v>40443</c:v>
                </c:pt>
                <c:pt idx="387">
                  <c:v>40444</c:v>
                </c:pt>
                <c:pt idx="388">
                  <c:v>40445</c:v>
                </c:pt>
                <c:pt idx="389">
                  <c:v>40446</c:v>
                </c:pt>
                <c:pt idx="390">
                  <c:v>40447</c:v>
                </c:pt>
                <c:pt idx="391">
                  <c:v>40448</c:v>
                </c:pt>
                <c:pt idx="392">
                  <c:v>40449</c:v>
                </c:pt>
                <c:pt idx="393">
                  <c:v>40450</c:v>
                </c:pt>
                <c:pt idx="394">
                  <c:v>40451</c:v>
                </c:pt>
                <c:pt idx="395">
                  <c:v>40452</c:v>
                </c:pt>
                <c:pt idx="396">
                  <c:v>40453</c:v>
                </c:pt>
                <c:pt idx="397">
                  <c:v>40454</c:v>
                </c:pt>
                <c:pt idx="398">
                  <c:v>40455</c:v>
                </c:pt>
                <c:pt idx="399">
                  <c:v>40456</c:v>
                </c:pt>
                <c:pt idx="400">
                  <c:v>40457</c:v>
                </c:pt>
                <c:pt idx="401">
                  <c:v>40458</c:v>
                </c:pt>
                <c:pt idx="402">
                  <c:v>40459</c:v>
                </c:pt>
                <c:pt idx="403">
                  <c:v>40460</c:v>
                </c:pt>
                <c:pt idx="404">
                  <c:v>40461</c:v>
                </c:pt>
                <c:pt idx="405">
                  <c:v>40462</c:v>
                </c:pt>
                <c:pt idx="406">
                  <c:v>40463</c:v>
                </c:pt>
                <c:pt idx="407">
                  <c:v>40464</c:v>
                </c:pt>
                <c:pt idx="408">
                  <c:v>40465</c:v>
                </c:pt>
                <c:pt idx="409">
                  <c:v>40466</c:v>
                </c:pt>
                <c:pt idx="410">
                  <c:v>40467</c:v>
                </c:pt>
                <c:pt idx="411">
                  <c:v>40468</c:v>
                </c:pt>
                <c:pt idx="412">
                  <c:v>40469</c:v>
                </c:pt>
                <c:pt idx="413">
                  <c:v>40470</c:v>
                </c:pt>
                <c:pt idx="414">
                  <c:v>40471</c:v>
                </c:pt>
                <c:pt idx="415">
                  <c:v>40472</c:v>
                </c:pt>
                <c:pt idx="416">
                  <c:v>40473</c:v>
                </c:pt>
                <c:pt idx="417">
                  <c:v>40474</c:v>
                </c:pt>
                <c:pt idx="418">
                  <c:v>40475</c:v>
                </c:pt>
                <c:pt idx="419">
                  <c:v>40476</c:v>
                </c:pt>
                <c:pt idx="420">
                  <c:v>40477</c:v>
                </c:pt>
                <c:pt idx="421">
                  <c:v>40478</c:v>
                </c:pt>
                <c:pt idx="422">
                  <c:v>40479</c:v>
                </c:pt>
                <c:pt idx="423">
                  <c:v>40480</c:v>
                </c:pt>
                <c:pt idx="424">
                  <c:v>40481</c:v>
                </c:pt>
                <c:pt idx="425">
                  <c:v>40482</c:v>
                </c:pt>
                <c:pt idx="426">
                  <c:v>40483</c:v>
                </c:pt>
                <c:pt idx="427">
                  <c:v>40484</c:v>
                </c:pt>
                <c:pt idx="428">
                  <c:v>40485</c:v>
                </c:pt>
                <c:pt idx="429">
                  <c:v>40486</c:v>
                </c:pt>
                <c:pt idx="430">
                  <c:v>40487</c:v>
                </c:pt>
                <c:pt idx="431">
                  <c:v>40488</c:v>
                </c:pt>
                <c:pt idx="432">
                  <c:v>40489</c:v>
                </c:pt>
                <c:pt idx="433">
                  <c:v>40490</c:v>
                </c:pt>
                <c:pt idx="434">
                  <c:v>40491</c:v>
                </c:pt>
                <c:pt idx="435">
                  <c:v>40492</c:v>
                </c:pt>
                <c:pt idx="436">
                  <c:v>40493</c:v>
                </c:pt>
                <c:pt idx="437">
                  <c:v>40494</c:v>
                </c:pt>
                <c:pt idx="438">
                  <c:v>40495</c:v>
                </c:pt>
                <c:pt idx="439">
                  <c:v>40496</c:v>
                </c:pt>
                <c:pt idx="440">
                  <c:v>40497</c:v>
                </c:pt>
                <c:pt idx="441">
                  <c:v>40498</c:v>
                </c:pt>
                <c:pt idx="442">
                  <c:v>40499</c:v>
                </c:pt>
                <c:pt idx="443">
                  <c:v>40500</c:v>
                </c:pt>
                <c:pt idx="444">
                  <c:v>40501</c:v>
                </c:pt>
                <c:pt idx="445">
                  <c:v>40502</c:v>
                </c:pt>
                <c:pt idx="446">
                  <c:v>40503</c:v>
                </c:pt>
                <c:pt idx="447">
                  <c:v>40504</c:v>
                </c:pt>
                <c:pt idx="448">
                  <c:v>40505</c:v>
                </c:pt>
                <c:pt idx="449">
                  <c:v>40506</c:v>
                </c:pt>
                <c:pt idx="450">
                  <c:v>40507</c:v>
                </c:pt>
                <c:pt idx="451">
                  <c:v>40508</c:v>
                </c:pt>
                <c:pt idx="452">
                  <c:v>40509</c:v>
                </c:pt>
                <c:pt idx="453">
                  <c:v>40510</c:v>
                </c:pt>
                <c:pt idx="454">
                  <c:v>40511</c:v>
                </c:pt>
                <c:pt idx="455">
                  <c:v>40512</c:v>
                </c:pt>
                <c:pt idx="456">
                  <c:v>40513</c:v>
                </c:pt>
                <c:pt idx="457">
                  <c:v>40514</c:v>
                </c:pt>
                <c:pt idx="458">
                  <c:v>40515</c:v>
                </c:pt>
                <c:pt idx="459">
                  <c:v>40516</c:v>
                </c:pt>
                <c:pt idx="460">
                  <c:v>40517</c:v>
                </c:pt>
                <c:pt idx="461">
                  <c:v>40518</c:v>
                </c:pt>
                <c:pt idx="462">
                  <c:v>40519</c:v>
                </c:pt>
                <c:pt idx="463">
                  <c:v>40520</c:v>
                </c:pt>
                <c:pt idx="464">
                  <c:v>40521</c:v>
                </c:pt>
                <c:pt idx="465">
                  <c:v>40522</c:v>
                </c:pt>
                <c:pt idx="466">
                  <c:v>40523</c:v>
                </c:pt>
                <c:pt idx="467">
                  <c:v>40524</c:v>
                </c:pt>
                <c:pt idx="468">
                  <c:v>40525</c:v>
                </c:pt>
                <c:pt idx="469">
                  <c:v>40526</c:v>
                </c:pt>
                <c:pt idx="470">
                  <c:v>40527</c:v>
                </c:pt>
                <c:pt idx="471">
                  <c:v>40528</c:v>
                </c:pt>
                <c:pt idx="472">
                  <c:v>40529</c:v>
                </c:pt>
                <c:pt idx="473">
                  <c:v>40530</c:v>
                </c:pt>
                <c:pt idx="474">
                  <c:v>40531</c:v>
                </c:pt>
                <c:pt idx="475">
                  <c:v>40532</c:v>
                </c:pt>
                <c:pt idx="476">
                  <c:v>40533</c:v>
                </c:pt>
                <c:pt idx="477">
                  <c:v>40534</c:v>
                </c:pt>
                <c:pt idx="478">
                  <c:v>40535</c:v>
                </c:pt>
                <c:pt idx="479">
                  <c:v>40536</c:v>
                </c:pt>
                <c:pt idx="480">
                  <c:v>40537</c:v>
                </c:pt>
                <c:pt idx="481">
                  <c:v>40538</c:v>
                </c:pt>
                <c:pt idx="482">
                  <c:v>40539</c:v>
                </c:pt>
                <c:pt idx="483">
                  <c:v>40540</c:v>
                </c:pt>
                <c:pt idx="484">
                  <c:v>40541</c:v>
                </c:pt>
                <c:pt idx="485">
                  <c:v>40542</c:v>
                </c:pt>
                <c:pt idx="486">
                  <c:v>40543</c:v>
                </c:pt>
                <c:pt idx="487">
                  <c:v>40544</c:v>
                </c:pt>
                <c:pt idx="488">
                  <c:v>40545</c:v>
                </c:pt>
                <c:pt idx="489">
                  <c:v>40546</c:v>
                </c:pt>
                <c:pt idx="490">
                  <c:v>40547</c:v>
                </c:pt>
                <c:pt idx="491">
                  <c:v>40548</c:v>
                </c:pt>
                <c:pt idx="492">
                  <c:v>40549</c:v>
                </c:pt>
                <c:pt idx="493">
                  <c:v>40550</c:v>
                </c:pt>
                <c:pt idx="494">
                  <c:v>40551</c:v>
                </c:pt>
                <c:pt idx="495">
                  <c:v>40552</c:v>
                </c:pt>
                <c:pt idx="496">
                  <c:v>40553</c:v>
                </c:pt>
                <c:pt idx="497">
                  <c:v>40554</c:v>
                </c:pt>
                <c:pt idx="498">
                  <c:v>40555</c:v>
                </c:pt>
                <c:pt idx="499">
                  <c:v>40556</c:v>
                </c:pt>
                <c:pt idx="500">
                  <c:v>40557</c:v>
                </c:pt>
                <c:pt idx="501">
                  <c:v>40558</c:v>
                </c:pt>
                <c:pt idx="502">
                  <c:v>40559</c:v>
                </c:pt>
                <c:pt idx="503">
                  <c:v>40560</c:v>
                </c:pt>
                <c:pt idx="504">
                  <c:v>40561</c:v>
                </c:pt>
                <c:pt idx="505">
                  <c:v>40562</c:v>
                </c:pt>
                <c:pt idx="506">
                  <c:v>40563</c:v>
                </c:pt>
                <c:pt idx="507">
                  <c:v>40564</c:v>
                </c:pt>
                <c:pt idx="508">
                  <c:v>40565</c:v>
                </c:pt>
                <c:pt idx="509">
                  <c:v>40566</c:v>
                </c:pt>
                <c:pt idx="510">
                  <c:v>40567</c:v>
                </c:pt>
                <c:pt idx="511">
                  <c:v>40568</c:v>
                </c:pt>
                <c:pt idx="512">
                  <c:v>40569</c:v>
                </c:pt>
                <c:pt idx="513">
                  <c:v>40570</c:v>
                </c:pt>
                <c:pt idx="514">
                  <c:v>40571</c:v>
                </c:pt>
                <c:pt idx="515">
                  <c:v>40572</c:v>
                </c:pt>
                <c:pt idx="516">
                  <c:v>40573</c:v>
                </c:pt>
                <c:pt idx="517">
                  <c:v>40574</c:v>
                </c:pt>
                <c:pt idx="518">
                  <c:v>40575</c:v>
                </c:pt>
                <c:pt idx="519">
                  <c:v>40576</c:v>
                </c:pt>
                <c:pt idx="520">
                  <c:v>40577</c:v>
                </c:pt>
                <c:pt idx="521">
                  <c:v>40578</c:v>
                </c:pt>
                <c:pt idx="522">
                  <c:v>40579</c:v>
                </c:pt>
                <c:pt idx="523">
                  <c:v>40580</c:v>
                </c:pt>
                <c:pt idx="524">
                  <c:v>40581</c:v>
                </c:pt>
                <c:pt idx="525">
                  <c:v>40582</c:v>
                </c:pt>
                <c:pt idx="526">
                  <c:v>40583</c:v>
                </c:pt>
                <c:pt idx="527">
                  <c:v>40584</c:v>
                </c:pt>
                <c:pt idx="528">
                  <c:v>40585</c:v>
                </c:pt>
                <c:pt idx="529">
                  <c:v>40586</c:v>
                </c:pt>
                <c:pt idx="530">
                  <c:v>40587</c:v>
                </c:pt>
                <c:pt idx="531">
                  <c:v>40588</c:v>
                </c:pt>
                <c:pt idx="532">
                  <c:v>40589</c:v>
                </c:pt>
                <c:pt idx="533">
                  <c:v>40590</c:v>
                </c:pt>
                <c:pt idx="534">
                  <c:v>40591</c:v>
                </c:pt>
                <c:pt idx="535">
                  <c:v>40592</c:v>
                </c:pt>
                <c:pt idx="536">
                  <c:v>40593</c:v>
                </c:pt>
                <c:pt idx="537">
                  <c:v>40594</c:v>
                </c:pt>
                <c:pt idx="538">
                  <c:v>40595</c:v>
                </c:pt>
                <c:pt idx="539">
                  <c:v>40596</c:v>
                </c:pt>
                <c:pt idx="540">
                  <c:v>40597</c:v>
                </c:pt>
                <c:pt idx="541">
                  <c:v>40598</c:v>
                </c:pt>
                <c:pt idx="542">
                  <c:v>40599</c:v>
                </c:pt>
                <c:pt idx="543">
                  <c:v>40600</c:v>
                </c:pt>
                <c:pt idx="544">
                  <c:v>40601</c:v>
                </c:pt>
                <c:pt idx="545">
                  <c:v>40602</c:v>
                </c:pt>
                <c:pt idx="546">
                  <c:v>40603</c:v>
                </c:pt>
                <c:pt idx="547">
                  <c:v>40604</c:v>
                </c:pt>
                <c:pt idx="548">
                  <c:v>40605</c:v>
                </c:pt>
                <c:pt idx="549">
                  <c:v>40606</c:v>
                </c:pt>
                <c:pt idx="550">
                  <c:v>40607</c:v>
                </c:pt>
                <c:pt idx="551">
                  <c:v>40608</c:v>
                </c:pt>
                <c:pt idx="552">
                  <c:v>40609</c:v>
                </c:pt>
                <c:pt idx="553">
                  <c:v>40610</c:v>
                </c:pt>
                <c:pt idx="554">
                  <c:v>40611</c:v>
                </c:pt>
                <c:pt idx="555">
                  <c:v>40612</c:v>
                </c:pt>
                <c:pt idx="556">
                  <c:v>40613</c:v>
                </c:pt>
                <c:pt idx="557">
                  <c:v>40614</c:v>
                </c:pt>
                <c:pt idx="558">
                  <c:v>40615</c:v>
                </c:pt>
                <c:pt idx="559">
                  <c:v>40616</c:v>
                </c:pt>
                <c:pt idx="560">
                  <c:v>40617</c:v>
                </c:pt>
                <c:pt idx="561">
                  <c:v>40618</c:v>
                </c:pt>
                <c:pt idx="562">
                  <c:v>40619</c:v>
                </c:pt>
                <c:pt idx="563">
                  <c:v>40620</c:v>
                </c:pt>
                <c:pt idx="564">
                  <c:v>40621</c:v>
                </c:pt>
                <c:pt idx="565">
                  <c:v>40622</c:v>
                </c:pt>
                <c:pt idx="566">
                  <c:v>40623</c:v>
                </c:pt>
                <c:pt idx="567">
                  <c:v>40624</c:v>
                </c:pt>
                <c:pt idx="568">
                  <c:v>40625</c:v>
                </c:pt>
                <c:pt idx="569">
                  <c:v>40626</c:v>
                </c:pt>
                <c:pt idx="570">
                  <c:v>40627</c:v>
                </c:pt>
                <c:pt idx="571">
                  <c:v>40628</c:v>
                </c:pt>
                <c:pt idx="572">
                  <c:v>40629</c:v>
                </c:pt>
                <c:pt idx="573">
                  <c:v>40630</c:v>
                </c:pt>
                <c:pt idx="574">
                  <c:v>40631</c:v>
                </c:pt>
                <c:pt idx="575">
                  <c:v>40632</c:v>
                </c:pt>
                <c:pt idx="576">
                  <c:v>40633</c:v>
                </c:pt>
                <c:pt idx="577">
                  <c:v>40634</c:v>
                </c:pt>
                <c:pt idx="578">
                  <c:v>40635</c:v>
                </c:pt>
                <c:pt idx="579">
                  <c:v>40636</c:v>
                </c:pt>
                <c:pt idx="580">
                  <c:v>40637</c:v>
                </c:pt>
                <c:pt idx="581">
                  <c:v>40638</c:v>
                </c:pt>
                <c:pt idx="582">
                  <c:v>40639</c:v>
                </c:pt>
                <c:pt idx="583">
                  <c:v>40640</c:v>
                </c:pt>
                <c:pt idx="584">
                  <c:v>40641</c:v>
                </c:pt>
                <c:pt idx="585">
                  <c:v>40642</c:v>
                </c:pt>
                <c:pt idx="586">
                  <c:v>40643</c:v>
                </c:pt>
                <c:pt idx="587">
                  <c:v>40644</c:v>
                </c:pt>
                <c:pt idx="588">
                  <c:v>40645</c:v>
                </c:pt>
                <c:pt idx="589">
                  <c:v>40646</c:v>
                </c:pt>
                <c:pt idx="590">
                  <c:v>40647</c:v>
                </c:pt>
                <c:pt idx="591">
                  <c:v>40648</c:v>
                </c:pt>
                <c:pt idx="592">
                  <c:v>40649</c:v>
                </c:pt>
                <c:pt idx="593">
                  <c:v>40650</c:v>
                </c:pt>
                <c:pt idx="594">
                  <c:v>40651</c:v>
                </c:pt>
                <c:pt idx="595">
                  <c:v>40652</c:v>
                </c:pt>
                <c:pt idx="596">
                  <c:v>40653</c:v>
                </c:pt>
                <c:pt idx="597">
                  <c:v>40654</c:v>
                </c:pt>
                <c:pt idx="598">
                  <c:v>40655</c:v>
                </c:pt>
                <c:pt idx="599">
                  <c:v>40656</c:v>
                </c:pt>
                <c:pt idx="600">
                  <c:v>40657</c:v>
                </c:pt>
                <c:pt idx="601">
                  <c:v>40658</c:v>
                </c:pt>
                <c:pt idx="602">
                  <c:v>40659</c:v>
                </c:pt>
                <c:pt idx="603">
                  <c:v>40660</c:v>
                </c:pt>
                <c:pt idx="604">
                  <c:v>40661</c:v>
                </c:pt>
                <c:pt idx="605">
                  <c:v>40662</c:v>
                </c:pt>
                <c:pt idx="606">
                  <c:v>40663</c:v>
                </c:pt>
                <c:pt idx="607">
                  <c:v>40664</c:v>
                </c:pt>
                <c:pt idx="608">
                  <c:v>40665</c:v>
                </c:pt>
                <c:pt idx="609">
                  <c:v>40666</c:v>
                </c:pt>
                <c:pt idx="610">
                  <c:v>40667</c:v>
                </c:pt>
                <c:pt idx="611">
                  <c:v>40668</c:v>
                </c:pt>
                <c:pt idx="612">
                  <c:v>40669</c:v>
                </c:pt>
                <c:pt idx="613">
                  <c:v>40670</c:v>
                </c:pt>
                <c:pt idx="614">
                  <c:v>40671</c:v>
                </c:pt>
                <c:pt idx="615">
                  <c:v>40672</c:v>
                </c:pt>
                <c:pt idx="616">
                  <c:v>40673</c:v>
                </c:pt>
                <c:pt idx="617">
                  <c:v>40674</c:v>
                </c:pt>
                <c:pt idx="618">
                  <c:v>40675</c:v>
                </c:pt>
                <c:pt idx="619">
                  <c:v>40676</c:v>
                </c:pt>
                <c:pt idx="620">
                  <c:v>40677</c:v>
                </c:pt>
                <c:pt idx="621">
                  <c:v>40678</c:v>
                </c:pt>
                <c:pt idx="622">
                  <c:v>40679</c:v>
                </c:pt>
                <c:pt idx="623">
                  <c:v>40680</c:v>
                </c:pt>
                <c:pt idx="624">
                  <c:v>40681</c:v>
                </c:pt>
                <c:pt idx="625">
                  <c:v>40682</c:v>
                </c:pt>
                <c:pt idx="626">
                  <c:v>40683</c:v>
                </c:pt>
                <c:pt idx="627">
                  <c:v>40684</c:v>
                </c:pt>
                <c:pt idx="628">
                  <c:v>40685</c:v>
                </c:pt>
                <c:pt idx="629">
                  <c:v>40686</c:v>
                </c:pt>
                <c:pt idx="630">
                  <c:v>40687</c:v>
                </c:pt>
                <c:pt idx="631">
                  <c:v>40688</c:v>
                </c:pt>
                <c:pt idx="632">
                  <c:v>40689</c:v>
                </c:pt>
                <c:pt idx="633">
                  <c:v>40690</c:v>
                </c:pt>
                <c:pt idx="634">
                  <c:v>40691</c:v>
                </c:pt>
                <c:pt idx="635">
                  <c:v>40692</c:v>
                </c:pt>
                <c:pt idx="636">
                  <c:v>40693</c:v>
                </c:pt>
                <c:pt idx="637">
                  <c:v>40694</c:v>
                </c:pt>
                <c:pt idx="638">
                  <c:v>40695</c:v>
                </c:pt>
                <c:pt idx="639">
                  <c:v>40696</c:v>
                </c:pt>
                <c:pt idx="640">
                  <c:v>40697</c:v>
                </c:pt>
                <c:pt idx="641">
                  <c:v>40698</c:v>
                </c:pt>
                <c:pt idx="642">
                  <c:v>40699</c:v>
                </c:pt>
                <c:pt idx="643">
                  <c:v>40700</c:v>
                </c:pt>
                <c:pt idx="644">
                  <c:v>40701</c:v>
                </c:pt>
                <c:pt idx="645">
                  <c:v>40702</c:v>
                </c:pt>
                <c:pt idx="646">
                  <c:v>40703</c:v>
                </c:pt>
                <c:pt idx="647">
                  <c:v>40704</c:v>
                </c:pt>
                <c:pt idx="648">
                  <c:v>40705</c:v>
                </c:pt>
                <c:pt idx="649">
                  <c:v>40706</c:v>
                </c:pt>
                <c:pt idx="650">
                  <c:v>40707</c:v>
                </c:pt>
                <c:pt idx="651">
                  <c:v>40708</c:v>
                </c:pt>
                <c:pt idx="652">
                  <c:v>40709</c:v>
                </c:pt>
                <c:pt idx="653">
                  <c:v>40710</c:v>
                </c:pt>
                <c:pt idx="654">
                  <c:v>40711</c:v>
                </c:pt>
                <c:pt idx="655">
                  <c:v>40712</c:v>
                </c:pt>
                <c:pt idx="656">
                  <c:v>40713</c:v>
                </c:pt>
                <c:pt idx="657">
                  <c:v>40714</c:v>
                </c:pt>
                <c:pt idx="658">
                  <c:v>40715</c:v>
                </c:pt>
                <c:pt idx="659">
                  <c:v>40716</c:v>
                </c:pt>
                <c:pt idx="660">
                  <c:v>40717</c:v>
                </c:pt>
                <c:pt idx="661">
                  <c:v>40718</c:v>
                </c:pt>
                <c:pt idx="662">
                  <c:v>40719</c:v>
                </c:pt>
                <c:pt idx="663">
                  <c:v>40720</c:v>
                </c:pt>
                <c:pt idx="664">
                  <c:v>40721</c:v>
                </c:pt>
                <c:pt idx="665">
                  <c:v>40722</c:v>
                </c:pt>
                <c:pt idx="666">
                  <c:v>40723</c:v>
                </c:pt>
                <c:pt idx="667">
                  <c:v>40724</c:v>
                </c:pt>
                <c:pt idx="668">
                  <c:v>40725</c:v>
                </c:pt>
                <c:pt idx="669">
                  <c:v>40726</c:v>
                </c:pt>
                <c:pt idx="670">
                  <c:v>40727</c:v>
                </c:pt>
                <c:pt idx="671">
                  <c:v>40728</c:v>
                </c:pt>
                <c:pt idx="672">
                  <c:v>40729</c:v>
                </c:pt>
                <c:pt idx="673">
                  <c:v>40730</c:v>
                </c:pt>
                <c:pt idx="674">
                  <c:v>40731</c:v>
                </c:pt>
                <c:pt idx="675">
                  <c:v>40732</c:v>
                </c:pt>
                <c:pt idx="676">
                  <c:v>40733</c:v>
                </c:pt>
                <c:pt idx="677">
                  <c:v>40734</c:v>
                </c:pt>
                <c:pt idx="678">
                  <c:v>40735</c:v>
                </c:pt>
                <c:pt idx="679">
                  <c:v>40736</c:v>
                </c:pt>
                <c:pt idx="680">
                  <c:v>40737</c:v>
                </c:pt>
                <c:pt idx="681">
                  <c:v>40738</c:v>
                </c:pt>
                <c:pt idx="682">
                  <c:v>40739</c:v>
                </c:pt>
                <c:pt idx="683">
                  <c:v>40740</c:v>
                </c:pt>
                <c:pt idx="684">
                  <c:v>40741</c:v>
                </c:pt>
                <c:pt idx="685">
                  <c:v>40742</c:v>
                </c:pt>
                <c:pt idx="686">
                  <c:v>40743</c:v>
                </c:pt>
                <c:pt idx="687">
                  <c:v>40744</c:v>
                </c:pt>
                <c:pt idx="688">
                  <c:v>40745</c:v>
                </c:pt>
                <c:pt idx="689">
                  <c:v>40746</c:v>
                </c:pt>
                <c:pt idx="690">
                  <c:v>40747</c:v>
                </c:pt>
                <c:pt idx="691">
                  <c:v>40748</c:v>
                </c:pt>
                <c:pt idx="692">
                  <c:v>40749</c:v>
                </c:pt>
                <c:pt idx="693">
                  <c:v>40750</c:v>
                </c:pt>
                <c:pt idx="694">
                  <c:v>40751</c:v>
                </c:pt>
                <c:pt idx="695">
                  <c:v>40752</c:v>
                </c:pt>
                <c:pt idx="696">
                  <c:v>40753</c:v>
                </c:pt>
                <c:pt idx="697">
                  <c:v>40754</c:v>
                </c:pt>
                <c:pt idx="698">
                  <c:v>40755</c:v>
                </c:pt>
                <c:pt idx="699">
                  <c:v>40756</c:v>
                </c:pt>
                <c:pt idx="700">
                  <c:v>40757</c:v>
                </c:pt>
                <c:pt idx="701">
                  <c:v>40758</c:v>
                </c:pt>
                <c:pt idx="702">
                  <c:v>40759</c:v>
                </c:pt>
                <c:pt idx="703">
                  <c:v>40760</c:v>
                </c:pt>
                <c:pt idx="704">
                  <c:v>40761</c:v>
                </c:pt>
                <c:pt idx="705">
                  <c:v>40762</c:v>
                </c:pt>
                <c:pt idx="706">
                  <c:v>40763</c:v>
                </c:pt>
                <c:pt idx="707">
                  <c:v>40764</c:v>
                </c:pt>
                <c:pt idx="708">
                  <c:v>40765</c:v>
                </c:pt>
                <c:pt idx="709">
                  <c:v>40766</c:v>
                </c:pt>
                <c:pt idx="710">
                  <c:v>40767</c:v>
                </c:pt>
                <c:pt idx="711">
                  <c:v>40768</c:v>
                </c:pt>
                <c:pt idx="712">
                  <c:v>40769</c:v>
                </c:pt>
                <c:pt idx="713">
                  <c:v>40770</c:v>
                </c:pt>
                <c:pt idx="714">
                  <c:v>40771</c:v>
                </c:pt>
                <c:pt idx="715">
                  <c:v>40772</c:v>
                </c:pt>
                <c:pt idx="716">
                  <c:v>40773</c:v>
                </c:pt>
                <c:pt idx="717">
                  <c:v>40774</c:v>
                </c:pt>
                <c:pt idx="718">
                  <c:v>40775</c:v>
                </c:pt>
                <c:pt idx="719">
                  <c:v>40776</c:v>
                </c:pt>
                <c:pt idx="720">
                  <c:v>40777</c:v>
                </c:pt>
                <c:pt idx="721">
                  <c:v>40778</c:v>
                </c:pt>
                <c:pt idx="722">
                  <c:v>40779</c:v>
                </c:pt>
                <c:pt idx="723">
                  <c:v>40780</c:v>
                </c:pt>
                <c:pt idx="724">
                  <c:v>40781</c:v>
                </c:pt>
                <c:pt idx="725">
                  <c:v>40782</c:v>
                </c:pt>
                <c:pt idx="726">
                  <c:v>40783</c:v>
                </c:pt>
                <c:pt idx="727">
                  <c:v>40784</c:v>
                </c:pt>
                <c:pt idx="728">
                  <c:v>40785</c:v>
                </c:pt>
                <c:pt idx="729">
                  <c:v>40786</c:v>
                </c:pt>
                <c:pt idx="730">
                  <c:v>40787</c:v>
                </c:pt>
                <c:pt idx="731">
                  <c:v>40788</c:v>
                </c:pt>
                <c:pt idx="732">
                  <c:v>40789</c:v>
                </c:pt>
                <c:pt idx="733">
                  <c:v>40790</c:v>
                </c:pt>
                <c:pt idx="734">
                  <c:v>40791</c:v>
                </c:pt>
                <c:pt idx="735">
                  <c:v>40792</c:v>
                </c:pt>
                <c:pt idx="736">
                  <c:v>40793</c:v>
                </c:pt>
                <c:pt idx="737">
                  <c:v>40794</c:v>
                </c:pt>
                <c:pt idx="738">
                  <c:v>40795</c:v>
                </c:pt>
                <c:pt idx="739">
                  <c:v>40796</c:v>
                </c:pt>
                <c:pt idx="740">
                  <c:v>40797</c:v>
                </c:pt>
                <c:pt idx="741">
                  <c:v>40798</c:v>
                </c:pt>
                <c:pt idx="742">
                  <c:v>40799</c:v>
                </c:pt>
                <c:pt idx="743">
                  <c:v>40800</c:v>
                </c:pt>
                <c:pt idx="744">
                  <c:v>40801</c:v>
                </c:pt>
                <c:pt idx="745">
                  <c:v>40802</c:v>
                </c:pt>
                <c:pt idx="746">
                  <c:v>40803</c:v>
                </c:pt>
                <c:pt idx="747">
                  <c:v>40804</c:v>
                </c:pt>
                <c:pt idx="748">
                  <c:v>40805</c:v>
                </c:pt>
                <c:pt idx="749">
                  <c:v>40806</c:v>
                </c:pt>
                <c:pt idx="750">
                  <c:v>40807</c:v>
                </c:pt>
                <c:pt idx="751">
                  <c:v>40808</c:v>
                </c:pt>
                <c:pt idx="752">
                  <c:v>40809</c:v>
                </c:pt>
                <c:pt idx="753">
                  <c:v>40810</c:v>
                </c:pt>
                <c:pt idx="754">
                  <c:v>40811</c:v>
                </c:pt>
                <c:pt idx="755">
                  <c:v>40812</c:v>
                </c:pt>
                <c:pt idx="756">
                  <c:v>40813</c:v>
                </c:pt>
                <c:pt idx="757">
                  <c:v>40814</c:v>
                </c:pt>
                <c:pt idx="758">
                  <c:v>40815</c:v>
                </c:pt>
                <c:pt idx="759">
                  <c:v>40816</c:v>
                </c:pt>
                <c:pt idx="760">
                  <c:v>40817</c:v>
                </c:pt>
                <c:pt idx="761">
                  <c:v>40818</c:v>
                </c:pt>
                <c:pt idx="762">
                  <c:v>40819</c:v>
                </c:pt>
                <c:pt idx="763">
                  <c:v>40820</c:v>
                </c:pt>
                <c:pt idx="764">
                  <c:v>40821</c:v>
                </c:pt>
                <c:pt idx="765">
                  <c:v>40822</c:v>
                </c:pt>
                <c:pt idx="766">
                  <c:v>40823</c:v>
                </c:pt>
                <c:pt idx="767">
                  <c:v>40824</c:v>
                </c:pt>
                <c:pt idx="768">
                  <c:v>40825</c:v>
                </c:pt>
                <c:pt idx="769">
                  <c:v>40826</c:v>
                </c:pt>
                <c:pt idx="770">
                  <c:v>40827</c:v>
                </c:pt>
                <c:pt idx="771">
                  <c:v>40828</c:v>
                </c:pt>
                <c:pt idx="772">
                  <c:v>40829</c:v>
                </c:pt>
                <c:pt idx="773">
                  <c:v>40830</c:v>
                </c:pt>
                <c:pt idx="774">
                  <c:v>40831</c:v>
                </c:pt>
                <c:pt idx="775">
                  <c:v>40832</c:v>
                </c:pt>
                <c:pt idx="776">
                  <c:v>40833</c:v>
                </c:pt>
                <c:pt idx="777">
                  <c:v>40834</c:v>
                </c:pt>
                <c:pt idx="778">
                  <c:v>40835</c:v>
                </c:pt>
                <c:pt idx="779">
                  <c:v>40836</c:v>
                </c:pt>
                <c:pt idx="780">
                  <c:v>40837</c:v>
                </c:pt>
                <c:pt idx="781">
                  <c:v>40838</c:v>
                </c:pt>
                <c:pt idx="782">
                  <c:v>40839</c:v>
                </c:pt>
                <c:pt idx="783">
                  <c:v>40840</c:v>
                </c:pt>
                <c:pt idx="784">
                  <c:v>40841</c:v>
                </c:pt>
                <c:pt idx="785">
                  <c:v>40842</c:v>
                </c:pt>
                <c:pt idx="786">
                  <c:v>40843</c:v>
                </c:pt>
                <c:pt idx="787">
                  <c:v>40844</c:v>
                </c:pt>
                <c:pt idx="788">
                  <c:v>40845</c:v>
                </c:pt>
                <c:pt idx="789">
                  <c:v>40846</c:v>
                </c:pt>
                <c:pt idx="790">
                  <c:v>40847</c:v>
                </c:pt>
                <c:pt idx="791">
                  <c:v>40848</c:v>
                </c:pt>
                <c:pt idx="792">
                  <c:v>40849</c:v>
                </c:pt>
                <c:pt idx="793">
                  <c:v>40850</c:v>
                </c:pt>
                <c:pt idx="794">
                  <c:v>40851</c:v>
                </c:pt>
                <c:pt idx="795">
                  <c:v>40852</c:v>
                </c:pt>
                <c:pt idx="796">
                  <c:v>40853</c:v>
                </c:pt>
                <c:pt idx="797">
                  <c:v>40854</c:v>
                </c:pt>
                <c:pt idx="798">
                  <c:v>40855</c:v>
                </c:pt>
                <c:pt idx="799">
                  <c:v>40856</c:v>
                </c:pt>
                <c:pt idx="800">
                  <c:v>40857</c:v>
                </c:pt>
                <c:pt idx="801">
                  <c:v>40858</c:v>
                </c:pt>
                <c:pt idx="802">
                  <c:v>40859</c:v>
                </c:pt>
                <c:pt idx="803">
                  <c:v>40860</c:v>
                </c:pt>
                <c:pt idx="804">
                  <c:v>40861</c:v>
                </c:pt>
                <c:pt idx="805">
                  <c:v>40862</c:v>
                </c:pt>
                <c:pt idx="806">
                  <c:v>40863</c:v>
                </c:pt>
                <c:pt idx="807">
                  <c:v>40864</c:v>
                </c:pt>
                <c:pt idx="808">
                  <c:v>40865</c:v>
                </c:pt>
                <c:pt idx="809">
                  <c:v>40866</c:v>
                </c:pt>
                <c:pt idx="810">
                  <c:v>40867</c:v>
                </c:pt>
                <c:pt idx="811">
                  <c:v>40868</c:v>
                </c:pt>
                <c:pt idx="812">
                  <c:v>40869</c:v>
                </c:pt>
                <c:pt idx="813">
                  <c:v>40870</c:v>
                </c:pt>
                <c:pt idx="814">
                  <c:v>40871</c:v>
                </c:pt>
                <c:pt idx="815">
                  <c:v>40872</c:v>
                </c:pt>
                <c:pt idx="816">
                  <c:v>40873</c:v>
                </c:pt>
                <c:pt idx="817">
                  <c:v>40874</c:v>
                </c:pt>
                <c:pt idx="818">
                  <c:v>40875</c:v>
                </c:pt>
                <c:pt idx="819">
                  <c:v>40876</c:v>
                </c:pt>
                <c:pt idx="820">
                  <c:v>40877</c:v>
                </c:pt>
                <c:pt idx="821">
                  <c:v>40878</c:v>
                </c:pt>
                <c:pt idx="822">
                  <c:v>40879</c:v>
                </c:pt>
                <c:pt idx="823">
                  <c:v>40880</c:v>
                </c:pt>
                <c:pt idx="824">
                  <c:v>40881</c:v>
                </c:pt>
                <c:pt idx="825">
                  <c:v>40882</c:v>
                </c:pt>
                <c:pt idx="826">
                  <c:v>40883</c:v>
                </c:pt>
                <c:pt idx="827">
                  <c:v>40884</c:v>
                </c:pt>
                <c:pt idx="828">
                  <c:v>40885</c:v>
                </c:pt>
                <c:pt idx="829">
                  <c:v>40886</c:v>
                </c:pt>
                <c:pt idx="830">
                  <c:v>40887</c:v>
                </c:pt>
                <c:pt idx="831">
                  <c:v>40888</c:v>
                </c:pt>
                <c:pt idx="832">
                  <c:v>40889</c:v>
                </c:pt>
                <c:pt idx="833">
                  <c:v>40890</c:v>
                </c:pt>
                <c:pt idx="834">
                  <c:v>40891</c:v>
                </c:pt>
                <c:pt idx="835">
                  <c:v>40892</c:v>
                </c:pt>
                <c:pt idx="836">
                  <c:v>40893</c:v>
                </c:pt>
                <c:pt idx="837">
                  <c:v>40894</c:v>
                </c:pt>
                <c:pt idx="838">
                  <c:v>40895</c:v>
                </c:pt>
                <c:pt idx="839">
                  <c:v>40896</c:v>
                </c:pt>
                <c:pt idx="840">
                  <c:v>40897</c:v>
                </c:pt>
                <c:pt idx="841">
                  <c:v>40898</c:v>
                </c:pt>
                <c:pt idx="842">
                  <c:v>40899</c:v>
                </c:pt>
                <c:pt idx="843">
                  <c:v>40900</c:v>
                </c:pt>
                <c:pt idx="844">
                  <c:v>40901</c:v>
                </c:pt>
                <c:pt idx="845">
                  <c:v>40902</c:v>
                </c:pt>
                <c:pt idx="846">
                  <c:v>40903</c:v>
                </c:pt>
                <c:pt idx="847">
                  <c:v>40904</c:v>
                </c:pt>
                <c:pt idx="848">
                  <c:v>40905</c:v>
                </c:pt>
                <c:pt idx="849">
                  <c:v>40906</c:v>
                </c:pt>
                <c:pt idx="850">
                  <c:v>40907</c:v>
                </c:pt>
                <c:pt idx="851">
                  <c:v>40908</c:v>
                </c:pt>
                <c:pt idx="852">
                  <c:v>40909</c:v>
                </c:pt>
                <c:pt idx="853">
                  <c:v>40910</c:v>
                </c:pt>
                <c:pt idx="854">
                  <c:v>40911</c:v>
                </c:pt>
                <c:pt idx="855">
                  <c:v>40912</c:v>
                </c:pt>
                <c:pt idx="856">
                  <c:v>40913</c:v>
                </c:pt>
                <c:pt idx="857">
                  <c:v>40914</c:v>
                </c:pt>
                <c:pt idx="858">
                  <c:v>40915</c:v>
                </c:pt>
                <c:pt idx="859">
                  <c:v>40916</c:v>
                </c:pt>
                <c:pt idx="860">
                  <c:v>40917</c:v>
                </c:pt>
                <c:pt idx="861">
                  <c:v>40918</c:v>
                </c:pt>
                <c:pt idx="862">
                  <c:v>40919</c:v>
                </c:pt>
                <c:pt idx="863">
                  <c:v>40920</c:v>
                </c:pt>
                <c:pt idx="864">
                  <c:v>40921</c:v>
                </c:pt>
                <c:pt idx="865">
                  <c:v>40922</c:v>
                </c:pt>
                <c:pt idx="866">
                  <c:v>40923</c:v>
                </c:pt>
                <c:pt idx="867">
                  <c:v>40924</c:v>
                </c:pt>
                <c:pt idx="868">
                  <c:v>40925</c:v>
                </c:pt>
                <c:pt idx="869">
                  <c:v>40926</c:v>
                </c:pt>
                <c:pt idx="870">
                  <c:v>40927</c:v>
                </c:pt>
                <c:pt idx="871">
                  <c:v>40928</c:v>
                </c:pt>
                <c:pt idx="872">
                  <c:v>40929</c:v>
                </c:pt>
                <c:pt idx="873">
                  <c:v>40930</c:v>
                </c:pt>
                <c:pt idx="874">
                  <c:v>40931</c:v>
                </c:pt>
                <c:pt idx="875">
                  <c:v>40932</c:v>
                </c:pt>
                <c:pt idx="876">
                  <c:v>40933</c:v>
                </c:pt>
                <c:pt idx="877">
                  <c:v>40934</c:v>
                </c:pt>
                <c:pt idx="878">
                  <c:v>40935</c:v>
                </c:pt>
                <c:pt idx="879">
                  <c:v>40936</c:v>
                </c:pt>
                <c:pt idx="880">
                  <c:v>40937</c:v>
                </c:pt>
                <c:pt idx="881">
                  <c:v>40938</c:v>
                </c:pt>
                <c:pt idx="882">
                  <c:v>40939</c:v>
                </c:pt>
                <c:pt idx="883">
                  <c:v>40940</c:v>
                </c:pt>
                <c:pt idx="884">
                  <c:v>40941</c:v>
                </c:pt>
                <c:pt idx="885">
                  <c:v>40942</c:v>
                </c:pt>
                <c:pt idx="886">
                  <c:v>40943</c:v>
                </c:pt>
                <c:pt idx="887">
                  <c:v>40944</c:v>
                </c:pt>
                <c:pt idx="888">
                  <c:v>40945</c:v>
                </c:pt>
                <c:pt idx="889">
                  <c:v>40946</c:v>
                </c:pt>
                <c:pt idx="890">
                  <c:v>40947</c:v>
                </c:pt>
                <c:pt idx="891">
                  <c:v>40948</c:v>
                </c:pt>
                <c:pt idx="892">
                  <c:v>40949</c:v>
                </c:pt>
                <c:pt idx="893">
                  <c:v>40950</c:v>
                </c:pt>
                <c:pt idx="894">
                  <c:v>40951</c:v>
                </c:pt>
                <c:pt idx="895">
                  <c:v>40952</c:v>
                </c:pt>
                <c:pt idx="896">
                  <c:v>40953</c:v>
                </c:pt>
                <c:pt idx="897">
                  <c:v>40954</c:v>
                </c:pt>
                <c:pt idx="898">
                  <c:v>40955</c:v>
                </c:pt>
                <c:pt idx="899">
                  <c:v>40956</c:v>
                </c:pt>
                <c:pt idx="900">
                  <c:v>40957</c:v>
                </c:pt>
                <c:pt idx="901">
                  <c:v>40958</c:v>
                </c:pt>
                <c:pt idx="902">
                  <c:v>40959</c:v>
                </c:pt>
                <c:pt idx="903">
                  <c:v>40960</c:v>
                </c:pt>
                <c:pt idx="904">
                  <c:v>40961</c:v>
                </c:pt>
                <c:pt idx="905">
                  <c:v>40962</c:v>
                </c:pt>
                <c:pt idx="906">
                  <c:v>40963</c:v>
                </c:pt>
                <c:pt idx="907">
                  <c:v>40964</c:v>
                </c:pt>
                <c:pt idx="908">
                  <c:v>40965</c:v>
                </c:pt>
                <c:pt idx="909">
                  <c:v>40966</c:v>
                </c:pt>
                <c:pt idx="910">
                  <c:v>40967</c:v>
                </c:pt>
                <c:pt idx="911">
                  <c:v>40968</c:v>
                </c:pt>
                <c:pt idx="912">
                  <c:v>40969</c:v>
                </c:pt>
                <c:pt idx="913">
                  <c:v>40970</c:v>
                </c:pt>
                <c:pt idx="914">
                  <c:v>40971</c:v>
                </c:pt>
                <c:pt idx="915">
                  <c:v>40972</c:v>
                </c:pt>
                <c:pt idx="916">
                  <c:v>40973</c:v>
                </c:pt>
                <c:pt idx="917">
                  <c:v>40974</c:v>
                </c:pt>
                <c:pt idx="918">
                  <c:v>40975</c:v>
                </c:pt>
                <c:pt idx="919">
                  <c:v>40976</c:v>
                </c:pt>
                <c:pt idx="920">
                  <c:v>40977</c:v>
                </c:pt>
                <c:pt idx="921">
                  <c:v>40978</c:v>
                </c:pt>
                <c:pt idx="922">
                  <c:v>40979</c:v>
                </c:pt>
                <c:pt idx="923">
                  <c:v>40980</c:v>
                </c:pt>
                <c:pt idx="924">
                  <c:v>40981</c:v>
                </c:pt>
                <c:pt idx="925">
                  <c:v>40982</c:v>
                </c:pt>
                <c:pt idx="926">
                  <c:v>40983</c:v>
                </c:pt>
                <c:pt idx="927">
                  <c:v>40984</c:v>
                </c:pt>
                <c:pt idx="928">
                  <c:v>40985</c:v>
                </c:pt>
                <c:pt idx="929">
                  <c:v>40986</c:v>
                </c:pt>
                <c:pt idx="930">
                  <c:v>40987</c:v>
                </c:pt>
                <c:pt idx="931">
                  <c:v>40988</c:v>
                </c:pt>
                <c:pt idx="932">
                  <c:v>40989</c:v>
                </c:pt>
                <c:pt idx="933">
                  <c:v>40990</c:v>
                </c:pt>
                <c:pt idx="934">
                  <c:v>40991</c:v>
                </c:pt>
                <c:pt idx="935">
                  <c:v>40992</c:v>
                </c:pt>
                <c:pt idx="936">
                  <c:v>40993</c:v>
                </c:pt>
                <c:pt idx="937">
                  <c:v>40994</c:v>
                </c:pt>
                <c:pt idx="938">
                  <c:v>40995</c:v>
                </c:pt>
                <c:pt idx="939">
                  <c:v>40996</c:v>
                </c:pt>
                <c:pt idx="940">
                  <c:v>40997</c:v>
                </c:pt>
                <c:pt idx="941">
                  <c:v>40998</c:v>
                </c:pt>
                <c:pt idx="942">
                  <c:v>40999</c:v>
                </c:pt>
                <c:pt idx="943">
                  <c:v>41000</c:v>
                </c:pt>
                <c:pt idx="944">
                  <c:v>41001</c:v>
                </c:pt>
                <c:pt idx="945">
                  <c:v>41002</c:v>
                </c:pt>
                <c:pt idx="946">
                  <c:v>41003</c:v>
                </c:pt>
                <c:pt idx="947">
                  <c:v>41004</c:v>
                </c:pt>
                <c:pt idx="948">
                  <c:v>41005</c:v>
                </c:pt>
                <c:pt idx="949">
                  <c:v>41006</c:v>
                </c:pt>
                <c:pt idx="950">
                  <c:v>41007</c:v>
                </c:pt>
                <c:pt idx="951">
                  <c:v>41008</c:v>
                </c:pt>
                <c:pt idx="952">
                  <c:v>41009</c:v>
                </c:pt>
                <c:pt idx="953">
                  <c:v>41010</c:v>
                </c:pt>
                <c:pt idx="954">
                  <c:v>41011</c:v>
                </c:pt>
                <c:pt idx="955">
                  <c:v>41012</c:v>
                </c:pt>
                <c:pt idx="956">
                  <c:v>41013</c:v>
                </c:pt>
                <c:pt idx="957">
                  <c:v>41014</c:v>
                </c:pt>
                <c:pt idx="958">
                  <c:v>41015</c:v>
                </c:pt>
                <c:pt idx="959">
                  <c:v>41016</c:v>
                </c:pt>
                <c:pt idx="960">
                  <c:v>41017</c:v>
                </c:pt>
                <c:pt idx="961">
                  <c:v>41018</c:v>
                </c:pt>
                <c:pt idx="962">
                  <c:v>41019</c:v>
                </c:pt>
                <c:pt idx="963">
                  <c:v>41020</c:v>
                </c:pt>
                <c:pt idx="964">
                  <c:v>41021</c:v>
                </c:pt>
                <c:pt idx="965">
                  <c:v>41022</c:v>
                </c:pt>
                <c:pt idx="966">
                  <c:v>41023</c:v>
                </c:pt>
                <c:pt idx="967">
                  <c:v>41024</c:v>
                </c:pt>
                <c:pt idx="968">
                  <c:v>41025</c:v>
                </c:pt>
                <c:pt idx="969">
                  <c:v>41026</c:v>
                </c:pt>
                <c:pt idx="970">
                  <c:v>41027</c:v>
                </c:pt>
                <c:pt idx="971">
                  <c:v>41028</c:v>
                </c:pt>
                <c:pt idx="972">
                  <c:v>41029</c:v>
                </c:pt>
                <c:pt idx="973">
                  <c:v>41030</c:v>
                </c:pt>
                <c:pt idx="974">
                  <c:v>41031</c:v>
                </c:pt>
                <c:pt idx="975">
                  <c:v>41032</c:v>
                </c:pt>
                <c:pt idx="976">
                  <c:v>41033</c:v>
                </c:pt>
                <c:pt idx="977">
                  <c:v>41034</c:v>
                </c:pt>
                <c:pt idx="978">
                  <c:v>41035</c:v>
                </c:pt>
                <c:pt idx="979">
                  <c:v>41036</c:v>
                </c:pt>
                <c:pt idx="980">
                  <c:v>41037</c:v>
                </c:pt>
                <c:pt idx="981">
                  <c:v>41038</c:v>
                </c:pt>
                <c:pt idx="982">
                  <c:v>41039</c:v>
                </c:pt>
                <c:pt idx="983">
                  <c:v>41040</c:v>
                </c:pt>
                <c:pt idx="984">
                  <c:v>41041</c:v>
                </c:pt>
                <c:pt idx="985">
                  <c:v>41042</c:v>
                </c:pt>
                <c:pt idx="986">
                  <c:v>41043</c:v>
                </c:pt>
                <c:pt idx="987">
                  <c:v>41044</c:v>
                </c:pt>
                <c:pt idx="988">
                  <c:v>41045</c:v>
                </c:pt>
                <c:pt idx="989">
                  <c:v>41046</c:v>
                </c:pt>
                <c:pt idx="990">
                  <c:v>41047</c:v>
                </c:pt>
                <c:pt idx="991">
                  <c:v>41048</c:v>
                </c:pt>
                <c:pt idx="992">
                  <c:v>41049</c:v>
                </c:pt>
                <c:pt idx="993">
                  <c:v>41050</c:v>
                </c:pt>
                <c:pt idx="994">
                  <c:v>41051</c:v>
                </c:pt>
                <c:pt idx="995">
                  <c:v>41052</c:v>
                </c:pt>
                <c:pt idx="996">
                  <c:v>41053</c:v>
                </c:pt>
                <c:pt idx="997">
                  <c:v>41054</c:v>
                </c:pt>
                <c:pt idx="998">
                  <c:v>41055</c:v>
                </c:pt>
                <c:pt idx="999">
                  <c:v>41056</c:v>
                </c:pt>
                <c:pt idx="1000">
                  <c:v>41057</c:v>
                </c:pt>
                <c:pt idx="1001">
                  <c:v>41058</c:v>
                </c:pt>
                <c:pt idx="1002">
                  <c:v>41059</c:v>
                </c:pt>
                <c:pt idx="1003">
                  <c:v>41060</c:v>
                </c:pt>
                <c:pt idx="1004">
                  <c:v>41061</c:v>
                </c:pt>
                <c:pt idx="1005">
                  <c:v>41062</c:v>
                </c:pt>
                <c:pt idx="1006">
                  <c:v>41063</c:v>
                </c:pt>
                <c:pt idx="1007">
                  <c:v>41064</c:v>
                </c:pt>
                <c:pt idx="1008">
                  <c:v>41065</c:v>
                </c:pt>
                <c:pt idx="1009">
                  <c:v>41066</c:v>
                </c:pt>
                <c:pt idx="1010">
                  <c:v>41067</c:v>
                </c:pt>
                <c:pt idx="1011">
                  <c:v>41068</c:v>
                </c:pt>
                <c:pt idx="1012">
                  <c:v>41069</c:v>
                </c:pt>
                <c:pt idx="1013">
                  <c:v>41070</c:v>
                </c:pt>
                <c:pt idx="1014">
                  <c:v>41071</c:v>
                </c:pt>
                <c:pt idx="1015">
                  <c:v>41072</c:v>
                </c:pt>
                <c:pt idx="1016">
                  <c:v>41073</c:v>
                </c:pt>
                <c:pt idx="1017">
                  <c:v>41074</c:v>
                </c:pt>
                <c:pt idx="1018">
                  <c:v>41075</c:v>
                </c:pt>
                <c:pt idx="1019">
                  <c:v>41076</c:v>
                </c:pt>
                <c:pt idx="1020">
                  <c:v>41077</c:v>
                </c:pt>
                <c:pt idx="1021">
                  <c:v>41078</c:v>
                </c:pt>
                <c:pt idx="1022">
                  <c:v>41079</c:v>
                </c:pt>
                <c:pt idx="1023">
                  <c:v>41080</c:v>
                </c:pt>
                <c:pt idx="1024">
                  <c:v>41081</c:v>
                </c:pt>
                <c:pt idx="1025">
                  <c:v>41082</c:v>
                </c:pt>
                <c:pt idx="1026">
                  <c:v>41083</c:v>
                </c:pt>
                <c:pt idx="1027">
                  <c:v>41084</c:v>
                </c:pt>
                <c:pt idx="1028">
                  <c:v>41085</c:v>
                </c:pt>
                <c:pt idx="1029">
                  <c:v>41086</c:v>
                </c:pt>
                <c:pt idx="1030">
                  <c:v>41087</c:v>
                </c:pt>
                <c:pt idx="1031">
                  <c:v>41088</c:v>
                </c:pt>
                <c:pt idx="1032">
                  <c:v>41089</c:v>
                </c:pt>
                <c:pt idx="1033">
                  <c:v>41090</c:v>
                </c:pt>
                <c:pt idx="1034">
                  <c:v>41091</c:v>
                </c:pt>
                <c:pt idx="1035">
                  <c:v>41092</c:v>
                </c:pt>
                <c:pt idx="1036">
                  <c:v>41093</c:v>
                </c:pt>
                <c:pt idx="1037">
                  <c:v>41094</c:v>
                </c:pt>
                <c:pt idx="1038">
                  <c:v>41095</c:v>
                </c:pt>
                <c:pt idx="1039">
                  <c:v>41096</c:v>
                </c:pt>
                <c:pt idx="1040">
                  <c:v>41097</c:v>
                </c:pt>
                <c:pt idx="1041">
                  <c:v>41098</c:v>
                </c:pt>
                <c:pt idx="1042">
                  <c:v>41099</c:v>
                </c:pt>
                <c:pt idx="1043">
                  <c:v>41100</c:v>
                </c:pt>
                <c:pt idx="1044">
                  <c:v>41101</c:v>
                </c:pt>
                <c:pt idx="1045">
                  <c:v>41102</c:v>
                </c:pt>
                <c:pt idx="1046">
                  <c:v>41103</c:v>
                </c:pt>
                <c:pt idx="1047">
                  <c:v>41104</c:v>
                </c:pt>
                <c:pt idx="1048">
                  <c:v>41105</c:v>
                </c:pt>
                <c:pt idx="1049">
                  <c:v>41106</c:v>
                </c:pt>
                <c:pt idx="1050">
                  <c:v>41107</c:v>
                </c:pt>
                <c:pt idx="1051">
                  <c:v>41108</c:v>
                </c:pt>
                <c:pt idx="1052">
                  <c:v>41109</c:v>
                </c:pt>
                <c:pt idx="1053">
                  <c:v>41110</c:v>
                </c:pt>
                <c:pt idx="1054">
                  <c:v>41111</c:v>
                </c:pt>
                <c:pt idx="1055">
                  <c:v>41112</c:v>
                </c:pt>
                <c:pt idx="1056">
                  <c:v>41113</c:v>
                </c:pt>
                <c:pt idx="1057">
                  <c:v>41114</c:v>
                </c:pt>
                <c:pt idx="1058">
                  <c:v>41115</c:v>
                </c:pt>
                <c:pt idx="1059">
                  <c:v>41116</c:v>
                </c:pt>
                <c:pt idx="1060">
                  <c:v>41117</c:v>
                </c:pt>
                <c:pt idx="1061">
                  <c:v>41118</c:v>
                </c:pt>
                <c:pt idx="1062">
                  <c:v>41119</c:v>
                </c:pt>
                <c:pt idx="1063">
                  <c:v>41120</c:v>
                </c:pt>
                <c:pt idx="1064">
                  <c:v>41121</c:v>
                </c:pt>
                <c:pt idx="1065">
                  <c:v>41122</c:v>
                </c:pt>
                <c:pt idx="1066">
                  <c:v>41123</c:v>
                </c:pt>
                <c:pt idx="1067">
                  <c:v>41124</c:v>
                </c:pt>
                <c:pt idx="1068">
                  <c:v>41125</c:v>
                </c:pt>
                <c:pt idx="1069">
                  <c:v>41126</c:v>
                </c:pt>
                <c:pt idx="1070">
                  <c:v>41127</c:v>
                </c:pt>
                <c:pt idx="1071">
                  <c:v>41128</c:v>
                </c:pt>
                <c:pt idx="1072">
                  <c:v>41129</c:v>
                </c:pt>
                <c:pt idx="1073">
                  <c:v>41130</c:v>
                </c:pt>
                <c:pt idx="1074">
                  <c:v>41131</c:v>
                </c:pt>
                <c:pt idx="1075">
                  <c:v>41132</c:v>
                </c:pt>
                <c:pt idx="1076">
                  <c:v>41133</c:v>
                </c:pt>
                <c:pt idx="1077">
                  <c:v>41134</c:v>
                </c:pt>
                <c:pt idx="1078">
                  <c:v>41135</c:v>
                </c:pt>
                <c:pt idx="1079">
                  <c:v>41136</c:v>
                </c:pt>
                <c:pt idx="1080">
                  <c:v>41137</c:v>
                </c:pt>
                <c:pt idx="1081">
                  <c:v>41138</c:v>
                </c:pt>
                <c:pt idx="1082">
                  <c:v>41139</c:v>
                </c:pt>
                <c:pt idx="1083">
                  <c:v>41140</c:v>
                </c:pt>
                <c:pt idx="1084">
                  <c:v>41141</c:v>
                </c:pt>
                <c:pt idx="1085">
                  <c:v>41142</c:v>
                </c:pt>
                <c:pt idx="1086">
                  <c:v>41143</c:v>
                </c:pt>
                <c:pt idx="1087">
                  <c:v>41144</c:v>
                </c:pt>
                <c:pt idx="1088">
                  <c:v>41145</c:v>
                </c:pt>
                <c:pt idx="1089">
                  <c:v>41146</c:v>
                </c:pt>
                <c:pt idx="1090">
                  <c:v>41147</c:v>
                </c:pt>
                <c:pt idx="1091">
                  <c:v>41148</c:v>
                </c:pt>
                <c:pt idx="1092">
                  <c:v>41149</c:v>
                </c:pt>
                <c:pt idx="1093">
                  <c:v>41150</c:v>
                </c:pt>
                <c:pt idx="1094">
                  <c:v>41151</c:v>
                </c:pt>
                <c:pt idx="1095">
                  <c:v>41152</c:v>
                </c:pt>
                <c:pt idx="1096">
                  <c:v>41153</c:v>
                </c:pt>
                <c:pt idx="1097">
                  <c:v>41154</c:v>
                </c:pt>
                <c:pt idx="1098">
                  <c:v>41155</c:v>
                </c:pt>
                <c:pt idx="1099">
                  <c:v>41156</c:v>
                </c:pt>
                <c:pt idx="1100">
                  <c:v>41157</c:v>
                </c:pt>
                <c:pt idx="1101">
                  <c:v>41158</c:v>
                </c:pt>
                <c:pt idx="1102">
                  <c:v>41159</c:v>
                </c:pt>
                <c:pt idx="1103">
                  <c:v>41160</c:v>
                </c:pt>
                <c:pt idx="1104">
                  <c:v>41161</c:v>
                </c:pt>
                <c:pt idx="1105">
                  <c:v>41162</c:v>
                </c:pt>
                <c:pt idx="1106">
                  <c:v>41163</c:v>
                </c:pt>
                <c:pt idx="1107">
                  <c:v>41164</c:v>
                </c:pt>
                <c:pt idx="1108">
                  <c:v>41165</c:v>
                </c:pt>
                <c:pt idx="1109">
                  <c:v>41166</c:v>
                </c:pt>
                <c:pt idx="1110">
                  <c:v>41167</c:v>
                </c:pt>
                <c:pt idx="1111">
                  <c:v>41168</c:v>
                </c:pt>
                <c:pt idx="1112">
                  <c:v>41169</c:v>
                </c:pt>
                <c:pt idx="1113">
                  <c:v>41170</c:v>
                </c:pt>
                <c:pt idx="1114">
                  <c:v>41171</c:v>
                </c:pt>
                <c:pt idx="1115">
                  <c:v>41172</c:v>
                </c:pt>
                <c:pt idx="1116">
                  <c:v>41173</c:v>
                </c:pt>
                <c:pt idx="1117">
                  <c:v>41174</c:v>
                </c:pt>
                <c:pt idx="1118">
                  <c:v>41175</c:v>
                </c:pt>
                <c:pt idx="1119">
                  <c:v>41176</c:v>
                </c:pt>
                <c:pt idx="1120">
                  <c:v>41177</c:v>
                </c:pt>
                <c:pt idx="1121">
                  <c:v>41178</c:v>
                </c:pt>
                <c:pt idx="1122">
                  <c:v>41179</c:v>
                </c:pt>
                <c:pt idx="1123">
                  <c:v>41180</c:v>
                </c:pt>
                <c:pt idx="1124">
                  <c:v>41181</c:v>
                </c:pt>
                <c:pt idx="1125">
                  <c:v>41182</c:v>
                </c:pt>
                <c:pt idx="1126">
                  <c:v>41183</c:v>
                </c:pt>
                <c:pt idx="1127">
                  <c:v>41184</c:v>
                </c:pt>
                <c:pt idx="1128">
                  <c:v>41185</c:v>
                </c:pt>
                <c:pt idx="1129">
                  <c:v>41186</c:v>
                </c:pt>
                <c:pt idx="1130">
                  <c:v>41187</c:v>
                </c:pt>
                <c:pt idx="1131">
                  <c:v>41188</c:v>
                </c:pt>
                <c:pt idx="1132">
                  <c:v>41189</c:v>
                </c:pt>
                <c:pt idx="1133">
                  <c:v>41190</c:v>
                </c:pt>
                <c:pt idx="1134">
                  <c:v>41191</c:v>
                </c:pt>
                <c:pt idx="1135">
                  <c:v>41192</c:v>
                </c:pt>
                <c:pt idx="1136">
                  <c:v>41193</c:v>
                </c:pt>
                <c:pt idx="1137">
                  <c:v>41194</c:v>
                </c:pt>
                <c:pt idx="1138">
                  <c:v>41195</c:v>
                </c:pt>
                <c:pt idx="1139">
                  <c:v>41196</c:v>
                </c:pt>
                <c:pt idx="1140">
                  <c:v>41197</c:v>
                </c:pt>
                <c:pt idx="1141">
                  <c:v>41198</c:v>
                </c:pt>
                <c:pt idx="1142">
                  <c:v>41199</c:v>
                </c:pt>
                <c:pt idx="1143">
                  <c:v>41200</c:v>
                </c:pt>
                <c:pt idx="1144">
                  <c:v>41201</c:v>
                </c:pt>
                <c:pt idx="1145">
                  <c:v>41202</c:v>
                </c:pt>
                <c:pt idx="1146">
                  <c:v>41203</c:v>
                </c:pt>
                <c:pt idx="1147">
                  <c:v>41204</c:v>
                </c:pt>
                <c:pt idx="1148">
                  <c:v>41205</c:v>
                </c:pt>
                <c:pt idx="1149">
                  <c:v>41206</c:v>
                </c:pt>
                <c:pt idx="1150">
                  <c:v>41207</c:v>
                </c:pt>
                <c:pt idx="1151">
                  <c:v>41208</c:v>
                </c:pt>
                <c:pt idx="1152">
                  <c:v>41209</c:v>
                </c:pt>
                <c:pt idx="1153">
                  <c:v>41210</c:v>
                </c:pt>
                <c:pt idx="1154">
                  <c:v>41211</c:v>
                </c:pt>
                <c:pt idx="1155">
                  <c:v>41212</c:v>
                </c:pt>
                <c:pt idx="1156">
                  <c:v>41213</c:v>
                </c:pt>
                <c:pt idx="1157">
                  <c:v>41214</c:v>
                </c:pt>
                <c:pt idx="1158">
                  <c:v>41215</c:v>
                </c:pt>
                <c:pt idx="1159">
                  <c:v>41216</c:v>
                </c:pt>
                <c:pt idx="1160">
                  <c:v>41217</c:v>
                </c:pt>
                <c:pt idx="1161">
                  <c:v>41218</c:v>
                </c:pt>
                <c:pt idx="1162">
                  <c:v>41219</c:v>
                </c:pt>
                <c:pt idx="1163">
                  <c:v>41220</c:v>
                </c:pt>
                <c:pt idx="1164">
                  <c:v>41221</c:v>
                </c:pt>
                <c:pt idx="1165">
                  <c:v>41222</c:v>
                </c:pt>
                <c:pt idx="1166">
                  <c:v>41223</c:v>
                </c:pt>
                <c:pt idx="1167">
                  <c:v>41224</c:v>
                </c:pt>
                <c:pt idx="1168">
                  <c:v>41225</c:v>
                </c:pt>
                <c:pt idx="1169">
                  <c:v>41226</c:v>
                </c:pt>
                <c:pt idx="1170">
                  <c:v>41227</c:v>
                </c:pt>
                <c:pt idx="1171">
                  <c:v>41228</c:v>
                </c:pt>
                <c:pt idx="1172">
                  <c:v>41229</c:v>
                </c:pt>
                <c:pt idx="1173">
                  <c:v>41230</c:v>
                </c:pt>
                <c:pt idx="1174">
                  <c:v>41231</c:v>
                </c:pt>
                <c:pt idx="1175">
                  <c:v>41232</c:v>
                </c:pt>
                <c:pt idx="1176">
                  <c:v>41233</c:v>
                </c:pt>
                <c:pt idx="1177">
                  <c:v>41234</c:v>
                </c:pt>
                <c:pt idx="1178">
                  <c:v>41235</c:v>
                </c:pt>
                <c:pt idx="1179">
                  <c:v>41236</c:v>
                </c:pt>
                <c:pt idx="1180">
                  <c:v>41237</c:v>
                </c:pt>
                <c:pt idx="1181">
                  <c:v>41238</c:v>
                </c:pt>
                <c:pt idx="1182">
                  <c:v>41239</c:v>
                </c:pt>
                <c:pt idx="1183">
                  <c:v>41240</c:v>
                </c:pt>
                <c:pt idx="1184">
                  <c:v>41241</c:v>
                </c:pt>
                <c:pt idx="1185">
                  <c:v>41242</c:v>
                </c:pt>
                <c:pt idx="1186">
                  <c:v>41243</c:v>
                </c:pt>
                <c:pt idx="1187">
                  <c:v>41244</c:v>
                </c:pt>
                <c:pt idx="1188">
                  <c:v>41245</c:v>
                </c:pt>
                <c:pt idx="1189">
                  <c:v>41246</c:v>
                </c:pt>
                <c:pt idx="1190">
                  <c:v>41247</c:v>
                </c:pt>
                <c:pt idx="1191">
                  <c:v>41248</c:v>
                </c:pt>
                <c:pt idx="1192">
                  <c:v>41249</c:v>
                </c:pt>
                <c:pt idx="1193">
                  <c:v>41250</c:v>
                </c:pt>
                <c:pt idx="1194">
                  <c:v>41251</c:v>
                </c:pt>
                <c:pt idx="1195">
                  <c:v>41252</c:v>
                </c:pt>
                <c:pt idx="1196">
                  <c:v>41253</c:v>
                </c:pt>
                <c:pt idx="1197">
                  <c:v>41254</c:v>
                </c:pt>
                <c:pt idx="1198">
                  <c:v>41255</c:v>
                </c:pt>
                <c:pt idx="1199">
                  <c:v>41256</c:v>
                </c:pt>
                <c:pt idx="1200">
                  <c:v>41257</c:v>
                </c:pt>
                <c:pt idx="1201">
                  <c:v>41258</c:v>
                </c:pt>
                <c:pt idx="1202">
                  <c:v>41259</c:v>
                </c:pt>
                <c:pt idx="1203">
                  <c:v>41260</c:v>
                </c:pt>
                <c:pt idx="1204">
                  <c:v>41261</c:v>
                </c:pt>
                <c:pt idx="1205">
                  <c:v>41262</c:v>
                </c:pt>
                <c:pt idx="1206">
                  <c:v>41263</c:v>
                </c:pt>
                <c:pt idx="1207">
                  <c:v>41264</c:v>
                </c:pt>
                <c:pt idx="1208">
                  <c:v>41265</c:v>
                </c:pt>
                <c:pt idx="1209">
                  <c:v>41266</c:v>
                </c:pt>
                <c:pt idx="1210">
                  <c:v>41267</c:v>
                </c:pt>
                <c:pt idx="1211">
                  <c:v>41268</c:v>
                </c:pt>
                <c:pt idx="1212">
                  <c:v>41269</c:v>
                </c:pt>
                <c:pt idx="1213">
                  <c:v>41270</c:v>
                </c:pt>
                <c:pt idx="1214">
                  <c:v>41271</c:v>
                </c:pt>
                <c:pt idx="1215">
                  <c:v>41272</c:v>
                </c:pt>
                <c:pt idx="1216">
                  <c:v>41273</c:v>
                </c:pt>
                <c:pt idx="1217">
                  <c:v>41274</c:v>
                </c:pt>
                <c:pt idx="1218">
                  <c:v>41275</c:v>
                </c:pt>
                <c:pt idx="1219">
                  <c:v>41276</c:v>
                </c:pt>
                <c:pt idx="1220">
                  <c:v>41277</c:v>
                </c:pt>
                <c:pt idx="1221">
                  <c:v>41278</c:v>
                </c:pt>
                <c:pt idx="1222">
                  <c:v>41279</c:v>
                </c:pt>
                <c:pt idx="1223">
                  <c:v>41280</c:v>
                </c:pt>
                <c:pt idx="1224">
                  <c:v>41281</c:v>
                </c:pt>
                <c:pt idx="1225">
                  <c:v>41282</c:v>
                </c:pt>
                <c:pt idx="1226">
                  <c:v>41283</c:v>
                </c:pt>
                <c:pt idx="1227">
                  <c:v>41284</c:v>
                </c:pt>
                <c:pt idx="1228">
                  <c:v>41285</c:v>
                </c:pt>
                <c:pt idx="1229">
                  <c:v>41286</c:v>
                </c:pt>
                <c:pt idx="1230">
                  <c:v>41287</c:v>
                </c:pt>
                <c:pt idx="1231">
                  <c:v>41288</c:v>
                </c:pt>
                <c:pt idx="1232">
                  <c:v>41289</c:v>
                </c:pt>
                <c:pt idx="1233">
                  <c:v>41290</c:v>
                </c:pt>
                <c:pt idx="1234">
                  <c:v>41291</c:v>
                </c:pt>
                <c:pt idx="1235">
                  <c:v>41292</c:v>
                </c:pt>
                <c:pt idx="1236">
                  <c:v>41293</c:v>
                </c:pt>
                <c:pt idx="1237">
                  <c:v>41294</c:v>
                </c:pt>
                <c:pt idx="1238">
                  <c:v>41295</c:v>
                </c:pt>
                <c:pt idx="1239">
                  <c:v>41296</c:v>
                </c:pt>
                <c:pt idx="1240">
                  <c:v>41297</c:v>
                </c:pt>
                <c:pt idx="1241">
                  <c:v>41298</c:v>
                </c:pt>
                <c:pt idx="1242">
                  <c:v>41299</c:v>
                </c:pt>
                <c:pt idx="1243">
                  <c:v>41300</c:v>
                </c:pt>
                <c:pt idx="1244">
                  <c:v>41301</c:v>
                </c:pt>
                <c:pt idx="1245">
                  <c:v>41302</c:v>
                </c:pt>
                <c:pt idx="1246">
                  <c:v>41303</c:v>
                </c:pt>
                <c:pt idx="1247">
                  <c:v>41304</c:v>
                </c:pt>
                <c:pt idx="1248">
                  <c:v>41305</c:v>
                </c:pt>
                <c:pt idx="1249">
                  <c:v>41306</c:v>
                </c:pt>
                <c:pt idx="1250">
                  <c:v>41307</c:v>
                </c:pt>
                <c:pt idx="1251">
                  <c:v>41308</c:v>
                </c:pt>
                <c:pt idx="1252">
                  <c:v>41309</c:v>
                </c:pt>
                <c:pt idx="1253">
                  <c:v>41310</c:v>
                </c:pt>
                <c:pt idx="1254">
                  <c:v>41311</c:v>
                </c:pt>
                <c:pt idx="1255">
                  <c:v>41312</c:v>
                </c:pt>
                <c:pt idx="1256">
                  <c:v>41313</c:v>
                </c:pt>
                <c:pt idx="1257">
                  <c:v>41314</c:v>
                </c:pt>
                <c:pt idx="1258">
                  <c:v>41315</c:v>
                </c:pt>
                <c:pt idx="1259">
                  <c:v>41316</c:v>
                </c:pt>
                <c:pt idx="1260">
                  <c:v>41317</c:v>
                </c:pt>
                <c:pt idx="1261">
                  <c:v>41318</c:v>
                </c:pt>
                <c:pt idx="1262">
                  <c:v>41319</c:v>
                </c:pt>
                <c:pt idx="1263">
                  <c:v>41320</c:v>
                </c:pt>
                <c:pt idx="1264">
                  <c:v>41321</c:v>
                </c:pt>
                <c:pt idx="1265">
                  <c:v>41322</c:v>
                </c:pt>
                <c:pt idx="1266">
                  <c:v>41323</c:v>
                </c:pt>
                <c:pt idx="1267">
                  <c:v>41324</c:v>
                </c:pt>
                <c:pt idx="1268">
                  <c:v>41325</c:v>
                </c:pt>
                <c:pt idx="1269">
                  <c:v>41326</c:v>
                </c:pt>
                <c:pt idx="1270">
                  <c:v>41327</c:v>
                </c:pt>
                <c:pt idx="1271">
                  <c:v>41328</c:v>
                </c:pt>
                <c:pt idx="1272">
                  <c:v>41329</c:v>
                </c:pt>
                <c:pt idx="1273">
                  <c:v>41330</c:v>
                </c:pt>
                <c:pt idx="1274">
                  <c:v>41331</c:v>
                </c:pt>
                <c:pt idx="1275">
                  <c:v>41332</c:v>
                </c:pt>
                <c:pt idx="1276">
                  <c:v>41333</c:v>
                </c:pt>
                <c:pt idx="1277">
                  <c:v>41334</c:v>
                </c:pt>
                <c:pt idx="1278">
                  <c:v>41335</c:v>
                </c:pt>
                <c:pt idx="1279">
                  <c:v>41336</c:v>
                </c:pt>
                <c:pt idx="1280">
                  <c:v>41337</c:v>
                </c:pt>
                <c:pt idx="1281">
                  <c:v>41338</c:v>
                </c:pt>
                <c:pt idx="1282">
                  <c:v>41339</c:v>
                </c:pt>
                <c:pt idx="1283">
                  <c:v>41340</c:v>
                </c:pt>
                <c:pt idx="1284">
                  <c:v>41341</c:v>
                </c:pt>
                <c:pt idx="1285">
                  <c:v>41342</c:v>
                </c:pt>
                <c:pt idx="1286">
                  <c:v>41343</c:v>
                </c:pt>
                <c:pt idx="1287">
                  <c:v>41344</c:v>
                </c:pt>
                <c:pt idx="1288">
                  <c:v>41345</c:v>
                </c:pt>
                <c:pt idx="1289">
                  <c:v>41346</c:v>
                </c:pt>
                <c:pt idx="1290">
                  <c:v>41347</c:v>
                </c:pt>
                <c:pt idx="1291">
                  <c:v>41348</c:v>
                </c:pt>
                <c:pt idx="1292">
                  <c:v>41349</c:v>
                </c:pt>
                <c:pt idx="1293">
                  <c:v>41350</c:v>
                </c:pt>
                <c:pt idx="1294">
                  <c:v>41351</c:v>
                </c:pt>
                <c:pt idx="1295">
                  <c:v>41352</c:v>
                </c:pt>
                <c:pt idx="1296">
                  <c:v>41353</c:v>
                </c:pt>
                <c:pt idx="1297">
                  <c:v>41354</c:v>
                </c:pt>
                <c:pt idx="1298">
                  <c:v>41355</c:v>
                </c:pt>
                <c:pt idx="1299">
                  <c:v>41356</c:v>
                </c:pt>
                <c:pt idx="1300">
                  <c:v>41357</c:v>
                </c:pt>
                <c:pt idx="1301">
                  <c:v>41358</c:v>
                </c:pt>
                <c:pt idx="1302">
                  <c:v>41359</c:v>
                </c:pt>
                <c:pt idx="1303">
                  <c:v>41360</c:v>
                </c:pt>
                <c:pt idx="1304">
                  <c:v>41361</c:v>
                </c:pt>
                <c:pt idx="1305">
                  <c:v>41362</c:v>
                </c:pt>
                <c:pt idx="1306">
                  <c:v>41363</c:v>
                </c:pt>
                <c:pt idx="1307">
                  <c:v>41364</c:v>
                </c:pt>
                <c:pt idx="1308">
                  <c:v>41365</c:v>
                </c:pt>
                <c:pt idx="1309">
                  <c:v>41366</c:v>
                </c:pt>
                <c:pt idx="1310">
                  <c:v>41367</c:v>
                </c:pt>
                <c:pt idx="1311">
                  <c:v>41368</c:v>
                </c:pt>
                <c:pt idx="1312">
                  <c:v>41369</c:v>
                </c:pt>
                <c:pt idx="1313">
                  <c:v>41370</c:v>
                </c:pt>
                <c:pt idx="1314">
                  <c:v>41371</c:v>
                </c:pt>
                <c:pt idx="1315">
                  <c:v>41372</c:v>
                </c:pt>
                <c:pt idx="1316">
                  <c:v>41373</c:v>
                </c:pt>
                <c:pt idx="1317">
                  <c:v>41374</c:v>
                </c:pt>
                <c:pt idx="1318">
                  <c:v>41375</c:v>
                </c:pt>
                <c:pt idx="1319">
                  <c:v>41376</c:v>
                </c:pt>
                <c:pt idx="1320">
                  <c:v>41377</c:v>
                </c:pt>
                <c:pt idx="1321">
                  <c:v>41378</c:v>
                </c:pt>
                <c:pt idx="1322">
                  <c:v>41379</c:v>
                </c:pt>
                <c:pt idx="1323">
                  <c:v>41380</c:v>
                </c:pt>
                <c:pt idx="1324">
                  <c:v>41381</c:v>
                </c:pt>
                <c:pt idx="1325">
                  <c:v>41382</c:v>
                </c:pt>
                <c:pt idx="1326">
                  <c:v>41383</c:v>
                </c:pt>
                <c:pt idx="1327">
                  <c:v>41384</c:v>
                </c:pt>
                <c:pt idx="1328">
                  <c:v>41385</c:v>
                </c:pt>
                <c:pt idx="1329">
                  <c:v>41386</c:v>
                </c:pt>
                <c:pt idx="1330">
                  <c:v>41387</c:v>
                </c:pt>
                <c:pt idx="1331">
                  <c:v>41388</c:v>
                </c:pt>
                <c:pt idx="1332">
                  <c:v>41389</c:v>
                </c:pt>
                <c:pt idx="1333">
                  <c:v>41390</c:v>
                </c:pt>
                <c:pt idx="1334">
                  <c:v>41391</c:v>
                </c:pt>
                <c:pt idx="1335">
                  <c:v>41392</c:v>
                </c:pt>
                <c:pt idx="1336">
                  <c:v>41393</c:v>
                </c:pt>
                <c:pt idx="1337">
                  <c:v>41394</c:v>
                </c:pt>
                <c:pt idx="1338">
                  <c:v>41395</c:v>
                </c:pt>
                <c:pt idx="1339">
                  <c:v>41396</c:v>
                </c:pt>
                <c:pt idx="1340">
                  <c:v>41397</c:v>
                </c:pt>
                <c:pt idx="1341">
                  <c:v>41398</c:v>
                </c:pt>
                <c:pt idx="1342">
                  <c:v>41399</c:v>
                </c:pt>
                <c:pt idx="1343">
                  <c:v>41400</c:v>
                </c:pt>
                <c:pt idx="1344">
                  <c:v>41401</c:v>
                </c:pt>
                <c:pt idx="1345">
                  <c:v>41402</c:v>
                </c:pt>
                <c:pt idx="1346">
                  <c:v>41403</c:v>
                </c:pt>
                <c:pt idx="1347">
                  <c:v>41404</c:v>
                </c:pt>
                <c:pt idx="1348">
                  <c:v>41405</c:v>
                </c:pt>
                <c:pt idx="1349">
                  <c:v>41406</c:v>
                </c:pt>
                <c:pt idx="1350">
                  <c:v>41407</c:v>
                </c:pt>
                <c:pt idx="1351">
                  <c:v>41408</c:v>
                </c:pt>
                <c:pt idx="1352">
                  <c:v>41409</c:v>
                </c:pt>
                <c:pt idx="1353">
                  <c:v>41410</c:v>
                </c:pt>
                <c:pt idx="1354">
                  <c:v>41411</c:v>
                </c:pt>
                <c:pt idx="1355">
                  <c:v>41412</c:v>
                </c:pt>
                <c:pt idx="1356">
                  <c:v>41413</c:v>
                </c:pt>
                <c:pt idx="1357">
                  <c:v>41414</c:v>
                </c:pt>
                <c:pt idx="1358">
                  <c:v>41415</c:v>
                </c:pt>
                <c:pt idx="1359">
                  <c:v>41416</c:v>
                </c:pt>
                <c:pt idx="1360">
                  <c:v>41417</c:v>
                </c:pt>
                <c:pt idx="1361">
                  <c:v>41418</c:v>
                </c:pt>
                <c:pt idx="1362">
                  <c:v>41419</c:v>
                </c:pt>
                <c:pt idx="1363">
                  <c:v>41420</c:v>
                </c:pt>
                <c:pt idx="1364">
                  <c:v>41421</c:v>
                </c:pt>
                <c:pt idx="1365">
                  <c:v>41422</c:v>
                </c:pt>
                <c:pt idx="1366">
                  <c:v>41423</c:v>
                </c:pt>
                <c:pt idx="1367">
                  <c:v>41424</c:v>
                </c:pt>
                <c:pt idx="1368">
                  <c:v>41425</c:v>
                </c:pt>
                <c:pt idx="1369">
                  <c:v>41426</c:v>
                </c:pt>
                <c:pt idx="1370">
                  <c:v>41427</c:v>
                </c:pt>
                <c:pt idx="1371">
                  <c:v>41428</c:v>
                </c:pt>
                <c:pt idx="1372">
                  <c:v>41429</c:v>
                </c:pt>
                <c:pt idx="1373">
                  <c:v>41430</c:v>
                </c:pt>
                <c:pt idx="1374">
                  <c:v>41431</c:v>
                </c:pt>
                <c:pt idx="1375">
                  <c:v>41432</c:v>
                </c:pt>
                <c:pt idx="1376">
                  <c:v>41433</c:v>
                </c:pt>
                <c:pt idx="1377">
                  <c:v>41434</c:v>
                </c:pt>
                <c:pt idx="1378">
                  <c:v>41435</c:v>
                </c:pt>
                <c:pt idx="1379">
                  <c:v>41436</c:v>
                </c:pt>
                <c:pt idx="1380">
                  <c:v>41437</c:v>
                </c:pt>
                <c:pt idx="1381">
                  <c:v>41438</c:v>
                </c:pt>
                <c:pt idx="1382">
                  <c:v>41439</c:v>
                </c:pt>
                <c:pt idx="1383">
                  <c:v>41440</c:v>
                </c:pt>
                <c:pt idx="1384">
                  <c:v>41441</c:v>
                </c:pt>
                <c:pt idx="1385">
                  <c:v>41442</c:v>
                </c:pt>
                <c:pt idx="1386">
                  <c:v>41443</c:v>
                </c:pt>
                <c:pt idx="1387">
                  <c:v>41444</c:v>
                </c:pt>
                <c:pt idx="1388">
                  <c:v>41445</c:v>
                </c:pt>
                <c:pt idx="1389">
                  <c:v>41446</c:v>
                </c:pt>
                <c:pt idx="1390">
                  <c:v>41447</c:v>
                </c:pt>
                <c:pt idx="1391">
                  <c:v>41448</c:v>
                </c:pt>
                <c:pt idx="1392">
                  <c:v>41449</c:v>
                </c:pt>
                <c:pt idx="1393">
                  <c:v>41450</c:v>
                </c:pt>
                <c:pt idx="1394">
                  <c:v>41451</c:v>
                </c:pt>
                <c:pt idx="1395">
                  <c:v>41452</c:v>
                </c:pt>
                <c:pt idx="1396">
                  <c:v>41453</c:v>
                </c:pt>
                <c:pt idx="1397">
                  <c:v>41454</c:v>
                </c:pt>
                <c:pt idx="1398">
                  <c:v>41455</c:v>
                </c:pt>
                <c:pt idx="1399">
                  <c:v>41456</c:v>
                </c:pt>
                <c:pt idx="1400">
                  <c:v>41457</c:v>
                </c:pt>
                <c:pt idx="1401">
                  <c:v>41458</c:v>
                </c:pt>
                <c:pt idx="1402">
                  <c:v>41459</c:v>
                </c:pt>
                <c:pt idx="1403">
                  <c:v>41460</c:v>
                </c:pt>
                <c:pt idx="1404">
                  <c:v>41461</c:v>
                </c:pt>
                <c:pt idx="1405">
                  <c:v>41462</c:v>
                </c:pt>
                <c:pt idx="1406">
                  <c:v>41463</c:v>
                </c:pt>
                <c:pt idx="1407">
                  <c:v>41464</c:v>
                </c:pt>
                <c:pt idx="1408">
                  <c:v>41465</c:v>
                </c:pt>
                <c:pt idx="1409">
                  <c:v>41466</c:v>
                </c:pt>
                <c:pt idx="1410">
                  <c:v>41467</c:v>
                </c:pt>
                <c:pt idx="1411">
                  <c:v>41468</c:v>
                </c:pt>
                <c:pt idx="1412">
                  <c:v>41469</c:v>
                </c:pt>
                <c:pt idx="1413">
                  <c:v>41470</c:v>
                </c:pt>
                <c:pt idx="1414">
                  <c:v>41471</c:v>
                </c:pt>
                <c:pt idx="1415">
                  <c:v>41472</c:v>
                </c:pt>
                <c:pt idx="1416">
                  <c:v>41473</c:v>
                </c:pt>
                <c:pt idx="1417">
                  <c:v>41474</c:v>
                </c:pt>
                <c:pt idx="1418">
                  <c:v>41475</c:v>
                </c:pt>
                <c:pt idx="1419">
                  <c:v>41476</c:v>
                </c:pt>
                <c:pt idx="1420">
                  <c:v>41477</c:v>
                </c:pt>
                <c:pt idx="1421">
                  <c:v>41478</c:v>
                </c:pt>
                <c:pt idx="1422">
                  <c:v>41479</c:v>
                </c:pt>
                <c:pt idx="1423">
                  <c:v>41480</c:v>
                </c:pt>
                <c:pt idx="1424">
                  <c:v>41481</c:v>
                </c:pt>
                <c:pt idx="1425">
                  <c:v>41482</c:v>
                </c:pt>
                <c:pt idx="1426">
                  <c:v>41483</c:v>
                </c:pt>
                <c:pt idx="1427">
                  <c:v>41484</c:v>
                </c:pt>
                <c:pt idx="1428">
                  <c:v>41485</c:v>
                </c:pt>
                <c:pt idx="1429">
                  <c:v>41486</c:v>
                </c:pt>
                <c:pt idx="1430">
                  <c:v>41487</c:v>
                </c:pt>
                <c:pt idx="1431">
                  <c:v>41488</c:v>
                </c:pt>
                <c:pt idx="1432">
                  <c:v>41489</c:v>
                </c:pt>
                <c:pt idx="1433">
                  <c:v>41490</c:v>
                </c:pt>
                <c:pt idx="1434">
                  <c:v>41491</c:v>
                </c:pt>
                <c:pt idx="1435">
                  <c:v>41492</c:v>
                </c:pt>
                <c:pt idx="1436">
                  <c:v>41493</c:v>
                </c:pt>
                <c:pt idx="1437">
                  <c:v>41494</c:v>
                </c:pt>
                <c:pt idx="1438">
                  <c:v>41495</c:v>
                </c:pt>
                <c:pt idx="1439">
                  <c:v>41496</c:v>
                </c:pt>
                <c:pt idx="1440">
                  <c:v>41497</c:v>
                </c:pt>
                <c:pt idx="1441">
                  <c:v>41498</c:v>
                </c:pt>
                <c:pt idx="1442">
                  <c:v>41499</c:v>
                </c:pt>
                <c:pt idx="1443">
                  <c:v>41500</c:v>
                </c:pt>
                <c:pt idx="1444">
                  <c:v>41501</c:v>
                </c:pt>
                <c:pt idx="1445">
                  <c:v>41502</c:v>
                </c:pt>
                <c:pt idx="1446">
                  <c:v>41503</c:v>
                </c:pt>
                <c:pt idx="1447">
                  <c:v>41504</c:v>
                </c:pt>
                <c:pt idx="1448">
                  <c:v>41505</c:v>
                </c:pt>
                <c:pt idx="1449">
                  <c:v>41506</c:v>
                </c:pt>
                <c:pt idx="1450">
                  <c:v>41507</c:v>
                </c:pt>
                <c:pt idx="1451">
                  <c:v>41508</c:v>
                </c:pt>
                <c:pt idx="1452">
                  <c:v>41509</c:v>
                </c:pt>
                <c:pt idx="1453">
                  <c:v>41510</c:v>
                </c:pt>
                <c:pt idx="1454">
                  <c:v>41511</c:v>
                </c:pt>
                <c:pt idx="1455">
                  <c:v>41512</c:v>
                </c:pt>
                <c:pt idx="1456">
                  <c:v>41513</c:v>
                </c:pt>
                <c:pt idx="1457">
                  <c:v>41514</c:v>
                </c:pt>
                <c:pt idx="1458">
                  <c:v>41515</c:v>
                </c:pt>
                <c:pt idx="1459">
                  <c:v>41516</c:v>
                </c:pt>
              </c:numCache>
            </c:numRef>
          </c:cat>
          <c:val>
            <c:numRef>
              <c:f>'plot1-tc-par-djalk-sedpar-slope'!$T$2:$T$1461</c:f>
              <c:numCache>
                <c:formatCode>General</c:formatCode>
                <c:ptCount val="1460"/>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1.9762920000000843E-3</c:v>
                </c:pt>
                <c:pt idx="26">
                  <c:v>1.9762920000000843E-3</c:v>
                </c:pt>
                <c:pt idx="27">
                  <c:v>1.9762920000000843E-3</c:v>
                </c:pt>
                <c:pt idx="28">
                  <c:v>1.9762920000000843E-3</c:v>
                </c:pt>
                <c:pt idx="29">
                  <c:v>1.9762920000000843E-3</c:v>
                </c:pt>
                <c:pt idx="30">
                  <c:v>1.9762920000000843E-3</c:v>
                </c:pt>
                <c:pt idx="31">
                  <c:v>1.9762920000000843E-3</c:v>
                </c:pt>
                <c:pt idx="32">
                  <c:v>1.9762920000000843E-3</c:v>
                </c:pt>
                <c:pt idx="33">
                  <c:v>1.9762920000000843E-3</c:v>
                </c:pt>
                <c:pt idx="34">
                  <c:v>1.9762920000000843E-3</c:v>
                </c:pt>
                <c:pt idx="35">
                  <c:v>1.9762920000000843E-3</c:v>
                </c:pt>
                <c:pt idx="36">
                  <c:v>1.9762920000000843E-3</c:v>
                </c:pt>
                <c:pt idx="37">
                  <c:v>1.9762920000000843E-3</c:v>
                </c:pt>
                <c:pt idx="38">
                  <c:v>1.9762920000000843E-3</c:v>
                </c:pt>
                <c:pt idx="39">
                  <c:v>1.9762920000000843E-3</c:v>
                </c:pt>
                <c:pt idx="40">
                  <c:v>1.9762920000000843E-3</c:v>
                </c:pt>
                <c:pt idx="41">
                  <c:v>1.9762920000000843E-3</c:v>
                </c:pt>
                <c:pt idx="42">
                  <c:v>1.9762920000000843E-3</c:v>
                </c:pt>
                <c:pt idx="43">
                  <c:v>1.9762920000000843E-3</c:v>
                </c:pt>
                <c:pt idx="44">
                  <c:v>1.9762920000000843E-3</c:v>
                </c:pt>
                <c:pt idx="45">
                  <c:v>1.9762920000000843E-3</c:v>
                </c:pt>
                <c:pt idx="46">
                  <c:v>1.9762920000000843E-3</c:v>
                </c:pt>
                <c:pt idx="47">
                  <c:v>1.9762920000000843E-3</c:v>
                </c:pt>
                <c:pt idx="48">
                  <c:v>1.9762920000000843E-3</c:v>
                </c:pt>
                <c:pt idx="49">
                  <c:v>1.9762920000000843E-3</c:v>
                </c:pt>
                <c:pt idx="50">
                  <c:v>1.9762920000000843E-3</c:v>
                </c:pt>
                <c:pt idx="51">
                  <c:v>1.9762920000000843E-3</c:v>
                </c:pt>
                <c:pt idx="52">
                  <c:v>1.9762920000000843E-3</c:v>
                </c:pt>
                <c:pt idx="53">
                  <c:v>1.9762920000000843E-3</c:v>
                </c:pt>
                <c:pt idx="54">
                  <c:v>1.9762920000000843E-3</c:v>
                </c:pt>
                <c:pt idx="55">
                  <c:v>1.9762920000000843E-3</c:v>
                </c:pt>
                <c:pt idx="56">
                  <c:v>1.9762920000000843E-3</c:v>
                </c:pt>
                <c:pt idx="57">
                  <c:v>1.9762920000000843E-3</c:v>
                </c:pt>
                <c:pt idx="58">
                  <c:v>1.9762920000000843E-3</c:v>
                </c:pt>
                <c:pt idx="59">
                  <c:v>1.9762920000000843E-3</c:v>
                </c:pt>
                <c:pt idx="60">
                  <c:v>1.9762920000000843E-3</c:v>
                </c:pt>
                <c:pt idx="61">
                  <c:v>1.9762920000000843E-3</c:v>
                </c:pt>
                <c:pt idx="62">
                  <c:v>1.9762920000000843E-3</c:v>
                </c:pt>
                <c:pt idx="63">
                  <c:v>1.9762920000000843E-3</c:v>
                </c:pt>
                <c:pt idx="64">
                  <c:v>1.9762920000000843E-3</c:v>
                </c:pt>
                <c:pt idx="65">
                  <c:v>1.9762920000000843E-3</c:v>
                </c:pt>
                <c:pt idx="66">
                  <c:v>1.9762920000000843E-3</c:v>
                </c:pt>
                <c:pt idx="67">
                  <c:v>1.9762920000000843E-3</c:v>
                </c:pt>
                <c:pt idx="68">
                  <c:v>1.9762920000000843E-3</c:v>
                </c:pt>
                <c:pt idx="69">
                  <c:v>1.9762920000000843E-3</c:v>
                </c:pt>
                <c:pt idx="70">
                  <c:v>1.9762920000000843E-3</c:v>
                </c:pt>
                <c:pt idx="71">
                  <c:v>1.9762920000000843E-3</c:v>
                </c:pt>
                <c:pt idx="72">
                  <c:v>7.0498680000004301E-3</c:v>
                </c:pt>
                <c:pt idx="73">
                  <c:v>7.0498680000004301E-3</c:v>
                </c:pt>
                <c:pt idx="74">
                  <c:v>7.0498680000004301E-3</c:v>
                </c:pt>
                <c:pt idx="75">
                  <c:v>7.0498680000004301E-3</c:v>
                </c:pt>
                <c:pt idx="76">
                  <c:v>7.0498680000004301E-3</c:v>
                </c:pt>
                <c:pt idx="77">
                  <c:v>7.0498680000004301E-3</c:v>
                </c:pt>
                <c:pt idx="78">
                  <c:v>7.0498680000004301E-3</c:v>
                </c:pt>
                <c:pt idx="79">
                  <c:v>7.0498680000004301E-3</c:v>
                </c:pt>
                <c:pt idx="80">
                  <c:v>7.0498680000004301E-3</c:v>
                </c:pt>
                <c:pt idx="81">
                  <c:v>7.0498680000004301E-3</c:v>
                </c:pt>
                <c:pt idx="82">
                  <c:v>7.0498680000004301E-3</c:v>
                </c:pt>
                <c:pt idx="83">
                  <c:v>7.0498680000004301E-3</c:v>
                </c:pt>
                <c:pt idx="84">
                  <c:v>7.0498680000004301E-3</c:v>
                </c:pt>
                <c:pt idx="85">
                  <c:v>7.0498680000004301E-3</c:v>
                </c:pt>
                <c:pt idx="86">
                  <c:v>7.0498680000004301E-3</c:v>
                </c:pt>
                <c:pt idx="87">
                  <c:v>7.0498680000004301E-3</c:v>
                </c:pt>
                <c:pt idx="88">
                  <c:v>7.0498680000004301E-3</c:v>
                </c:pt>
                <c:pt idx="89">
                  <c:v>7.0498680000004301E-3</c:v>
                </c:pt>
                <c:pt idx="90">
                  <c:v>7.0498680000004301E-3</c:v>
                </c:pt>
                <c:pt idx="91">
                  <c:v>7.0498680000004301E-3</c:v>
                </c:pt>
                <c:pt idx="92">
                  <c:v>7.0498680000004301E-3</c:v>
                </c:pt>
                <c:pt idx="93">
                  <c:v>9.3668800000005267E-3</c:v>
                </c:pt>
                <c:pt idx="94">
                  <c:v>9.3668800000005267E-3</c:v>
                </c:pt>
                <c:pt idx="95">
                  <c:v>9.3668800000005267E-3</c:v>
                </c:pt>
                <c:pt idx="96">
                  <c:v>9.3668800000005267E-3</c:v>
                </c:pt>
                <c:pt idx="97">
                  <c:v>9.3668800000005267E-3</c:v>
                </c:pt>
                <c:pt idx="98">
                  <c:v>9.3668800000005267E-3</c:v>
                </c:pt>
                <c:pt idx="99">
                  <c:v>9.3668800000005267E-3</c:v>
                </c:pt>
                <c:pt idx="100">
                  <c:v>9.3668800000005267E-3</c:v>
                </c:pt>
                <c:pt idx="101">
                  <c:v>9.8281080000000021E-3</c:v>
                </c:pt>
                <c:pt idx="102">
                  <c:v>9.8281080000000021E-3</c:v>
                </c:pt>
                <c:pt idx="103">
                  <c:v>9.8281080000000021E-3</c:v>
                </c:pt>
                <c:pt idx="104">
                  <c:v>9.8281080000000021E-3</c:v>
                </c:pt>
                <c:pt idx="105">
                  <c:v>9.8281080000000021E-3</c:v>
                </c:pt>
                <c:pt idx="106">
                  <c:v>9.8281080000000021E-3</c:v>
                </c:pt>
                <c:pt idx="107">
                  <c:v>9.8281080000000021E-3</c:v>
                </c:pt>
                <c:pt idx="108">
                  <c:v>1.0123363999999998E-2</c:v>
                </c:pt>
                <c:pt idx="109">
                  <c:v>1.0123363999999998E-2</c:v>
                </c:pt>
                <c:pt idx="110">
                  <c:v>1.0123363999999998E-2</c:v>
                </c:pt>
                <c:pt idx="111">
                  <c:v>1.0123363999999998E-2</c:v>
                </c:pt>
                <c:pt idx="112">
                  <c:v>1.0123363999999998E-2</c:v>
                </c:pt>
                <c:pt idx="113">
                  <c:v>1.0123363999999998E-2</c:v>
                </c:pt>
                <c:pt idx="114">
                  <c:v>1.0123363999999998E-2</c:v>
                </c:pt>
                <c:pt idx="115">
                  <c:v>1.0123363999999998E-2</c:v>
                </c:pt>
                <c:pt idx="116">
                  <c:v>1.0123363999999998E-2</c:v>
                </c:pt>
                <c:pt idx="117">
                  <c:v>1.0123363999999998E-2</c:v>
                </c:pt>
                <c:pt idx="118">
                  <c:v>1.0123363999999998E-2</c:v>
                </c:pt>
                <c:pt idx="119">
                  <c:v>1.0123363999999998E-2</c:v>
                </c:pt>
                <c:pt idx="120">
                  <c:v>1.0123363999999998E-2</c:v>
                </c:pt>
                <c:pt idx="121">
                  <c:v>1.0123363999999998E-2</c:v>
                </c:pt>
                <c:pt idx="122">
                  <c:v>1.0123363999999998E-2</c:v>
                </c:pt>
                <c:pt idx="123">
                  <c:v>1.0123363999999998E-2</c:v>
                </c:pt>
                <c:pt idx="124">
                  <c:v>1.0123363999999998E-2</c:v>
                </c:pt>
                <c:pt idx="125">
                  <c:v>1.0123363999999998E-2</c:v>
                </c:pt>
                <c:pt idx="126">
                  <c:v>1.0123363999999998E-2</c:v>
                </c:pt>
                <c:pt idx="127">
                  <c:v>1.0123363999999998E-2</c:v>
                </c:pt>
                <c:pt idx="128">
                  <c:v>1.5919004E-2</c:v>
                </c:pt>
                <c:pt idx="129">
                  <c:v>1.5919004E-2</c:v>
                </c:pt>
                <c:pt idx="130">
                  <c:v>1.6334656000000003E-2</c:v>
                </c:pt>
                <c:pt idx="131">
                  <c:v>1.6334656000000003E-2</c:v>
                </c:pt>
                <c:pt idx="132">
                  <c:v>1.6334656000000003E-2</c:v>
                </c:pt>
                <c:pt idx="133">
                  <c:v>1.6334656000000003E-2</c:v>
                </c:pt>
                <c:pt idx="134">
                  <c:v>1.6334656000000003E-2</c:v>
                </c:pt>
                <c:pt idx="135">
                  <c:v>1.6334656000000003E-2</c:v>
                </c:pt>
                <c:pt idx="136">
                  <c:v>1.6334656000000003E-2</c:v>
                </c:pt>
                <c:pt idx="137">
                  <c:v>1.6334656000000003E-2</c:v>
                </c:pt>
                <c:pt idx="138">
                  <c:v>1.6334656000000003E-2</c:v>
                </c:pt>
                <c:pt idx="139">
                  <c:v>1.6334656000000003E-2</c:v>
                </c:pt>
                <c:pt idx="140">
                  <c:v>1.6334656000000003E-2</c:v>
                </c:pt>
                <c:pt idx="141">
                  <c:v>1.6334656000000003E-2</c:v>
                </c:pt>
                <c:pt idx="142">
                  <c:v>1.8834512000000001E-2</c:v>
                </c:pt>
                <c:pt idx="143">
                  <c:v>1.8834512000000001E-2</c:v>
                </c:pt>
                <c:pt idx="144">
                  <c:v>1.8834512000000001E-2</c:v>
                </c:pt>
                <c:pt idx="145">
                  <c:v>1.8834512000000001E-2</c:v>
                </c:pt>
                <c:pt idx="146">
                  <c:v>1.8834512000000001E-2</c:v>
                </c:pt>
                <c:pt idx="147">
                  <c:v>1.8834512000000001E-2</c:v>
                </c:pt>
                <c:pt idx="148">
                  <c:v>1.8834512000000001E-2</c:v>
                </c:pt>
                <c:pt idx="149">
                  <c:v>1.8834512000000001E-2</c:v>
                </c:pt>
                <c:pt idx="150">
                  <c:v>2.2404324000000052E-2</c:v>
                </c:pt>
                <c:pt idx="151">
                  <c:v>2.2404324000000052E-2</c:v>
                </c:pt>
                <c:pt idx="152">
                  <c:v>2.2404324000000052E-2</c:v>
                </c:pt>
                <c:pt idx="153">
                  <c:v>2.2404324000000052E-2</c:v>
                </c:pt>
                <c:pt idx="154">
                  <c:v>2.2404324000000052E-2</c:v>
                </c:pt>
                <c:pt idx="155">
                  <c:v>2.2404324000000052E-2</c:v>
                </c:pt>
                <c:pt idx="156">
                  <c:v>2.2404324000000052E-2</c:v>
                </c:pt>
                <c:pt idx="157">
                  <c:v>2.2404324000000052E-2</c:v>
                </c:pt>
                <c:pt idx="158">
                  <c:v>2.4519108000000012E-2</c:v>
                </c:pt>
                <c:pt idx="159">
                  <c:v>2.4519108000000012E-2</c:v>
                </c:pt>
                <c:pt idx="160">
                  <c:v>2.4519108000000012E-2</c:v>
                </c:pt>
                <c:pt idx="161">
                  <c:v>2.4519108000000012E-2</c:v>
                </c:pt>
                <c:pt idx="162">
                  <c:v>2.4519108000000012E-2</c:v>
                </c:pt>
                <c:pt idx="163">
                  <c:v>2.4519108000000012E-2</c:v>
                </c:pt>
                <c:pt idx="164">
                  <c:v>2.4519108000000012E-2</c:v>
                </c:pt>
                <c:pt idx="165">
                  <c:v>2.4519108000000012E-2</c:v>
                </c:pt>
                <c:pt idx="166">
                  <c:v>2.4519108000000012E-2</c:v>
                </c:pt>
                <c:pt idx="167">
                  <c:v>2.4519108000000012E-2</c:v>
                </c:pt>
                <c:pt idx="168">
                  <c:v>2.4519108000000012E-2</c:v>
                </c:pt>
                <c:pt idx="169">
                  <c:v>2.4519108000000012E-2</c:v>
                </c:pt>
                <c:pt idx="170">
                  <c:v>2.5764979999999993E-2</c:v>
                </c:pt>
                <c:pt idx="171">
                  <c:v>2.5764979999999993E-2</c:v>
                </c:pt>
                <c:pt idx="172">
                  <c:v>2.5764979999999993E-2</c:v>
                </c:pt>
                <c:pt idx="173">
                  <c:v>2.5764979999999993E-2</c:v>
                </c:pt>
                <c:pt idx="174">
                  <c:v>2.5764979999999993E-2</c:v>
                </c:pt>
                <c:pt idx="175">
                  <c:v>2.5764979999999993E-2</c:v>
                </c:pt>
                <c:pt idx="176">
                  <c:v>2.6248336000000611E-2</c:v>
                </c:pt>
                <c:pt idx="177">
                  <c:v>2.6248336000000611E-2</c:v>
                </c:pt>
                <c:pt idx="178">
                  <c:v>2.6248336000000611E-2</c:v>
                </c:pt>
                <c:pt idx="179">
                  <c:v>2.6248336000000611E-2</c:v>
                </c:pt>
                <c:pt idx="180">
                  <c:v>2.6248336000000611E-2</c:v>
                </c:pt>
                <c:pt idx="181">
                  <c:v>2.6248336000000611E-2</c:v>
                </c:pt>
                <c:pt idx="182">
                  <c:v>2.6248336000000611E-2</c:v>
                </c:pt>
                <c:pt idx="183">
                  <c:v>2.6248336000000611E-2</c:v>
                </c:pt>
                <c:pt idx="184">
                  <c:v>2.8346787999999998E-2</c:v>
                </c:pt>
                <c:pt idx="185">
                  <c:v>2.8346787999999998E-2</c:v>
                </c:pt>
                <c:pt idx="186">
                  <c:v>2.8346787999999998E-2</c:v>
                </c:pt>
                <c:pt idx="187">
                  <c:v>2.8346787999999998E-2</c:v>
                </c:pt>
                <c:pt idx="188">
                  <c:v>2.8346787999999998E-2</c:v>
                </c:pt>
                <c:pt idx="189">
                  <c:v>2.8346787999999998E-2</c:v>
                </c:pt>
                <c:pt idx="190">
                  <c:v>2.8346787999999998E-2</c:v>
                </c:pt>
                <c:pt idx="191">
                  <c:v>2.8346787999999998E-2</c:v>
                </c:pt>
                <c:pt idx="192">
                  <c:v>2.8346787999999998E-2</c:v>
                </c:pt>
                <c:pt idx="193">
                  <c:v>2.8346787999999998E-2</c:v>
                </c:pt>
                <c:pt idx="194">
                  <c:v>2.8346787999999998E-2</c:v>
                </c:pt>
                <c:pt idx="195">
                  <c:v>2.8346787999999998E-2</c:v>
                </c:pt>
                <c:pt idx="196">
                  <c:v>2.8346787999999998E-2</c:v>
                </c:pt>
                <c:pt idx="197">
                  <c:v>2.8346787999999998E-2</c:v>
                </c:pt>
                <c:pt idx="198">
                  <c:v>2.8956831999999988E-2</c:v>
                </c:pt>
                <c:pt idx="199">
                  <c:v>2.8956831999999988E-2</c:v>
                </c:pt>
                <c:pt idx="200">
                  <c:v>2.8956831999999988E-2</c:v>
                </c:pt>
                <c:pt idx="201">
                  <c:v>2.8956831999999988E-2</c:v>
                </c:pt>
                <c:pt idx="202">
                  <c:v>2.8956831999999988E-2</c:v>
                </c:pt>
                <c:pt idx="203">
                  <c:v>2.8956831999999988E-2</c:v>
                </c:pt>
                <c:pt idx="204">
                  <c:v>2.8956831999999988E-2</c:v>
                </c:pt>
                <c:pt idx="205">
                  <c:v>2.8956831999999988E-2</c:v>
                </c:pt>
                <c:pt idx="206">
                  <c:v>2.8956831999999988E-2</c:v>
                </c:pt>
                <c:pt idx="207">
                  <c:v>2.8956831999999988E-2</c:v>
                </c:pt>
                <c:pt idx="208">
                  <c:v>2.8956831999999988E-2</c:v>
                </c:pt>
                <c:pt idx="209">
                  <c:v>2.8956831999999988E-2</c:v>
                </c:pt>
                <c:pt idx="210">
                  <c:v>2.8956831999999988E-2</c:v>
                </c:pt>
                <c:pt idx="211">
                  <c:v>2.8956831999999988E-2</c:v>
                </c:pt>
                <c:pt idx="212">
                  <c:v>3.1098408000000011E-2</c:v>
                </c:pt>
                <c:pt idx="213">
                  <c:v>3.1098408000000011E-2</c:v>
                </c:pt>
                <c:pt idx="214">
                  <c:v>3.1098408000000011E-2</c:v>
                </c:pt>
                <c:pt idx="215">
                  <c:v>3.1098408000000011E-2</c:v>
                </c:pt>
                <c:pt idx="216">
                  <c:v>3.1098408000000011E-2</c:v>
                </c:pt>
                <c:pt idx="217">
                  <c:v>3.1098408000000011E-2</c:v>
                </c:pt>
                <c:pt idx="218">
                  <c:v>3.1098408000000011E-2</c:v>
                </c:pt>
                <c:pt idx="219">
                  <c:v>3.1098408000000011E-2</c:v>
                </c:pt>
                <c:pt idx="220">
                  <c:v>3.2464080000000006E-2</c:v>
                </c:pt>
                <c:pt idx="221">
                  <c:v>3.2464080000000006E-2</c:v>
                </c:pt>
                <c:pt idx="222">
                  <c:v>3.2464080000000006E-2</c:v>
                </c:pt>
                <c:pt idx="223">
                  <c:v>3.2464080000000006E-2</c:v>
                </c:pt>
                <c:pt idx="224">
                  <c:v>3.2464080000000006E-2</c:v>
                </c:pt>
                <c:pt idx="225">
                  <c:v>3.2464080000000006E-2</c:v>
                </c:pt>
                <c:pt idx="226">
                  <c:v>3.2464080000000006E-2</c:v>
                </c:pt>
                <c:pt idx="227">
                  <c:v>3.8210848000000595E-2</c:v>
                </c:pt>
                <c:pt idx="228">
                  <c:v>3.8210848000000595E-2</c:v>
                </c:pt>
                <c:pt idx="229">
                  <c:v>3.8210848000000595E-2</c:v>
                </c:pt>
                <c:pt idx="230">
                  <c:v>3.8210848000000595E-2</c:v>
                </c:pt>
                <c:pt idx="231">
                  <c:v>3.8210848000000595E-2</c:v>
                </c:pt>
                <c:pt idx="232">
                  <c:v>3.8210848000000595E-2</c:v>
                </c:pt>
                <c:pt idx="233">
                  <c:v>3.8362675999999998E-2</c:v>
                </c:pt>
                <c:pt idx="234">
                  <c:v>3.8362675999999998E-2</c:v>
                </c:pt>
                <c:pt idx="235">
                  <c:v>3.8362675999999998E-2</c:v>
                </c:pt>
                <c:pt idx="236">
                  <c:v>3.8362675999999998E-2</c:v>
                </c:pt>
                <c:pt idx="237">
                  <c:v>3.8362675999999998E-2</c:v>
                </c:pt>
                <c:pt idx="238">
                  <c:v>3.8362675999999998E-2</c:v>
                </c:pt>
                <c:pt idx="239">
                  <c:v>3.8362675999999998E-2</c:v>
                </c:pt>
                <c:pt idx="240">
                  <c:v>3.8362675999999998E-2</c:v>
                </c:pt>
                <c:pt idx="241">
                  <c:v>3.8362675999999998E-2</c:v>
                </c:pt>
                <c:pt idx="242">
                  <c:v>3.8362675999999998E-2</c:v>
                </c:pt>
                <c:pt idx="243">
                  <c:v>3.8362675999999998E-2</c:v>
                </c:pt>
                <c:pt idx="244">
                  <c:v>3.8362675999999998E-2</c:v>
                </c:pt>
                <c:pt idx="245">
                  <c:v>3.8362675999999998E-2</c:v>
                </c:pt>
                <c:pt idx="246">
                  <c:v>3.8362675999999998E-2</c:v>
                </c:pt>
                <c:pt idx="247">
                  <c:v>3.8362675999999998E-2</c:v>
                </c:pt>
                <c:pt idx="248">
                  <c:v>3.8362675999999998E-2</c:v>
                </c:pt>
                <c:pt idx="249">
                  <c:v>3.8362675999999998E-2</c:v>
                </c:pt>
                <c:pt idx="250">
                  <c:v>3.8362675999999998E-2</c:v>
                </c:pt>
                <c:pt idx="251">
                  <c:v>3.8362675999999998E-2</c:v>
                </c:pt>
                <c:pt idx="252">
                  <c:v>3.8362675999999998E-2</c:v>
                </c:pt>
                <c:pt idx="253">
                  <c:v>3.8362675999999998E-2</c:v>
                </c:pt>
                <c:pt idx="254">
                  <c:v>3.8362675999999998E-2</c:v>
                </c:pt>
                <c:pt idx="255">
                  <c:v>3.8362675999999998E-2</c:v>
                </c:pt>
                <c:pt idx="256">
                  <c:v>3.8362675999999998E-2</c:v>
                </c:pt>
                <c:pt idx="257">
                  <c:v>3.8362675999999998E-2</c:v>
                </c:pt>
                <c:pt idx="258">
                  <c:v>3.8362675999999998E-2</c:v>
                </c:pt>
                <c:pt idx="259">
                  <c:v>3.8362675999999998E-2</c:v>
                </c:pt>
                <c:pt idx="260">
                  <c:v>3.8362675999999998E-2</c:v>
                </c:pt>
                <c:pt idx="261">
                  <c:v>3.8362675999999998E-2</c:v>
                </c:pt>
                <c:pt idx="262">
                  <c:v>3.8362675999999998E-2</c:v>
                </c:pt>
                <c:pt idx="263">
                  <c:v>3.8362675999999998E-2</c:v>
                </c:pt>
                <c:pt idx="264">
                  <c:v>3.8362675999999998E-2</c:v>
                </c:pt>
                <c:pt idx="265">
                  <c:v>3.8362675999999998E-2</c:v>
                </c:pt>
                <c:pt idx="266">
                  <c:v>3.8362675999999998E-2</c:v>
                </c:pt>
                <c:pt idx="267">
                  <c:v>3.8362675999999998E-2</c:v>
                </c:pt>
                <c:pt idx="268">
                  <c:v>3.8362675999999998E-2</c:v>
                </c:pt>
                <c:pt idx="269">
                  <c:v>3.8362675999999998E-2</c:v>
                </c:pt>
                <c:pt idx="270">
                  <c:v>3.8362675999999998E-2</c:v>
                </c:pt>
                <c:pt idx="271">
                  <c:v>3.8362675999999998E-2</c:v>
                </c:pt>
                <c:pt idx="272">
                  <c:v>3.8362675999999998E-2</c:v>
                </c:pt>
                <c:pt idx="273">
                  <c:v>3.8362675999999998E-2</c:v>
                </c:pt>
                <c:pt idx="274">
                  <c:v>3.8362675999999998E-2</c:v>
                </c:pt>
                <c:pt idx="275">
                  <c:v>3.8362675999999998E-2</c:v>
                </c:pt>
                <c:pt idx="276">
                  <c:v>3.8362675999999998E-2</c:v>
                </c:pt>
                <c:pt idx="277">
                  <c:v>3.8362675999999998E-2</c:v>
                </c:pt>
                <c:pt idx="278">
                  <c:v>3.8362675999999998E-2</c:v>
                </c:pt>
                <c:pt idx="279">
                  <c:v>3.8362675999999998E-2</c:v>
                </c:pt>
                <c:pt idx="280">
                  <c:v>3.8362675999999998E-2</c:v>
                </c:pt>
                <c:pt idx="281">
                  <c:v>3.8362675999999998E-2</c:v>
                </c:pt>
                <c:pt idx="282">
                  <c:v>3.8362675999999998E-2</c:v>
                </c:pt>
                <c:pt idx="283">
                  <c:v>3.8362675999999998E-2</c:v>
                </c:pt>
                <c:pt idx="284">
                  <c:v>3.8362675999999998E-2</c:v>
                </c:pt>
                <c:pt idx="285">
                  <c:v>3.8362675999999998E-2</c:v>
                </c:pt>
                <c:pt idx="286">
                  <c:v>3.8362675999999998E-2</c:v>
                </c:pt>
                <c:pt idx="287">
                  <c:v>3.8362675999999998E-2</c:v>
                </c:pt>
                <c:pt idx="288">
                  <c:v>3.8362675999999998E-2</c:v>
                </c:pt>
                <c:pt idx="289">
                  <c:v>3.8362675999999998E-2</c:v>
                </c:pt>
                <c:pt idx="290">
                  <c:v>3.8362675999999998E-2</c:v>
                </c:pt>
                <c:pt idx="291">
                  <c:v>3.8362675999999998E-2</c:v>
                </c:pt>
                <c:pt idx="292">
                  <c:v>3.8362675999999998E-2</c:v>
                </c:pt>
                <c:pt idx="293">
                  <c:v>3.8362675999999998E-2</c:v>
                </c:pt>
                <c:pt idx="294">
                  <c:v>3.8362675999999998E-2</c:v>
                </c:pt>
                <c:pt idx="295">
                  <c:v>3.8362675999999998E-2</c:v>
                </c:pt>
                <c:pt idx="296">
                  <c:v>3.8362675999999998E-2</c:v>
                </c:pt>
                <c:pt idx="297">
                  <c:v>3.8362675999999998E-2</c:v>
                </c:pt>
                <c:pt idx="298">
                  <c:v>3.8362675999999998E-2</c:v>
                </c:pt>
                <c:pt idx="299">
                  <c:v>3.8362675999999998E-2</c:v>
                </c:pt>
                <c:pt idx="300">
                  <c:v>3.8362675999999998E-2</c:v>
                </c:pt>
                <c:pt idx="301">
                  <c:v>3.8362675999999998E-2</c:v>
                </c:pt>
                <c:pt idx="302">
                  <c:v>3.8362675999999998E-2</c:v>
                </c:pt>
                <c:pt idx="303">
                  <c:v>3.8362675999999998E-2</c:v>
                </c:pt>
                <c:pt idx="304">
                  <c:v>3.8362675999999998E-2</c:v>
                </c:pt>
                <c:pt idx="305">
                  <c:v>3.8362675999999998E-2</c:v>
                </c:pt>
                <c:pt idx="306">
                  <c:v>3.8362675999999998E-2</c:v>
                </c:pt>
                <c:pt idx="307">
                  <c:v>3.8362675999999998E-2</c:v>
                </c:pt>
                <c:pt idx="308">
                  <c:v>3.8362675999999998E-2</c:v>
                </c:pt>
                <c:pt idx="309">
                  <c:v>3.8362675999999998E-2</c:v>
                </c:pt>
                <c:pt idx="310">
                  <c:v>3.8362675999999998E-2</c:v>
                </c:pt>
                <c:pt idx="311">
                  <c:v>3.8362675999999998E-2</c:v>
                </c:pt>
                <c:pt idx="312">
                  <c:v>3.8362675999999998E-2</c:v>
                </c:pt>
                <c:pt idx="313">
                  <c:v>3.8362675999999998E-2</c:v>
                </c:pt>
                <c:pt idx="314">
                  <c:v>3.8362675999999998E-2</c:v>
                </c:pt>
                <c:pt idx="315">
                  <c:v>3.8362675999999998E-2</c:v>
                </c:pt>
                <c:pt idx="316">
                  <c:v>3.8362675999999998E-2</c:v>
                </c:pt>
                <c:pt idx="317">
                  <c:v>3.8362675999999998E-2</c:v>
                </c:pt>
                <c:pt idx="318">
                  <c:v>3.8362675999999998E-2</c:v>
                </c:pt>
                <c:pt idx="319">
                  <c:v>3.8362675999999998E-2</c:v>
                </c:pt>
                <c:pt idx="320">
                  <c:v>3.8362675999999998E-2</c:v>
                </c:pt>
                <c:pt idx="321">
                  <c:v>3.8362675999999998E-2</c:v>
                </c:pt>
                <c:pt idx="322">
                  <c:v>3.8362675999999998E-2</c:v>
                </c:pt>
                <c:pt idx="323">
                  <c:v>3.8362675999999998E-2</c:v>
                </c:pt>
                <c:pt idx="324">
                  <c:v>3.8362675999999998E-2</c:v>
                </c:pt>
                <c:pt idx="325">
                  <c:v>3.8362675999999998E-2</c:v>
                </c:pt>
                <c:pt idx="326">
                  <c:v>3.8362675999999998E-2</c:v>
                </c:pt>
                <c:pt idx="327">
                  <c:v>3.8362675999999998E-2</c:v>
                </c:pt>
                <c:pt idx="328">
                  <c:v>3.8362675999999998E-2</c:v>
                </c:pt>
                <c:pt idx="329">
                  <c:v>3.8362675999999998E-2</c:v>
                </c:pt>
                <c:pt idx="330">
                  <c:v>3.8362675999999998E-2</c:v>
                </c:pt>
                <c:pt idx="331">
                  <c:v>3.8362675999999998E-2</c:v>
                </c:pt>
                <c:pt idx="332">
                  <c:v>3.8362675999999998E-2</c:v>
                </c:pt>
                <c:pt idx="333">
                  <c:v>3.8362675999999998E-2</c:v>
                </c:pt>
                <c:pt idx="334">
                  <c:v>3.8362675999999998E-2</c:v>
                </c:pt>
                <c:pt idx="335">
                  <c:v>3.8362675999999998E-2</c:v>
                </c:pt>
                <c:pt idx="336">
                  <c:v>3.8362675999999998E-2</c:v>
                </c:pt>
                <c:pt idx="337">
                  <c:v>3.8362675999999998E-2</c:v>
                </c:pt>
                <c:pt idx="338">
                  <c:v>3.8362675999999998E-2</c:v>
                </c:pt>
                <c:pt idx="339">
                  <c:v>3.8362675999999998E-2</c:v>
                </c:pt>
                <c:pt idx="340">
                  <c:v>3.8362675999999998E-2</c:v>
                </c:pt>
                <c:pt idx="341">
                  <c:v>3.8362675999999998E-2</c:v>
                </c:pt>
                <c:pt idx="342">
                  <c:v>3.8362675999999998E-2</c:v>
                </c:pt>
                <c:pt idx="343">
                  <c:v>3.8362675999999998E-2</c:v>
                </c:pt>
                <c:pt idx="344">
                  <c:v>3.8362675999999998E-2</c:v>
                </c:pt>
                <c:pt idx="345">
                  <c:v>3.8362675999999998E-2</c:v>
                </c:pt>
                <c:pt idx="346">
                  <c:v>3.8362675999999998E-2</c:v>
                </c:pt>
                <c:pt idx="347">
                  <c:v>3.8362675999999998E-2</c:v>
                </c:pt>
                <c:pt idx="348">
                  <c:v>3.8362675999999998E-2</c:v>
                </c:pt>
                <c:pt idx="349">
                  <c:v>3.8362675999999998E-2</c:v>
                </c:pt>
                <c:pt idx="350">
                  <c:v>3.8362675999999998E-2</c:v>
                </c:pt>
                <c:pt idx="351">
                  <c:v>3.8362675999999998E-2</c:v>
                </c:pt>
                <c:pt idx="352">
                  <c:v>3.8362675999999998E-2</c:v>
                </c:pt>
                <c:pt idx="353">
                  <c:v>3.8362675999999998E-2</c:v>
                </c:pt>
                <c:pt idx="354">
                  <c:v>3.8362675999999998E-2</c:v>
                </c:pt>
                <c:pt idx="355">
                  <c:v>3.8362675999999998E-2</c:v>
                </c:pt>
                <c:pt idx="356">
                  <c:v>3.8362675999999998E-2</c:v>
                </c:pt>
                <c:pt idx="357">
                  <c:v>3.8362675999999998E-2</c:v>
                </c:pt>
                <c:pt idx="358">
                  <c:v>3.8362675999999998E-2</c:v>
                </c:pt>
                <c:pt idx="359">
                  <c:v>3.8362675999999998E-2</c:v>
                </c:pt>
                <c:pt idx="360">
                  <c:v>3.8362675999999998E-2</c:v>
                </c:pt>
                <c:pt idx="361">
                  <c:v>3.8362675999999998E-2</c:v>
                </c:pt>
                <c:pt idx="362">
                  <c:v>3.8362675999999998E-2</c:v>
                </c:pt>
                <c:pt idx="363">
                  <c:v>3.8362675999999998E-2</c:v>
                </c:pt>
                <c:pt idx="364">
                  <c:v>3.8362675999999998E-2</c:v>
                </c:pt>
                <c:pt idx="365">
                  <c:v>3.8362675999999998E-2</c:v>
                </c:pt>
                <c:pt idx="366">
                  <c:v>3.8362675999999998E-2</c:v>
                </c:pt>
                <c:pt idx="367">
                  <c:v>3.8362675999999998E-2</c:v>
                </c:pt>
                <c:pt idx="368">
                  <c:v>3.8362675999999998E-2</c:v>
                </c:pt>
                <c:pt idx="369">
                  <c:v>3.8362675999999998E-2</c:v>
                </c:pt>
                <c:pt idx="370">
                  <c:v>3.8362675999999998E-2</c:v>
                </c:pt>
                <c:pt idx="371">
                  <c:v>3.8362675999999998E-2</c:v>
                </c:pt>
                <c:pt idx="372">
                  <c:v>3.8888356000000006E-2</c:v>
                </c:pt>
                <c:pt idx="373">
                  <c:v>3.8888356000000006E-2</c:v>
                </c:pt>
                <c:pt idx="374">
                  <c:v>3.8888356000000006E-2</c:v>
                </c:pt>
                <c:pt idx="375">
                  <c:v>3.8888356000000006E-2</c:v>
                </c:pt>
                <c:pt idx="376">
                  <c:v>3.8888356000000006E-2</c:v>
                </c:pt>
                <c:pt idx="377">
                  <c:v>3.8888356000000006E-2</c:v>
                </c:pt>
                <c:pt idx="378">
                  <c:v>3.8888356000000006E-2</c:v>
                </c:pt>
                <c:pt idx="379">
                  <c:v>3.8888356000000006E-2</c:v>
                </c:pt>
                <c:pt idx="380">
                  <c:v>3.8888356000000006E-2</c:v>
                </c:pt>
                <c:pt idx="381">
                  <c:v>3.8888356000000006E-2</c:v>
                </c:pt>
                <c:pt idx="382">
                  <c:v>3.8888356000000006E-2</c:v>
                </c:pt>
                <c:pt idx="383">
                  <c:v>3.8888356000000006E-2</c:v>
                </c:pt>
                <c:pt idx="384">
                  <c:v>3.8888356000000006E-2</c:v>
                </c:pt>
                <c:pt idx="385">
                  <c:v>3.8888356000000006E-2</c:v>
                </c:pt>
                <c:pt idx="386">
                  <c:v>3.8888356000000006E-2</c:v>
                </c:pt>
                <c:pt idx="387">
                  <c:v>3.8888356000000006E-2</c:v>
                </c:pt>
                <c:pt idx="388">
                  <c:v>3.8888356000000006E-2</c:v>
                </c:pt>
                <c:pt idx="389">
                  <c:v>3.8888356000000006E-2</c:v>
                </c:pt>
                <c:pt idx="390">
                  <c:v>3.8888356000000006E-2</c:v>
                </c:pt>
                <c:pt idx="391">
                  <c:v>3.8888356000000006E-2</c:v>
                </c:pt>
                <c:pt idx="392">
                  <c:v>3.8888356000000006E-2</c:v>
                </c:pt>
                <c:pt idx="393">
                  <c:v>3.8888356000000006E-2</c:v>
                </c:pt>
                <c:pt idx="394">
                  <c:v>3.8888356000000006E-2</c:v>
                </c:pt>
                <c:pt idx="395">
                  <c:v>3.8888356000000006E-2</c:v>
                </c:pt>
                <c:pt idx="396">
                  <c:v>3.8888356000000006E-2</c:v>
                </c:pt>
                <c:pt idx="397">
                  <c:v>3.8888356000000006E-2</c:v>
                </c:pt>
                <c:pt idx="398">
                  <c:v>3.8888356000000006E-2</c:v>
                </c:pt>
                <c:pt idx="399">
                  <c:v>3.8888356000000006E-2</c:v>
                </c:pt>
                <c:pt idx="400">
                  <c:v>3.8888356000000006E-2</c:v>
                </c:pt>
                <c:pt idx="401">
                  <c:v>3.8888356000000006E-2</c:v>
                </c:pt>
                <c:pt idx="402">
                  <c:v>3.8888356000000006E-2</c:v>
                </c:pt>
                <c:pt idx="403">
                  <c:v>3.8888356000000006E-2</c:v>
                </c:pt>
                <c:pt idx="404">
                  <c:v>3.8888356000000006E-2</c:v>
                </c:pt>
                <c:pt idx="405">
                  <c:v>3.8888356000000006E-2</c:v>
                </c:pt>
                <c:pt idx="406">
                  <c:v>3.8888356000000006E-2</c:v>
                </c:pt>
                <c:pt idx="407">
                  <c:v>4.2650215999999998E-2</c:v>
                </c:pt>
                <c:pt idx="408">
                  <c:v>4.2650215999999998E-2</c:v>
                </c:pt>
                <c:pt idx="409">
                  <c:v>4.2650215999999998E-2</c:v>
                </c:pt>
                <c:pt idx="410">
                  <c:v>4.2650215999999998E-2</c:v>
                </c:pt>
                <c:pt idx="411">
                  <c:v>4.2650215999999998E-2</c:v>
                </c:pt>
                <c:pt idx="412">
                  <c:v>4.2650215999999998E-2</c:v>
                </c:pt>
                <c:pt idx="413">
                  <c:v>4.2650215999999998E-2</c:v>
                </c:pt>
                <c:pt idx="414">
                  <c:v>4.2650215999999998E-2</c:v>
                </c:pt>
                <c:pt idx="415">
                  <c:v>4.2650215999999998E-2</c:v>
                </c:pt>
                <c:pt idx="416">
                  <c:v>4.2650215999999998E-2</c:v>
                </c:pt>
                <c:pt idx="417">
                  <c:v>4.2650215999999998E-2</c:v>
                </c:pt>
                <c:pt idx="418">
                  <c:v>4.2650215999999998E-2</c:v>
                </c:pt>
                <c:pt idx="419">
                  <c:v>4.2650215999999998E-2</c:v>
                </c:pt>
                <c:pt idx="420">
                  <c:v>4.2650215999999998E-2</c:v>
                </c:pt>
                <c:pt idx="421">
                  <c:v>4.2650215999999998E-2</c:v>
                </c:pt>
                <c:pt idx="422">
                  <c:v>4.2650215999999998E-2</c:v>
                </c:pt>
                <c:pt idx="423">
                  <c:v>4.2650215999999998E-2</c:v>
                </c:pt>
                <c:pt idx="424">
                  <c:v>4.2650215999999998E-2</c:v>
                </c:pt>
                <c:pt idx="425">
                  <c:v>4.2650215999999998E-2</c:v>
                </c:pt>
                <c:pt idx="426">
                  <c:v>4.2650215999999998E-2</c:v>
                </c:pt>
                <c:pt idx="427">
                  <c:v>4.2650215999999998E-2</c:v>
                </c:pt>
                <c:pt idx="428">
                  <c:v>4.2650215999999998E-2</c:v>
                </c:pt>
                <c:pt idx="429">
                  <c:v>4.2650215999999998E-2</c:v>
                </c:pt>
                <c:pt idx="430">
                  <c:v>4.2650215999999998E-2</c:v>
                </c:pt>
                <c:pt idx="431">
                  <c:v>4.2650215999999998E-2</c:v>
                </c:pt>
                <c:pt idx="432">
                  <c:v>4.2650215999999998E-2</c:v>
                </c:pt>
                <c:pt idx="433">
                  <c:v>4.2650215999999998E-2</c:v>
                </c:pt>
                <c:pt idx="434">
                  <c:v>4.2650215999999998E-2</c:v>
                </c:pt>
                <c:pt idx="435">
                  <c:v>4.2650215999999998E-2</c:v>
                </c:pt>
                <c:pt idx="436">
                  <c:v>4.2650215999999998E-2</c:v>
                </c:pt>
                <c:pt idx="437">
                  <c:v>4.2650215999999998E-2</c:v>
                </c:pt>
                <c:pt idx="438">
                  <c:v>4.2650215999999998E-2</c:v>
                </c:pt>
                <c:pt idx="439">
                  <c:v>4.2650215999999998E-2</c:v>
                </c:pt>
                <c:pt idx="440">
                  <c:v>4.2650215999999998E-2</c:v>
                </c:pt>
                <c:pt idx="441">
                  <c:v>4.2650215999999998E-2</c:v>
                </c:pt>
                <c:pt idx="442">
                  <c:v>4.2650215999999998E-2</c:v>
                </c:pt>
                <c:pt idx="443">
                  <c:v>4.2650215999999998E-2</c:v>
                </c:pt>
                <c:pt idx="444">
                  <c:v>4.2650215999999998E-2</c:v>
                </c:pt>
                <c:pt idx="445">
                  <c:v>4.2650215999999998E-2</c:v>
                </c:pt>
                <c:pt idx="446">
                  <c:v>4.2650215999999998E-2</c:v>
                </c:pt>
                <c:pt idx="447">
                  <c:v>4.2650215999999998E-2</c:v>
                </c:pt>
                <c:pt idx="448">
                  <c:v>4.2650215999999998E-2</c:v>
                </c:pt>
                <c:pt idx="449">
                  <c:v>4.2650215999999998E-2</c:v>
                </c:pt>
                <c:pt idx="450">
                  <c:v>4.6025127999999985E-2</c:v>
                </c:pt>
                <c:pt idx="451">
                  <c:v>4.6025127999999985E-2</c:v>
                </c:pt>
                <c:pt idx="452">
                  <c:v>4.6025127999999985E-2</c:v>
                </c:pt>
                <c:pt idx="453">
                  <c:v>4.6025127999999985E-2</c:v>
                </c:pt>
                <c:pt idx="454">
                  <c:v>4.6025127999999985E-2</c:v>
                </c:pt>
                <c:pt idx="455">
                  <c:v>4.6025127999999985E-2</c:v>
                </c:pt>
                <c:pt idx="456">
                  <c:v>4.6025127999999985E-2</c:v>
                </c:pt>
                <c:pt idx="457">
                  <c:v>4.6025127999999985E-2</c:v>
                </c:pt>
                <c:pt idx="458">
                  <c:v>4.6025127999999985E-2</c:v>
                </c:pt>
                <c:pt idx="459">
                  <c:v>4.6025127999999985E-2</c:v>
                </c:pt>
                <c:pt idx="460">
                  <c:v>4.6025127999999985E-2</c:v>
                </c:pt>
                <c:pt idx="461">
                  <c:v>4.6025127999999985E-2</c:v>
                </c:pt>
                <c:pt idx="462">
                  <c:v>4.6025127999999985E-2</c:v>
                </c:pt>
                <c:pt idx="463">
                  <c:v>4.6025127999999985E-2</c:v>
                </c:pt>
                <c:pt idx="464">
                  <c:v>4.6025127999999985E-2</c:v>
                </c:pt>
                <c:pt idx="465">
                  <c:v>4.6025127999999985E-2</c:v>
                </c:pt>
                <c:pt idx="466">
                  <c:v>4.6025127999999985E-2</c:v>
                </c:pt>
                <c:pt idx="467">
                  <c:v>4.6025127999999985E-2</c:v>
                </c:pt>
                <c:pt idx="468">
                  <c:v>4.6025127999999985E-2</c:v>
                </c:pt>
                <c:pt idx="469">
                  <c:v>4.6025127999999985E-2</c:v>
                </c:pt>
                <c:pt idx="470">
                  <c:v>4.6025127999999985E-2</c:v>
                </c:pt>
                <c:pt idx="471">
                  <c:v>4.7735764000002033E-2</c:v>
                </c:pt>
                <c:pt idx="472">
                  <c:v>4.7735764000002033E-2</c:v>
                </c:pt>
                <c:pt idx="473">
                  <c:v>4.7735764000002033E-2</c:v>
                </c:pt>
                <c:pt idx="474">
                  <c:v>4.7735764000002033E-2</c:v>
                </c:pt>
                <c:pt idx="475">
                  <c:v>4.7735764000002033E-2</c:v>
                </c:pt>
                <c:pt idx="476">
                  <c:v>4.7735764000002033E-2</c:v>
                </c:pt>
                <c:pt idx="477">
                  <c:v>4.7735764000002033E-2</c:v>
                </c:pt>
                <c:pt idx="478">
                  <c:v>4.7735764000002033E-2</c:v>
                </c:pt>
                <c:pt idx="479">
                  <c:v>4.7735764000002033E-2</c:v>
                </c:pt>
                <c:pt idx="480">
                  <c:v>4.7735764000002033E-2</c:v>
                </c:pt>
                <c:pt idx="481">
                  <c:v>4.7735764000002033E-2</c:v>
                </c:pt>
                <c:pt idx="482">
                  <c:v>4.7735764000002033E-2</c:v>
                </c:pt>
                <c:pt idx="483">
                  <c:v>4.7735764000002033E-2</c:v>
                </c:pt>
                <c:pt idx="484">
                  <c:v>4.7735764000002033E-2</c:v>
                </c:pt>
                <c:pt idx="485">
                  <c:v>4.7735764000002033E-2</c:v>
                </c:pt>
                <c:pt idx="486">
                  <c:v>4.7735764000002033E-2</c:v>
                </c:pt>
                <c:pt idx="487">
                  <c:v>4.7735764000002033E-2</c:v>
                </c:pt>
                <c:pt idx="488">
                  <c:v>4.7735764000002033E-2</c:v>
                </c:pt>
                <c:pt idx="489">
                  <c:v>4.7735764000002033E-2</c:v>
                </c:pt>
                <c:pt idx="490">
                  <c:v>4.7735764000002033E-2</c:v>
                </c:pt>
                <c:pt idx="491">
                  <c:v>4.7735764000002033E-2</c:v>
                </c:pt>
                <c:pt idx="492">
                  <c:v>4.7735764000002033E-2</c:v>
                </c:pt>
                <c:pt idx="493">
                  <c:v>4.7735764000002033E-2</c:v>
                </c:pt>
                <c:pt idx="494">
                  <c:v>5.0335648000000004E-2</c:v>
                </c:pt>
                <c:pt idx="495">
                  <c:v>5.0335648000000004E-2</c:v>
                </c:pt>
                <c:pt idx="496">
                  <c:v>5.0335648000000004E-2</c:v>
                </c:pt>
                <c:pt idx="497">
                  <c:v>5.0335648000000004E-2</c:v>
                </c:pt>
                <c:pt idx="498">
                  <c:v>5.0335648000000004E-2</c:v>
                </c:pt>
                <c:pt idx="499">
                  <c:v>5.0335648000000004E-2</c:v>
                </c:pt>
                <c:pt idx="500">
                  <c:v>5.0335648000000004E-2</c:v>
                </c:pt>
                <c:pt idx="501">
                  <c:v>5.0335648000000004E-2</c:v>
                </c:pt>
                <c:pt idx="502">
                  <c:v>5.0335648000000004E-2</c:v>
                </c:pt>
                <c:pt idx="503">
                  <c:v>5.0335648000000004E-2</c:v>
                </c:pt>
                <c:pt idx="504">
                  <c:v>5.0335648000000004E-2</c:v>
                </c:pt>
                <c:pt idx="505">
                  <c:v>5.0335648000000004E-2</c:v>
                </c:pt>
                <c:pt idx="506">
                  <c:v>5.0335648000000004E-2</c:v>
                </c:pt>
                <c:pt idx="507">
                  <c:v>5.0335648000000004E-2</c:v>
                </c:pt>
                <c:pt idx="508">
                  <c:v>5.0335648000000004E-2</c:v>
                </c:pt>
                <c:pt idx="509">
                  <c:v>5.0335648000000004E-2</c:v>
                </c:pt>
                <c:pt idx="510">
                  <c:v>5.0335648000000004E-2</c:v>
                </c:pt>
                <c:pt idx="511">
                  <c:v>5.0335648000000004E-2</c:v>
                </c:pt>
                <c:pt idx="512">
                  <c:v>5.0335648000000004E-2</c:v>
                </c:pt>
                <c:pt idx="513">
                  <c:v>5.0335648000000004E-2</c:v>
                </c:pt>
                <c:pt idx="514">
                  <c:v>5.0335648000000004E-2</c:v>
                </c:pt>
                <c:pt idx="515">
                  <c:v>5.0335648000000004E-2</c:v>
                </c:pt>
                <c:pt idx="516">
                  <c:v>5.0335648000000004E-2</c:v>
                </c:pt>
                <c:pt idx="517">
                  <c:v>5.0335648000000004E-2</c:v>
                </c:pt>
                <c:pt idx="518">
                  <c:v>5.2898452000000894E-2</c:v>
                </c:pt>
                <c:pt idx="519">
                  <c:v>5.2898452000000894E-2</c:v>
                </c:pt>
                <c:pt idx="520">
                  <c:v>5.2898452000000894E-2</c:v>
                </c:pt>
                <c:pt idx="521">
                  <c:v>5.2898452000000894E-2</c:v>
                </c:pt>
                <c:pt idx="522">
                  <c:v>5.2898452000000894E-2</c:v>
                </c:pt>
                <c:pt idx="523">
                  <c:v>5.2898452000000894E-2</c:v>
                </c:pt>
                <c:pt idx="524">
                  <c:v>5.2898452000000894E-2</c:v>
                </c:pt>
                <c:pt idx="525">
                  <c:v>5.2898452000000894E-2</c:v>
                </c:pt>
                <c:pt idx="526">
                  <c:v>5.2898452000000894E-2</c:v>
                </c:pt>
                <c:pt idx="527">
                  <c:v>5.2898452000000894E-2</c:v>
                </c:pt>
                <c:pt idx="528">
                  <c:v>5.2898452000000894E-2</c:v>
                </c:pt>
                <c:pt idx="529">
                  <c:v>5.2898452000000894E-2</c:v>
                </c:pt>
                <c:pt idx="530">
                  <c:v>5.2898452000000894E-2</c:v>
                </c:pt>
                <c:pt idx="531">
                  <c:v>5.2898452000000894E-2</c:v>
                </c:pt>
                <c:pt idx="532">
                  <c:v>5.2898452000000894E-2</c:v>
                </c:pt>
                <c:pt idx="533">
                  <c:v>5.2898452000000894E-2</c:v>
                </c:pt>
                <c:pt idx="534">
                  <c:v>5.2898452000000894E-2</c:v>
                </c:pt>
                <c:pt idx="535">
                  <c:v>5.2898452000000894E-2</c:v>
                </c:pt>
                <c:pt idx="536">
                  <c:v>5.2898452000000894E-2</c:v>
                </c:pt>
                <c:pt idx="537">
                  <c:v>5.2898452000000894E-2</c:v>
                </c:pt>
                <c:pt idx="538">
                  <c:v>5.2898452000000894E-2</c:v>
                </c:pt>
                <c:pt idx="539">
                  <c:v>5.2898452000000894E-2</c:v>
                </c:pt>
                <c:pt idx="540">
                  <c:v>5.2898452000000894E-2</c:v>
                </c:pt>
                <c:pt idx="541">
                  <c:v>5.2898452000000894E-2</c:v>
                </c:pt>
                <c:pt idx="542">
                  <c:v>5.7269988000000022E-2</c:v>
                </c:pt>
                <c:pt idx="543">
                  <c:v>5.7269988000000022E-2</c:v>
                </c:pt>
                <c:pt idx="544">
                  <c:v>5.7269988000000022E-2</c:v>
                </c:pt>
                <c:pt idx="545">
                  <c:v>5.7269988000000022E-2</c:v>
                </c:pt>
                <c:pt idx="546">
                  <c:v>5.7269988000000022E-2</c:v>
                </c:pt>
                <c:pt idx="547">
                  <c:v>5.7269988000000022E-2</c:v>
                </c:pt>
                <c:pt idx="548">
                  <c:v>5.7269988000000022E-2</c:v>
                </c:pt>
                <c:pt idx="549">
                  <c:v>5.7269988000000022E-2</c:v>
                </c:pt>
                <c:pt idx="550">
                  <c:v>5.7269988000000022E-2</c:v>
                </c:pt>
                <c:pt idx="551">
                  <c:v>5.7269988000000022E-2</c:v>
                </c:pt>
                <c:pt idx="552">
                  <c:v>5.7269988000000022E-2</c:v>
                </c:pt>
                <c:pt idx="553">
                  <c:v>5.7269988000000022E-2</c:v>
                </c:pt>
                <c:pt idx="554">
                  <c:v>5.7950892000000032E-2</c:v>
                </c:pt>
                <c:pt idx="555">
                  <c:v>5.7950892000000032E-2</c:v>
                </c:pt>
                <c:pt idx="556">
                  <c:v>5.7950892000000032E-2</c:v>
                </c:pt>
                <c:pt idx="557">
                  <c:v>5.7950892000000032E-2</c:v>
                </c:pt>
                <c:pt idx="558">
                  <c:v>5.7950892000000032E-2</c:v>
                </c:pt>
                <c:pt idx="559">
                  <c:v>5.7950892000000032E-2</c:v>
                </c:pt>
                <c:pt idx="560">
                  <c:v>5.7950892000000032E-2</c:v>
                </c:pt>
                <c:pt idx="561">
                  <c:v>5.7950892000000032E-2</c:v>
                </c:pt>
                <c:pt idx="562">
                  <c:v>5.7950892000000032E-2</c:v>
                </c:pt>
                <c:pt idx="563">
                  <c:v>5.7950892000000032E-2</c:v>
                </c:pt>
                <c:pt idx="564">
                  <c:v>5.7950892000000032E-2</c:v>
                </c:pt>
                <c:pt idx="565">
                  <c:v>5.7950892000000032E-2</c:v>
                </c:pt>
                <c:pt idx="566">
                  <c:v>5.7950892000000032E-2</c:v>
                </c:pt>
                <c:pt idx="567">
                  <c:v>5.7950892000000032E-2</c:v>
                </c:pt>
                <c:pt idx="568">
                  <c:v>5.7950892000000032E-2</c:v>
                </c:pt>
                <c:pt idx="569">
                  <c:v>5.7950892000000032E-2</c:v>
                </c:pt>
                <c:pt idx="570">
                  <c:v>5.7950892000000032E-2</c:v>
                </c:pt>
                <c:pt idx="571">
                  <c:v>5.7950892000000032E-2</c:v>
                </c:pt>
                <c:pt idx="572">
                  <c:v>5.7950892000000032E-2</c:v>
                </c:pt>
                <c:pt idx="573">
                  <c:v>5.7950892000000032E-2</c:v>
                </c:pt>
                <c:pt idx="574">
                  <c:v>5.7950892000000032E-2</c:v>
                </c:pt>
                <c:pt idx="575">
                  <c:v>5.7950892000000032E-2</c:v>
                </c:pt>
                <c:pt idx="576">
                  <c:v>5.7950892000000032E-2</c:v>
                </c:pt>
                <c:pt idx="577">
                  <c:v>5.9586660000003379E-2</c:v>
                </c:pt>
                <c:pt idx="578">
                  <c:v>5.9586660000003379E-2</c:v>
                </c:pt>
                <c:pt idx="579">
                  <c:v>5.9586660000003379E-2</c:v>
                </c:pt>
                <c:pt idx="580">
                  <c:v>5.9586660000003379E-2</c:v>
                </c:pt>
                <c:pt idx="581">
                  <c:v>5.9586660000003379E-2</c:v>
                </c:pt>
                <c:pt idx="582">
                  <c:v>5.9586660000003379E-2</c:v>
                </c:pt>
                <c:pt idx="583">
                  <c:v>5.9586660000003379E-2</c:v>
                </c:pt>
                <c:pt idx="584">
                  <c:v>5.9586660000003379E-2</c:v>
                </c:pt>
                <c:pt idx="585">
                  <c:v>5.9586660000003379E-2</c:v>
                </c:pt>
                <c:pt idx="586">
                  <c:v>5.9586660000003379E-2</c:v>
                </c:pt>
                <c:pt idx="587">
                  <c:v>5.9586660000003379E-2</c:v>
                </c:pt>
                <c:pt idx="588">
                  <c:v>5.9586660000003379E-2</c:v>
                </c:pt>
                <c:pt idx="589">
                  <c:v>5.9586660000003379E-2</c:v>
                </c:pt>
                <c:pt idx="590">
                  <c:v>5.9586660000003379E-2</c:v>
                </c:pt>
                <c:pt idx="591">
                  <c:v>5.9586660000003379E-2</c:v>
                </c:pt>
                <c:pt idx="592">
                  <c:v>5.9586660000003379E-2</c:v>
                </c:pt>
                <c:pt idx="593">
                  <c:v>5.9586660000003379E-2</c:v>
                </c:pt>
                <c:pt idx="594">
                  <c:v>5.9586660000003379E-2</c:v>
                </c:pt>
                <c:pt idx="595">
                  <c:v>5.9586660000003379E-2</c:v>
                </c:pt>
                <c:pt idx="596">
                  <c:v>5.9586660000003379E-2</c:v>
                </c:pt>
                <c:pt idx="597">
                  <c:v>6.0571516000000006E-2</c:v>
                </c:pt>
                <c:pt idx="598">
                  <c:v>6.0571516000000006E-2</c:v>
                </c:pt>
                <c:pt idx="599">
                  <c:v>6.0571516000000006E-2</c:v>
                </c:pt>
                <c:pt idx="600">
                  <c:v>6.0642020000000123E-2</c:v>
                </c:pt>
                <c:pt idx="601">
                  <c:v>6.0642020000000123E-2</c:v>
                </c:pt>
                <c:pt idx="602">
                  <c:v>6.0642020000000123E-2</c:v>
                </c:pt>
                <c:pt idx="603">
                  <c:v>6.0642020000000123E-2</c:v>
                </c:pt>
                <c:pt idx="604">
                  <c:v>6.0642020000000123E-2</c:v>
                </c:pt>
                <c:pt idx="605">
                  <c:v>6.0642020000000123E-2</c:v>
                </c:pt>
                <c:pt idx="606">
                  <c:v>6.0642020000000123E-2</c:v>
                </c:pt>
                <c:pt idx="607">
                  <c:v>6.0642020000000123E-2</c:v>
                </c:pt>
                <c:pt idx="608">
                  <c:v>6.0642020000000123E-2</c:v>
                </c:pt>
                <c:pt idx="609">
                  <c:v>6.0642020000000123E-2</c:v>
                </c:pt>
                <c:pt idx="610">
                  <c:v>6.0642020000000123E-2</c:v>
                </c:pt>
                <c:pt idx="611">
                  <c:v>6.0642020000000123E-2</c:v>
                </c:pt>
                <c:pt idx="612">
                  <c:v>6.0642020000000123E-2</c:v>
                </c:pt>
                <c:pt idx="613">
                  <c:v>6.0642020000000123E-2</c:v>
                </c:pt>
                <c:pt idx="614">
                  <c:v>6.0642020000000123E-2</c:v>
                </c:pt>
                <c:pt idx="615">
                  <c:v>6.0642020000000123E-2</c:v>
                </c:pt>
                <c:pt idx="616">
                  <c:v>6.0642020000000123E-2</c:v>
                </c:pt>
                <c:pt idx="617">
                  <c:v>6.0642020000000123E-2</c:v>
                </c:pt>
                <c:pt idx="618">
                  <c:v>6.0642020000000123E-2</c:v>
                </c:pt>
                <c:pt idx="619">
                  <c:v>6.0642020000000123E-2</c:v>
                </c:pt>
                <c:pt idx="620">
                  <c:v>6.0642020000000123E-2</c:v>
                </c:pt>
                <c:pt idx="621">
                  <c:v>6.0642020000000123E-2</c:v>
                </c:pt>
                <c:pt idx="622">
                  <c:v>6.0642020000000123E-2</c:v>
                </c:pt>
                <c:pt idx="623">
                  <c:v>6.0642020000000123E-2</c:v>
                </c:pt>
                <c:pt idx="624">
                  <c:v>6.0642020000000123E-2</c:v>
                </c:pt>
                <c:pt idx="625">
                  <c:v>6.0642020000000123E-2</c:v>
                </c:pt>
                <c:pt idx="626">
                  <c:v>6.0642020000000123E-2</c:v>
                </c:pt>
                <c:pt idx="627">
                  <c:v>6.0642020000000123E-2</c:v>
                </c:pt>
                <c:pt idx="628">
                  <c:v>6.0642020000000123E-2</c:v>
                </c:pt>
                <c:pt idx="629">
                  <c:v>6.0642020000000123E-2</c:v>
                </c:pt>
                <c:pt idx="630">
                  <c:v>6.0642020000000123E-2</c:v>
                </c:pt>
                <c:pt idx="631">
                  <c:v>6.0642020000000123E-2</c:v>
                </c:pt>
                <c:pt idx="632">
                  <c:v>6.0642020000000123E-2</c:v>
                </c:pt>
                <c:pt idx="633">
                  <c:v>6.0642020000000123E-2</c:v>
                </c:pt>
                <c:pt idx="634">
                  <c:v>6.0642020000000123E-2</c:v>
                </c:pt>
                <c:pt idx="635">
                  <c:v>6.0642020000000123E-2</c:v>
                </c:pt>
                <c:pt idx="636">
                  <c:v>6.0642020000000123E-2</c:v>
                </c:pt>
                <c:pt idx="637">
                  <c:v>6.0642020000000123E-2</c:v>
                </c:pt>
                <c:pt idx="638">
                  <c:v>6.0642020000000123E-2</c:v>
                </c:pt>
                <c:pt idx="639">
                  <c:v>6.0642020000000123E-2</c:v>
                </c:pt>
                <c:pt idx="640">
                  <c:v>6.0642020000000123E-2</c:v>
                </c:pt>
                <c:pt idx="641">
                  <c:v>6.0642020000000123E-2</c:v>
                </c:pt>
                <c:pt idx="642">
                  <c:v>6.0642020000000123E-2</c:v>
                </c:pt>
                <c:pt idx="643">
                  <c:v>6.0642020000000123E-2</c:v>
                </c:pt>
                <c:pt idx="644">
                  <c:v>6.0642020000000123E-2</c:v>
                </c:pt>
                <c:pt idx="645">
                  <c:v>6.0642020000000123E-2</c:v>
                </c:pt>
                <c:pt idx="646">
                  <c:v>6.0642020000000123E-2</c:v>
                </c:pt>
                <c:pt idx="647">
                  <c:v>6.0642020000000123E-2</c:v>
                </c:pt>
                <c:pt idx="648">
                  <c:v>6.0642020000000123E-2</c:v>
                </c:pt>
                <c:pt idx="649">
                  <c:v>6.0642020000000123E-2</c:v>
                </c:pt>
                <c:pt idx="650">
                  <c:v>6.0642020000000123E-2</c:v>
                </c:pt>
                <c:pt idx="651">
                  <c:v>6.0642020000000123E-2</c:v>
                </c:pt>
                <c:pt idx="652">
                  <c:v>6.0642020000000123E-2</c:v>
                </c:pt>
                <c:pt idx="653">
                  <c:v>6.0642020000000123E-2</c:v>
                </c:pt>
                <c:pt idx="654">
                  <c:v>6.0642020000000123E-2</c:v>
                </c:pt>
                <c:pt idx="655">
                  <c:v>6.0642020000000123E-2</c:v>
                </c:pt>
                <c:pt idx="656">
                  <c:v>6.0642020000000123E-2</c:v>
                </c:pt>
                <c:pt idx="657">
                  <c:v>6.0642020000000123E-2</c:v>
                </c:pt>
                <c:pt idx="658">
                  <c:v>6.0642020000000123E-2</c:v>
                </c:pt>
                <c:pt idx="659">
                  <c:v>6.0642020000000123E-2</c:v>
                </c:pt>
                <c:pt idx="660">
                  <c:v>6.0642020000000123E-2</c:v>
                </c:pt>
                <c:pt idx="661">
                  <c:v>6.0642020000000123E-2</c:v>
                </c:pt>
                <c:pt idx="662">
                  <c:v>6.0642020000000123E-2</c:v>
                </c:pt>
                <c:pt idx="663">
                  <c:v>6.0642020000000123E-2</c:v>
                </c:pt>
                <c:pt idx="664">
                  <c:v>6.0642020000000123E-2</c:v>
                </c:pt>
                <c:pt idx="665">
                  <c:v>6.0642020000000123E-2</c:v>
                </c:pt>
                <c:pt idx="666">
                  <c:v>6.0642020000000123E-2</c:v>
                </c:pt>
                <c:pt idx="667">
                  <c:v>6.0642020000000123E-2</c:v>
                </c:pt>
                <c:pt idx="668">
                  <c:v>6.0642020000000123E-2</c:v>
                </c:pt>
                <c:pt idx="669">
                  <c:v>6.0642020000000123E-2</c:v>
                </c:pt>
                <c:pt idx="670">
                  <c:v>6.0642020000000123E-2</c:v>
                </c:pt>
                <c:pt idx="671">
                  <c:v>6.0642020000000123E-2</c:v>
                </c:pt>
                <c:pt idx="672">
                  <c:v>6.0642020000000123E-2</c:v>
                </c:pt>
                <c:pt idx="673">
                  <c:v>6.0642020000000123E-2</c:v>
                </c:pt>
                <c:pt idx="674">
                  <c:v>6.0642020000000123E-2</c:v>
                </c:pt>
                <c:pt idx="675">
                  <c:v>6.0642020000000123E-2</c:v>
                </c:pt>
                <c:pt idx="676">
                  <c:v>6.0642020000000123E-2</c:v>
                </c:pt>
                <c:pt idx="677">
                  <c:v>6.0642020000000123E-2</c:v>
                </c:pt>
                <c:pt idx="678">
                  <c:v>6.0642020000000123E-2</c:v>
                </c:pt>
                <c:pt idx="679">
                  <c:v>6.0642020000000123E-2</c:v>
                </c:pt>
                <c:pt idx="680">
                  <c:v>6.0642020000000123E-2</c:v>
                </c:pt>
                <c:pt idx="681">
                  <c:v>6.0642020000000123E-2</c:v>
                </c:pt>
                <c:pt idx="682">
                  <c:v>6.0642020000000123E-2</c:v>
                </c:pt>
                <c:pt idx="683">
                  <c:v>6.0642020000000123E-2</c:v>
                </c:pt>
                <c:pt idx="684">
                  <c:v>6.0642020000000123E-2</c:v>
                </c:pt>
                <c:pt idx="685">
                  <c:v>6.0642020000000123E-2</c:v>
                </c:pt>
                <c:pt idx="686">
                  <c:v>6.0642020000000123E-2</c:v>
                </c:pt>
                <c:pt idx="687">
                  <c:v>6.0642020000000123E-2</c:v>
                </c:pt>
                <c:pt idx="688">
                  <c:v>6.0642020000000123E-2</c:v>
                </c:pt>
                <c:pt idx="689">
                  <c:v>6.0642020000000123E-2</c:v>
                </c:pt>
                <c:pt idx="690">
                  <c:v>6.0642020000000123E-2</c:v>
                </c:pt>
                <c:pt idx="691">
                  <c:v>6.0642020000000123E-2</c:v>
                </c:pt>
                <c:pt idx="692">
                  <c:v>6.0642020000000123E-2</c:v>
                </c:pt>
                <c:pt idx="693">
                  <c:v>6.0642020000000123E-2</c:v>
                </c:pt>
                <c:pt idx="694">
                  <c:v>6.0642020000000123E-2</c:v>
                </c:pt>
                <c:pt idx="695">
                  <c:v>6.0642020000000123E-2</c:v>
                </c:pt>
                <c:pt idx="696">
                  <c:v>6.0642020000000123E-2</c:v>
                </c:pt>
                <c:pt idx="697">
                  <c:v>6.0642020000000123E-2</c:v>
                </c:pt>
                <c:pt idx="698">
                  <c:v>6.0642020000000123E-2</c:v>
                </c:pt>
                <c:pt idx="699">
                  <c:v>6.0642020000000123E-2</c:v>
                </c:pt>
                <c:pt idx="700">
                  <c:v>6.0642020000000123E-2</c:v>
                </c:pt>
                <c:pt idx="701">
                  <c:v>6.0642020000000123E-2</c:v>
                </c:pt>
                <c:pt idx="702">
                  <c:v>6.0642020000000123E-2</c:v>
                </c:pt>
                <c:pt idx="703">
                  <c:v>6.0642020000000123E-2</c:v>
                </c:pt>
                <c:pt idx="704">
                  <c:v>6.0642020000000123E-2</c:v>
                </c:pt>
                <c:pt idx="705">
                  <c:v>6.0642020000000123E-2</c:v>
                </c:pt>
                <c:pt idx="706">
                  <c:v>6.0642020000000123E-2</c:v>
                </c:pt>
                <c:pt idx="707">
                  <c:v>6.0642020000000123E-2</c:v>
                </c:pt>
                <c:pt idx="708">
                  <c:v>6.0642020000000123E-2</c:v>
                </c:pt>
                <c:pt idx="709">
                  <c:v>6.0642020000000123E-2</c:v>
                </c:pt>
                <c:pt idx="710">
                  <c:v>6.0642020000000123E-2</c:v>
                </c:pt>
                <c:pt idx="711">
                  <c:v>6.0642020000000123E-2</c:v>
                </c:pt>
                <c:pt idx="712">
                  <c:v>6.0642020000000123E-2</c:v>
                </c:pt>
                <c:pt idx="713">
                  <c:v>6.0642020000000123E-2</c:v>
                </c:pt>
                <c:pt idx="714">
                  <c:v>6.0642020000000123E-2</c:v>
                </c:pt>
                <c:pt idx="715">
                  <c:v>6.0642020000000123E-2</c:v>
                </c:pt>
                <c:pt idx="716">
                  <c:v>6.0642020000000123E-2</c:v>
                </c:pt>
                <c:pt idx="717">
                  <c:v>6.0642020000000123E-2</c:v>
                </c:pt>
                <c:pt idx="718">
                  <c:v>6.0642020000000123E-2</c:v>
                </c:pt>
                <c:pt idx="719">
                  <c:v>6.0642020000000123E-2</c:v>
                </c:pt>
                <c:pt idx="720">
                  <c:v>6.0642020000000123E-2</c:v>
                </c:pt>
                <c:pt idx="721">
                  <c:v>6.0642020000000123E-2</c:v>
                </c:pt>
                <c:pt idx="722">
                  <c:v>6.0642020000000123E-2</c:v>
                </c:pt>
                <c:pt idx="723">
                  <c:v>6.0642020000000123E-2</c:v>
                </c:pt>
                <c:pt idx="724">
                  <c:v>6.0642020000000123E-2</c:v>
                </c:pt>
                <c:pt idx="725">
                  <c:v>6.0642020000000123E-2</c:v>
                </c:pt>
                <c:pt idx="726">
                  <c:v>6.0642020000000123E-2</c:v>
                </c:pt>
                <c:pt idx="727">
                  <c:v>6.0642020000000123E-2</c:v>
                </c:pt>
                <c:pt idx="728">
                  <c:v>6.0642020000000123E-2</c:v>
                </c:pt>
                <c:pt idx="729">
                  <c:v>6.0642020000000123E-2</c:v>
                </c:pt>
                <c:pt idx="730">
                  <c:v>6.0642020000000123E-2</c:v>
                </c:pt>
                <c:pt idx="731">
                  <c:v>6.0642020000000123E-2</c:v>
                </c:pt>
                <c:pt idx="732">
                  <c:v>6.0642020000000123E-2</c:v>
                </c:pt>
                <c:pt idx="733">
                  <c:v>6.0642020000000123E-2</c:v>
                </c:pt>
                <c:pt idx="734">
                  <c:v>6.0642020000000123E-2</c:v>
                </c:pt>
                <c:pt idx="735">
                  <c:v>6.0642020000000123E-2</c:v>
                </c:pt>
                <c:pt idx="736">
                  <c:v>6.0642020000000123E-2</c:v>
                </c:pt>
                <c:pt idx="737">
                  <c:v>6.0642020000000123E-2</c:v>
                </c:pt>
                <c:pt idx="738">
                  <c:v>6.0642020000000123E-2</c:v>
                </c:pt>
                <c:pt idx="739">
                  <c:v>6.0642020000000123E-2</c:v>
                </c:pt>
                <c:pt idx="740">
                  <c:v>6.0642020000000123E-2</c:v>
                </c:pt>
                <c:pt idx="741">
                  <c:v>6.0642020000000123E-2</c:v>
                </c:pt>
                <c:pt idx="742">
                  <c:v>6.0642020000000123E-2</c:v>
                </c:pt>
                <c:pt idx="743">
                  <c:v>6.0642020000000123E-2</c:v>
                </c:pt>
                <c:pt idx="744">
                  <c:v>6.0642020000000123E-2</c:v>
                </c:pt>
                <c:pt idx="745">
                  <c:v>6.0642020000000123E-2</c:v>
                </c:pt>
                <c:pt idx="746">
                  <c:v>6.0642020000000123E-2</c:v>
                </c:pt>
                <c:pt idx="747">
                  <c:v>6.0642020000000123E-2</c:v>
                </c:pt>
                <c:pt idx="748">
                  <c:v>6.0642020000000123E-2</c:v>
                </c:pt>
                <c:pt idx="749">
                  <c:v>6.0642020000000123E-2</c:v>
                </c:pt>
                <c:pt idx="750">
                  <c:v>6.0642020000000123E-2</c:v>
                </c:pt>
                <c:pt idx="751">
                  <c:v>6.0642020000000123E-2</c:v>
                </c:pt>
                <c:pt idx="752">
                  <c:v>6.0642020000000123E-2</c:v>
                </c:pt>
                <c:pt idx="753">
                  <c:v>6.0642020000000123E-2</c:v>
                </c:pt>
                <c:pt idx="754">
                  <c:v>6.0642020000000123E-2</c:v>
                </c:pt>
                <c:pt idx="755">
                  <c:v>6.0642020000000123E-2</c:v>
                </c:pt>
                <c:pt idx="756">
                  <c:v>6.0642020000000123E-2</c:v>
                </c:pt>
                <c:pt idx="757">
                  <c:v>6.0642020000000123E-2</c:v>
                </c:pt>
                <c:pt idx="758">
                  <c:v>6.0642020000000123E-2</c:v>
                </c:pt>
                <c:pt idx="759">
                  <c:v>6.0642020000000123E-2</c:v>
                </c:pt>
                <c:pt idx="760">
                  <c:v>6.0642020000000123E-2</c:v>
                </c:pt>
                <c:pt idx="761">
                  <c:v>6.0642020000000123E-2</c:v>
                </c:pt>
                <c:pt idx="762">
                  <c:v>6.0642020000000123E-2</c:v>
                </c:pt>
                <c:pt idx="763">
                  <c:v>6.0642020000000123E-2</c:v>
                </c:pt>
                <c:pt idx="764">
                  <c:v>6.0642020000000123E-2</c:v>
                </c:pt>
                <c:pt idx="765">
                  <c:v>6.0642020000000123E-2</c:v>
                </c:pt>
                <c:pt idx="766">
                  <c:v>6.0642020000000123E-2</c:v>
                </c:pt>
                <c:pt idx="767">
                  <c:v>6.0642020000000123E-2</c:v>
                </c:pt>
                <c:pt idx="768">
                  <c:v>6.0642020000000123E-2</c:v>
                </c:pt>
                <c:pt idx="769">
                  <c:v>6.0642020000000123E-2</c:v>
                </c:pt>
                <c:pt idx="770">
                  <c:v>6.0642020000000123E-2</c:v>
                </c:pt>
                <c:pt idx="771">
                  <c:v>6.0642020000000123E-2</c:v>
                </c:pt>
                <c:pt idx="772">
                  <c:v>6.0642020000000123E-2</c:v>
                </c:pt>
                <c:pt idx="773">
                  <c:v>6.0642020000000123E-2</c:v>
                </c:pt>
                <c:pt idx="774">
                  <c:v>6.0642020000000123E-2</c:v>
                </c:pt>
                <c:pt idx="775">
                  <c:v>6.0642020000000123E-2</c:v>
                </c:pt>
                <c:pt idx="776">
                  <c:v>6.0642020000000123E-2</c:v>
                </c:pt>
                <c:pt idx="777">
                  <c:v>6.0642020000000123E-2</c:v>
                </c:pt>
                <c:pt idx="778">
                  <c:v>6.0642020000000123E-2</c:v>
                </c:pt>
                <c:pt idx="779">
                  <c:v>6.0642020000000123E-2</c:v>
                </c:pt>
                <c:pt idx="780">
                  <c:v>6.0642020000000123E-2</c:v>
                </c:pt>
                <c:pt idx="781">
                  <c:v>6.0642020000000123E-2</c:v>
                </c:pt>
                <c:pt idx="782">
                  <c:v>6.0642020000000123E-2</c:v>
                </c:pt>
                <c:pt idx="783">
                  <c:v>6.0642020000000123E-2</c:v>
                </c:pt>
                <c:pt idx="784">
                  <c:v>6.0642020000000123E-2</c:v>
                </c:pt>
                <c:pt idx="785">
                  <c:v>6.0642020000000123E-2</c:v>
                </c:pt>
                <c:pt idx="786">
                  <c:v>6.0642020000000123E-2</c:v>
                </c:pt>
                <c:pt idx="787">
                  <c:v>6.0642020000000123E-2</c:v>
                </c:pt>
                <c:pt idx="788">
                  <c:v>6.1158264000000032E-2</c:v>
                </c:pt>
                <c:pt idx="789">
                  <c:v>6.1158264000000032E-2</c:v>
                </c:pt>
                <c:pt idx="790">
                  <c:v>6.1158264000000032E-2</c:v>
                </c:pt>
                <c:pt idx="791">
                  <c:v>6.1158264000000032E-2</c:v>
                </c:pt>
                <c:pt idx="792">
                  <c:v>6.1158264000000032E-2</c:v>
                </c:pt>
                <c:pt idx="793">
                  <c:v>6.1158264000000032E-2</c:v>
                </c:pt>
                <c:pt idx="794">
                  <c:v>6.1158264000000032E-2</c:v>
                </c:pt>
                <c:pt idx="795">
                  <c:v>6.1158264000000032E-2</c:v>
                </c:pt>
                <c:pt idx="796">
                  <c:v>6.1158264000000032E-2</c:v>
                </c:pt>
                <c:pt idx="797">
                  <c:v>6.1158264000000032E-2</c:v>
                </c:pt>
                <c:pt idx="798">
                  <c:v>6.1158264000000032E-2</c:v>
                </c:pt>
                <c:pt idx="799">
                  <c:v>6.1158264000000032E-2</c:v>
                </c:pt>
                <c:pt idx="800">
                  <c:v>6.1158264000000032E-2</c:v>
                </c:pt>
                <c:pt idx="801">
                  <c:v>6.1158264000000032E-2</c:v>
                </c:pt>
                <c:pt idx="802">
                  <c:v>6.1158264000000032E-2</c:v>
                </c:pt>
                <c:pt idx="803">
                  <c:v>6.1158264000000032E-2</c:v>
                </c:pt>
                <c:pt idx="804">
                  <c:v>6.1158264000000032E-2</c:v>
                </c:pt>
                <c:pt idx="805">
                  <c:v>6.1158264000000032E-2</c:v>
                </c:pt>
                <c:pt idx="806">
                  <c:v>6.1158264000000032E-2</c:v>
                </c:pt>
                <c:pt idx="807">
                  <c:v>6.1158264000000032E-2</c:v>
                </c:pt>
                <c:pt idx="808">
                  <c:v>6.1158264000000032E-2</c:v>
                </c:pt>
                <c:pt idx="809">
                  <c:v>6.1158264000000032E-2</c:v>
                </c:pt>
                <c:pt idx="810">
                  <c:v>6.1158264000000032E-2</c:v>
                </c:pt>
                <c:pt idx="811">
                  <c:v>6.1158264000000032E-2</c:v>
                </c:pt>
                <c:pt idx="812">
                  <c:v>6.1158264000000032E-2</c:v>
                </c:pt>
                <c:pt idx="813">
                  <c:v>6.1158264000000032E-2</c:v>
                </c:pt>
                <c:pt idx="814">
                  <c:v>6.1158264000000032E-2</c:v>
                </c:pt>
                <c:pt idx="815">
                  <c:v>6.1158264000000032E-2</c:v>
                </c:pt>
                <c:pt idx="816">
                  <c:v>6.1158264000000032E-2</c:v>
                </c:pt>
                <c:pt idx="817">
                  <c:v>6.1158264000000032E-2</c:v>
                </c:pt>
                <c:pt idx="818">
                  <c:v>6.1158264000000032E-2</c:v>
                </c:pt>
                <c:pt idx="819">
                  <c:v>6.1158264000000032E-2</c:v>
                </c:pt>
                <c:pt idx="820">
                  <c:v>6.1158264000000032E-2</c:v>
                </c:pt>
                <c:pt idx="821">
                  <c:v>6.3976988000000012E-2</c:v>
                </c:pt>
                <c:pt idx="822">
                  <c:v>6.3976988000000012E-2</c:v>
                </c:pt>
                <c:pt idx="823">
                  <c:v>6.3976988000000012E-2</c:v>
                </c:pt>
                <c:pt idx="824">
                  <c:v>6.3976988000000012E-2</c:v>
                </c:pt>
                <c:pt idx="825">
                  <c:v>6.3976988000000012E-2</c:v>
                </c:pt>
                <c:pt idx="826">
                  <c:v>6.3976988000000012E-2</c:v>
                </c:pt>
                <c:pt idx="827">
                  <c:v>6.3976988000000012E-2</c:v>
                </c:pt>
                <c:pt idx="828">
                  <c:v>6.3976988000000012E-2</c:v>
                </c:pt>
                <c:pt idx="829">
                  <c:v>6.3976988000000012E-2</c:v>
                </c:pt>
                <c:pt idx="830">
                  <c:v>6.3976988000000012E-2</c:v>
                </c:pt>
                <c:pt idx="831">
                  <c:v>6.3976988000000012E-2</c:v>
                </c:pt>
                <c:pt idx="832">
                  <c:v>6.3976988000000012E-2</c:v>
                </c:pt>
                <c:pt idx="833">
                  <c:v>6.3976988000000012E-2</c:v>
                </c:pt>
                <c:pt idx="834">
                  <c:v>6.3976988000000012E-2</c:v>
                </c:pt>
                <c:pt idx="835">
                  <c:v>6.3976988000000012E-2</c:v>
                </c:pt>
                <c:pt idx="836">
                  <c:v>6.3976988000000012E-2</c:v>
                </c:pt>
                <c:pt idx="837">
                  <c:v>6.3976988000000012E-2</c:v>
                </c:pt>
                <c:pt idx="838">
                  <c:v>6.3976988000000012E-2</c:v>
                </c:pt>
                <c:pt idx="839">
                  <c:v>6.3976988000000012E-2</c:v>
                </c:pt>
                <c:pt idx="840">
                  <c:v>6.3976988000000012E-2</c:v>
                </c:pt>
                <c:pt idx="841">
                  <c:v>6.6026520000000033E-2</c:v>
                </c:pt>
                <c:pt idx="842">
                  <c:v>6.6026520000000033E-2</c:v>
                </c:pt>
                <c:pt idx="843">
                  <c:v>6.6026520000000033E-2</c:v>
                </c:pt>
                <c:pt idx="844">
                  <c:v>6.6026520000000033E-2</c:v>
                </c:pt>
                <c:pt idx="845">
                  <c:v>6.6026520000000033E-2</c:v>
                </c:pt>
                <c:pt idx="846">
                  <c:v>6.6026520000000033E-2</c:v>
                </c:pt>
                <c:pt idx="847">
                  <c:v>6.6026520000000033E-2</c:v>
                </c:pt>
                <c:pt idx="848">
                  <c:v>6.6026520000000033E-2</c:v>
                </c:pt>
                <c:pt idx="849">
                  <c:v>6.6026520000000033E-2</c:v>
                </c:pt>
                <c:pt idx="850">
                  <c:v>6.6026520000000033E-2</c:v>
                </c:pt>
                <c:pt idx="851">
                  <c:v>6.6026520000000033E-2</c:v>
                </c:pt>
                <c:pt idx="852">
                  <c:v>6.6026520000000033E-2</c:v>
                </c:pt>
                <c:pt idx="853">
                  <c:v>6.6026520000000033E-2</c:v>
                </c:pt>
                <c:pt idx="854">
                  <c:v>6.6026520000000033E-2</c:v>
                </c:pt>
                <c:pt idx="855">
                  <c:v>6.6026520000000033E-2</c:v>
                </c:pt>
                <c:pt idx="856">
                  <c:v>6.6026520000000033E-2</c:v>
                </c:pt>
                <c:pt idx="857">
                  <c:v>6.8050968000000003E-2</c:v>
                </c:pt>
                <c:pt idx="858">
                  <c:v>6.8050968000000003E-2</c:v>
                </c:pt>
                <c:pt idx="859">
                  <c:v>6.8050968000000003E-2</c:v>
                </c:pt>
                <c:pt idx="860">
                  <c:v>6.8050968000000003E-2</c:v>
                </c:pt>
                <c:pt idx="861">
                  <c:v>6.8050968000000003E-2</c:v>
                </c:pt>
                <c:pt idx="862">
                  <c:v>6.8050968000000003E-2</c:v>
                </c:pt>
                <c:pt idx="863">
                  <c:v>6.8050968000000003E-2</c:v>
                </c:pt>
                <c:pt idx="864">
                  <c:v>6.8050968000000003E-2</c:v>
                </c:pt>
                <c:pt idx="865">
                  <c:v>6.8050968000000003E-2</c:v>
                </c:pt>
                <c:pt idx="866">
                  <c:v>6.8050968000000003E-2</c:v>
                </c:pt>
                <c:pt idx="867">
                  <c:v>6.8050968000000003E-2</c:v>
                </c:pt>
                <c:pt idx="868">
                  <c:v>6.8050968000000003E-2</c:v>
                </c:pt>
                <c:pt idx="869">
                  <c:v>6.8050968000000003E-2</c:v>
                </c:pt>
                <c:pt idx="870">
                  <c:v>6.8050968000000003E-2</c:v>
                </c:pt>
                <c:pt idx="871">
                  <c:v>6.8050968000000003E-2</c:v>
                </c:pt>
                <c:pt idx="872">
                  <c:v>6.8050968000000003E-2</c:v>
                </c:pt>
                <c:pt idx="873">
                  <c:v>6.8050968000000003E-2</c:v>
                </c:pt>
                <c:pt idx="874">
                  <c:v>6.8050968000000003E-2</c:v>
                </c:pt>
                <c:pt idx="875">
                  <c:v>6.8590824000000133E-2</c:v>
                </c:pt>
                <c:pt idx="876">
                  <c:v>6.8590824000000133E-2</c:v>
                </c:pt>
                <c:pt idx="877">
                  <c:v>6.8590824000000133E-2</c:v>
                </c:pt>
                <c:pt idx="878">
                  <c:v>6.8590824000000133E-2</c:v>
                </c:pt>
                <c:pt idx="879">
                  <c:v>6.8590824000000133E-2</c:v>
                </c:pt>
                <c:pt idx="880">
                  <c:v>6.8590824000000133E-2</c:v>
                </c:pt>
                <c:pt idx="881">
                  <c:v>6.8590824000000133E-2</c:v>
                </c:pt>
                <c:pt idx="882">
                  <c:v>6.8590824000000133E-2</c:v>
                </c:pt>
                <c:pt idx="883">
                  <c:v>6.8590824000000133E-2</c:v>
                </c:pt>
                <c:pt idx="884">
                  <c:v>6.8590824000000133E-2</c:v>
                </c:pt>
                <c:pt idx="885">
                  <c:v>6.8590824000000133E-2</c:v>
                </c:pt>
                <c:pt idx="886">
                  <c:v>6.8590824000000133E-2</c:v>
                </c:pt>
                <c:pt idx="887">
                  <c:v>6.8590824000000133E-2</c:v>
                </c:pt>
                <c:pt idx="888">
                  <c:v>6.8590824000000133E-2</c:v>
                </c:pt>
                <c:pt idx="889">
                  <c:v>6.8590824000000133E-2</c:v>
                </c:pt>
                <c:pt idx="890">
                  <c:v>6.8590824000000133E-2</c:v>
                </c:pt>
                <c:pt idx="891">
                  <c:v>6.8590824000000133E-2</c:v>
                </c:pt>
                <c:pt idx="892">
                  <c:v>6.8590824000000133E-2</c:v>
                </c:pt>
                <c:pt idx="893">
                  <c:v>6.8590824000000133E-2</c:v>
                </c:pt>
                <c:pt idx="894">
                  <c:v>6.8590824000000133E-2</c:v>
                </c:pt>
                <c:pt idx="895">
                  <c:v>6.8590824000000133E-2</c:v>
                </c:pt>
                <c:pt idx="896">
                  <c:v>6.8590824000000133E-2</c:v>
                </c:pt>
                <c:pt idx="897">
                  <c:v>6.8590824000000133E-2</c:v>
                </c:pt>
                <c:pt idx="898">
                  <c:v>6.8590824000000133E-2</c:v>
                </c:pt>
                <c:pt idx="899">
                  <c:v>7.0358820000000113E-2</c:v>
                </c:pt>
                <c:pt idx="900">
                  <c:v>7.0358820000000113E-2</c:v>
                </c:pt>
                <c:pt idx="901">
                  <c:v>7.0358820000000113E-2</c:v>
                </c:pt>
                <c:pt idx="902">
                  <c:v>7.0358820000000113E-2</c:v>
                </c:pt>
                <c:pt idx="903">
                  <c:v>7.0358820000000113E-2</c:v>
                </c:pt>
                <c:pt idx="904">
                  <c:v>7.0358820000000113E-2</c:v>
                </c:pt>
                <c:pt idx="905">
                  <c:v>7.0358820000000113E-2</c:v>
                </c:pt>
                <c:pt idx="906">
                  <c:v>7.0358820000000113E-2</c:v>
                </c:pt>
                <c:pt idx="907">
                  <c:v>7.0358820000000113E-2</c:v>
                </c:pt>
                <c:pt idx="908">
                  <c:v>7.0358820000000113E-2</c:v>
                </c:pt>
                <c:pt idx="909">
                  <c:v>7.0358820000000113E-2</c:v>
                </c:pt>
                <c:pt idx="910">
                  <c:v>7.0358820000000113E-2</c:v>
                </c:pt>
                <c:pt idx="911">
                  <c:v>7.0358820000000113E-2</c:v>
                </c:pt>
                <c:pt idx="912">
                  <c:v>7.0358820000000113E-2</c:v>
                </c:pt>
                <c:pt idx="913">
                  <c:v>7.0358820000000113E-2</c:v>
                </c:pt>
                <c:pt idx="914">
                  <c:v>7.0358820000000113E-2</c:v>
                </c:pt>
                <c:pt idx="915">
                  <c:v>7.0358820000000113E-2</c:v>
                </c:pt>
                <c:pt idx="916">
                  <c:v>7.0358820000000113E-2</c:v>
                </c:pt>
                <c:pt idx="917">
                  <c:v>7.0358820000000113E-2</c:v>
                </c:pt>
                <c:pt idx="918">
                  <c:v>7.0358820000000113E-2</c:v>
                </c:pt>
                <c:pt idx="919">
                  <c:v>7.1017788000000123E-2</c:v>
                </c:pt>
                <c:pt idx="920">
                  <c:v>7.1017788000000123E-2</c:v>
                </c:pt>
                <c:pt idx="921">
                  <c:v>7.1017788000000123E-2</c:v>
                </c:pt>
                <c:pt idx="922">
                  <c:v>7.1017788000000123E-2</c:v>
                </c:pt>
                <c:pt idx="923">
                  <c:v>7.1017788000000123E-2</c:v>
                </c:pt>
                <c:pt idx="924">
                  <c:v>7.1017788000000123E-2</c:v>
                </c:pt>
                <c:pt idx="925">
                  <c:v>7.1017788000000123E-2</c:v>
                </c:pt>
                <c:pt idx="926">
                  <c:v>7.1017788000000123E-2</c:v>
                </c:pt>
                <c:pt idx="927">
                  <c:v>7.1017788000000123E-2</c:v>
                </c:pt>
                <c:pt idx="928">
                  <c:v>7.1017788000000123E-2</c:v>
                </c:pt>
                <c:pt idx="929">
                  <c:v>7.1017788000000123E-2</c:v>
                </c:pt>
                <c:pt idx="930">
                  <c:v>7.1017788000000123E-2</c:v>
                </c:pt>
                <c:pt idx="931">
                  <c:v>7.1017788000000123E-2</c:v>
                </c:pt>
                <c:pt idx="932">
                  <c:v>7.1017788000000123E-2</c:v>
                </c:pt>
                <c:pt idx="933">
                  <c:v>7.1017788000000123E-2</c:v>
                </c:pt>
                <c:pt idx="934">
                  <c:v>7.1017788000000123E-2</c:v>
                </c:pt>
                <c:pt idx="935">
                  <c:v>7.1017788000000123E-2</c:v>
                </c:pt>
                <c:pt idx="936">
                  <c:v>7.1017788000000123E-2</c:v>
                </c:pt>
                <c:pt idx="937">
                  <c:v>7.1017788000000123E-2</c:v>
                </c:pt>
                <c:pt idx="938">
                  <c:v>7.1017788000000123E-2</c:v>
                </c:pt>
                <c:pt idx="939">
                  <c:v>7.1017788000000123E-2</c:v>
                </c:pt>
                <c:pt idx="940">
                  <c:v>7.1017788000000123E-2</c:v>
                </c:pt>
                <c:pt idx="941">
                  <c:v>7.2372132000001504E-2</c:v>
                </c:pt>
                <c:pt idx="942">
                  <c:v>7.2372132000001504E-2</c:v>
                </c:pt>
                <c:pt idx="943">
                  <c:v>7.2372132000001504E-2</c:v>
                </c:pt>
                <c:pt idx="944">
                  <c:v>7.2372132000001504E-2</c:v>
                </c:pt>
                <c:pt idx="945">
                  <c:v>7.2372132000001504E-2</c:v>
                </c:pt>
                <c:pt idx="946">
                  <c:v>7.2372132000001504E-2</c:v>
                </c:pt>
                <c:pt idx="947">
                  <c:v>7.2372132000001504E-2</c:v>
                </c:pt>
                <c:pt idx="948">
                  <c:v>7.2372132000001504E-2</c:v>
                </c:pt>
                <c:pt idx="949">
                  <c:v>7.2372132000001504E-2</c:v>
                </c:pt>
                <c:pt idx="950">
                  <c:v>7.2372132000001504E-2</c:v>
                </c:pt>
                <c:pt idx="951">
                  <c:v>7.2372132000001504E-2</c:v>
                </c:pt>
                <c:pt idx="952">
                  <c:v>7.2372132000001504E-2</c:v>
                </c:pt>
                <c:pt idx="953">
                  <c:v>7.2372132000001504E-2</c:v>
                </c:pt>
                <c:pt idx="954">
                  <c:v>7.2372132000001504E-2</c:v>
                </c:pt>
                <c:pt idx="955">
                  <c:v>7.2372132000001504E-2</c:v>
                </c:pt>
                <c:pt idx="956">
                  <c:v>7.2372132000001504E-2</c:v>
                </c:pt>
                <c:pt idx="957">
                  <c:v>7.2372132000001504E-2</c:v>
                </c:pt>
                <c:pt idx="958">
                  <c:v>7.2372132000001504E-2</c:v>
                </c:pt>
                <c:pt idx="959">
                  <c:v>7.2372132000001504E-2</c:v>
                </c:pt>
                <c:pt idx="960">
                  <c:v>7.2372132000001504E-2</c:v>
                </c:pt>
                <c:pt idx="961">
                  <c:v>7.2372132000001504E-2</c:v>
                </c:pt>
                <c:pt idx="962">
                  <c:v>7.2372132000001504E-2</c:v>
                </c:pt>
                <c:pt idx="963">
                  <c:v>7.2372132000001504E-2</c:v>
                </c:pt>
                <c:pt idx="964">
                  <c:v>7.2372132000001504E-2</c:v>
                </c:pt>
                <c:pt idx="965">
                  <c:v>7.2372132000001504E-2</c:v>
                </c:pt>
                <c:pt idx="966">
                  <c:v>7.2372132000001504E-2</c:v>
                </c:pt>
                <c:pt idx="967">
                  <c:v>7.2372132000001504E-2</c:v>
                </c:pt>
                <c:pt idx="968">
                  <c:v>7.2372132000001504E-2</c:v>
                </c:pt>
                <c:pt idx="969">
                  <c:v>7.2372132000001504E-2</c:v>
                </c:pt>
                <c:pt idx="970">
                  <c:v>7.2372132000001504E-2</c:v>
                </c:pt>
                <c:pt idx="971">
                  <c:v>7.2372132000001504E-2</c:v>
                </c:pt>
                <c:pt idx="972">
                  <c:v>7.2372132000001504E-2</c:v>
                </c:pt>
                <c:pt idx="973">
                  <c:v>7.2372132000001504E-2</c:v>
                </c:pt>
                <c:pt idx="974">
                  <c:v>7.2372132000001504E-2</c:v>
                </c:pt>
                <c:pt idx="975">
                  <c:v>7.2372132000001504E-2</c:v>
                </c:pt>
                <c:pt idx="976">
                  <c:v>7.2372132000001504E-2</c:v>
                </c:pt>
                <c:pt idx="977">
                  <c:v>7.2372132000001504E-2</c:v>
                </c:pt>
                <c:pt idx="978">
                  <c:v>7.2372132000001504E-2</c:v>
                </c:pt>
                <c:pt idx="979">
                  <c:v>7.2372132000001504E-2</c:v>
                </c:pt>
                <c:pt idx="980">
                  <c:v>7.2372132000001504E-2</c:v>
                </c:pt>
                <c:pt idx="981">
                  <c:v>7.2372132000001504E-2</c:v>
                </c:pt>
                <c:pt idx="982">
                  <c:v>7.2372132000001504E-2</c:v>
                </c:pt>
                <c:pt idx="983">
                  <c:v>7.2372132000001504E-2</c:v>
                </c:pt>
                <c:pt idx="984">
                  <c:v>7.2372132000001504E-2</c:v>
                </c:pt>
                <c:pt idx="985">
                  <c:v>7.2372132000001504E-2</c:v>
                </c:pt>
                <c:pt idx="986">
                  <c:v>7.2372132000001504E-2</c:v>
                </c:pt>
                <c:pt idx="987">
                  <c:v>7.2372132000001504E-2</c:v>
                </c:pt>
                <c:pt idx="988">
                  <c:v>7.2372132000001504E-2</c:v>
                </c:pt>
                <c:pt idx="989">
                  <c:v>7.2372132000001504E-2</c:v>
                </c:pt>
                <c:pt idx="990">
                  <c:v>7.2372132000001504E-2</c:v>
                </c:pt>
                <c:pt idx="991">
                  <c:v>7.2372132000001504E-2</c:v>
                </c:pt>
                <c:pt idx="992">
                  <c:v>7.2372132000001504E-2</c:v>
                </c:pt>
                <c:pt idx="993">
                  <c:v>7.2372132000001504E-2</c:v>
                </c:pt>
                <c:pt idx="994">
                  <c:v>7.2372132000001504E-2</c:v>
                </c:pt>
                <c:pt idx="995">
                  <c:v>7.2372132000001504E-2</c:v>
                </c:pt>
                <c:pt idx="996">
                  <c:v>7.2372132000001504E-2</c:v>
                </c:pt>
                <c:pt idx="997">
                  <c:v>7.2372132000001504E-2</c:v>
                </c:pt>
                <c:pt idx="998">
                  <c:v>7.2372132000001504E-2</c:v>
                </c:pt>
                <c:pt idx="999">
                  <c:v>7.2372132000001504E-2</c:v>
                </c:pt>
                <c:pt idx="1000">
                  <c:v>7.2372132000001504E-2</c:v>
                </c:pt>
                <c:pt idx="1001">
                  <c:v>7.2372132000001504E-2</c:v>
                </c:pt>
                <c:pt idx="1002">
                  <c:v>7.2372132000001504E-2</c:v>
                </c:pt>
                <c:pt idx="1003">
                  <c:v>7.2372132000001504E-2</c:v>
                </c:pt>
                <c:pt idx="1004">
                  <c:v>7.2372132000001504E-2</c:v>
                </c:pt>
                <c:pt idx="1005">
                  <c:v>7.2372132000001504E-2</c:v>
                </c:pt>
                <c:pt idx="1006">
                  <c:v>7.2372132000001504E-2</c:v>
                </c:pt>
                <c:pt idx="1007">
                  <c:v>7.2372132000001504E-2</c:v>
                </c:pt>
                <c:pt idx="1008">
                  <c:v>7.2372132000001504E-2</c:v>
                </c:pt>
                <c:pt idx="1009">
                  <c:v>7.2372132000001504E-2</c:v>
                </c:pt>
                <c:pt idx="1010">
                  <c:v>7.2372132000001504E-2</c:v>
                </c:pt>
                <c:pt idx="1011">
                  <c:v>7.2372132000001504E-2</c:v>
                </c:pt>
                <c:pt idx="1012">
                  <c:v>7.2372132000001504E-2</c:v>
                </c:pt>
                <c:pt idx="1013">
                  <c:v>7.2372132000001504E-2</c:v>
                </c:pt>
                <c:pt idx="1014">
                  <c:v>7.2372132000001504E-2</c:v>
                </c:pt>
                <c:pt idx="1015">
                  <c:v>7.2372132000001504E-2</c:v>
                </c:pt>
                <c:pt idx="1016">
                  <c:v>7.2372132000001504E-2</c:v>
                </c:pt>
                <c:pt idx="1017">
                  <c:v>7.2372132000001504E-2</c:v>
                </c:pt>
                <c:pt idx="1018">
                  <c:v>7.2372132000001504E-2</c:v>
                </c:pt>
                <c:pt idx="1019">
                  <c:v>7.2372132000001504E-2</c:v>
                </c:pt>
                <c:pt idx="1020">
                  <c:v>7.2372132000001504E-2</c:v>
                </c:pt>
                <c:pt idx="1021">
                  <c:v>7.2372132000001504E-2</c:v>
                </c:pt>
                <c:pt idx="1022">
                  <c:v>7.2372132000001504E-2</c:v>
                </c:pt>
                <c:pt idx="1023">
                  <c:v>7.2372132000001504E-2</c:v>
                </c:pt>
                <c:pt idx="1024">
                  <c:v>7.317494799999999E-2</c:v>
                </c:pt>
                <c:pt idx="1025">
                  <c:v>7.317494799999999E-2</c:v>
                </c:pt>
                <c:pt idx="1026">
                  <c:v>7.317494799999999E-2</c:v>
                </c:pt>
                <c:pt idx="1027">
                  <c:v>7.317494799999999E-2</c:v>
                </c:pt>
                <c:pt idx="1028">
                  <c:v>7.317494799999999E-2</c:v>
                </c:pt>
                <c:pt idx="1029">
                  <c:v>7.317494799999999E-2</c:v>
                </c:pt>
                <c:pt idx="1030">
                  <c:v>7.317494799999999E-2</c:v>
                </c:pt>
                <c:pt idx="1031">
                  <c:v>7.317494799999999E-2</c:v>
                </c:pt>
                <c:pt idx="1032">
                  <c:v>7.317494799999999E-2</c:v>
                </c:pt>
                <c:pt idx="1033">
                  <c:v>7.317494799999999E-2</c:v>
                </c:pt>
                <c:pt idx="1034">
                  <c:v>7.317494799999999E-2</c:v>
                </c:pt>
                <c:pt idx="1035">
                  <c:v>7.317494799999999E-2</c:v>
                </c:pt>
                <c:pt idx="1036">
                  <c:v>7.317494799999999E-2</c:v>
                </c:pt>
                <c:pt idx="1037">
                  <c:v>7.317494799999999E-2</c:v>
                </c:pt>
                <c:pt idx="1038">
                  <c:v>7.317494799999999E-2</c:v>
                </c:pt>
                <c:pt idx="1039">
                  <c:v>7.317494799999999E-2</c:v>
                </c:pt>
                <c:pt idx="1040">
                  <c:v>7.317494799999999E-2</c:v>
                </c:pt>
                <c:pt idx="1041">
                  <c:v>7.317494799999999E-2</c:v>
                </c:pt>
                <c:pt idx="1042">
                  <c:v>7.317494799999999E-2</c:v>
                </c:pt>
                <c:pt idx="1043">
                  <c:v>7.317494799999999E-2</c:v>
                </c:pt>
                <c:pt idx="1044">
                  <c:v>7.317494799999999E-2</c:v>
                </c:pt>
                <c:pt idx="1045">
                  <c:v>7.317494799999999E-2</c:v>
                </c:pt>
                <c:pt idx="1046">
                  <c:v>7.317494799999999E-2</c:v>
                </c:pt>
                <c:pt idx="1047">
                  <c:v>7.317494799999999E-2</c:v>
                </c:pt>
                <c:pt idx="1048">
                  <c:v>7.317494799999999E-2</c:v>
                </c:pt>
                <c:pt idx="1049">
                  <c:v>7.317494799999999E-2</c:v>
                </c:pt>
                <c:pt idx="1050">
                  <c:v>7.317494799999999E-2</c:v>
                </c:pt>
                <c:pt idx="1051">
                  <c:v>7.317494799999999E-2</c:v>
                </c:pt>
                <c:pt idx="1052">
                  <c:v>7.317494799999999E-2</c:v>
                </c:pt>
                <c:pt idx="1053">
                  <c:v>7.317494799999999E-2</c:v>
                </c:pt>
                <c:pt idx="1054">
                  <c:v>7.317494799999999E-2</c:v>
                </c:pt>
                <c:pt idx="1055">
                  <c:v>7.317494799999999E-2</c:v>
                </c:pt>
                <c:pt idx="1056">
                  <c:v>7.317494799999999E-2</c:v>
                </c:pt>
                <c:pt idx="1057">
                  <c:v>7.317494799999999E-2</c:v>
                </c:pt>
                <c:pt idx="1058">
                  <c:v>7.317494799999999E-2</c:v>
                </c:pt>
                <c:pt idx="1059">
                  <c:v>7.317494799999999E-2</c:v>
                </c:pt>
                <c:pt idx="1060">
                  <c:v>7.317494799999999E-2</c:v>
                </c:pt>
                <c:pt idx="1061">
                  <c:v>7.317494799999999E-2</c:v>
                </c:pt>
                <c:pt idx="1062">
                  <c:v>7.317494799999999E-2</c:v>
                </c:pt>
                <c:pt idx="1063">
                  <c:v>7.317494799999999E-2</c:v>
                </c:pt>
                <c:pt idx="1064">
                  <c:v>7.317494799999999E-2</c:v>
                </c:pt>
                <c:pt idx="1065">
                  <c:v>7.317494799999999E-2</c:v>
                </c:pt>
                <c:pt idx="1066">
                  <c:v>7.317494799999999E-2</c:v>
                </c:pt>
                <c:pt idx="1067">
                  <c:v>7.317494799999999E-2</c:v>
                </c:pt>
                <c:pt idx="1068">
                  <c:v>7.317494799999999E-2</c:v>
                </c:pt>
                <c:pt idx="1069">
                  <c:v>7.317494799999999E-2</c:v>
                </c:pt>
                <c:pt idx="1070">
                  <c:v>7.317494799999999E-2</c:v>
                </c:pt>
                <c:pt idx="1071">
                  <c:v>7.317494799999999E-2</c:v>
                </c:pt>
                <c:pt idx="1072">
                  <c:v>7.317494799999999E-2</c:v>
                </c:pt>
                <c:pt idx="1073">
                  <c:v>7.317494799999999E-2</c:v>
                </c:pt>
                <c:pt idx="1074">
                  <c:v>7.317494799999999E-2</c:v>
                </c:pt>
                <c:pt idx="1075">
                  <c:v>7.317494799999999E-2</c:v>
                </c:pt>
                <c:pt idx="1076">
                  <c:v>7.317494799999999E-2</c:v>
                </c:pt>
                <c:pt idx="1077">
                  <c:v>7.317494799999999E-2</c:v>
                </c:pt>
                <c:pt idx="1078">
                  <c:v>7.317494799999999E-2</c:v>
                </c:pt>
                <c:pt idx="1079">
                  <c:v>7.317494799999999E-2</c:v>
                </c:pt>
                <c:pt idx="1080">
                  <c:v>7.317494799999999E-2</c:v>
                </c:pt>
                <c:pt idx="1081">
                  <c:v>7.317494799999999E-2</c:v>
                </c:pt>
                <c:pt idx="1082">
                  <c:v>7.317494799999999E-2</c:v>
                </c:pt>
                <c:pt idx="1083">
                  <c:v>7.317494799999999E-2</c:v>
                </c:pt>
                <c:pt idx="1084">
                  <c:v>7.317494799999999E-2</c:v>
                </c:pt>
                <c:pt idx="1085">
                  <c:v>7.317494799999999E-2</c:v>
                </c:pt>
                <c:pt idx="1086">
                  <c:v>7.317494799999999E-2</c:v>
                </c:pt>
                <c:pt idx="1087">
                  <c:v>7.317494799999999E-2</c:v>
                </c:pt>
                <c:pt idx="1088">
                  <c:v>7.317494799999999E-2</c:v>
                </c:pt>
                <c:pt idx="1089">
                  <c:v>7.317494799999999E-2</c:v>
                </c:pt>
                <c:pt idx="1090">
                  <c:v>7.317494799999999E-2</c:v>
                </c:pt>
                <c:pt idx="1091">
                  <c:v>7.317494799999999E-2</c:v>
                </c:pt>
                <c:pt idx="1092">
                  <c:v>7.317494799999999E-2</c:v>
                </c:pt>
                <c:pt idx="1093">
                  <c:v>7.317494799999999E-2</c:v>
                </c:pt>
                <c:pt idx="1094">
                  <c:v>7.317494799999999E-2</c:v>
                </c:pt>
                <c:pt idx="1095">
                  <c:v>7.317494799999999E-2</c:v>
                </c:pt>
                <c:pt idx="1096">
                  <c:v>7.317494799999999E-2</c:v>
                </c:pt>
                <c:pt idx="1097">
                  <c:v>7.317494799999999E-2</c:v>
                </c:pt>
                <c:pt idx="1098">
                  <c:v>7.317494799999999E-2</c:v>
                </c:pt>
                <c:pt idx="1099">
                  <c:v>7.317494799999999E-2</c:v>
                </c:pt>
                <c:pt idx="1100">
                  <c:v>7.317494799999999E-2</c:v>
                </c:pt>
                <c:pt idx="1101">
                  <c:v>7.317494799999999E-2</c:v>
                </c:pt>
                <c:pt idx="1102">
                  <c:v>7.317494799999999E-2</c:v>
                </c:pt>
                <c:pt idx="1103">
                  <c:v>7.317494799999999E-2</c:v>
                </c:pt>
                <c:pt idx="1104">
                  <c:v>7.317494799999999E-2</c:v>
                </c:pt>
                <c:pt idx="1105">
                  <c:v>7.317494799999999E-2</c:v>
                </c:pt>
                <c:pt idx="1106">
                  <c:v>7.317494799999999E-2</c:v>
                </c:pt>
                <c:pt idx="1107">
                  <c:v>7.317494799999999E-2</c:v>
                </c:pt>
                <c:pt idx="1108">
                  <c:v>7.317494799999999E-2</c:v>
                </c:pt>
                <c:pt idx="1109">
                  <c:v>7.317494799999999E-2</c:v>
                </c:pt>
                <c:pt idx="1110">
                  <c:v>7.317494799999999E-2</c:v>
                </c:pt>
                <c:pt idx="1111">
                  <c:v>7.317494799999999E-2</c:v>
                </c:pt>
                <c:pt idx="1112">
                  <c:v>7.317494799999999E-2</c:v>
                </c:pt>
                <c:pt idx="1113">
                  <c:v>7.317494799999999E-2</c:v>
                </c:pt>
                <c:pt idx="1114">
                  <c:v>7.317494799999999E-2</c:v>
                </c:pt>
                <c:pt idx="1115">
                  <c:v>7.317494799999999E-2</c:v>
                </c:pt>
                <c:pt idx="1116">
                  <c:v>7.317494799999999E-2</c:v>
                </c:pt>
                <c:pt idx="1117">
                  <c:v>7.317494799999999E-2</c:v>
                </c:pt>
                <c:pt idx="1118">
                  <c:v>7.317494799999999E-2</c:v>
                </c:pt>
                <c:pt idx="1119">
                  <c:v>7.317494799999999E-2</c:v>
                </c:pt>
                <c:pt idx="1120">
                  <c:v>7.317494799999999E-2</c:v>
                </c:pt>
                <c:pt idx="1121">
                  <c:v>7.317494799999999E-2</c:v>
                </c:pt>
                <c:pt idx="1122">
                  <c:v>7.317494799999999E-2</c:v>
                </c:pt>
                <c:pt idx="1123">
                  <c:v>7.317494799999999E-2</c:v>
                </c:pt>
                <c:pt idx="1124">
                  <c:v>7.317494799999999E-2</c:v>
                </c:pt>
                <c:pt idx="1125">
                  <c:v>7.317494799999999E-2</c:v>
                </c:pt>
                <c:pt idx="1126">
                  <c:v>7.317494799999999E-2</c:v>
                </c:pt>
                <c:pt idx="1127">
                  <c:v>7.317494799999999E-2</c:v>
                </c:pt>
                <c:pt idx="1128">
                  <c:v>7.317494799999999E-2</c:v>
                </c:pt>
                <c:pt idx="1129">
                  <c:v>7.317494799999999E-2</c:v>
                </c:pt>
                <c:pt idx="1130">
                  <c:v>7.317494799999999E-2</c:v>
                </c:pt>
                <c:pt idx="1131">
                  <c:v>7.317494799999999E-2</c:v>
                </c:pt>
                <c:pt idx="1132">
                  <c:v>7.317494799999999E-2</c:v>
                </c:pt>
                <c:pt idx="1133">
                  <c:v>7.317494799999999E-2</c:v>
                </c:pt>
                <c:pt idx="1134">
                  <c:v>7.317494799999999E-2</c:v>
                </c:pt>
                <c:pt idx="1135">
                  <c:v>7.317494799999999E-2</c:v>
                </c:pt>
                <c:pt idx="1136">
                  <c:v>7.317494799999999E-2</c:v>
                </c:pt>
                <c:pt idx="1137">
                  <c:v>7.317494799999999E-2</c:v>
                </c:pt>
                <c:pt idx="1138">
                  <c:v>7.317494799999999E-2</c:v>
                </c:pt>
                <c:pt idx="1139">
                  <c:v>7.317494799999999E-2</c:v>
                </c:pt>
                <c:pt idx="1140">
                  <c:v>7.317494799999999E-2</c:v>
                </c:pt>
                <c:pt idx="1141">
                  <c:v>7.317494799999999E-2</c:v>
                </c:pt>
                <c:pt idx="1142">
                  <c:v>7.317494799999999E-2</c:v>
                </c:pt>
                <c:pt idx="1143">
                  <c:v>7.3952443999999992E-2</c:v>
                </c:pt>
                <c:pt idx="1144">
                  <c:v>7.3952443999999992E-2</c:v>
                </c:pt>
                <c:pt idx="1145">
                  <c:v>7.3952443999999992E-2</c:v>
                </c:pt>
                <c:pt idx="1146">
                  <c:v>7.3952443999999992E-2</c:v>
                </c:pt>
                <c:pt idx="1147">
                  <c:v>7.3952443999999992E-2</c:v>
                </c:pt>
                <c:pt idx="1148">
                  <c:v>7.3952443999999992E-2</c:v>
                </c:pt>
                <c:pt idx="1149">
                  <c:v>7.3952443999999992E-2</c:v>
                </c:pt>
                <c:pt idx="1150">
                  <c:v>7.3952443999999992E-2</c:v>
                </c:pt>
                <c:pt idx="1151">
                  <c:v>7.3952443999999992E-2</c:v>
                </c:pt>
                <c:pt idx="1152">
                  <c:v>7.3952443999999992E-2</c:v>
                </c:pt>
                <c:pt idx="1153">
                  <c:v>7.3952443999999992E-2</c:v>
                </c:pt>
                <c:pt idx="1154">
                  <c:v>7.3952443999999992E-2</c:v>
                </c:pt>
                <c:pt idx="1155">
                  <c:v>7.3952443999999992E-2</c:v>
                </c:pt>
                <c:pt idx="1156">
                  <c:v>7.3952443999999992E-2</c:v>
                </c:pt>
                <c:pt idx="1157">
                  <c:v>7.3952443999999992E-2</c:v>
                </c:pt>
                <c:pt idx="1158">
                  <c:v>7.3952443999999992E-2</c:v>
                </c:pt>
                <c:pt idx="1159">
                  <c:v>7.3952443999999992E-2</c:v>
                </c:pt>
                <c:pt idx="1160">
                  <c:v>7.3952443999999992E-2</c:v>
                </c:pt>
                <c:pt idx="1161">
                  <c:v>7.3952443999999992E-2</c:v>
                </c:pt>
                <c:pt idx="1162">
                  <c:v>7.3952443999999992E-2</c:v>
                </c:pt>
                <c:pt idx="1163">
                  <c:v>7.3952443999999992E-2</c:v>
                </c:pt>
                <c:pt idx="1164">
                  <c:v>7.3952443999999992E-2</c:v>
                </c:pt>
                <c:pt idx="1165">
                  <c:v>7.3952443999999992E-2</c:v>
                </c:pt>
                <c:pt idx="1166">
                  <c:v>7.3952443999999992E-2</c:v>
                </c:pt>
                <c:pt idx="1167">
                  <c:v>7.3952443999999992E-2</c:v>
                </c:pt>
                <c:pt idx="1168">
                  <c:v>7.3952443999999992E-2</c:v>
                </c:pt>
                <c:pt idx="1169">
                  <c:v>7.3952443999999992E-2</c:v>
                </c:pt>
                <c:pt idx="1170">
                  <c:v>7.3952443999999992E-2</c:v>
                </c:pt>
                <c:pt idx="1171">
                  <c:v>7.3952443999999992E-2</c:v>
                </c:pt>
                <c:pt idx="1172">
                  <c:v>7.3952443999999992E-2</c:v>
                </c:pt>
                <c:pt idx="1173">
                  <c:v>7.3952443999999992E-2</c:v>
                </c:pt>
                <c:pt idx="1174">
                  <c:v>7.3952443999999992E-2</c:v>
                </c:pt>
                <c:pt idx="1175">
                  <c:v>7.3952443999999992E-2</c:v>
                </c:pt>
                <c:pt idx="1176">
                  <c:v>7.3952443999999992E-2</c:v>
                </c:pt>
                <c:pt idx="1177">
                  <c:v>7.3952443999999992E-2</c:v>
                </c:pt>
                <c:pt idx="1178">
                  <c:v>7.3952443999999992E-2</c:v>
                </c:pt>
                <c:pt idx="1179">
                  <c:v>7.4956113000001434E-2</c:v>
                </c:pt>
                <c:pt idx="1180">
                  <c:v>7.4956113000001434E-2</c:v>
                </c:pt>
                <c:pt idx="1181">
                  <c:v>7.4956113000001434E-2</c:v>
                </c:pt>
                <c:pt idx="1182">
                  <c:v>7.4956113000001434E-2</c:v>
                </c:pt>
                <c:pt idx="1183">
                  <c:v>7.4956113000001434E-2</c:v>
                </c:pt>
                <c:pt idx="1184">
                  <c:v>7.4956113000001434E-2</c:v>
                </c:pt>
                <c:pt idx="1185">
                  <c:v>7.4956113000001434E-2</c:v>
                </c:pt>
                <c:pt idx="1186">
                  <c:v>7.4956113000001434E-2</c:v>
                </c:pt>
                <c:pt idx="1187">
                  <c:v>7.4956113000001434E-2</c:v>
                </c:pt>
                <c:pt idx="1188">
                  <c:v>7.4956113000001434E-2</c:v>
                </c:pt>
                <c:pt idx="1189">
                  <c:v>7.4956113000001434E-2</c:v>
                </c:pt>
                <c:pt idx="1190">
                  <c:v>7.4956113000001434E-2</c:v>
                </c:pt>
                <c:pt idx="1191">
                  <c:v>7.4956113000001434E-2</c:v>
                </c:pt>
                <c:pt idx="1192">
                  <c:v>7.4956113000001434E-2</c:v>
                </c:pt>
                <c:pt idx="1193">
                  <c:v>7.4956113000001434E-2</c:v>
                </c:pt>
                <c:pt idx="1194">
                  <c:v>7.4956113000001434E-2</c:v>
                </c:pt>
                <c:pt idx="1195">
                  <c:v>7.4956113000001434E-2</c:v>
                </c:pt>
                <c:pt idx="1196">
                  <c:v>7.4956113000001434E-2</c:v>
                </c:pt>
                <c:pt idx="1197">
                  <c:v>7.4956113000001434E-2</c:v>
                </c:pt>
                <c:pt idx="1198">
                  <c:v>7.4956113000001434E-2</c:v>
                </c:pt>
                <c:pt idx="1199">
                  <c:v>7.4956113000001434E-2</c:v>
                </c:pt>
                <c:pt idx="1200">
                  <c:v>7.4956113000001434E-2</c:v>
                </c:pt>
                <c:pt idx="1201">
                  <c:v>7.4956113000001434E-2</c:v>
                </c:pt>
                <c:pt idx="1202">
                  <c:v>7.4956113000001434E-2</c:v>
                </c:pt>
                <c:pt idx="1203">
                  <c:v>7.4956113000001434E-2</c:v>
                </c:pt>
                <c:pt idx="1204">
                  <c:v>7.4956113000001434E-2</c:v>
                </c:pt>
                <c:pt idx="1205">
                  <c:v>7.4956113000001434E-2</c:v>
                </c:pt>
                <c:pt idx="1206">
                  <c:v>7.7393073000004031E-2</c:v>
                </c:pt>
                <c:pt idx="1207">
                  <c:v>7.7393073000004031E-2</c:v>
                </c:pt>
                <c:pt idx="1208">
                  <c:v>7.7393073000004031E-2</c:v>
                </c:pt>
                <c:pt idx="1209">
                  <c:v>7.7393073000004031E-2</c:v>
                </c:pt>
                <c:pt idx="1210">
                  <c:v>7.7393073000004031E-2</c:v>
                </c:pt>
                <c:pt idx="1211">
                  <c:v>7.7393073000004031E-2</c:v>
                </c:pt>
                <c:pt idx="1212">
                  <c:v>7.7393073000004031E-2</c:v>
                </c:pt>
                <c:pt idx="1213">
                  <c:v>7.7393073000004031E-2</c:v>
                </c:pt>
                <c:pt idx="1214">
                  <c:v>7.7393073000004031E-2</c:v>
                </c:pt>
                <c:pt idx="1215">
                  <c:v>7.7393073000004031E-2</c:v>
                </c:pt>
                <c:pt idx="1216">
                  <c:v>7.7393073000004031E-2</c:v>
                </c:pt>
                <c:pt idx="1217">
                  <c:v>7.7393073000004031E-2</c:v>
                </c:pt>
                <c:pt idx="1218">
                  <c:v>7.7393073000004031E-2</c:v>
                </c:pt>
                <c:pt idx="1219">
                  <c:v>7.7393073000004031E-2</c:v>
                </c:pt>
                <c:pt idx="1220">
                  <c:v>7.7393073000004031E-2</c:v>
                </c:pt>
                <c:pt idx="1221">
                  <c:v>7.7393073000004031E-2</c:v>
                </c:pt>
                <c:pt idx="1222">
                  <c:v>7.7393073000004031E-2</c:v>
                </c:pt>
                <c:pt idx="1223">
                  <c:v>7.7393073000004031E-2</c:v>
                </c:pt>
                <c:pt idx="1224">
                  <c:v>7.7393073000004031E-2</c:v>
                </c:pt>
                <c:pt idx="1225">
                  <c:v>7.7393073000004031E-2</c:v>
                </c:pt>
                <c:pt idx="1226">
                  <c:v>7.7393073000004031E-2</c:v>
                </c:pt>
                <c:pt idx="1227">
                  <c:v>7.8494612000001934E-2</c:v>
                </c:pt>
                <c:pt idx="1228">
                  <c:v>7.8494612000001934E-2</c:v>
                </c:pt>
                <c:pt idx="1229">
                  <c:v>7.8494612000001934E-2</c:v>
                </c:pt>
                <c:pt idx="1230">
                  <c:v>7.8494612000001934E-2</c:v>
                </c:pt>
                <c:pt idx="1231">
                  <c:v>7.8494612000001934E-2</c:v>
                </c:pt>
                <c:pt idx="1232">
                  <c:v>7.8494612000001934E-2</c:v>
                </c:pt>
                <c:pt idx="1233">
                  <c:v>7.8494612000001934E-2</c:v>
                </c:pt>
                <c:pt idx="1234">
                  <c:v>7.8494612000001934E-2</c:v>
                </c:pt>
                <c:pt idx="1235">
                  <c:v>7.8494612000001934E-2</c:v>
                </c:pt>
                <c:pt idx="1236">
                  <c:v>7.8494612000001934E-2</c:v>
                </c:pt>
                <c:pt idx="1237">
                  <c:v>7.8494612000001934E-2</c:v>
                </c:pt>
                <c:pt idx="1238">
                  <c:v>7.8494612000001934E-2</c:v>
                </c:pt>
                <c:pt idx="1239">
                  <c:v>7.8494612000001934E-2</c:v>
                </c:pt>
                <c:pt idx="1240">
                  <c:v>7.8494612000001934E-2</c:v>
                </c:pt>
                <c:pt idx="1241">
                  <c:v>7.8494612000001934E-2</c:v>
                </c:pt>
                <c:pt idx="1242">
                  <c:v>7.8494612000001934E-2</c:v>
                </c:pt>
                <c:pt idx="1243">
                  <c:v>7.8494612000001934E-2</c:v>
                </c:pt>
                <c:pt idx="1244">
                  <c:v>7.8494612000001934E-2</c:v>
                </c:pt>
                <c:pt idx="1245">
                  <c:v>7.8494612000001934E-2</c:v>
                </c:pt>
                <c:pt idx="1246">
                  <c:v>7.8494612000001934E-2</c:v>
                </c:pt>
                <c:pt idx="1247">
                  <c:v>7.8494612000001934E-2</c:v>
                </c:pt>
                <c:pt idx="1248">
                  <c:v>7.8494612000001934E-2</c:v>
                </c:pt>
                <c:pt idx="1249">
                  <c:v>8.0324381000000208E-2</c:v>
                </c:pt>
                <c:pt idx="1250">
                  <c:v>8.0324381000000208E-2</c:v>
                </c:pt>
                <c:pt idx="1251">
                  <c:v>8.0324381000000208E-2</c:v>
                </c:pt>
                <c:pt idx="1252">
                  <c:v>8.0324381000000208E-2</c:v>
                </c:pt>
                <c:pt idx="1253">
                  <c:v>8.0324381000000208E-2</c:v>
                </c:pt>
                <c:pt idx="1254">
                  <c:v>8.0324381000000208E-2</c:v>
                </c:pt>
                <c:pt idx="1255">
                  <c:v>8.0324381000000208E-2</c:v>
                </c:pt>
                <c:pt idx="1256">
                  <c:v>8.0324381000000208E-2</c:v>
                </c:pt>
                <c:pt idx="1257">
                  <c:v>8.0324381000000208E-2</c:v>
                </c:pt>
                <c:pt idx="1258">
                  <c:v>8.0324381000000208E-2</c:v>
                </c:pt>
                <c:pt idx="1259">
                  <c:v>8.0324381000000208E-2</c:v>
                </c:pt>
                <c:pt idx="1260">
                  <c:v>8.0324381000000208E-2</c:v>
                </c:pt>
                <c:pt idx="1261">
                  <c:v>8.0324381000000208E-2</c:v>
                </c:pt>
                <c:pt idx="1262">
                  <c:v>8.0324381000000208E-2</c:v>
                </c:pt>
                <c:pt idx="1263">
                  <c:v>8.0324381000000208E-2</c:v>
                </c:pt>
                <c:pt idx="1264">
                  <c:v>8.0324381000000208E-2</c:v>
                </c:pt>
                <c:pt idx="1265">
                  <c:v>8.0324381000000208E-2</c:v>
                </c:pt>
                <c:pt idx="1266">
                  <c:v>8.0324381000000208E-2</c:v>
                </c:pt>
                <c:pt idx="1267">
                  <c:v>8.0324381000000208E-2</c:v>
                </c:pt>
                <c:pt idx="1268">
                  <c:v>8.0324381000000208E-2</c:v>
                </c:pt>
                <c:pt idx="1269">
                  <c:v>8.0984933999999995E-2</c:v>
                </c:pt>
                <c:pt idx="1270">
                  <c:v>8.0984933999999995E-2</c:v>
                </c:pt>
                <c:pt idx="1271">
                  <c:v>8.0984933999999995E-2</c:v>
                </c:pt>
                <c:pt idx="1272">
                  <c:v>8.0984933999999995E-2</c:v>
                </c:pt>
                <c:pt idx="1273">
                  <c:v>8.0984933999999995E-2</c:v>
                </c:pt>
                <c:pt idx="1274">
                  <c:v>8.0984933999999995E-2</c:v>
                </c:pt>
                <c:pt idx="1275">
                  <c:v>8.0984933999999995E-2</c:v>
                </c:pt>
                <c:pt idx="1276">
                  <c:v>8.0984933999999995E-2</c:v>
                </c:pt>
                <c:pt idx="1277">
                  <c:v>8.0984933999999995E-2</c:v>
                </c:pt>
                <c:pt idx="1278">
                  <c:v>8.0984933999999995E-2</c:v>
                </c:pt>
                <c:pt idx="1279">
                  <c:v>8.0984933999999995E-2</c:v>
                </c:pt>
                <c:pt idx="1280">
                  <c:v>8.0984933999999995E-2</c:v>
                </c:pt>
                <c:pt idx="1281">
                  <c:v>8.0984933999999995E-2</c:v>
                </c:pt>
                <c:pt idx="1282">
                  <c:v>8.0984933999999995E-2</c:v>
                </c:pt>
                <c:pt idx="1283">
                  <c:v>8.0984933999999995E-2</c:v>
                </c:pt>
                <c:pt idx="1284">
                  <c:v>8.0984933999999995E-2</c:v>
                </c:pt>
                <c:pt idx="1285">
                  <c:v>8.0984933999999995E-2</c:v>
                </c:pt>
                <c:pt idx="1286">
                  <c:v>8.0984933999999995E-2</c:v>
                </c:pt>
                <c:pt idx="1287">
                  <c:v>8.0984933999999995E-2</c:v>
                </c:pt>
                <c:pt idx="1288">
                  <c:v>8.0984933999999995E-2</c:v>
                </c:pt>
                <c:pt idx="1289">
                  <c:v>8.0984933999999995E-2</c:v>
                </c:pt>
                <c:pt idx="1290">
                  <c:v>8.0984933999999995E-2</c:v>
                </c:pt>
                <c:pt idx="1291">
                  <c:v>8.1342180999999986E-2</c:v>
                </c:pt>
                <c:pt idx="1292">
                  <c:v>8.1342180999999986E-2</c:v>
                </c:pt>
                <c:pt idx="1293">
                  <c:v>8.1342180999999986E-2</c:v>
                </c:pt>
                <c:pt idx="1294">
                  <c:v>8.1342180999999986E-2</c:v>
                </c:pt>
                <c:pt idx="1295">
                  <c:v>8.1342180999999986E-2</c:v>
                </c:pt>
                <c:pt idx="1296">
                  <c:v>8.1342180999999986E-2</c:v>
                </c:pt>
                <c:pt idx="1297">
                  <c:v>8.1342180999999986E-2</c:v>
                </c:pt>
                <c:pt idx="1298">
                  <c:v>8.1342180999999986E-2</c:v>
                </c:pt>
                <c:pt idx="1299">
                  <c:v>8.1342180999999986E-2</c:v>
                </c:pt>
                <c:pt idx="1300">
                  <c:v>8.1342180999999986E-2</c:v>
                </c:pt>
                <c:pt idx="1301">
                  <c:v>8.1342180999999986E-2</c:v>
                </c:pt>
                <c:pt idx="1302">
                  <c:v>8.1342180999999986E-2</c:v>
                </c:pt>
                <c:pt idx="1303">
                  <c:v>8.1342180999999986E-2</c:v>
                </c:pt>
                <c:pt idx="1304">
                  <c:v>8.1342180999999986E-2</c:v>
                </c:pt>
                <c:pt idx="1305">
                  <c:v>8.1342180999999986E-2</c:v>
                </c:pt>
                <c:pt idx="1306">
                  <c:v>8.1342180999999986E-2</c:v>
                </c:pt>
                <c:pt idx="1307">
                  <c:v>8.1342180999999986E-2</c:v>
                </c:pt>
                <c:pt idx="1308">
                  <c:v>8.1342180999999986E-2</c:v>
                </c:pt>
                <c:pt idx="1309">
                  <c:v>8.1342180999999986E-2</c:v>
                </c:pt>
                <c:pt idx="1310">
                  <c:v>8.1342180999999986E-2</c:v>
                </c:pt>
                <c:pt idx="1311">
                  <c:v>8.2961937000000013E-2</c:v>
                </c:pt>
                <c:pt idx="1312">
                  <c:v>8.2961937000000013E-2</c:v>
                </c:pt>
                <c:pt idx="1313">
                  <c:v>8.2961937000000013E-2</c:v>
                </c:pt>
                <c:pt idx="1314">
                  <c:v>8.2961937000000013E-2</c:v>
                </c:pt>
                <c:pt idx="1315">
                  <c:v>8.2961937000000013E-2</c:v>
                </c:pt>
                <c:pt idx="1316">
                  <c:v>8.2961937000000013E-2</c:v>
                </c:pt>
                <c:pt idx="1317">
                  <c:v>8.2961937000000013E-2</c:v>
                </c:pt>
                <c:pt idx="1318">
                  <c:v>8.2961937000000013E-2</c:v>
                </c:pt>
                <c:pt idx="1319">
                  <c:v>8.2961937000000013E-2</c:v>
                </c:pt>
                <c:pt idx="1320">
                  <c:v>8.2961937000000013E-2</c:v>
                </c:pt>
                <c:pt idx="1321">
                  <c:v>8.2961937000000013E-2</c:v>
                </c:pt>
                <c:pt idx="1322">
                  <c:v>8.2961937000000013E-2</c:v>
                </c:pt>
                <c:pt idx="1323">
                  <c:v>8.2961937000000013E-2</c:v>
                </c:pt>
                <c:pt idx="1324">
                  <c:v>8.2961937000000013E-2</c:v>
                </c:pt>
                <c:pt idx="1325">
                  <c:v>8.2961937000000013E-2</c:v>
                </c:pt>
                <c:pt idx="1326">
                  <c:v>8.2961937000000013E-2</c:v>
                </c:pt>
                <c:pt idx="1327">
                  <c:v>8.2961937000000013E-2</c:v>
                </c:pt>
                <c:pt idx="1328">
                  <c:v>8.2961937000000013E-2</c:v>
                </c:pt>
                <c:pt idx="1329">
                  <c:v>8.2961937000000013E-2</c:v>
                </c:pt>
                <c:pt idx="1330">
                  <c:v>8.2961937000000013E-2</c:v>
                </c:pt>
                <c:pt idx="1331">
                  <c:v>8.2961937000000013E-2</c:v>
                </c:pt>
                <c:pt idx="1332">
                  <c:v>8.2961937000000013E-2</c:v>
                </c:pt>
                <c:pt idx="1333">
                  <c:v>8.2961937000000013E-2</c:v>
                </c:pt>
                <c:pt idx="1334">
                  <c:v>8.2961937000000013E-2</c:v>
                </c:pt>
                <c:pt idx="1335">
                  <c:v>8.2961937000000013E-2</c:v>
                </c:pt>
                <c:pt idx="1336">
                  <c:v>8.2961937000000013E-2</c:v>
                </c:pt>
                <c:pt idx="1337">
                  <c:v>8.2961937000000013E-2</c:v>
                </c:pt>
                <c:pt idx="1338">
                  <c:v>8.2961937000000013E-2</c:v>
                </c:pt>
                <c:pt idx="1339">
                  <c:v>8.2961937000000013E-2</c:v>
                </c:pt>
                <c:pt idx="1340">
                  <c:v>8.2961937000000013E-2</c:v>
                </c:pt>
                <c:pt idx="1341">
                  <c:v>8.2961937000000013E-2</c:v>
                </c:pt>
                <c:pt idx="1342">
                  <c:v>8.2961937000000013E-2</c:v>
                </c:pt>
                <c:pt idx="1343">
                  <c:v>8.2961937000000013E-2</c:v>
                </c:pt>
                <c:pt idx="1344">
                  <c:v>8.2961937000000013E-2</c:v>
                </c:pt>
                <c:pt idx="1345">
                  <c:v>8.2961937000000013E-2</c:v>
                </c:pt>
                <c:pt idx="1346">
                  <c:v>8.2961937000000013E-2</c:v>
                </c:pt>
                <c:pt idx="1347">
                  <c:v>8.2961937000000013E-2</c:v>
                </c:pt>
                <c:pt idx="1348">
                  <c:v>8.2961937000000013E-2</c:v>
                </c:pt>
                <c:pt idx="1349">
                  <c:v>8.2961937000000013E-2</c:v>
                </c:pt>
                <c:pt idx="1350">
                  <c:v>8.2961937000000013E-2</c:v>
                </c:pt>
                <c:pt idx="1351">
                  <c:v>8.2961937000000013E-2</c:v>
                </c:pt>
                <c:pt idx="1352">
                  <c:v>8.2961937000000013E-2</c:v>
                </c:pt>
                <c:pt idx="1353">
                  <c:v>8.2961937000000013E-2</c:v>
                </c:pt>
                <c:pt idx="1354">
                  <c:v>8.2961937000000013E-2</c:v>
                </c:pt>
                <c:pt idx="1355">
                  <c:v>8.2961937000000013E-2</c:v>
                </c:pt>
                <c:pt idx="1356">
                  <c:v>8.2961937000000013E-2</c:v>
                </c:pt>
                <c:pt idx="1357">
                  <c:v>8.2961937000000013E-2</c:v>
                </c:pt>
                <c:pt idx="1358">
                  <c:v>8.2961937000000013E-2</c:v>
                </c:pt>
                <c:pt idx="1359">
                  <c:v>8.2961937000000013E-2</c:v>
                </c:pt>
                <c:pt idx="1360">
                  <c:v>8.2961937000000013E-2</c:v>
                </c:pt>
                <c:pt idx="1361">
                  <c:v>8.2961937000000013E-2</c:v>
                </c:pt>
                <c:pt idx="1362">
                  <c:v>8.2961937000000013E-2</c:v>
                </c:pt>
                <c:pt idx="1363">
                  <c:v>8.2961937000000013E-2</c:v>
                </c:pt>
                <c:pt idx="1364">
                  <c:v>8.2961937000000013E-2</c:v>
                </c:pt>
                <c:pt idx="1365">
                  <c:v>8.2961937000000013E-2</c:v>
                </c:pt>
                <c:pt idx="1366">
                  <c:v>8.3380013999999988E-2</c:v>
                </c:pt>
                <c:pt idx="1367">
                  <c:v>8.3380013999999988E-2</c:v>
                </c:pt>
                <c:pt idx="1368">
                  <c:v>8.3380013999999988E-2</c:v>
                </c:pt>
                <c:pt idx="1369">
                  <c:v>8.3380013999999988E-2</c:v>
                </c:pt>
                <c:pt idx="1370">
                  <c:v>8.3380013999999988E-2</c:v>
                </c:pt>
                <c:pt idx="1371">
                  <c:v>8.3380013999999988E-2</c:v>
                </c:pt>
                <c:pt idx="1372">
                  <c:v>8.3380013999999988E-2</c:v>
                </c:pt>
                <c:pt idx="1373">
                  <c:v>8.3380013999999988E-2</c:v>
                </c:pt>
                <c:pt idx="1374">
                  <c:v>8.3380013999999988E-2</c:v>
                </c:pt>
                <c:pt idx="1375">
                  <c:v>8.3380013999999988E-2</c:v>
                </c:pt>
                <c:pt idx="1376">
                  <c:v>8.3380013999999988E-2</c:v>
                </c:pt>
                <c:pt idx="1377">
                  <c:v>8.3380013999999988E-2</c:v>
                </c:pt>
                <c:pt idx="1378">
                  <c:v>8.3380013999999988E-2</c:v>
                </c:pt>
                <c:pt idx="1379">
                  <c:v>8.3380013999999988E-2</c:v>
                </c:pt>
                <c:pt idx="1380">
                  <c:v>8.3380013999999988E-2</c:v>
                </c:pt>
                <c:pt idx="1381">
                  <c:v>8.3380013999999988E-2</c:v>
                </c:pt>
                <c:pt idx="1382">
                  <c:v>8.3380013999999988E-2</c:v>
                </c:pt>
                <c:pt idx="1383">
                  <c:v>8.3380013999999988E-2</c:v>
                </c:pt>
                <c:pt idx="1384">
                  <c:v>8.3380013999999988E-2</c:v>
                </c:pt>
                <c:pt idx="1385">
                  <c:v>8.3380013999999988E-2</c:v>
                </c:pt>
                <c:pt idx="1386">
                  <c:v>8.3380013999999988E-2</c:v>
                </c:pt>
                <c:pt idx="1387">
                  <c:v>8.3380013999999988E-2</c:v>
                </c:pt>
                <c:pt idx="1388">
                  <c:v>8.3380013999999988E-2</c:v>
                </c:pt>
                <c:pt idx="1389">
                  <c:v>8.3380013999999988E-2</c:v>
                </c:pt>
                <c:pt idx="1390">
                  <c:v>8.3380013999999988E-2</c:v>
                </c:pt>
                <c:pt idx="1391">
                  <c:v>8.3380013999999988E-2</c:v>
                </c:pt>
                <c:pt idx="1392">
                  <c:v>8.3380013999999988E-2</c:v>
                </c:pt>
                <c:pt idx="1393">
                  <c:v>8.3380013999999988E-2</c:v>
                </c:pt>
                <c:pt idx="1394">
                  <c:v>8.3380013999999988E-2</c:v>
                </c:pt>
                <c:pt idx="1395">
                  <c:v>8.3380013999999988E-2</c:v>
                </c:pt>
                <c:pt idx="1396">
                  <c:v>8.3380013999999988E-2</c:v>
                </c:pt>
                <c:pt idx="1397">
                  <c:v>8.3380013999999988E-2</c:v>
                </c:pt>
                <c:pt idx="1398">
                  <c:v>8.3380013999999988E-2</c:v>
                </c:pt>
                <c:pt idx="1399">
                  <c:v>8.3380013999999988E-2</c:v>
                </c:pt>
                <c:pt idx="1400">
                  <c:v>8.3380013999999988E-2</c:v>
                </c:pt>
                <c:pt idx="1401">
                  <c:v>8.3380013999999988E-2</c:v>
                </c:pt>
                <c:pt idx="1402">
                  <c:v>8.3380013999999988E-2</c:v>
                </c:pt>
                <c:pt idx="1403">
                  <c:v>8.3380013999999988E-2</c:v>
                </c:pt>
                <c:pt idx="1404">
                  <c:v>8.3380013999999988E-2</c:v>
                </c:pt>
                <c:pt idx="1405">
                  <c:v>8.3380013999999988E-2</c:v>
                </c:pt>
                <c:pt idx="1406">
                  <c:v>8.3380013999999988E-2</c:v>
                </c:pt>
                <c:pt idx="1407">
                  <c:v>8.3380013999999988E-2</c:v>
                </c:pt>
                <c:pt idx="1408">
                  <c:v>8.3380013999999988E-2</c:v>
                </c:pt>
                <c:pt idx="1409">
                  <c:v>8.3380013999999988E-2</c:v>
                </c:pt>
                <c:pt idx="1410">
                  <c:v>8.3380013999999988E-2</c:v>
                </c:pt>
                <c:pt idx="1411">
                  <c:v>8.3380013999999988E-2</c:v>
                </c:pt>
                <c:pt idx="1412">
                  <c:v>8.3380013999999988E-2</c:v>
                </c:pt>
                <c:pt idx="1413">
                  <c:v>8.3380013999999988E-2</c:v>
                </c:pt>
                <c:pt idx="1414">
                  <c:v>8.3380013999999988E-2</c:v>
                </c:pt>
                <c:pt idx="1415">
                  <c:v>8.3380013999999988E-2</c:v>
                </c:pt>
                <c:pt idx="1416">
                  <c:v>8.3380013999999988E-2</c:v>
                </c:pt>
                <c:pt idx="1417">
                  <c:v>8.3380013999999988E-2</c:v>
                </c:pt>
                <c:pt idx="1418">
                  <c:v>8.3380013999999988E-2</c:v>
                </c:pt>
                <c:pt idx="1419">
                  <c:v>8.3380013999999988E-2</c:v>
                </c:pt>
                <c:pt idx="1420">
                  <c:v>8.3380013999999988E-2</c:v>
                </c:pt>
                <c:pt idx="1421">
                  <c:v>8.3380013999999988E-2</c:v>
                </c:pt>
                <c:pt idx="1422">
                  <c:v>8.3380013999999988E-2</c:v>
                </c:pt>
                <c:pt idx="1423">
                  <c:v>8.3380013999999988E-2</c:v>
                </c:pt>
                <c:pt idx="1424">
                  <c:v>8.3380013999999988E-2</c:v>
                </c:pt>
                <c:pt idx="1425">
                  <c:v>8.3380013999999988E-2</c:v>
                </c:pt>
                <c:pt idx="1426">
                  <c:v>8.3380013999999988E-2</c:v>
                </c:pt>
                <c:pt idx="1427">
                  <c:v>8.3380013999999988E-2</c:v>
                </c:pt>
                <c:pt idx="1428">
                  <c:v>8.3380013999999988E-2</c:v>
                </c:pt>
                <c:pt idx="1429">
                  <c:v>8.3380013999999988E-2</c:v>
                </c:pt>
                <c:pt idx="1430">
                  <c:v>8.3380013999999988E-2</c:v>
                </c:pt>
                <c:pt idx="1431">
                  <c:v>8.3380013999999988E-2</c:v>
                </c:pt>
                <c:pt idx="1432">
                  <c:v>8.3380013999999988E-2</c:v>
                </c:pt>
                <c:pt idx="1433">
                  <c:v>8.3380013999999988E-2</c:v>
                </c:pt>
                <c:pt idx="1434">
                  <c:v>8.3380013999999988E-2</c:v>
                </c:pt>
                <c:pt idx="1435">
                  <c:v>8.3380013999999988E-2</c:v>
                </c:pt>
                <c:pt idx="1436">
                  <c:v>8.3380013999999988E-2</c:v>
                </c:pt>
                <c:pt idx="1437">
                  <c:v>8.3380013999999988E-2</c:v>
                </c:pt>
                <c:pt idx="1438">
                  <c:v>8.3380013999999988E-2</c:v>
                </c:pt>
                <c:pt idx="1439">
                  <c:v>8.3380013999999988E-2</c:v>
                </c:pt>
                <c:pt idx="1440">
                  <c:v>8.3380013999999988E-2</c:v>
                </c:pt>
                <c:pt idx="1441">
                  <c:v>8.3380013999999988E-2</c:v>
                </c:pt>
                <c:pt idx="1442">
                  <c:v>8.3380013999999988E-2</c:v>
                </c:pt>
                <c:pt idx="1443">
                  <c:v>8.3380013999999988E-2</c:v>
                </c:pt>
                <c:pt idx="1444">
                  <c:v>8.3380013999999988E-2</c:v>
                </c:pt>
                <c:pt idx="1445">
                  <c:v>8.3380013999999988E-2</c:v>
                </c:pt>
                <c:pt idx="1446">
                  <c:v>8.3380013999999988E-2</c:v>
                </c:pt>
                <c:pt idx="1447">
                  <c:v>8.3380013999999988E-2</c:v>
                </c:pt>
                <c:pt idx="1448">
                  <c:v>8.3380013999999988E-2</c:v>
                </c:pt>
                <c:pt idx="1449">
                  <c:v>8.3380013999999988E-2</c:v>
                </c:pt>
                <c:pt idx="1450">
                  <c:v>8.3380013999999988E-2</c:v>
                </c:pt>
                <c:pt idx="1451">
                  <c:v>8.3380013999999988E-2</c:v>
                </c:pt>
                <c:pt idx="1452">
                  <c:v>8.3380013999999988E-2</c:v>
                </c:pt>
                <c:pt idx="1453">
                  <c:v>8.3380013999999988E-2</c:v>
                </c:pt>
                <c:pt idx="1454">
                  <c:v>8.3380013999999988E-2</c:v>
                </c:pt>
                <c:pt idx="1455">
                  <c:v>8.3380013999999988E-2</c:v>
                </c:pt>
                <c:pt idx="1456">
                  <c:v>8.3380013999999988E-2</c:v>
                </c:pt>
                <c:pt idx="1457">
                  <c:v>8.3380013999999988E-2</c:v>
                </c:pt>
                <c:pt idx="1458">
                  <c:v>8.3380013999999988E-2</c:v>
                </c:pt>
                <c:pt idx="1459">
                  <c:v>8.3380013999999988E-2</c:v>
                </c:pt>
              </c:numCache>
            </c:numRef>
          </c:val>
        </c:ser>
        <c:marker val="1"/>
        <c:axId val="184940416"/>
        <c:axId val="185208832"/>
      </c:lineChart>
      <c:dateAx>
        <c:axId val="184940416"/>
        <c:scaling>
          <c:orientation val="minMax"/>
        </c:scaling>
        <c:axPos val="b"/>
        <c:title>
          <c:tx>
            <c:rich>
              <a:bodyPr/>
              <a:lstStyle/>
              <a:p>
                <a:pPr>
                  <a:defRPr/>
                </a:pPr>
                <a:r>
                  <a:rPr lang="en-US"/>
                  <a:t>Date</a:t>
                </a:r>
              </a:p>
            </c:rich>
          </c:tx>
        </c:title>
        <c:numFmt formatCode="d/mm/yyyy" sourceLinked="1"/>
        <c:tickLblPos val="nextTo"/>
        <c:txPr>
          <a:bodyPr rot="-5400000" vert="horz"/>
          <a:lstStyle/>
          <a:p>
            <a:pPr>
              <a:defRPr/>
            </a:pPr>
            <a:endParaRPr lang="en-US"/>
          </a:p>
        </c:txPr>
        <c:crossAx val="185208832"/>
        <c:crosses val="autoZero"/>
        <c:auto val="1"/>
        <c:lblOffset val="100"/>
      </c:dateAx>
      <c:valAx>
        <c:axId val="185208832"/>
        <c:scaling>
          <c:orientation val="minMax"/>
        </c:scaling>
        <c:axPos val="l"/>
        <c:title>
          <c:tx>
            <c:rich>
              <a:bodyPr rot="-5400000" vert="horz"/>
              <a:lstStyle/>
              <a:p>
                <a:pPr>
                  <a:defRPr/>
                </a:pPr>
                <a:r>
                  <a:rPr lang="en-US"/>
                  <a:t>Sediment yield (m</a:t>
                </a:r>
                <a:r>
                  <a:rPr lang="en-US" baseline="30000"/>
                  <a:t>3</a:t>
                </a:r>
                <a:r>
                  <a:rPr lang="en-US"/>
                  <a:t>)</a:t>
                </a:r>
              </a:p>
            </c:rich>
          </c:tx>
          <c:layout>
            <c:manualLayout>
              <c:xMode val="edge"/>
              <c:yMode val="edge"/>
              <c:x val="0"/>
              <c:y val="0.20474048542714773"/>
            </c:manualLayout>
          </c:layout>
        </c:title>
        <c:numFmt formatCode="General" sourceLinked="1"/>
        <c:tickLblPos val="nextTo"/>
        <c:crossAx val="184940416"/>
        <c:crosses val="autoZero"/>
        <c:crossBetween val="between"/>
      </c:valAx>
    </c:plotArea>
    <c:legend>
      <c:legendPos val="r"/>
      <c:layout>
        <c:manualLayout>
          <c:xMode val="edge"/>
          <c:yMode val="edge"/>
          <c:x val="0.57637852155068625"/>
          <c:y val="0.38885467131745505"/>
          <c:w val="0.40917409101855345"/>
          <c:h val="0.22229036724915188"/>
        </c:manualLayout>
      </c:layout>
    </c:legend>
    <c:plotVisOnly val="1"/>
  </c:chart>
  <c:spPr>
    <a:ln>
      <a:noFill/>
    </a:ln>
  </c:spPr>
  <c:externalData r:id="rId2"/>
</c:chartSpace>
</file>

<file path=word/charts/chart11.xml><?xml version="1.0" encoding="utf-8"?>
<c:chartSpace xmlns:c="http://schemas.openxmlformats.org/drawingml/2006/chart" xmlns:a="http://schemas.openxmlformats.org/drawingml/2006/main" xmlns:r="http://schemas.openxmlformats.org/officeDocument/2006/relationships">
  <c:date1904 val="1"/>
  <c:lang val="en-AU"/>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2591715058599437"/>
          <c:y val="2.3172079158030483E-2"/>
          <c:w val="0.85770389162981986"/>
          <c:h val="0.83185710254710865"/>
        </c:manualLayout>
      </c:layout>
      <c:lineChart>
        <c:grouping val="standard"/>
        <c:ser>
          <c:idx val="0"/>
          <c:order val="0"/>
          <c:tx>
            <c:strRef>
              <c:f>'plot2-prt1'!$P$1</c:f>
              <c:strCache>
                <c:ptCount val="1"/>
                <c:pt idx="0">
                  <c:v>CumulativeModelBedload</c:v>
                </c:pt>
              </c:strCache>
            </c:strRef>
          </c:tx>
          <c:spPr>
            <a:ln>
              <a:prstDash val="sysDash"/>
            </a:ln>
          </c:spPr>
          <c:marker>
            <c:symbol val="none"/>
          </c:marker>
          <c:cat>
            <c:numRef>
              <c:f>'plot2-prt1'!$O$2:$O$1461</c:f>
              <c:numCache>
                <c:formatCode>d/mm/yyyy</c:formatCode>
                <c:ptCount val="1460"/>
                <c:pt idx="0">
                  <c:v>40057</c:v>
                </c:pt>
                <c:pt idx="1">
                  <c:v>40058</c:v>
                </c:pt>
                <c:pt idx="2">
                  <c:v>40059</c:v>
                </c:pt>
                <c:pt idx="3">
                  <c:v>40060</c:v>
                </c:pt>
                <c:pt idx="4">
                  <c:v>40061</c:v>
                </c:pt>
                <c:pt idx="5">
                  <c:v>40062</c:v>
                </c:pt>
                <c:pt idx="6">
                  <c:v>40063</c:v>
                </c:pt>
                <c:pt idx="7">
                  <c:v>40064</c:v>
                </c:pt>
                <c:pt idx="8">
                  <c:v>40065</c:v>
                </c:pt>
                <c:pt idx="9">
                  <c:v>40066</c:v>
                </c:pt>
                <c:pt idx="10">
                  <c:v>40067</c:v>
                </c:pt>
                <c:pt idx="11">
                  <c:v>40068</c:v>
                </c:pt>
                <c:pt idx="12">
                  <c:v>40069</c:v>
                </c:pt>
                <c:pt idx="13">
                  <c:v>40070</c:v>
                </c:pt>
                <c:pt idx="14">
                  <c:v>40071</c:v>
                </c:pt>
                <c:pt idx="15">
                  <c:v>40072</c:v>
                </c:pt>
                <c:pt idx="16">
                  <c:v>40073</c:v>
                </c:pt>
                <c:pt idx="17">
                  <c:v>40074</c:v>
                </c:pt>
                <c:pt idx="18">
                  <c:v>40075</c:v>
                </c:pt>
                <c:pt idx="19">
                  <c:v>40076</c:v>
                </c:pt>
                <c:pt idx="20">
                  <c:v>40077</c:v>
                </c:pt>
                <c:pt idx="21">
                  <c:v>40078</c:v>
                </c:pt>
                <c:pt idx="22">
                  <c:v>40079</c:v>
                </c:pt>
                <c:pt idx="23">
                  <c:v>40080</c:v>
                </c:pt>
                <c:pt idx="24">
                  <c:v>40081</c:v>
                </c:pt>
                <c:pt idx="25">
                  <c:v>40082</c:v>
                </c:pt>
                <c:pt idx="26">
                  <c:v>40083</c:v>
                </c:pt>
                <c:pt idx="27">
                  <c:v>40084</c:v>
                </c:pt>
                <c:pt idx="28">
                  <c:v>40085</c:v>
                </c:pt>
                <c:pt idx="29">
                  <c:v>40086</c:v>
                </c:pt>
                <c:pt idx="30">
                  <c:v>40087</c:v>
                </c:pt>
                <c:pt idx="31">
                  <c:v>40088</c:v>
                </c:pt>
                <c:pt idx="32">
                  <c:v>40089</c:v>
                </c:pt>
                <c:pt idx="33">
                  <c:v>40090</c:v>
                </c:pt>
                <c:pt idx="34">
                  <c:v>40091</c:v>
                </c:pt>
                <c:pt idx="35">
                  <c:v>40092</c:v>
                </c:pt>
                <c:pt idx="36">
                  <c:v>40093</c:v>
                </c:pt>
                <c:pt idx="37">
                  <c:v>40094</c:v>
                </c:pt>
                <c:pt idx="38">
                  <c:v>40095</c:v>
                </c:pt>
                <c:pt idx="39">
                  <c:v>40096</c:v>
                </c:pt>
                <c:pt idx="40">
                  <c:v>40097</c:v>
                </c:pt>
                <c:pt idx="41">
                  <c:v>40098</c:v>
                </c:pt>
                <c:pt idx="42">
                  <c:v>40099</c:v>
                </c:pt>
                <c:pt idx="43">
                  <c:v>40100</c:v>
                </c:pt>
                <c:pt idx="44">
                  <c:v>40101</c:v>
                </c:pt>
                <c:pt idx="45">
                  <c:v>40102</c:v>
                </c:pt>
                <c:pt idx="46">
                  <c:v>40103</c:v>
                </c:pt>
                <c:pt idx="47">
                  <c:v>40104</c:v>
                </c:pt>
                <c:pt idx="48">
                  <c:v>40105</c:v>
                </c:pt>
                <c:pt idx="49">
                  <c:v>40106</c:v>
                </c:pt>
                <c:pt idx="50">
                  <c:v>40107</c:v>
                </c:pt>
                <c:pt idx="51">
                  <c:v>40108</c:v>
                </c:pt>
                <c:pt idx="52">
                  <c:v>40109</c:v>
                </c:pt>
                <c:pt idx="53">
                  <c:v>40110</c:v>
                </c:pt>
                <c:pt idx="54">
                  <c:v>40111</c:v>
                </c:pt>
                <c:pt idx="55">
                  <c:v>40112</c:v>
                </c:pt>
                <c:pt idx="56">
                  <c:v>40113</c:v>
                </c:pt>
                <c:pt idx="57">
                  <c:v>40114</c:v>
                </c:pt>
                <c:pt idx="58">
                  <c:v>40115</c:v>
                </c:pt>
                <c:pt idx="59">
                  <c:v>40116</c:v>
                </c:pt>
                <c:pt idx="60">
                  <c:v>40117</c:v>
                </c:pt>
                <c:pt idx="61">
                  <c:v>40118</c:v>
                </c:pt>
                <c:pt idx="62">
                  <c:v>40119</c:v>
                </c:pt>
                <c:pt idx="63">
                  <c:v>40120</c:v>
                </c:pt>
                <c:pt idx="64">
                  <c:v>40121</c:v>
                </c:pt>
                <c:pt idx="65">
                  <c:v>40122</c:v>
                </c:pt>
                <c:pt idx="66">
                  <c:v>40123</c:v>
                </c:pt>
                <c:pt idx="67">
                  <c:v>40124</c:v>
                </c:pt>
                <c:pt idx="68">
                  <c:v>40125</c:v>
                </c:pt>
                <c:pt idx="69">
                  <c:v>40126</c:v>
                </c:pt>
                <c:pt idx="70">
                  <c:v>40127</c:v>
                </c:pt>
                <c:pt idx="71">
                  <c:v>40128</c:v>
                </c:pt>
                <c:pt idx="72">
                  <c:v>40129</c:v>
                </c:pt>
                <c:pt idx="73">
                  <c:v>40130</c:v>
                </c:pt>
                <c:pt idx="74">
                  <c:v>40131</c:v>
                </c:pt>
                <c:pt idx="75">
                  <c:v>40132</c:v>
                </c:pt>
                <c:pt idx="76">
                  <c:v>40133</c:v>
                </c:pt>
                <c:pt idx="77">
                  <c:v>40134</c:v>
                </c:pt>
                <c:pt idx="78">
                  <c:v>40135</c:v>
                </c:pt>
                <c:pt idx="79">
                  <c:v>40136</c:v>
                </c:pt>
                <c:pt idx="80">
                  <c:v>40137</c:v>
                </c:pt>
                <c:pt idx="81">
                  <c:v>40138</c:v>
                </c:pt>
                <c:pt idx="82">
                  <c:v>40139</c:v>
                </c:pt>
                <c:pt idx="83">
                  <c:v>40140</c:v>
                </c:pt>
                <c:pt idx="84">
                  <c:v>40141</c:v>
                </c:pt>
                <c:pt idx="85">
                  <c:v>40142</c:v>
                </c:pt>
                <c:pt idx="86">
                  <c:v>40143</c:v>
                </c:pt>
                <c:pt idx="87">
                  <c:v>40144</c:v>
                </c:pt>
                <c:pt idx="88">
                  <c:v>40145</c:v>
                </c:pt>
                <c:pt idx="89">
                  <c:v>40146</c:v>
                </c:pt>
                <c:pt idx="90">
                  <c:v>40147</c:v>
                </c:pt>
                <c:pt idx="91">
                  <c:v>40148</c:v>
                </c:pt>
                <c:pt idx="92">
                  <c:v>40149</c:v>
                </c:pt>
                <c:pt idx="93">
                  <c:v>40150</c:v>
                </c:pt>
                <c:pt idx="94">
                  <c:v>40151</c:v>
                </c:pt>
                <c:pt idx="95">
                  <c:v>40152</c:v>
                </c:pt>
                <c:pt idx="96">
                  <c:v>40153</c:v>
                </c:pt>
                <c:pt idx="97">
                  <c:v>40154</c:v>
                </c:pt>
                <c:pt idx="98">
                  <c:v>40155</c:v>
                </c:pt>
                <c:pt idx="99">
                  <c:v>40156</c:v>
                </c:pt>
                <c:pt idx="100">
                  <c:v>40157</c:v>
                </c:pt>
                <c:pt idx="101">
                  <c:v>40158</c:v>
                </c:pt>
                <c:pt idx="102">
                  <c:v>40159</c:v>
                </c:pt>
                <c:pt idx="103">
                  <c:v>40160</c:v>
                </c:pt>
                <c:pt idx="104">
                  <c:v>40161</c:v>
                </c:pt>
                <c:pt idx="105">
                  <c:v>40162</c:v>
                </c:pt>
                <c:pt idx="106">
                  <c:v>40163</c:v>
                </c:pt>
                <c:pt idx="107">
                  <c:v>40164</c:v>
                </c:pt>
                <c:pt idx="108">
                  <c:v>40165</c:v>
                </c:pt>
                <c:pt idx="109">
                  <c:v>40166</c:v>
                </c:pt>
                <c:pt idx="110">
                  <c:v>40167</c:v>
                </c:pt>
                <c:pt idx="111">
                  <c:v>40168</c:v>
                </c:pt>
                <c:pt idx="112">
                  <c:v>40169</c:v>
                </c:pt>
                <c:pt idx="113">
                  <c:v>40170</c:v>
                </c:pt>
                <c:pt idx="114">
                  <c:v>40171</c:v>
                </c:pt>
                <c:pt idx="115">
                  <c:v>40172</c:v>
                </c:pt>
                <c:pt idx="116">
                  <c:v>40173</c:v>
                </c:pt>
                <c:pt idx="117">
                  <c:v>40174</c:v>
                </c:pt>
                <c:pt idx="118">
                  <c:v>40175</c:v>
                </c:pt>
                <c:pt idx="119">
                  <c:v>40176</c:v>
                </c:pt>
                <c:pt idx="120">
                  <c:v>40177</c:v>
                </c:pt>
                <c:pt idx="121">
                  <c:v>40178</c:v>
                </c:pt>
                <c:pt idx="122">
                  <c:v>40179</c:v>
                </c:pt>
                <c:pt idx="123">
                  <c:v>40180</c:v>
                </c:pt>
                <c:pt idx="124">
                  <c:v>40181</c:v>
                </c:pt>
                <c:pt idx="125">
                  <c:v>40182</c:v>
                </c:pt>
                <c:pt idx="126">
                  <c:v>40183</c:v>
                </c:pt>
                <c:pt idx="127">
                  <c:v>40184</c:v>
                </c:pt>
                <c:pt idx="128">
                  <c:v>40185</c:v>
                </c:pt>
                <c:pt idx="129">
                  <c:v>40186</c:v>
                </c:pt>
                <c:pt idx="130">
                  <c:v>40187</c:v>
                </c:pt>
                <c:pt idx="131">
                  <c:v>40188</c:v>
                </c:pt>
                <c:pt idx="132">
                  <c:v>40189</c:v>
                </c:pt>
                <c:pt idx="133">
                  <c:v>40190</c:v>
                </c:pt>
                <c:pt idx="134">
                  <c:v>40191</c:v>
                </c:pt>
                <c:pt idx="135">
                  <c:v>40192</c:v>
                </c:pt>
                <c:pt idx="136">
                  <c:v>40193</c:v>
                </c:pt>
                <c:pt idx="137">
                  <c:v>40194</c:v>
                </c:pt>
                <c:pt idx="138">
                  <c:v>40195</c:v>
                </c:pt>
                <c:pt idx="139">
                  <c:v>40196</c:v>
                </c:pt>
                <c:pt idx="140">
                  <c:v>40197</c:v>
                </c:pt>
                <c:pt idx="141">
                  <c:v>40198</c:v>
                </c:pt>
                <c:pt idx="142">
                  <c:v>40199</c:v>
                </c:pt>
                <c:pt idx="143">
                  <c:v>40200</c:v>
                </c:pt>
                <c:pt idx="144">
                  <c:v>40201</c:v>
                </c:pt>
                <c:pt idx="145">
                  <c:v>40202</c:v>
                </c:pt>
                <c:pt idx="146">
                  <c:v>40203</c:v>
                </c:pt>
                <c:pt idx="147">
                  <c:v>40204</c:v>
                </c:pt>
                <c:pt idx="148">
                  <c:v>40205</c:v>
                </c:pt>
                <c:pt idx="149">
                  <c:v>40206</c:v>
                </c:pt>
                <c:pt idx="150">
                  <c:v>40207</c:v>
                </c:pt>
                <c:pt idx="151">
                  <c:v>40208</c:v>
                </c:pt>
                <c:pt idx="152">
                  <c:v>40209</c:v>
                </c:pt>
                <c:pt idx="153">
                  <c:v>40210</c:v>
                </c:pt>
                <c:pt idx="154">
                  <c:v>40211</c:v>
                </c:pt>
                <c:pt idx="155">
                  <c:v>40212</c:v>
                </c:pt>
                <c:pt idx="156">
                  <c:v>40213</c:v>
                </c:pt>
                <c:pt idx="157">
                  <c:v>40214</c:v>
                </c:pt>
                <c:pt idx="158">
                  <c:v>40215</c:v>
                </c:pt>
                <c:pt idx="159">
                  <c:v>40216</c:v>
                </c:pt>
                <c:pt idx="160">
                  <c:v>40217</c:v>
                </c:pt>
                <c:pt idx="161">
                  <c:v>40218</c:v>
                </c:pt>
                <c:pt idx="162">
                  <c:v>40219</c:v>
                </c:pt>
                <c:pt idx="163">
                  <c:v>40220</c:v>
                </c:pt>
                <c:pt idx="164">
                  <c:v>40221</c:v>
                </c:pt>
                <c:pt idx="165">
                  <c:v>40222</c:v>
                </c:pt>
                <c:pt idx="166">
                  <c:v>40223</c:v>
                </c:pt>
                <c:pt idx="167">
                  <c:v>40224</c:v>
                </c:pt>
                <c:pt idx="168">
                  <c:v>40225</c:v>
                </c:pt>
                <c:pt idx="169">
                  <c:v>40226</c:v>
                </c:pt>
                <c:pt idx="170">
                  <c:v>40227</c:v>
                </c:pt>
                <c:pt idx="171">
                  <c:v>40228</c:v>
                </c:pt>
                <c:pt idx="172">
                  <c:v>40229</c:v>
                </c:pt>
                <c:pt idx="173">
                  <c:v>40230</c:v>
                </c:pt>
                <c:pt idx="174">
                  <c:v>40231</c:v>
                </c:pt>
                <c:pt idx="175">
                  <c:v>40232</c:v>
                </c:pt>
                <c:pt idx="176">
                  <c:v>40233</c:v>
                </c:pt>
                <c:pt idx="177">
                  <c:v>40234</c:v>
                </c:pt>
                <c:pt idx="178">
                  <c:v>40235</c:v>
                </c:pt>
                <c:pt idx="179">
                  <c:v>40236</c:v>
                </c:pt>
                <c:pt idx="180">
                  <c:v>40237</c:v>
                </c:pt>
                <c:pt idx="181">
                  <c:v>40238</c:v>
                </c:pt>
                <c:pt idx="182">
                  <c:v>40239</c:v>
                </c:pt>
                <c:pt idx="183">
                  <c:v>40240</c:v>
                </c:pt>
                <c:pt idx="184">
                  <c:v>40241</c:v>
                </c:pt>
                <c:pt idx="185">
                  <c:v>40242</c:v>
                </c:pt>
                <c:pt idx="186">
                  <c:v>40243</c:v>
                </c:pt>
                <c:pt idx="187">
                  <c:v>40244</c:v>
                </c:pt>
                <c:pt idx="188">
                  <c:v>40245</c:v>
                </c:pt>
                <c:pt idx="189">
                  <c:v>40246</c:v>
                </c:pt>
                <c:pt idx="190">
                  <c:v>40247</c:v>
                </c:pt>
                <c:pt idx="191">
                  <c:v>40248</c:v>
                </c:pt>
                <c:pt idx="192">
                  <c:v>40249</c:v>
                </c:pt>
                <c:pt idx="193">
                  <c:v>40250</c:v>
                </c:pt>
                <c:pt idx="194">
                  <c:v>40251</c:v>
                </c:pt>
                <c:pt idx="195">
                  <c:v>40252</c:v>
                </c:pt>
                <c:pt idx="196">
                  <c:v>40253</c:v>
                </c:pt>
                <c:pt idx="197">
                  <c:v>40254</c:v>
                </c:pt>
                <c:pt idx="198">
                  <c:v>40255</c:v>
                </c:pt>
                <c:pt idx="199">
                  <c:v>40256</c:v>
                </c:pt>
                <c:pt idx="200">
                  <c:v>40257</c:v>
                </c:pt>
                <c:pt idx="201">
                  <c:v>40258</c:v>
                </c:pt>
                <c:pt idx="202">
                  <c:v>40259</c:v>
                </c:pt>
                <c:pt idx="203">
                  <c:v>40260</c:v>
                </c:pt>
                <c:pt idx="204">
                  <c:v>40261</c:v>
                </c:pt>
                <c:pt idx="205">
                  <c:v>40262</c:v>
                </c:pt>
                <c:pt idx="206">
                  <c:v>40263</c:v>
                </c:pt>
                <c:pt idx="207">
                  <c:v>40264</c:v>
                </c:pt>
                <c:pt idx="208">
                  <c:v>40265</c:v>
                </c:pt>
                <c:pt idx="209">
                  <c:v>40266</c:v>
                </c:pt>
                <c:pt idx="210">
                  <c:v>40267</c:v>
                </c:pt>
                <c:pt idx="211">
                  <c:v>40268</c:v>
                </c:pt>
                <c:pt idx="212">
                  <c:v>40269</c:v>
                </c:pt>
                <c:pt idx="213">
                  <c:v>40270</c:v>
                </c:pt>
                <c:pt idx="214">
                  <c:v>40271</c:v>
                </c:pt>
                <c:pt idx="215">
                  <c:v>40272</c:v>
                </c:pt>
                <c:pt idx="216">
                  <c:v>40273</c:v>
                </c:pt>
                <c:pt idx="217">
                  <c:v>40274</c:v>
                </c:pt>
                <c:pt idx="218">
                  <c:v>40275</c:v>
                </c:pt>
                <c:pt idx="219">
                  <c:v>40276</c:v>
                </c:pt>
                <c:pt idx="220">
                  <c:v>40277</c:v>
                </c:pt>
                <c:pt idx="221">
                  <c:v>40278</c:v>
                </c:pt>
                <c:pt idx="222">
                  <c:v>40279</c:v>
                </c:pt>
                <c:pt idx="223">
                  <c:v>40280</c:v>
                </c:pt>
                <c:pt idx="224">
                  <c:v>40281</c:v>
                </c:pt>
                <c:pt idx="225">
                  <c:v>40282</c:v>
                </c:pt>
                <c:pt idx="226">
                  <c:v>40283</c:v>
                </c:pt>
                <c:pt idx="227">
                  <c:v>40284</c:v>
                </c:pt>
                <c:pt idx="228">
                  <c:v>40285</c:v>
                </c:pt>
                <c:pt idx="229">
                  <c:v>40286</c:v>
                </c:pt>
                <c:pt idx="230">
                  <c:v>40287</c:v>
                </c:pt>
                <c:pt idx="231">
                  <c:v>40288</c:v>
                </c:pt>
                <c:pt idx="232">
                  <c:v>40289</c:v>
                </c:pt>
                <c:pt idx="233">
                  <c:v>40290</c:v>
                </c:pt>
                <c:pt idx="234">
                  <c:v>40291</c:v>
                </c:pt>
                <c:pt idx="235">
                  <c:v>40292</c:v>
                </c:pt>
                <c:pt idx="236">
                  <c:v>40293</c:v>
                </c:pt>
                <c:pt idx="237">
                  <c:v>40294</c:v>
                </c:pt>
                <c:pt idx="238">
                  <c:v>40295</c:v>
                </c:pt>
                <c:pt idx="239">
                  <c:v>40296</c:v>
                </c:pt>
                <c:pt idx="240">
                  <c:v>40297</c:v>
                </c:pt>
                <c:pt idx="241">
                  <c:v>40298</c:v>
                </c:pt>
                <c:pt idx="242">
                  <c:v>40299</c:v>
                </c:pt>
                <c:pt idx="243">
                  <c:v>40300</c:v>
                </c:pt>
                <c:pt idx="244">
                  <c:v>40301</c:v>
                </c:pt>
                <c:pt idx="245">
                  <c:v>40302</c:v>
                </c:pt>
                <c:pt idx="246">
                  <c:v>40303</c:v>
                </c:pt>
                <c:pt idx="247">
                  <c:v>40304</c:v>
                </c:pt>
                <c:pt idx="248">
                  <c:v>40305</c:v>
                </c:pt>
                <c:pt idx="249">
                  <c:v>40306</c:v>
                </c:pt>
                <c:pt idx="250">
                  <c:v>40307</c:v>
                </c:pt>
                <c:pt idx="251">
                  <c:v>40308</c:v>
                </c:pt>
                <c:pt idx="252">
                  <c:v>40309</c:v>
                </c:pt>
                <c:pt idx="253">
                  <c:v>40310</c:v>
                </c:pt>
                <c:pt idx="254">
                  <c:v>40311</c:v>
                </c:pt>
                <c:pt idx="255">
                  <c:v>40312</c:v>
                </c:pt>
                <c:pt idx="256">
                  <c:v>40313</c:v>
                </c:pt>
                <c:pt idx="257">
                  <c:v>40314</c:v>
                </c:pt>
                <c:pt idx="258">
                  <c:v>40315</c:v>
                </c:pt>
                <c:pt idx="259">
                  <c:v>40316</c:v>
                </c:pt>
                <c:pt idx="260">
                  <c:v>40317</c:v>
                </c:pt>
                <c:pt idx="261">
                  <c:v>40318</c:v>
                </c:pt>
                <c:pt idx="262">
                  <c:v>40319</c:v>
                </c:pt>
                <c:pt idx="263">
                  <c:v>40320</c:v>
                </c:pt>
                <c:pt idx="264">
                  <c:v>40321</c:v>
                </c:pt>
                <c:pt idx="265">
                  <c:v>40322</c:v>
                </c:pt>
                <c:pt idx="266">
                  <c:v>40323</c:v>
                </c:pt>
                <c:pt idx="267">
                  <c:v>40324</c:v>
                </c:pt>
                <c:pt idx="268">
                  <c:v>40325</c:v>
                </c:pt>
                <c:pt idx="269">
                  <c:v>40326</c:v>
                </c:pt>
                <c:pt idx="270">
                  <c:v>40327</c:v>
                </c:pt>
                <c:pt idx="271">
                  <c:v>40328</c:v>
                </c:pt>
                <c:pt idx="272">
                  <c:v>40329</c:v>
                </c:pt>
                <c:pt idx="273">
                  <c:v>40330</c:v>
                </c:pt>
                <c:pt idx="274">
                  <c:v>40331</c:v>
                </c:pt>
                <c:pt idx="275">
                  <c:v>40332</c:v>
                </c:pt>
                <c:pt idx="276">
                  <c:v>40333</c:v>
                </c:pt>
                <c:pt idx="277">
                  <c:v>40334</c:v>
                </c:pt>
                <c:pt idx="278">
                  <c:v>40335</c:v>
                </c:pt>
                <c:pt idx="279">
                  <c:v>40336</c:v>
                </c:pt>
                <c:pt idx="280">
                  <c:v>40337</c:v>
                </c:pt>
                <c:pt idx="281">
                  <c:v>40338</c:v>
                </c:pt>
                <c:pt idx="282">
                  <c:v>40339</c:v>
                </c:pt>
                <c:pt idx="283">
                  <c:v>40340</c:v>
                </c:pt>
                <c:pt idx="284">
                  <c:v>40341</c:v>
                </c:pt>
                <c:pt idx="285">
                  <c:v>40342</c:v>
                </c:pt>
                <c:pt idx="286">
                  <c:v>40343</c:v>
                </c:pt>
                <c:pt idx="287">
                  <c:v>40344</c:v>
                </c:pt>
                <c:pt idx="288">
                  <c:v>40345</c:v>
                </c:pt>
                <c:pt idx="289">
                  <c:v>40346</c:v>
                </c:pt>
                <c:pt idx="290">
                  <c:v>40347</c:v>
                </c:pt>
                <c:pt idx="291">
                  <c:v>40348</c:v>
                </c:pt>
                <c:pt idx="292">
                  <c:v>40349</c:v>
                </c:pt>
                <c:pt idx="293">
                  <c:v>40350</c:v>
                </c:pt>
                <c:pt idx="294">
                  <c:v>40351</c:v>
                </c:pt>
                <c:pt idx="295">
                  <c:v>40352</c:v>
                </c:pt>
                <c:pt idx="296">
                  <c:v>40353</c:v>
                </c:pt>
                <c:pt idx="297">
                  <c:v>40354</c:v>
                </c:pt>
                <c:pt idx="298">
                  <c:v>40355</c:v>
                </c:pt>
                <c:pt idx="299">
                  <c:v>40356</c:v>
                </c:pt>
                <c:pt idx="300">
                  <c:v>40357</c:v>
                </c:pt>
                <c:pt idx="301">
                  <c:v>40358</c:v>
                </c:pt>
                <c:pt idx="302">
                  <c:v>40359</c:v>
                </c:pt>
                <c:pt idx="303">
                  <c:v>40360</c:v>
                </c:pt>
                <c:pt idx="304">
                  <c:v>40361</c:v>
                </c:pt>
                <c:pt idx="305">
                  <c:v>40362</c:v>
                </c:pt>
                <c:pt idx="306">
                  <c:v>40363</c:v>
                </c:pt>
                <c:pt idx="307">
                  <c:v>40364</c:v>
                </c:pt>
                <c:pt idx="308">
                  <c:v>40365</c:v>
                </c:pt>
                <c:pt idx="309">
                  <c:v>40366</c:v>
                </c:pt>
                <c:pt idx="310">
                  <c:v>40367</c:v>
                </c:pt>
                <c:pt idx="311">
                  <c:v>40368</c:v>
                </c:pt>
                <c:pt idx="312">
                  <c:v>40369</c:v>
                </c:pt>
                <c:pt idx="313">
                  <c:v>40370</c:v>
                </c:pt>
                <c:pt idx="314">
                  <c:v>40371</c:v>
                </c:pt>
                <c:pt idx="315">
                  <c:v>40372</c:v>
                </c:pt>
                <c:pt idx="316">
                  <c:v>40373</c:v>
                </c:pt>
                <c:pt idx="317">
                  <c:v>40374</c:v>
                </c:pt>
                <c:pt idx="318">
                  <c:v>40375</c:v>
                </c:pt>
                <c:pt idx="319">
                  <c:v>40376</c:v>
                </c:pt>
                <c:pt idx="320">
                  <c:v>40377</c:v>
                </c:pt>
                <c:pt idx="321">
                  <c:v>40378</c:v>
                </c:pt>
                <c:pt idx="322">
                  <c:v>40379</c:v>
                </c:pt>
                <c:pt idx="323">
                  <c:v>40380</c:v>
                </c:pt>
                <c:pt idx="324">
                  <c:v>40381</c:v>
                </c:pt>
                <c:pt idx="325">
                  <c:v>40382</c:v>
                </c:pt>
                <c:pt idx="326">
                  <c:v>40383</c:v>
                </c:pt>
                <c:pt idx="327">
                  <c:v>40384</c:v>
                </c:pt>
                <c:pt idx="328">
                  <c:v>40385</c:v>
                </c:pt>
                <c:pt idx="329">
                  <c:v>40386</c:v>
                </c:pt>
                <c:pt idx="330">
                  <c:v>40387</c:v>
                </c:pt>
                <c:pt idx="331">
                  <c:v>40388</c:v>
                </c:pt>
                <c:pt idx="332">
                  <c:v>40389</c:v>
                </c:pt>
                <c:pt idx="333">
                  <c:v>40390</c:v>
                </c:pt>
                <c:pt idx="334">
                  <c:v>40391</c:v>
                </c:pt>
                <c:pt idx="335">
                  <c:v>40392</c:v>
                </c:pt>
                <c:pt idx="336">
                  <c:v>40393</c:v>
                </c:pt>
                <c:pt idx="337">
                  <c:v>40394</c:v>
                </c:pt>
                <c:pt idx="338">
                  <c:v>40395</c:v>
                </c:pt>
                <c:pt idx="339">
                  <c:v>40396</c:v>
                </c:pt>
                <c:pt idx="340">
                  <c:v>40397</c:v>
                </c:pt>
                <c:pt idx="341">
                  <c:v>40398</c:v>
                </c:pt>
                <c:pt idx="342">
                  <c:v>40399</c:v>
                </c:pt>
                <c:pt idx="343">
                  <c:v>40400</c:v>
                </c:pt>
                <c:pt idx="344">
                  <c:v>40401</c:v>
                </c:pt>
                <c:pt idx="345">
                  <c:v>40402</c:v>
                </c:pt>
                <c:pt idx="346">
                  <c:v>40403</c:v>
                </c:pt>
                <c:pt idx="347">
                  <c:v>40404</c:v>
                </c:pt>
                <c:pt idx="348">
                  <c:v>40405</c:v>
                </c:pt>
                <c:pt idx="349">
                  <c:v>40406</c:v>
                </c:pt>
                <c:pt idx="350">
                  <c:v>40407</c:v>
                </c:pt>
                <c:pt idx="351">
                  <c:v>40408</c:v>
                </c:pt>
                <c:pt idx="352">
                  <c:v>40409</c:v>
                </c:pt>
                <c:pt idx="353">
                  <c:v>40410</c:v>
                </c:pt>
                <c:pt idx="354">
                  <c:v>40411</c:v>
                </c:pt>
                <c:pt idx="355">
                  <c:v>40412</c:v>
                </c:pt>
                <c:pt idx="356">
                  <c:v>40413</c:v>
                </c:pt>
                <c:pt idx="357">
                  <c:v>40414</c:v>
                </c:pt>
                <c:pt idx="358">
                  <c:v>40415</c:v>
                </c:pt>
                <c:pt idx="359">
                  <c:v>40416</c:v>
                </c:pt>
                <c:pt idx="360">
                  <c:v>40417</c:v>
                </c:pt>
                <c:pt idx="361">
                  <c:v>40418</c:v>
                </c:pt>
                <c:pt idx="362">
                  <c:v>40419</c:v>
                </c:pt>
                <c:pt idx="363">
                  <c:v>40420</c:v>
                </c:pt>
                <c:pt idx="364">
                  <c:v>40421</c:v>
                </c:pt>
                <c:pt idx="365">
                  <c:v>40422</c:v>
                </c:pt>
                <c:pt idx="366">
                  <c:v>40423</c:v>
                </c:pt>
                <c:pt idx="367">
                  <c:v>40424</c:v>
                </c:pt>
                <c:pt idx="368">
                  <c:v>40425</c:v>
                </c:pt>
                <c:pt idx="369">
                  <c:v>40426</c:v>
                </c:pt>
                <c:pt idx="370">
                  <c:v>40427</c:v>
                </c:pt>
                <c:pt idx="371">
                  <c:v>40428</c:v>
                </c:pt>
                <c:pt idx="372">
                  <c:v>40429</c:v>
                </c:pt>
                <c:pt idx="373">
                  <c:v>40430</c:v>
                </c:pt>
                <c:pt idx="374">
                  <c:v>40431</c:v>
                </c:pt>
                <c:pt idx="375">
                  <c:v>40432</c:v>
                </c:pt>
                <c:pt idx="376">
                  <c:v>40433</c:v>
                </c:pt>
                <c:pt idx="377">
                  <c:v>40434</c:v>
                </c:pt>
                <c:pt idx="378">
                  <c:v>40435</c:v>
                </c:pt>
                <c:pt idx="379">
                  <c:v>40436</c:v>
                </c:pt>
                <c:pt idx="380">
                  <c:v>40437</c:v>
                </c:pt>
                <c:pt idx="381">
                  <c:v>40438</c:v>
                </c:pt>
                <c:pt idx="382">
                  <c:v>40439</c:v>
                </c:pt>
                <c:pt idx="383">
                  <c:v>40440</c:v>
                </c:pt>
                <c:pt idx="384">
                  <c:v>40441</c:v>
                </c:pt>
                <c:pt idx="385">
                  <c:v>40442</c:v>
                </c:pt>
                <c:pt idx="386">
                  <c:v>40443</c:v>
                </c:pt>
                <c:pt idx="387">
                  <c:v>40444</c:v>
                </c:pt>
                <c:pt idx="388">
                  <c:v>40445</c:v>
                </c:pt>
                <c:pt idx="389">
                  <c:v>40446</c:v>
                </c:pt>
                <c:pt idx="390">
                  <c:v>40447</c:v>
                </c:pt>
                <c:pt idx="391">
                  <c:v>40448</c:v>
                </c:pt>
                <c:pt idx="392">
                  <c:v>40449</c:v>
                </c:pt>
                <c:pt idx="393">
                  <c:v>40450</c:v>
                </c:pt>
                <c:pt idx="394">
                  <c:v>40451</c:v>
                </c:pt>
                <c:pt idx="395">
                  <c:v>40452</c:v>
                </c:pt>
                <c:pt idx="396">
                  <c:v>40453</c:v>
                </c:pt>
                <c:pt idx="397">
                  <c:v>40454</c:v>
                </c:pt>
                <c:pt idx="398">
                  <c:v>40455</c:v>
                </c:pt>
                <c:pt idx="399">
                  <c:v>40456</c:v>
                </c:pt>
                <c:pt idx="400">
                  <c:v>40457</c:v>
                </c:pt>
                <c:pt idx="401">
                  <c:v>40458</c:v>
                </c:pt>
                <c:pt idx="402">
                  <c:v>40459</c:v>
                </c:pt>
                <c:pt idx="403">
                  <c:v>40460</c:v>
                </c:pt>
                <c:pt idx="404">
                  <c:v>40461</c:v>
                </c:pt>
                <c:pt idx="405">
                  <c:v>40462</c:v>
                </c:pt>
                <c:pt idx="406">
                  <c:v>40463</c:v>
                </c:pt>
                <c:pt idx="407">
                  <c:v>40464</c:v>
                </c:pt>
                <c:pt idx="408">
                  <c:v>40465</c:v>
                </c:pt>
                <c:pt idx="409">
                  <c:v>40466</c:v>
                </c:pt>
                <c:pt idx="410">
                  <c:v>40467</c:v>
                </c:pt>
                <c:pt idx="411">
                  <c:v>40468</c:v>
                </c:pt>
                <c:pt idx="412">
                  <c:v>40469</c:v>
                </c:pt>
                <c:pt idx="413">
                  <c:v>40470</c:v>
                </c:pt>
                <c:pt idx="414">
                  <c:v>40471</c:v>
                </c:pt>
                <c:pt idx="415">
                  <c:v>40472</c:v>
                </c:pt>
                <c:pt idx="416">
                  <c:v>40473</c:v>
                </c:pt>
                <c:pt idx="417">
                  <c:v>40474</c:v>
                </c:pt>
                <c:pt idx="418">
                  <c:v>40475</c:v>
                </c:pt>
                <c:pt idx="419">
                  <c:v>40476</c:v>
                </c:pt>
                <c:pt idx="420">
                  <c:v>40477</c:v>
                </c:pt>
                <c:pt idx="421">
                  <c:v>40478</c:v>
                </c:pt>
                <c:pt idx="422">
                  <c:v>40479</c:v>
                </c:pt>
                <c:pt idx="423">
                  <c:v>40480</c:v>
                </c:pt>
                <c:pt idx="424">
                  <c:v>40481</c:v>
                </c:pt>
                <c:pt idx="425">
                  <c:v>40482</c:v>
                </c:pt>
                <c:pt idx="426">
                  <c:v>40483</c:v>
                </c:pt>
                <c:pt idx="427">
                  <c:v>40484</c:v>
                </c:pt>
                <c:pt idx="428">
                  <c:v>40485</c:v>
                </c:pt>
                <c:pt idx="429">
                  <c:v>40486</c:v>
                </c:pt>
                <c:pt idx="430">
                  <c:v>40487</c:v>
                </c:pt>
                <c:pt idx="431">
                  <c:v>40488</c:v>
                </c:pt>
                <c:pt idx="432">
                  <c:v>40489</c:v>
                </c:pt>
                <c:pt idx="433">
                  <c:v>40490</c:v>
                </c:pt>
                <c:pt idx="434">
                  <c:v>40491</c:v>
                </c:pt>
                <c:pt idx="435">
                  <c:v>40492</c:v>
                </c:pt>
                <c:pt idx="436">
                  <c:v>40493</c:v>
                </c:pt>
                <c:pt idx="437">
                  <c:v>40494</c:v>
                </c:pt>
                <c:pt idx="438">
                  <c:v>40495</c:v>
                </c:pt>
                <c:pt idx="439">
                  <c:v>40496</c:v>
                </c:pt>
                <c:pt idx="440">
                  <c:v>40497</c:v>
                </c:pt>
                <c:pt idx="441">
                  <c:v>40498</c:v>
                </c:pt>
                <c:pt idx="442">
                  <c:v>40499</c:v>
                </c:pt>
                <c:pt idx="443">
                  <c:v>40500</c:v>
                </c:pt>
                <c:pt idx="444">
                  <c:v>40501</c:v>
                </c:pt>
                <c:pt idx="445">
                  <c:v>40502</c:v>
                </c:pt>
                <c:pt idx="446">
                  <c:v>40503</c:v>
                </c:pt>
                <c:pt idx="447">
                  <c:v>40504</c:v>
                </c:pt>
                <c:pt idx="448">
                  <c:v>40505</c:v>
                </c:pt>
                <c:pt idx="449">
                  <c:v>40506</c:v>
                </c:pt>
                <c:pt idx="450">
                  <c:v>40507</c:v>
                </c:pt>
                <c:pt idx="451">
                  <c:v>40508</c:v>
                </c:pt>
                <c:pt idx="452">
                  <c:v>40509</c:v>
                </c:pt>
                <c:pt idx="453">
                  <c:v>40510</c:v>
                </c:pt>
                <c:pt idx="454">
                  <c:v>40511</c:v>
                </c:pt>
                <c:pt idx="455">
                  <c:v>40512</c:v>
                </c:pt>
                <c:pt idx="456">
                  <c:v>40513</c:v>
                </c:pt>
                <c:pt idx="457">
                  <c:v>40514</c:v>
                </c:pt>
                <c:pt idx="458">
                  <c:v>40515</c:v>
                </c:pt>
                <c:pt idx="459">
                  <c:v>40516</c:v>
                </c:pt>
                <c:pt idx="460">
                  <c:v>40517</c:v>
                </c:pt>
                <c:pt idx="461">
                  <c:v>40518</c:v>
                </c:pt>
                <c:pt idx="462">
                  <c:v>40519</c:v>
                </c:pt>
                <c:pt idx="463">
                  <c:v>40520</c:v>
                </c:pt>
                <c:pt idx="464">
                  <c:v>40521</c:v>
                </c:pt>
                <c:pt idx="465">
                  <c:v>40522</c:v>
                </c:pt>
                <c:pt idx="466">
                  <c:v>40523</c:v>
                </c:pt>
                <c:pt idx="467">
                  <c:v>40524</c:v>
                </c:pt>
                <c:pt idx="468">
                  <c:v>40525</c:v>
                </c:pt>
                <c:pt idx="469">
                  <c:v>40526</c:v>
                </c:pt>
                <c:pt idx="470">
                  <c:v>40527</c:v>
                </c:pt>
                <c:pt idx="471">
                  <c:v>40528</c:v>
                </c:pt>
                <c:pt idx="472">
                  <c:v>40529</c:v>
                </c:pt>
                <c:pt idx="473">
                  <c:v>40530</c:v>
                </c:pt>
                <c:pt idx="474">
                  <c:v>40531</c:v>
                </c:pt>
                <c:pt idx="475">
                  <c:v>40532</c:v>
                </c:pt>
                <c:pt idx="476">
                  <c:v>40533</c:v>
                </c:pt>
                <c:pt idx="477">
                  <c:v>40534</c:v>
                </c:pt>
                <c:pt idx="478">
                  <c:v>40535</c:v>
                </c:pt>
                <c:pt idx="479">
                  <c:v>40536</c:v>
                </c:pt>
                <c:pt idx="480">
                  <c:v>40537</c:v>
                </c:pt>
                <c:pt idx="481">
                  <c:v>40538</c:v>
                </c:pt>
                <c:pt idx="482">
                  <c:v>40539</c:v>
                </c:pt>
                <c:pt idx="483">
                  <c:v>40540</c:v>
                </c:pt>
                <c:pt idx="484">
                  <c:v>40541</c:v>
                </c:pt>
                <c:pt idx="485">
                  <c:v>40542</c:v>
                </c:pt>
                <c:pt idx="486">
                  <c:v>40543</c:v>
                </c:pt>
                <c:pt idx="487">
                  <c:v>40544</c:v>
                </c:pt>
                <c:pt idx="488">
                  <c:v>40545</c:v>
                </c:pt>
                <c:pt idx="489">
                  <c:v>40546</c:v>
                </c:pt>
                <c:pt idx="490">
                  <c:v>40547</c:v>
                </c:pt>
                <c:pt idx="491">
                  <c:v>40548</c:v>
                </c:pt>
                <c:pt idx="492">
                  <c:v>40549</c:v>
                </c:pt>
                <c:pt idx="493">
                  <c:v>40550</c:v>
                </c:pt>
                <c:pt idx="494">
                  <c:v>40551</c:v>
                </c:pt>
                <c:pt idx="495">
                  <c:v>40552</c:v>
                </c:pt>
                <c:pt idx="496">
                  <c:v>40553</c:v>
                </c:pt>
                <c:pt idx="497">
                  <c:v>40554</c:v>
                </c:pt>
                <c:pt idx="498">
                  <c:v>40555</c:v>
                </c:pt>
                <c:pt idx="499">
                  <c:v>40556</c:v>
                </c:pt>
                <c:pt idx="500">
                  <c:v>40557</c:v>
                </c:pt>
                <c:pt idx="501">
                  <c:v>40558</c:v>
                </c:pt>
                <c:pt idx="502">
                  <c:v>40559</c:v>
                </c:pt>
                <c:pt idx="503">
                  <c:v>40560</c:v>
                </c:pt>
                <c:pt idx="504">
                  <c:v>40561</c:v>
                </c:pt>
                <c:pt idx="505">
                  <c:v>40562</c:v>
                </c:pt>
                <c:pt idx="506">
                  <c:v>40563</c:v>
                </c:pt>
                <c:pt idx="507">
                  <c:v>40564</c:v>
                </c:pt>
                <c:pt idx="508">
                  <c:v>40565</c:v>
                </c:pt>
                <c:pt idx="509">
                  <c:v>40566</c:v>
                </c:pt>
                <c:pt idx="510">
                  <c:v>40567</c:v>
                </c:pt>
                <c:pt idx="511">
                  <c:v>40568</c:v>
                </c:pt>
                <c:pt idx="512">
                  <c:v>40569</c:v>
                </c:pt>
                <c:pt idx="513">
                  <c:v>40570</c:v>
                </c:pt>
                <c:pt idx="514">
                  <c:v>40571</c:v>
                </c:pt>
                <c:pt idx="515">
                  <c:v>40572</c:v>
                </c:pt>
                <c:pt idx="516">
                  <c:v>40573</c:v>
                </c:pt>
                <c:pt idx="517">
                  <c:v>40574</c:v>
                </c:pt>
                <c:pt idx="518">
                  <c:v>40575</c:v>
                </c:pt>
                <c:pt idx="519">
                  <c:v>40576</c:v>
                </c:pt>
                <c:pt idx="520">
                  <c:v>40577</c:v>
                </c:pt>
                <c:pt idx="521">
                  <c:v>40578</c:v>
                </c:pt>
                <c:pt idx="522">
                  <c:v>40579</c:v>
                </c:pt>
                <c:pt idx="523">
                  <c:v>40580</c:v>
                </c:pt>
                <c:pt idx="524">
                  <c:v>40581</c:v>
                </c:pt>
                <c:pt idx="525">
                  <c:v>40582</c:v>
                </c:pt>
                <c:pt idx="526">
                  <c:v>40583</c:v>
                </c:pt>
                <c:pt idx="527">
                  <c:v>40584</c:v>
                </c:pt>
                <c:pt idx="528">
                  <c:v>40585</c:v>
                </c:pt>
                <c:pt idx="529">
                  <c:v>40586</c:v>
                </c:pt>
                <c:pt idx="530">
                  <c:v>40587</c:v>
                </c:pt>
                <c:pt idx="531">
                  <c:v>40588</c:v>
                </c:pt>
                <c:pt idx="532">
                  <c:v>40589</c:v>
                </c:pt>
                <c:pt idx="533">
                  <c:v>40590</c:v>
                </c:pt>
                <c:pt idx="534">
                  <c:v>40591</c:v>
                </c:pt>
                <c:pt idx="535">
                  <c:v>40592</c:v>
                </c:pt>
                <c:pt idx="536">
                  <c:v>40593</c:v>
                </c:pt>
                <c:pt idx="537">
                  <c:v>40594</c:v>
                </c:pt>
                <c:pt idx="538">
                  <c:v>40595</c:v>
                </c:pt>
                <c:pt idx="539">
                  <c:v>40596</c:v>
                </c:pt>
                <c:pt idx="540">
                  <c:v>40597</c:v>
                </c:pt>
                <c:pt idx="541">
                  <c:v>40598</c:v>
                </c:pt>
                <c:pt idx="542">
                  <c:v>40599</c:v>
                </c:pt>
                <c:pt idx="543">
                  <c:v>40600</c:v>
                </c:pt>
                <c:pt idx="544">
                  <c:v>40601</c:v>
                </c:pt>
                <c:pt idx="545">
                  <c:v>40602</c:v>
                </c:pt>
                <c:pt idx="546">
                  <c:v>40603</c:v>
                </c:pt>
                <c:pt idx="547">
                  <c:v>40604</c:v>
                </c:pt>
                <c:pt idx="548">
                  <c:v>40605</c:v>
                </c:pt>
                <c:pt idx="549">
                  <c:v>40606</c:v>
                </c:pt>
                <c:pt idx="550">
                  <c:v>40607</c:v>
                </c:pt>
                <c:pt idx="551">
                  <c:v>40608</c:v>
                </c:pt>
                <c:pt idx="552">
                  <c:v>40609</c:v>
                </c:pt>
                <c:pt idx="553">
                  <c:v>40610</c:v>
                </c:pt>
                <c:pt idx="554">
                  <c:v>40611</c:v>
                </c:pt>
                <c:pt idx="555">
                  <c:v>40612</c:v>
                </c:pt>
                <c:pt idx="556">
                  <c:v>40613</c:v>
                </c:pt>
                <c:pt idx="557">
                  <c:v>40614</c:v>
                </c:pt>
                <c:pt idx="558">
                  <c:v>40615</c:v>
                </c:pt>
                <c:pt idx="559">
                  <c:v>40616</c:v>
                </c:pt>
                <c:pt idx="560">
                  <c:v>40617</c:v>
                </c:pt>
                <c:pt idx="561">
                  <c:v>40618</c:v>
                </c:pt>
                <c:pt idx="562">
                  <c:v>40619</c:v>
                </c:pt>
                <c:pt idx="563">
                  <c:v>40620</c:v>
                </c:pt>
                <c:pt idx="564">
                  <c:v>40621</c:v>
                </c:pt>
                <c:pt idx="565">
                  <c:v>40622</c:v>
                </c:pt>
                <c:pt idx="566">
                  <c:v>40623</c:v>
                </c:pt>
                <c:pt idx="567">
                  <c:v>40624</c:v>
                </c:pt>
                <c:pt idx="568">
                  <c:v>40625</c:v>
                </c:pt>
                <c:pt idx="569">
                  <c:v>40626</c:v>
                </c:pt>
                <c:pt idx="570">
                  <c:v>40627</c:v>
                </c:pt>
                <c:pt idx="571">
                  <c:v>40628</c:v>
                </c:pt>
                <c:pt idx="572">
                  <c:v>40629</c:v>
                </c:pt>
                <c:pt idx="573">
                  <c:v>40630</c:v>
                </c:pt>
                <c:pt idx="574">
                  <c:v>40631</c:v>
                </c:pt>
                <c:pt idx="575">
                  <c:v>40632</c:v>
                </c:pt>
                <c:pt idx="576">
                  <c:v>40633</c:v>
                </c:pt>
                <c:pt idx="577">
                  <c:v>40634</c:v>
                </c:pt>
                <c:pt idx="578">
                  <c:v>40635</c:v>
                </c:pt>
                <c:pt idx="579">
                  <c:v>40636</c:v>
                </c:pt>
                <c:pt idx="580">
                  <c:v>40637</c:v>
                </c:pt>
                <c:pt idx="581">
                  <c:v>40638</c:v>
                </c:pt>
                <c:pt idx="582">
                  <c:v>40639</c:v>
                </c:pt>
                <c:pt idx="583">
                  <c:v>40640</c:v>
                </c:pt>
                <c:pt idx="584">
                  <c:v>40641</c:v>
                </c:pt>
                <c:pt idx="585">
                  <c:v>40642</c:v>
                </c:pt>
                <c:pt idx="586">
                  <c:v>40643</c:v>
                </c:pt>
                <c:pt idx="587">
                  <c:v>40644</c:v>
                </c:pt>
                <c:pt idx="588">
                  <c:v>40645</c:v>
                </c:pt>
                <c:pt idx="589">
                  <c:v>40646</c:v>
                </c:pt>
                <c:pt idx="590">
                  <c:v>40647</c:v>
                </c:pt>
                <c:pt idx="591">
                  <c:v>40648</c:v>
                </c:pt>
                <c:pt idx="592">
                  <c:v>40649</c:v>
                </c:pt>
                <c:pt idx="593">
                  <c:v>40650</c:v>
                </c:pt>
                <c:pt idx="594">
                  <c:v>40651</c:v>
                </c:pt>
                <c:pt idx="595">
                  <c:v>40652</c:v>
                </c:pt>
                <c:pt idx="596">
                  <c:v>40653</c:v>
                </c:pt>
                <c:pt idx="597">
                  <c:v>40654</c:v>
                </c:pt>
                <c:pt idx="598">
                  <c:v>40655</c:v>
                </c:pt>
                <c:pt idx="599">
                  <c:v>40656</c:v>
                </c:pt>
                <c:pt idx="600">
                  <c:v>40657</c:v>
                </c:pt>
                <c:pt idx="601">
                  <c:v>40658</c:v>
                </c:pt>
                <c:pt idx="602">
                  <c:v>40659</c:v>
                </c:pt>
                <c:pt idx="603">
                  <c:v>40660</c:v>
                </c:pt>
                <c:pt idx="604">
                  <c:v>40661</c:v>
                </c:pt>
                <c:pt idx="605">
                  <c:v>40662</c:v>
                </c:pt>
                <c:pt idx="606">
                  <c:v>40663</c:v>
                </c:pt>
                <c:pt idx="607">
                  <c:v>40664</c:v>
                </c:pt>
                <c:pt idx="608">
                  <c:v>40665</c:v>
                </c:pt>
                <c:pt idx="609">
                  <c:v>40666</c:v>
                </c:pt>
                <c:pt idx="610">
                  <c:v>40667</c:v>
                </c:pt>
                <c:pt idx="611">
                  <c:v>40668</c:v>
                </c:pt>
                <c:pt idx="612">
                  <c:v>40669</c:v>
                </c:pt>
                <c:pt idx="613">
                  <c:v>40670</c:v>
                </c:pt>
                <c:pt idx="614">
                  <c:v>40671</c:v>
                </c:pt>
                <c:pt idx="615">
                  <c:v>40672</c:v>
                </c:pt>
                <c:pt idx="616">
                  <c:v>40673</c:v>
                </c:pt>
                <c:pt idx="617">
                  <c:v>40674</c:v>
                </c:pt>
                <c:pt idx="618">
                  <c:v>40675</c:v>
                </c:pt>
                <c:pt idx="619">
                  <c:v>40676</c:v>
                </c:pt>
                <c:pt idx="620">
                  <c:v>40677</c:v>
                </c:pt>
                <c:pt idx="621">
                  <c:v>40678</c:v>
                </c:pt>
                <c:pt idx="622">
                  <c:v>40679</c:v>
                </c:pt>
                <c:pt idx="623">
                  <c:v>40680</c:v>
                </c:pt>
                <c:pt idx="624">
                  <c:v>40681</c:v>
                </c:pt>
                <c:pt idx="625">
                  <c:v>40682</c:v>
                </c:pt>
                <c:pt idx="626">
                  <c:v>40683</c:v>
                </c:pt>
                <c:pt idx="627">
                  <c:v>40684</c:v>
                </c:pt>
                <c:pt idx="628">
                  <c:v>40685</c:v>
                </c:pt>
                <c:pt idx="629">
                  <c:v>40686</c:v>
                </c:pt>
                <c:pt idx="630">
                  <c:v>40687</c:v>
                </c:pt>
                <c:pt idx="631">
                  <c:v>40688</c:v>
                </c:pt>
                <c:pt idx="632">
                  <c:v>40689</c:v>
                </c:pt>
                <c:pt idx="633">
                  <c:v>40690</c:v>
                </c:pt>
                <c:pt idx="634">
                  <c:v>40691</c:v>
                </c:pt>
                <c:pt idx="635">
                  <c:v>40692</c:v>
                </c:pt>
                <c:pt idx="636">
                  <c:v>40693</c:v>
                </c:pt>
                <c:pt idx="637">
                  <c:v>40694</c:v>
                </c:pt>
                <c:pt idx="638">
                  <c:v>40695</c:v>
                </c:pt>
                <c:pt idx="639">
                  <c:v>40696</c:v>
                </c:pt>
                <c:pt idx="640">
                  <c:v>40697</c:v>
                </c:pt>
                <c:pt idx="641">
                  <c:v>40698</c:v>
                </c:pt>
                <c:pt idx="642">
                  <c:v>40699</c:v>
                </c:pt>
                <c:pt idx="643">
                  <c:v>40700</c:v>
                </c:pt>
                <c:pt idx="644">
                  <c:v>40701</c:v>
                </c:pt>
                <c:pt idx="645">
                  <c:v>40702</c:v>
                </c:pt>
                <c:pt idx="646">
                  <c:v>40703</c:v>
                </c:pt>
                <c:pt idx="647">
                  <c:v>40704</c:v>
                </c:pt>
                <c:pt idx="648">
                  <c:v>40705</c:v>
                </c:pt>
                <c:pt idx="649">
                  <c:v>40706</c:v>
                </c:pt>
                <c:pt idx="650">
                  <c:v>40707</c:v>
                </c:pt>
                <c:pt idx="651">
                  <c:v>40708</c:v>
                </c:pt>
                <c:pt idx="652">
                  <c:v>40709</c:v>
                </c:pt>
                <c:pt idx="653">
                  <c:v>40710</c:v>
                </c:pt>
                <c:pt idx="654">
                  <c:v>40711</c:v>
                </c:pt>
                <c:pt idx="655">
                  <c:v>40712</c:v>
                </c:pt>
                <c:pt idx="656">
                  <c:v>40713</c:v>
                </c:pt>
                <c:pt idx="657">
                  <c:v>40714</c:v>
                </c:pt>
                <c:pt idx="658">
                  <c:v>40715</c:v>
                </c:pt>
                <c:pt idx="659">
                  <c:v>40716</c:v>
                </c:pt>
                <c:pt idx="660">
                  <c:v>40717</c:v>
                </c:pt>
                <c:pt idx="661">
                  <c:v>40718</c:v>
                </c:pt>
                <c:pt idx="662">
                  <c:v>40719</c:v>
                </c:pt>
                <c:pt idx="663">
                  <c:v>40720</c:v>
                </c:pt>
                <c:pt idx="664">
                  <c:v>40721</c:v>
                </c:pt>
                <c:pt idx="665">
                  <c:v>40722</c:v>
                </c:pt>
                <c:pt idx="666">
                  <c:v>40723</c:v>
                </c:pt>
                <c:pt idx="667">
                  <c:v>40724</c:v>
                </c:pt>
                <c:pt idx="668">
                  <c:v>40725</c:v>
                </c:pt>
                <c:pt idx="669">
                  <c:v>40726</c:v>
                </c:pt>
                <c:pt idx="670">
                  <c:v>40727</c:v>
                </c:pt>
                <c:pt idx="671">
                  <c:v>40728</c:v>
                </c:pt>
                <c:pt idx="672">
                  <c:v>40729</c:v>
                </c:pt>
                <c:pt idx="673">
                  <c:v>40730</c:v>
                </c:pt>
                <c:pt idx="674">
                  <c:v>40731</c:v>
                </c:pt>
                <c:pt idx="675">
                  <c:v>40732</c:v>
                </c:pt>
                <c:pt idx="676">
                  <c:v>40733</c:v>
                </c:pt>
                <c:pt idx="677">
                  <c:v>40734</c:v>
                </c:pt>
                <c:pt idx="678">
                  <c:v>40735</c:v>
                </c:pt>
                <c:pt idx="679">
                  <c:v>40736</c:v>
                </c:pt>
                <c:pt idx="680">
                  <c:v>40737</c:v>
                </c:pt>
                <c:pt idx="681">
                  <c:v>40738</c:v>
                </c:pt>
                <c:pt idx="682">
                  <c:v>40739</c:v>
                </c:pt>
                <c:pt idx="683">
                  <c:v>40740</c:v>
                </c:pt>
                <c:pt idx="684">
                  <c:v>40741</c:v>
                </c:pt>
                <c:pt idx="685">
                  <c:v>40742</c:v>
                </c:pt>
                <c:pt idx="686">
                  <c:v>40743</c:v>
                </c:pt>
                <c:pt idx="687">
                  <c:v>40744</c:v>
                </c:pt>
                <c:pt idx="688">
                  <c:v>40745</c:v>
                </c:pt>
                <c:pt idx="689">
                  <c:v>40746</c:v>
                </c:pt>
                <c:pt idx="690">
                  <c:v>40747</c:v>
                </c:pt>
                <c:pt idx="691">
                  <c:v>40748</c:v>
                </c:pt>
                <c:pt idx="692">
                  <c:v>40749</c:v>
                </c:pt>
                <c:pt idx="693">
                  <c:v>40750</c:v>
                </c:pt>
                <c:pt idx="694">
                  <c:v>40751</c:v>
                </c:pt>
                <c:pt idx="695">
                  <c:v>40752</c:v>
                </c:pt>
                <c:pt idx="696">
                  <c:v>40753</c:v>
                </c:pt>
                <c:pt idx="697">
                  <c:v>40754</c:v>
                </c:pt>
                <c:pt idx="698">
                  <c:v>40755</c:v>
                </c:pt>
                <c:pt idx="699">
                  <c:v>40756</c:v>
                </c:pt>
                <c:pt idx="700">
                  <c:v>40757</c:v>
                </c:pt>
                <c:pt idx="701">
                  <c:v>40758</c:v>
                </c:pt>
                <c:pt idx="702">
                  <c:v>40759</c:v>
                </c:pt>
                <c:pt idx="703">
                  <c:v>40760</c:v>
                </c:pt>
                <c:pt idx="704">
                  <c:v>40761</c:v>
                </c:pt>
                <c:pt idx="705">
                  <c:v>40762</c:v>
                </c:pt>
                <c:pt idx="706">
                  <c:v>40763</c:v>
                </c:pt>
                <c:pt idx="707">
                  <c:v>40764</c:v>
                </c:pt>
                <c:pt idx="708">
                  <c:v>40765</c:v>
                </c:pt>
                <c:pt idx="709">
                  <c:v>40766</c:v>
                </c:pt>
                <c:pt idx="710">
                  <c:v>40767</c:v>
                </c:pt>
                <c:pt idx="711">
                  <c:v>40768</c:v>
                </c:pt>
                <c:pt idx="712">
                  <c:v>40769</c:v>
                </c:pt>
                <c:pt idx="713">
                  <c:v>40770</c:v>
                </c:pt>
                <c:pt idx="714">
                  <c:v>40771</c:v>
                </c:pt>
                <c:pt idx="715">
                  <c:v>40772</c:v>
                </c:pt>
                <c:pt idx="716">
                  <c:v>40773</c:v>
                </c:pt>
                <c:pt idx="717">
                  <c:v>40774</c:v>
                </c:pt>
                <c:pt idx="718">
                  <c:v>40775</c:v>
                </c:pt>
                <c:pt idx="719">
                  <c:v>40776</c:v>
                </c:pt>
                <c:pt idx="720">
                  <c:v>40777</c:v>
                </c:pt>
                <c:pt idx="721">
                  <c:v>40778</c:v>
                </c:pt>
                <c:pt idx="722">
                  <c:v>40779</c:v>
                </c:pt>
                <c:pt idx="723">
                  <c:v>40780</c:v>
                </c:pt>
                <c:pt idx="724">
                  <c:v>40781</c:v>
                </c:pt>
                <c:pt idx="725">
                  <c:v>40782</c:v>
                </c:pt>
                <c:pt idx="726">
                  <c:v>40783</c:v>
                </c:pt>
                <c:pt idx="727">
                  <c:v>40784</c:v>
                </c:pt>
                <c:pt idx="728">
                  <c:v>40785</c:v>
                </c:pt>
                <c:pt idx="729">
                  <c:v>40786</c:v>
                </c:pt>
                <c:pt idx="730">
                  <c:v>40787</c:v>
                </c:pt>
                <c:pt idx="731">
                  <c:v>40788</c:v>
                </c:pt>
                <c:pt idx="732">
                  <c:v>40789</c:v>
                </c:pt>
                <c:pt idx="733">
                  <c:v>40790</c:v>
                </c:pt>
                <c:pt idx="734">
                  <c:v>40791</c:v>
                </c:pt>
                <c:pt idx="735">
                  <c:v>40792</c:v>
                </c:pt>
                <c:pt idx="736">
                  <c:v>40793</c:v>
                </c:pt>
                <c:pt idx="737">
                  <c:v>40794</c:v>
                </c:pt>
                <c:pt idx="738">
                  <c:v>40795</c:v>
                </c:pt>
                <c:pt idx="739">
                  <c:v>40796</c:v>
                </c:pt>
                <c:pt idx="740">
                  <c:v>40797</c:v>
                </c:pt>
                <c:pt idx="741">
                  <c:v>40798</c:v>
                </c:pt>
                <c:pt idx="742">
                  <c:v>40799</c:v>
                </c:pt>
                <c:pt idx="743">
                  <c:v>40800</c:v>
                </c:pt>
                <c:pt idx="744">
                  <c:v>40801</c:v>
                </c:pt>
                <c:pt idx="745">
                  <c:v>40802</c:v>
                </c:pt>
                <c:pt idx="746">
                  <c:v>40803</c:v>
                </c:pt>
                <c:pt idx="747">
                  <c:v>40804</c:v>
                </c:pt>
                <c:pt idx="748">
                  <c:v>40805</c:v>
                </c:pt>
                <c:pt idx="749">
                  <c:v>40806</c:v>
                </c:pt>
                <c:pt idx="750">
                  <c:v>40807</c:v>
                </c:pt>
                <c:pt idx="751">
                  <c:v>40808</c:v>
                </c:pt>
                <c:pt idx="752">
                  <c:v>40809</c:v>
                </c:pt>
                <c:pt idx="753">
                  <c:v>40810</c:v>
                </c:pt>
                <c:pt idx="754">
                  <c:v>40811</c:v>
                </c:pt>
                <c:pt idx="755">
                  <c:v>40812</c:v>
                </c:pt>
                <c:pt idx="756">
                  <c:v>40813</c:v>
                </c:pt>
                <c:pt idx="757">
                  <c:v>40814</c:v>
                </c:pt>
                <c:pt idx="758">
                  <c:v>40815</c:v>
                </c:pt>
                <c:pt idx="759">
                  <c:v>40816</c:v>
                </c:pt>
                <c:pt idx="760">
                  <c:v>40817</c:v>
                </c:pt>
                <c:pt idx="761">
                  <c:v>40818</c:v>
                </c:pt>
                <c:pt idx="762">
                  <c:v>40819</c:v>
                </c:pt>
                <c:pt idx="763">
                  <c:v>40820</c:v>
                </c:pt>
                <c:pt idx="764">
                  <c:v>40821</c:v>
                </c:pt>
                <c:pt idx="765">
                  <c:v>40822</c:v>
                </c:pt>
                <c:pt idx="766">
                  <c:v>40823</c:v>
                </c:pt>
                <c:pt idx="767">
                  <c:v>40824</c:v>
                </c:pt>
                <c:pt idx="768">
                  <c:v>40825</c:v>
                </c:pt>
                <c:pt idx="769">
                  <c:v>40826</c:v>
                </c:pt>
                <c:pt idx="770">
                  <c:v>40827</c:v>
                </c:pt>
                <c:pt idx="771">
                  <c:v>40828</c:v>
                </c:pt>
                <c:pt idx="772">
                  <c:v>40829</c:v>
                </c:pt>
                <c:pt idx="773">
                  <c:v>40830</c:v>
                </c:pt>
                <c:pt idx="774">
                  <c:v>40831</c:v>
                </c:pt>
                <c:pt idx="775">
                  <c:v>40832</c:v>
                </c:pt>
                <c:pt idx="776">
                  <c:v>40833</c:v>
                </c:pt>
                <c:pt idx="777">
                  <c:v>40834</c:v>
                </c:pt>
                <c:pt idx="778">
                  <c:v>40835</c:v>
                </c:pt>
                <c:pt idx="779">
                  <c:v>40836</c:v>
                </c:pt>
                <c:pt idx="780">
                  <c:v>40837</c:v>
                </c:pt>
                <c:pt idx="781">
                  <c:v>40838</c:v>
                </c:pt>
                <c:pt idx="782">
                  <c:v>40839</c:v>
                </c:pt>
                <c:pt idx="783">
                  <c:v>40840</c:v>
                </c:pt>
                <c:pt idx="784">
                  <c:v>40841</c:v>
                </c:pt>
                <c:pt idx="785">
                  <c:v>40842</c:v>
                </c:pt>
                <c:pt idx="786">
                  <c:v>40843</c:v>
                </c:pt>
                <c:pt idx="787">
                  <c:v>40844</c:v>
                </c:pt>
                <c:pt idx="788">
                  <c:v>40845</c:v>
                </c:pt>
                <c:pt idx="789">
                  <c:v>40846</c:v>
                </c:pt>
                <c:pt idx="790">
                  <c:v>40847</c:v>
                </c:pt>
                <c:pt idx="791">
                  <c:v>40848</c:v>
                </c:pt>
                <c:pt idx="792">
                  <c:v>40849</c:v>
                </c:pt>
                <c:pt idx="793">
                  <c:v>40850</c:v>
                </c:pt>
                <c:pt idx="794">
                  <c:v>40851</c:v>
                </c:pt>
                <c:pt idx="795">
                  <c:v>40852</c:v>
                </c:pt>
                <c:pt idx="796">
                  <c:v>40853</c:v>
                </c:pt>
                <c:pt idx="797">
                  <c:v>40854</c:v>
                </c:pt>
                <c:pt idx="798">
                  <c:v>40855</c:v>
                </c:pt>
                <c:pt idx="799">
                  <c:v>40856</c:v>
                </c:pt>
                <c:pt idx="800">
                  <c:v>40857</c:v>
                </c:pt>
                <c:pt idx="801">
                  <c:v>40858</c:v>
                </c:pt>
                <c:pt idx="802">
                  <c:v>40859</c:v>
                </c:pt>
                <c:pt idx="803">
                  <c:v>40860</c:v>
                </c:pt>
                <c:pt idx="804">
                  <c:v>40861</c:v>
                </c:pt>
                <c:pt idx="805">
                  <c:v>40862</c:v>
                </c:pt>
                <c:pt idx="806">
                  <c:v>40863</c:v>
                </c:pt>
                <c:pt idx="807">
                  <c:v>40864</c:v>
                </c:pt>
                <c:pt idx="808">
                  <c:v>40865</c:v>
                </c:pt>
                <c:pt idx="809">
                  <c:v>40866</c:v>
                </c:pt>
                <c:pt idx="810">
                  <c:v>40867</c:v>
                </c:pt>
                <c:pt idx="811">
                  <c:v>40868</c:v>
                </c:pt>
                <c:pt idx="812">
                  <c:v>40869</c:v>
                </c:pt>
                <c:pt idx="813">
                  <c:v>40870</c:v>
                </c:pt>
                <c:pt idx="814">
                  <c:v>40871</c:v>
                </c:pt>
                <c:pt idx="815">
                  <c:v>40872</c:v>
                </c:pt>
                <c:pt idx="816">
                  <c:v>40873</c:v>
                </c:pt>
                <c:pt idx="817">
                  <c:v>40874</c:v>
                </c:pt>
                <c:pt idx="818">
                  <c:v>40875</c:v>
                </c:pt>
                <c:pt idx="819">
                  <c:v>40876</c:v>
                </c:pt>
                <c:pt idx="820">
                  <c:v>40877</c:v>
                </c:pt>
                <c:pt idx="821">
                  <c:v>40878</c:v>
                </c:pt>
                <c:pt idx="822">
                  <c:v>40879</c:v>
                </c:pt>
                <c:pt idx="823">
                  <c:v>40880</c:v>
                </c:pt>
                <c:pt idx="824">
                  <c:v>40881</c:v>
                </c:pt>
                <c:pt idx="825">
                  <c:v>40882</c:v>
                </c:pt>
                <c:pt idx="826">
                  <c:v>40883</c:v>
                </c:pt>
                <c:pt idx="827">
                  <c:v>40884</c:v>
                </c:pt>
                <c:pt idx="828">
                  <c:v>40885</c:v>
                </c:pt>
                <c:pt idx="829">
                  <c:v>40886</c:v>
                </c:pt>
                <c:pt idx="830">
                  <c:v>40887</c:v>
                </c:pt>
                <c:pt idx="831">
                  <c:v>40888</c:v>
                </c:pt>
                <c:pt idx="832">
                  <c:v>40889</c:v>
                </c:pt>
                <c:pt idx="833">
                  <c:v>40890</c:v>
                </c:pt>
                <c:pt idx="834">
                  <c:v>40891</c:v>
                </c:pt>
                <c:pt idx="835">
                  <c:v>40892</c:v>
                </c:pt>
                <c:pt idx="836">
                  <c:v>40893</c:v>
                </c:pt>
                <c:pt idx="837">
                  <c:v>40894</c:v>
                </c:pt>
                <c:pt idx="838">
                  <c:v>40895</c:v>
                </c:pt>
                <c:pt idx="839">
                  <c:v>40896</c:v>
                </c:pt>
                <c:pt idx="840">
                  <c:v>40897</c:v>
                </c:pt>
                <c:pt idx="841">
                  <c:v>40898</c:v>
                </c:pt>
                <c:pt idx="842">
                  <c:v>40899</c:v>
                </c:pt>
                <c:pt idx="843">
                  <c:v>40900</c:v>
                </c:pt>
                <c:pt idx="844">
                  <c:v>40901</c:v>
                </c:pt>
                <c:pt idx="845">
                  <c:v>40902</c:v>
                </c:pt>
                <c:pt idx="846">
                  <c:v>40903</c:v>
                </c:pt>
                <c:pt idx="847">
                  <c:v>40904</c:v>
                </c:pt>
                <c:pt idx="848">
                  <c:v>40905</c:v>
                </c:pt>
                <c:pt idx="849">
                  <c:v>40906</c:v>
                </c:pt>
                <c:pt idx="850">
                  <c:v>40907</c:v>
                </c:pt>
                <c:pt idx="851">
                  <c:v>40908</c:v>
                </c:pt>
                <c:pt idx="852">
                  <c:v>40909</c:v>
                </c:pt>
                <c:pt idx="853">
                  <c:v>40910</c:v>
                </c:pt>
                <c:pt idx="854">
                  <c:v>40911</c:v>
                </c:pt>
                <c:pt idx="855">
                  <c:v>40912</c:v>
                </c:pt>
                <c:pt idx="856">
                  <c:v>40913</c:v>
                </c:pt>
                <c:pt idx="857">
                  <c:v>40914</c:v>
                </c:pt>
                <c:pt idx="858">
                  <c:v>40915</c:v>
                </c:pt>
                <c:pt idx="859">
                  <c:v>40916</c:v>
                </c:pt>
                <c:pt idx="860">
                  <c:v>40917</c:v>
                </c:pt>
                <c:pt idx="861">
                  <c:v>40918</c:v>
                </c:pt>
                <c:pt idx="862">
                  <c:v>40919</c:v>
                </c:pt>
                <c:pt idx="863">
                  <c:v>40920</c:v>
                </c:pt>
                <c:pt idx="864">
                  <c:v>40921</c:v>
                </c:pt>
                <c:pt idx="865">
                  <c:v>40922</c:v>
                </c:pt>
                <c:pt idx="866">
                  <c:v>40923</c:v>
                </c:pt>
                <c:pt idx="867">
                  <c:v>40924</c:v>
                </c:pt>
                <c:pt idx="868">
                  <c:v>40925</c:v>
                </c:pt>
                <c:pt idx="869">
                  <c:v>40926</c:v>
                </c:pt>
                <c:pt idx="870">
                  <c:v>40927</c:v>
                </c:pt>
                <c:pt idx="871">
                  <c:v>40928</c:v>
                </c:pt>
                <c:pt idx="872">
                  <c:v>40929</c:v>
                </c:pt>
                <c:pt idx="873">
                  <c:v>40930</c:v>
                </c:pt>
                <c:pt idx="874">
                  <c:v>40931</c:v>
                </c:pt>
                <c:pt idx="875">
                  <c:v>40932</c:v>
                </c:pt>
                <c:pt idx="876">
                  <c:v>40933</c:v>
                </c:pt>
                <c:pt idx="877">
                  <c:v>40934</c:v>
                </c:pt>
                <c:pt idx="878">
                  <c:v>40935</c:v>
                </c:pt>
                <c:pt idx="879">
                  <c:v>40936</c:v>
                </c:pt>
                <c:pt idx="880">
                  <c:v>40937</c:v>
                </c:pt>
                <c:pt idx="881">
                  <c:v>40938</c:v>
                </c:pt>
                <c:pt idx="882">
                  <c:v>40939</c:v>
                </c:pt>
                <c:pt idx="883">
                  <c:v>40940</c:v>
                </c:pt>
                <c:pt idx="884">
                  <c:v>40941</c:v>
                </c:pt>
                <c:pt idx="885">
                  <c:v>40942</c:v>
                </c:pt>
                <c:pt idx="886">
                  <c:v>40943</c:v>
                </c:pt>
                <c:pt idx="887">
                  <c:v>40944</c:v>
                </c:pt>
                <c:pt idx="888">
                  <c:v>40945</c:v>
                </c:pt>
                <c:pt idx="889">
                  <c:v>40946</c:v>
                </c:pt>
                <c:pt idx="890">
                  <c:v>40947</c:v>
                </c:pt>
                <c:pt idx="891">
                  <c:v>40948</c:v>
                </c:pt>
                <c:pt idx="892">
                  <c:v>40949</c:v>
                </c:pt>
                <c:pt idx="893">
                  <c:v>40950</c:v>
                </c:pt>
                <c:pt idx="894">
                  <c:v>40951</c:v>
                </c:pt>
                <c:pt idx="895">
                  <c:v>40952</c:v>
                </c:pt>
                <c:pt idx="896">
                  <c:v>40953</c:v>
                </c:pt>
                <c:pt idx="897">
                  <c:v>40954</c:v>
                </c:pt>
                <c:pt idx="898">
                  <c:v>40955</c:v>
                </c:pt>
                <c:pt idx="899">
                  <c:v>40956</c:v>
                </c:pt>
                <c:pt idx="900">
                  <c:v>40957</c:v>
                </c:pt>
                <c:pt idx="901">
                  <c:v>40958</c:v>
                </c:pt>
                <c:pt idx="902">
                  <c:v>40959</c:v>
                </c:pt>
                <c:pt idx="903">
                  <c:v>40960</c:v>
                </c:pt>
                <c:pt idx="904">
                  <c:v>40961</c:v>
                </c:pt>
                <c:pt idx="905">
                  <c:v>40962</c:v>
                </c:pt>
                <c:pt idx="906">
                  <c:v>40963</c:v>
                </c:pt>
                <c:pt idx="907">
                  <c:v>40964</c:v>
                </c:pt>
                <c:pt idx="908">
                  <c:v>40965</c:v>
                </c:pt>
                <c:pt idx="909">
                  <c:v>40966</c:v>
                </c:pt>
                <c:pt idx="910">
                  <c:v>40967</c:v>
                </c:pt>
                <c:pt idx="911">
                  <c:v>40968</c:v>
                </c:pt>
                <c:pt idx="912">
                  <c:v>40969</c:v>
                </c:pt>
                <c:pt idx="913">
                  <c:v>40970</c:v>
                </c:pt>
                <c:pt idx="914">
                  <c:v>40971</c:v>
                </c:pt>
                <c:pt idx="915">
                  <c:v>40972</c:v>
                </c:pt>
                <c:pt idx="916">
                  <c:v>40973</c:v>
                </c:pt>
                <c:pt idx="917">
                  <c:v>40974</c:v>
                </c:pt>
                <c:pt idx="918">
                  <c:v>40975</c:v>
                </c:pt>
                <c:pt idx="919">
                  <c:v>40976</c:v>
                </c:pt>
                <c:pt idx="920">
                  <c:v>40977</c:v>
                </c:pt>
                <c:pt idx="921">
                  <c:v>40978</c:v>
                </c:pt>
                <c:pt idx="922">
                  <c:v>40979</c:v>
                </c:pt>
                <c:pt idx="923">
                  <c:v>40980</c:v>
                </c:pt>
                <c:pt idx="924">
                  <c:v>40981</c:v>
                </c:pt>
                <c:pt idx="925">
                  <c:v>40982</c:v>
                </c:pt>
                <c:pt idx="926">
                  <c:v>40983</c:v>
                </c:pt>
                <c:pt idx="927">
                  <c:v>40984</c:v>
                </c:pt>
                <c:pt idx="928">
                  <c:v>40985</c:v>
                </c:pt>
                <c:pt idx="929">
                  <c:v>40986</c:v>
                </c:pt>
                <c:pt idx="930">
                  <c:v>40987</c:v>
                </c:pt>
                <c:pt idx="931">
                  <c:v>40988</c:v>
                </c:pt>
                <c:pt idx="932">
                  <c:v>40989</c:v>
                </c:pt>
                <c:pt idx="933">
                  <c:v>40990</c:v>
                </c:pt>
                <c:pt idx="934">
                  <c:v>40991</c:v>
                </c:pt>
                <c:pt idx="935">
                  <c:v>40992</c:v>
                </c:pt>
                <c:pt idx="936">
                  <c:v>40993</c:v>
                </c:pt>
                <c:pt idx="937">
                  <c:v>40994</c:v>
                </c:pt>
                <c:pt idx="938">
                  <c:v>40995</c:v>
                </c:pt>
                <c:pt idx="939">
                  <c:v>40996</c:v>
                </c:pt>
                <c:pt idx="940">
                  <c:v>40997</c:v>
                </c:pt>
                <c:pt idx="941">
                  <c:v>40998</c:v>
                </c:pt>
                <c:pt idx="942">
                  <c:v>40999</c:v>
                </c:pt>
                <c:pt idx="943">
                  <c:v>41000</c:v>
                </c:pt>
                <c:pt idx="944">
                  <c:v>41001</c:v>
                </c:pt>
                <c:pt idx="945">
                  <c:v>41002</c:v>
                </c:pt>
                <c:pt idx="946">
                  <c:v>41003</c:v>
                </c:pt>
                <c:pt idx="947">
                  <c:v>41004</c:v>
                </c:pt>
                <c:pt idx="948">
                  <c:v>41005</c:v>
                </c:pt>
                <c:pt idx="949">
                  <c:v>41006</c:v>
                </c:pt>
                <c:pt idx="950">
                  <c:v>41007</c:v>
                </c:pt>
                <c:pt idx="951">
                  <c:v>41008</c:v>
                </c:pt>
                <c:pt idx="952">
                  <c:v>41009</c:v>
                </c:pt>
                <c:pt idx="953">
                  <c:v>41010</c:v>
                </c:pt>
                <c:pt idx="954">
                  <c:v>41011</c:v>
                </c:pt>
                <c:pt idx="955">
                  <c:v>41012</c:v>
                </c:pt>
                <c:pt idx="956">
                  <c:v>41013</c:v>
                </c:pt>
                <c:pt idx="957">
                  <c:v>41014</c:v>
                </c:pt>
                <c:pt idx="958">
                  <c:v>41015</c:v>
                </c:pt>
                <c:pt idx="959">
                  <c:v>41016</c:v>
                </c:pt>
                <c:pt idx="960">
                  <c:v>41017</c:v>
                </c:pt>
                <c:pt idx="961">
                  <c:v>41018</c:v>
                </c:pt>
                <c:pt idx="962">
                  <c:v>41019</c:v>
                </c:pt>
                <c:pt idx="963">
                  <c:v>41020</c:v>
                </c:pt>
                <c:pt idx="964">
                  <c:v>41021</c:v>
                </c:pt>
                <c:pt idx="965">
                  <c:v>41022</c:v>
                </c:pt>
                <c:pt idx="966">
                  <c:v>41023</c:v>
                </c:pt>
                <c:pt idx="967">
                  <c:v>41024</c:v>
                </c:pt>
                <c:pt idx="968">
                  <c:v>41025</c:v>
                </c:pt>
                <c:pt idx="969">
                  <c:v>41026</c:v>
                </c:pt>
                <c:pt idx="970">
                  <c:v>41027</c:v>
                </c:pt>
                <c:pt idx="971">
                  <c:v>41028</c:v>
                </c:pt>
                <c:pt idx="972">
                  <c:v>41029</c:v>
                </c:pt>
                <c:pt idx="973">
                  <c:v>41030</c:v>
                </c:pt>
                <c:pt idx="974">
                  <c:v>41031</c:v>
                </c:pt>
                <c:pt idx="975">
                  <c:v>41032</c:v>
                </c:pt>
                <c:pt idx="976">
                  <c:v>41033</c:v>
                </c:pt>
                <c:pt idx="977">
                  <c:v>41034</c:v>
                </c:pt>
                <c:pt idx="978">
                  <c:v>41035</c:v>
                </c:pt>
                <c:pt idx="979">
                  <c:v>41036</c:v>
                </c:pt>
                <c:pt idx="980">
                  <c:v>41037</c:v>
                </c:pt>
                <c:pt idx="981">
                  <c:v>41038</c:v>
                </c:pt>
                <c:pt idx="982">
                  <c:v>41039</c:v>
                </c:pt>
                <c:pt idx="983">
                  <c:v>41040</c:v>
                </c:pt>
                <c:pt idx="984">
                  <c:v>41041</c:v>
                </c:pt>
                <c:pt idx="985">
                  <c:v>41042</c:v>
                </c:pt>
                <c:pt idx="986">
                  <c:v>41043</c:v>
                </c:pt>
                <c:pt idx="987">
                  <c:v>41044</c:v>
                </c:pt>
                <c:pt idx="988">
                  <c:v>41045</c:v>
                </c:pt>
                <c:pt idx="989">
                  <c:v>41046</c:v>
                </c:pt>
                <c:pt idx="990">
                  <c:v>41047</c:v>
                </c:pt>
                <c:pt idx="991">
                  <c:v>41048</c:v>
                </c:pt>
                <c:pt idx="992">
                  <c:v>41049</c:v>
                </c:pt>
                <c:pt idx="993">
                  <c:v>41050</c:v>
                </c:pt>
                <c:pt idx="994">
                  <c:v>41051</c:v>
                </c:pt>
                <c:pt idx="995">
                  <c:v>41052</c:v>
                </c:pt>
                <c:pt idx="996">
                  <c:v>41053</c:v>
                </c:pt>
                <c:pt idx="997">
                  <c:v>41054</c:v>
                </c:pt>
                <c:pt idx="998">
                  <c:v>41055</c:v>
                </c:pt>
                <c:pt idx="999">
                  <c:v>41056</c:v>
                </c:pt>
                <c:pt idx="1000">
                  <c:v>41057</c:v>
                </c:pt>
                <c:pt idx="1001">
                  <c:v>41058</c:v>
                </c:pt>
                <c:pt idx="1002">
                  <c:v>41059</c:v>
                </c:pt>
                <c:pt idx="1003">
                  <c:v>41060</c:v>
                </c:pt>
                <c:pt idx="1004">
                  <c:v>41061</c:v>
                </c:pt>
                <c:pt idx="1005">
                  <c:v>41062</c:v>
                </c:pt>
                <c:pt idx="1006">
                  <c:v>41063</c:v>
                </c:pt>
                <c:pt idx="1007">
                  <c:v>41064</c:v>
                </c:pt>
                <c:pt idx="1008">
                  <c:v>41065</c:v>
                </c:pt>
                <c:pt idx="1009">
                  <c:v>41066</c:v>
                </c:pt>
                <c:pt idx="1010">
                  <c:v>41067</c:v>
                </c:pt>
                <c:pt idx="1011">
                  <c:v>41068</c:v>
                </c:pt>
                <c:pt idx="1012">
                  <c:v>41069</c:v>
                </c:pt>
                <c:pt idx="1013">
                  <c:v>41070</c:v>
                </c:pt>
                <c:pt idx="1014">
                  <c:v>41071</c:v>
                </c:pt>
                <c:pt idx="1015">
                  <c:v>41072</c:v>
                </c:pt>
                <c:pt idx="1016">
                  <c:v>41073</c:v>
                </c:pt>
                <c:pt idx="1017">
                  <c:v>41074</c:v>
                </c:pt>
                <c:pt idx="1018">
                  <c:v>41075</c:v>
                </c:pt>
                <c:pt idx="1019">
                  <c:v>41076</c:v>
                </c:pt>
                <c:pt idx="1020">
                  <c:v>41077</c:v>
                </c:pt>
                <c:pt idx="1021">
                  <c:v>41078</c:v>
                </c:pt>
                <c:pt idx="1022">
                  <c:v>41079</c:v>
                </c:pt>
                <c:pt idx="1023">
                  <c:v>41080</c:v>
                </c:pt>
                <c:pt idx="1024">
                  <c:v>41081</c:v>
                </c:pt>
                <c:pt idx="1025">
                  <c:v>41082</c:v>
                </c:pt>
                <c:pt idx="1026">
                  <c:v>41083</c:v>
                </c:pt>
                <c:pt idx="1027">
                  <c:v>41084</c:v>
                </c:pt>
                <c:pt idx="1028">
                  <c:v>41085</c:v>
                </c:pt>
                <c:pt idx="1029">
                  <c:v>41086</c:v>
                </c:pt>
                <c:pt idx="1030">
                  <c:v>41087</c:v>
                </c:pt>
                <c:pt idx="1031">
                  <c:v>41088</c:v>
                </c:pt>
                <c:pt idx="1032">
                  <c:v>41089</c:v>
                </c:pt>
                <c:pt idx="1033">
                  <c:v>41090</c:v>
                </c:pt>
                <c:pt idx="1034">
                  <c:v>41091</c:v>
                </c:pt>
                <c:pt idx="1035">
                  <c:v>41092</c:v>
                </c:pt>
                <c:pt idx="1036">
                  <c:v>41093</c:v>
                </c:pt>
                <c:pt idx="1037">
                  <c:v>41094</c:v>
                </c:pt>
                <c:pt idx="1038">
                  <c:v>41095</c:v>
                </c:pt>
                <c:pt idx="1039">
                  <c:v>41096</c:v>
                </c:pt>
                <c:pt idx="1040">
                  <c:v>41097</c:v>
                </c:pt>
                <c:pt idx="1041">
                  <c:v>41098</c:v>
                </c:pt>
                <c:pt idx="1042">
                  <c:v>41099</c:v>
                </c:pt>
                <c:pt idx="1043">
                  <c:v>41100</c:v>
                </c:pt>
                <c:pt idx="1044">
                  <c:v>41101</c:v>
                </c:pt>
                <c:pt idx="1045">
                  <c:v>41102</c:v>
                </c:pt>
                <c:pt idx="1046">
                  <c:v>41103</c:v>
                </c:pt>
                <c:pt idx="1047">
                  <c:v>41104</c:v>
                </c:pt>
                <c:pt idx="1048">
                  <c:v>41105</c:v>
                </c:pt>
                <c:pt idx="1049">
                  <c:v>41106</c:v>
                </c:pt>
                <c:pt idx="1050">
                  <c:v>41107</c:v>
                </c:pt>
                <c:pt idx="1051">
                  <c:v>41108</c:v>
                </c:pt>
                <c:pt idx="1052">
                  <c:v>41109</c:v>
                </c:pt>
                <c:pt idx="1053">
                  <c:v>41110</c:v>
                </c:pt>
                <c:pt idx="1054">
                  <c:v>41111</c:v>
                </c:pt>
                <c:pt idx="1055">
                  <c:v>41112</c:v>
                </c:pt>
                <c:pt idx="1056">
                  <c:v>41113</c:v>
                </c:pt>
                <c:pt idx="1057">
                  <c:v>41114</c:v>
                </c:pt>
                <c:pt idx="1058">
                  <c:v>41115</c:v>
                </c:pt>
                <c:pt idx="1059">
                  <c:v>41116</c:v>
                </c:pt>
                <c:pt idx="1060">
                  <c:v>41117</c:v>
                </c:pt>
                <c:pt idx="1061">
                  <c:v>41118</c:v>
                </c:pt>
                <c:pt idx="1062">
                  <c:v>41119</c:v>
                </c:pt>
                <c:pt idx="1063">
                  <c:v>41120</c:v>
                </c:pt>
                <c:pt idx="1064">
                  <c:v>41121</c:v>
                </c:pt>
                <c:pt idx="1065">
                  <c:v>41122</c:v>
                </c:pt>
                <c:pt idx="1066">
                  <c:v>41123</c:v>
                </c:pt>
                <c:pt idx="1067">
                  <c:v>41124</c:v>
                </c:pt>
                <c:pt idx="1068">
                  <c:v>41125</c:v>
                </c:pt>
                <c:pt idx="1069">
                  <c:v>41126</c:v>
                </c:pt>
                <c:pt idx="1070">
                  <c:v>41127</c:v>
                </c:pt>
                <c:pt idx="1071">
                  <c:v>41128</c:v>
                </c:pt>
                <c:pt idx="1072">
                  <c:v>41129</c:v>
                </c:pt>
                <c:pt idx="1073">
                  <c:v>41130</c:v>
                </c:pt>
                <c:pt idx="1074">
                  <c:v>41131</c:v>
                </c:pt>
                <c:pt idx="1075">
                  <c:v>41132</c:v>
                </c:pt>
                <c:pt idx="1076">
                  <c:v>41133</c:v>
                </c:pt>
                <c:pt idx="1077">
                  <c:v>41134</c:v>
                </c:pt>
                <c:pt idx="1078">
                  <c:v>41135</c:v>
                </c:pt>
                <c:pt idx="1079">
                  <c:v>41136</c:v>
                </c:pt>
                <c:pt idx="1080">
                  <c:v>41137</c:v>
                </c:pt>
                <c:pt idx="1081">
                  <c:v>41138</c:v>
                </c:pt>
                <c:pt idx="1082">
                  <c:v>41139</c:v>
                </c:pt>
                <c:pt idx="1083">
                  <c:v>41140</c:v>
                </c:pt>
                <c:pt idx="1084">
                  <c:v>41141</c:v>
                </c:pt>
                <c:pt idx="1085">
                  <c:v>41142</c:v>
                </c:pt>
                <c:pt idx="1086">
                  <c:v>41143</c:v>
                </c:pt>
                <c:pt idx="1087">
                  <c:v>41144</c:v>
                </c:pt>
                <c:pt idx="1088">
                  <c:v>41145</c:v>
                </c:pt>
                <c:pt idx="1089">
                  <c:v>41146</c:v>
                </c:pt>
                <c:pt idx="1090">
                  <c:v>41147</c:v>
                </c:pt>
                <c:pt idx="1091">
                  <c:v>41148</c:v>
                </c:pt>
                <c:pt idx="1092">
                  <c:v>41149</c:v>
                </c:pt>
                <c:pt idx="1093">
                  <c:v>41150</c:v>
                </c:pt>
                <c:pt idx="1094">
                  <c:v>41151</c:v>
                </c:pt>
                <c:pt idx="1095">
                  <c:v>41152</c:v>
                </c:pt>
                <c:pt idx="1096">
                  <c:v>41153</c:v>
                </c:pt>
                <c:pt idx="1097">
                  <c:v>41154</c:v>
                </c:pt>
                <c:pt idx="1098">
                  <c:v>41155</c:v>
                </c:pt>
                <c:pt idx="1099">
                  <c:v>41156</c:v>
                </c:pt>
                <c:pt idx="1100">
                  <c:v>41157</c:v>
                </c:pt>
                <c:pt idx="1101">
                  <c:v>41158</c:v>
                </c:pt>
                <c:pt idx="1102">
                  <c:v>41159</c:v>
                </c:pt>
                <c:pt idx="1103">
                  <c:v>41160</c:v>
                </c:pt>
                <c:pt idx="1104">
                  <c:v>41161</c:v>
                </c:pt>
                <c:pt idx="1105">
                  <c:v>41162</c:v>
                </c:pt>
                <c:pt idx="1106">
                  <c:v>41163</c:v>
                </c:pt>
                <c:pt idx="1107">
                  <c:v>41164</c:v>
                </c:pt>
                <c:pt idx="1108">
                  <c:v>41165</c:v>
                </c:pt>
                <c:pt idx="1109">
                  <c:v>41166</c:v>
                </c:pt>
                <c:pt idx="1110">
                  <c:v>41167</c:v>
                </c:pt>
                <c:pt idx="1111">
                  <c:v>41168</c:v>
                </c:pt>
                <c:pt idx="1112">
                  <c:v>41169</c:v>
                </c:pt>
                <c:pt idx="1113">
                  <c:v>41170</c:v>
                </c:pt>
                <c:pt idx="1114">
                  <c:v>41171</c:v>
                </c:pt>
                <c:pt idx="1115">
                  <c:v>41172</c:v>
                </c:pt>
                <c:pt idx="1116">
                  <c:v>41173</c:v>
                </c:pt>
                <c:pt idx="1117">
                  <c:v>41174</c:v>
                </c:pt>
                <c:pt idx="1118">
                  <c:v>41175</c:v>
                </c:pt>
                <c:pt idx="1119">
                  <c:v>41176</c:v>
                </c:pt>
                <c:pt idx="1120">
                  <c:v>41177</c:v>
                </c:pt>
                <c:pt idx="1121">
                  <c:v>41178</c:v>
                </c:pt>
                <c:pt idx="1122">
                  <c:v>41179</c:v>
                </c:pt>
                <c:pt idx="1123">
                  <c:v>41180</c:v>
                </c:pt>
                <c:pt idx="1124">
                  <c:v>41181</c:v>
                </c:pt>
                <c:pt idx="1125">
                  <c:v>41182</c:v>
                </c:pt>
                <c:pt idx="1126">
                  <c:v>41183</c:v>
                </c:pt>
                <c:pt idx="1127">
                  <c:v>41184</c:v>
                </c:pt>
                <c:pt idx="1128">
                  <c:v>41185</c:v>
                </c:pt>
                <c:pt idx="1129">
                  <c:v>41186</c:v>
                </c:pt>
                <c:pt idx="1130">
                  <c:v>41187</c:v>
                </c:pt>
                <c:pt idx="1131">
                  <c:v>41188</c:v>
                </c:pt>
                <c:pt idx="1132">
                  <c:v>41189</c:v>
                </c:pt>
                <c:pt idx="1133">
                  <c:v>41190</c:v>
                </c:pt>
                <c:pt idx="1134">
                  <c:v>41191</c:v>
                </c:pt>
                <c:pt idx="1135">
                  <c:v>41192</c:v>
                </c:pt>
                <c:pt idx="1136">
                  <c:v>41193</c:v>
                </c:pt>
                <c:pt idx="1137">
                  <c:v>41194</c:v>
                </c:pt>
                <c:pt idx="1138">
                  <c:v>41195</c:v>
                </c:pt>
                <c:pt idx="1139">
                  <c:v>41196</c:v>
                </c:pt>
                <c:pt idx="1140">
                  <c:v>41197</c:v>
                </c:pt>
                <c:pt idx="1141">
                  <c:v>41198</c:v>
                </c:pt>
                <c:pt idx="1142">
                  <c:v>41199</c:v>
                </c:pt>
                <c:pt idx="1143">
                  <c:v>41200</c:v>
                </c:pt>
                <c:pt idx="1144">
                  <c:v>41201</c:v>
                </c:pt>
                <c:pt idx="1145">
                  <c:v>41202</c:v>
                </c:pt>
                <c:pt idx="1146">
                  <c:v>41203</c:v>
                </c:pt>
                <c:pt idx="1147">
                  <c:v>41204</c:v>
                </c:pt>
                <c:pt idx="1148">
                  <c:v>41205</c:v>
                </c:pt>
                <c:pt idx="1149">
                  <c:v>41206</c:v>
                </c:pt>
                <c:pt idx="1150">
                  <c:v>41207</c:v>
                </c:pt>
                <c:pt idx="1151">
                  <c:v>41208</c:v>
                </c:pt>
                <c:pt idx="1152">
                  <c:v>41209</c:v>
                </c:pt>
                <c:pt idx="1153">
                  <c:v>41210</c:v>
                </c:pt>
                <c:pt idx="1154">
                  <c:v>41211</c:v>
                </c:pt>
                <c:pt idx="1155">
                  <c:v>41212</c:v>
                </c:pt>
                <c:pt idx="1156">
                  <c:v>41213</c:v>
                </c:pt>
                <c:pt idx="1157">
                  <c:v>41214</c:v>
                </c:pt>
                <c:pt idx="1158">
                  <c:v>41215</c:v>
                </c:pt>
                <c:pt idx="1159">
                  <c:v>41216</c:v>
                </c:pt>
                <c:pt idx="1160">
                  <c:v>41217</c:v>
                </c:pt>
                <c:pt idx="1161">
                  <c:v>41218</c:v>
                </c:pt>
                <c:pt idx="1162">
                  <c:v>41219</c:v>
                </c:pt>
                <c:pt idx="1163">
                  <c:v>41220</c:v>
                </c:pt>
                <c:pt idx="1164">
                  <c:v>41221</c:v>
                </c:pt>
                <c:pt idx="1165">
                  <c:v>41222</c:v>
                </c:pt>
                <c:pt idx="1166">
                  <c:v>41223</c:v>
                </c:pt>
                <c:pt idx="1167">
                  <c:v>41224</c:v>
                </c:pt>
                <c:pt idx="1168">
                  <c:v>41225</c:v>
                </c:pt>
                <c:pt idx="1169">
                  <c:v>41226</c:v>
                </c:pt>
                <c:pt idx="1170">
                  <c:v>41227</c:v>
                </c:pt>
                <c:pt idx="1171">
                  <c:v>41228</c:v>
                </c:pt>
                <c:pt idx="1172">
                  <c:v>41229</c:v>
                </c:pt>
                <c:pt idx="1173">
                  <c:v>41230</c:v>
                </c:pt>
                <c:pt idx="1174">
                  <c:v>41231</c:v>
                </c:pt>
                <c:pt idx="1175">
                  <c:v>41232</c:v>
                </c:pt>
                <c:pt idx="1176">
                  <c:v>41233</c:v>
                </c:pt>
                <c:pt idx="1177">
                  <c:v>41234</c:v>
                </c:pt>
                <c:pt idx="1178">
                  <c:v>41235</c:v>
                </c:pt>
                <c:pt idx="1179">
                  <c:v>41236</c:v>
                </c:pt>
                <c:pt idx="1180">
                  <c:v>41237</c:v>
                </c:pt>
                <c:pt idx="1181">
                  <c:v>41238</c:v>
                </c:pt>
                <c:pt idx="1182">
                  <c:v>41239</c:v>
                </c:pt>
                <c:pt idx="1183">
                  <c:v>41240</c:v>
                </c:pt>
                <c:pt idx="1184">
                  <c:v>41241</c:v>
                </c:pt>
                <c:pt idx="1185">
                  <c:v>41242</c:v>
                </c:pt>
                <c:pt idx="1186">
                  <c:v>41243</c:v>
                </c:pt>
                <c:pt idx="1187">
                  <c:v>41244</c:v>
                </c:pt>
                <c:pt idx="1188">
                  <c:v>41245</c:v>
                </c:pt>
                <c:pt idx="1189">
                  <c:v>41246</c:v>
                </c:pt>
                <c:pt idx="1190">
                  <c:v>41247</c:v>
                </c:pt>
                <c:pt idx="1191">
                  <c:v>41248</c:v>
                </c:pt>
                <c:pt idx="1192">
                  <c:v>41249</c:v>
                </c:pt>
                <c:pt idx="1193">
                  <c:v>41250</c:v>
                </c:pt>
                <c:pt idx="1194">
                  <c:v>41251</c:v>
                </c:pt>
                <c:pt idx="1195">
                  <c:v>41252</c:v>
                </c:pt>
                <c:pt idx="1196">
                  <c:v>41253</c:v>
                </c:pt>
                <c:pt idx="1197">
                  <c:v>41254</c:v>
                </c:pt>
                <c:pt idx="1198">
                  <c:v>41255</c:v>
                </c:pt>
                <c:pt idx="1199">
                  <c:v>41256</c:v>
                </c:pt>
                <c:pt idx="1200">
                  <c:v>41257</c:v>
                </c:pt>
                <c:pt idx="1201">
                  <c:v>41258</c:v>
                </c:pt>
                <c:pt idx="1202">
                  <c:v>41259</c:v>
                </c:pt>
                <c:pt idx="1203">
                  <c:v>41260</c:v>
                </c:pt>
                <c:pt idx="1204">
                  <c:v>41261</c:v>
                </c:pt>
                <c:pt idx="1205">
                  <c:v>41262</c:v>
                </c:pt>
                <c:pt idx="1206">
                  <c:v>41263</c:v>
                </c:pt>
                <c:pt idx="1207">
                  <c:v>41264</c:v>
                </c:pt>
                <c:pt idx="1208">
                  <c:v>41265</c:v>
                </c:pt>
                <c:pt idx="1209">
                  <c:v>41266</c:v>
                </c:pt>
                <c:pt idx="1210">
                  <c:v>41267</c:v>
                </c:pt>
                <c:pt idx="1211">
                  <c:v>41268</c:v>
                </c:pt>
                <c:pt idx="1212">
                  <c:v>41269</c:v>
                </c:pt>
                <c:pt idx="1213">
                  <c:v>41270</c:v>
                </c:pt>
                <c:pt idx="1214">
                  <c:v>41271</c:v>
                </c:pt>
                <c:pt idx="1215">
                  <c:v>41272</c:v>
                </c:pt>
                <c:pt idx="1216">
                  <c:v>41273</c:v>
                </c:pt>
                <c:pt idx="1217">
                  <c:v>41274</c:v>
                </c:pt>
                <c:pt idx="1218">
                  <c:v>41275</c:v>
                </c:pt>
                <c:pt idx="1219">
                  <c:v>41276</c:v>
                </c:pt>
                <c:pt idx="1220">
                  <c:v>41277</c:v>
                </c:pt>
                <c:pt idx="1221">
                  <c:v>41278</c:v>
                </c:pt>
                <c:pt idx="1222">
                  <c:v>41279</c:v>
                </c:pt>
                <c:pt idx="1223">
                  <c:v>41280</c:v>
                </c:pt>
                <c:pt idx="1224">
                  <c:v>41281</c:v>
                </c:pt>
                <c:pt idx="1225">
                  <c:v>41282</c:v>
                </c:pt>
                <c:pt idx="1226">
                  <c:v>41283</c:v>
                </c:pt>
                <c:pt idx="1227">
                  <c:v>41284</c:v>
                </c:pt>
                <c:pt idx="1228">
                  <c:v>41285</c:v>
                </c:pt>
                <c:pt idx="1229">
                  <c:v>41286</c:v>
                </c:pt>
                <c:pt idx="1230">
                  <c:v>41287</c:v>
                </c:pt>
                <c:pt idx="1231">
                  <c:v>41288</c:v>
                </c:pt>
                <c:pt idx="1232">
                  <c:v>41289</c:v>
                </c:pt>
                <c:pt idx="1233">
                  <c:v>41290</c:v>
                </c:pt>
                <c:pt idx="1234">
                  <c:v>41291</c:v>
                </c:pt>
                <c:pt idx="1235">
                  <c:v>41292</c:v>
                </c:pt>
                <c:pt idx="1236">
                  <c:v>41293</c:v>
                </c:pt>
                <c:pt idx="1237">
                  <c:v>41294</c:v>
                </c:pt>
                <c:pt idx="1238">
                  <c:v>41295</c:v>
                </c:pt>
                <c:pt idx="1239">
                  <c:v>41296</c:v>
                </c:pt>
                <c:pt idx="1240">
                  <c:v>41297</c:v>
                </c:pt>
                <c:pt idx="1241">
                  <c:v>41298</c:v>
                </c:pt>
                <c:pt idx="1242">
                  <c:v>41299</c:v>
                </c:pt>
                <c:pt idx="1243">
                  <c:v>41300</c:v>
                </c:pt>
                <c:pt idx="1244">
                  <c:v>41301</c:v>
                </c:pt>
                <c:pt idx="1245">
                  <c:v>41302</c:v>
                </c:pt>
                <c:pt idx="1246">
                  <c:v>41303</c:v>
                </c:pt>
                <c:pt idx="1247">
                  <c:v>41304</c:v>
                </c:pt>
                <c:pt idx="1248">
                  <c:v>41305</c:v>
                </c:pt>
                <c:pt idx="1249">
                  <c:v>41306</c:v>
                </c:pt>
                <c:pt idx="1250">
                  <c:v>41307</c:v>
                </c:pt>
                <c:pt idx="1251">
                  <c:v>41308</c:v>
                </c:pt>
                <c:pt idx="1252">
                  <c:v>41309</c:v>
                </c:pt>
                <c:pt idx="1253">
                  <c:v>41310</c:v>
                </c:pt>
                <c:pt idx="1254">
                  <c:v>41311</c:v>
                </c:pt>
                <c:pt idx="1255">
                  <c:v>41312</c:v>
                </c:pt>
                <c:pt idx="1256">
                  <c:v>41313</c:v>
                </c:pt>
                <c:pt idx="1257">
                  <c:v>41314</c:v>
                </c:pt>
                <c:pt idx="1258">
                  <c:v>41315</c:v>
                </c:pt>
                <c:pt idx="1259">
                  <c:v>41316</c:v>
                </c:pt>
                <c:pt idx="1260">
                  <c:v>41317</c:v>
                </c:pt>
                <c:pt idx="1261">
                  <c:v>41318</c:v>
                </c:pt>
                <c:pt idx="1262">
                  <c:v>41319</c:v>
                </c:pt>
                <c:pt idx="1263">
                  <c:v>41320</c:v>
                </c:pt>
                <c:pt idx="1264">
                  <c:v>41321</c:v>
                </c:pt>
                <c:pt idx="1265">
                  <c:v>41322</c:v>
                </c:pt>
                <c:pt idx="1266">
                  <c:v>41323</c:v>
                </c:pt>
                <c:pt idx="1267">
                  <c:v>41324</c:v>
                </c:pt>
                <c:pt idx="1268">
                  <c:v>41325</c:v>
                </c:pt>
                <c:pt idx="1269">
                  <c:v>41326</c:v>
                </c:pt>
                <c:pt idx="1270">
                  <c:v>41327</c:v>
                </c:pt>
                <c:pt idx="1271">
                  <c:v>41328</c:v>
                </c:pt>
                <c:pt idx="1272">
                  <c:v>41329</c:v>
                </c:pt>
                <c:pt idx="1273">
                  <c:v>41330</c:v>
                </c:pt>
                <c:pt idx="1274">
                  <c:v>41331</c:v>
                </c:pt>
                <c:pt idx="1275">
                  <c:v>41332</c:v>
                </c:pt>
                <c:pt idx="1276">
                  <c:v>41333</c:v>
                </c:pt>
                <c:pt idx="1277">
                  <c:v>41334</c:v>
                </c:pt>
                <c:pt idx="1278">
                  <c:v>41335</c:v>
                </c:pt>
                <c:pt idx="1279">
                  <c:v>41336</c:v>
                </c:pt>
                <c:pt idx="1280">
                  <c:v>41337</c:v>
                </c:pt>
                <c:pt idx="1281">
                  <c:v>41338</c:v>
                </c:pt>
                <c:pt idx="1282">
                  <c:v>41339</c:v>
                </c:pt>
                <c:pt idx="1283">
                  <c:v>41340</c:v>
                </c:pt>
                <c:pt idx="1284">
                  <c:v>41341</c:v>
                </c:pt>
                <c:pt idx="1285">
                  <c:v>41342</c:v>
                </c:pt>
                <c:pt idx="1286">
                  <c:v>41343</c:v>
                </c:pt>
                <c:pt idx="1287">
                  <c:v>41344</c:v>
                </c:pt>
                <c:pt idx="1288">
                  <c:v>41345</c:v>
                </c:pt>
                <c:pt idx="1289">
                  <c:v>41346</c:v>
                </c:pt>
                <c:pt idx="1290">
                  <c:v>41347</c:v>
                </c:pt>
                <c:pt idx="1291">
                  <c:v>41348</c:v>
                </c:pt>
                <c:pt idx="1292">
                  <c:v>41349</c:v>
                </c:pt>
                <c:pt idx="1293">
                  <c:v>41350</c:v>
                </c:pt>
                <c:pt idx="1294">
                  <c:v>41351</c:v>
                </c:pt>
                <c:pt idx="1295">
                  <c:v>41352</c:v>
                </c:pt>
                <c:pt idx="1296">
                  <c:v>41353</c:v>
                </c:pt>
                <c:pt idx="1297">
                  <c:v>41354</c:v>
                </c:pt>
                <c:pt idx="1298">
                  <c:v>41355</c:v>
                </c:pt>
                <c:pt idx="1299">
                  <c:v>41356</c:v>
                </c:pt>
                <c:pt idx="1300">
                  <c:v>41357</c:v>
                </c:pt>
                <c:pt idx="1301">
                  <c:v>41358</c:v>
                </c:pt>
                <c:pt idx="1302">
                  <c:v>41359</c:v>
                </c:pt>
                <c:pt idx="1303">
                  <c:v>41360</c:v>
                </c:pt>
                <c:pt idx="1304">
                  <c:v>41361</c:v>
                </c:pt>
                <c:pt idx="1305">
                  <c:v>41362</c:v>
                </c:pt>
                <c:pt idx="1306">
                  <c:v>41363</c:v>
                </c:pt>
                <c:pt idx="1307">
                  <c:v>41364</c:v>
                </c:pt>
                <c:pt idx="1308">
                  <c:v>41365</c:v>
                </c:pt>
                <c:pt idx="1309">
                  <c:v>41366</c:v>
                </c:pt>
                <c:pt idx="1310">
                  <c:v>41367</c:v>
                </c:pt>
                <c:pt idx="1311">
                  <c:v>41368</c:v>
                </c:pt>
                <c:pt idx="1312">
                  <c:v>41369</c:v>
                </c:pt>
                <c:pt idx="1313">
                  <c:v>41370</c:v>
                </c:pt>
                <c:pt idx="1314">
                  <c:v>41371</c:v>
                </c:pt>
                <c:pt idx="1315">
                  <c:v>41372</c:v>
                </c:pt>
                <c:pt idx="1316">
                  <c:v>41373</c:v>
                </c:pt>
                <c:pt idx="1317">
                  <c:v>41374</c:v>
                </c:pt>
                <c:pt idx="1318">
                  <c:v>41375</c:v>
                </c:pt>
                <c:pt idx="1319">
                  <c:v>41376</c:v>
                </c:pt>
                <c:pt idx="1320">
                  <c:v>41377</c:v>
                </c:pt>
                <c:pt idx="1321">
                  <c:v>41378</c:v>
                </c:pt>
                <c:pt idx="1322">
                  <c:v>41379</c:v>
                </c:pt>
                <c:pt idx="1323">
                  <c:v>41380</c:v>
                </c:pt>
                <c:pt idx="1324">
                  <c:v>41381</c:v>
                </c:pt>
                <c:pt idx="1325">
                  <c:v>41382</c:v>
                </c:pt>
                <c:pt idx="1326">
                  <c:v>41383</c:v>
                </c:pt>
                <c:pt idx="1327">
                  <c:v>41384</c:v>
                </c:pt>
                <c:pt idx="1328">
                  <c:v>41385</c:v>
                </c:pt>
                <c:pt idx="1329">
                  <c:v>41386</c:v>
                </c:pt>
                <c:pt idx="1330">
                  <c:v>41387</c:v>
                </c:pt>
                <c:pt idx="1331">
                  <c:v>41388</c:v>
                </c:pt>
                <c:pt idx="1332">
                  <c:v>41389</c:v>
                </c:pt>
                <c:pt idx="1333">
                  <c:v>41390</c:v>
                </c:pt>
                <c:pt idx="1334">
                  <c:v>41391</c:v>
                </c:pt>
                <c:pt idx="1335">
                  <c:v>41392</c:v>
                </c:pt>
                <c:pt idx="1336">
                  <c:v>41393</c:v>
                </c:pt>
                <c:pt idx="1337">
                  <c:v>41394</c:v>
                </c:pt>
                <c:pt idx="1338">
                  <c:v>41395</c:v>
                </c:pt>
                <c:pt idx="1339">
                  <c:v>41396</c:v>
                </c:pt>
                <c:pt idx="1340">
                  <c:v>41397</c:v>
                </c:pt>
                <c:pt idx="1341">
                  <c:v>41398</c:v>
                </c:pt>
                <c:pt idx="1342">
                  <c:v>41399</c:v>
                </c:pt>
                <c:pt idx="1343">
                  <c:v>41400</c:v>
                </c:pt>
                <c:pt idx="1344">
                  <c:v>41401</c:v>
                </c:pt>
                <c:pt idx="1345">
                  <c:v>41402</c:v>
                </c:pt>
                <c:pt idx="1346">
                  <c:v>41403</c:v>
                </c:pt>
                <c:pt idx="1347">
                  <c:v>41404</c:v>
                </c:pt>
                <c:pt idx="1348">
                  <c:v>41405</c:v>
                </c:pt>
                <c:pt idx="1349">
                  <c:v>41406</c:v>
                </c:pt>
                <c:pt idx="1350">
                  <c:v>41407</c:v>
                </c:pt>
                <c:pt idx="1351">
                  <c:v>41408</c:v>
                </c:pt>
                <c:pt idx="1352">
                  <c:v>41409</c:v>
                </c:pt>
                <c:pt idx="1353">
                  <c:v>41410</c:v>
                </c:pt>
                <c:pt idx="1354">
                  <c:v>41411</c:v>
                </c:pt>
                <c:pt idx="1355">
                  <c:v>41412</c:v>
                </c:pt>
                <c:pt idx="1356">
                  <c:v>41413</c:v>
                </c:pt>
                <c:pt idx="1357">
                  <c:v>41414</c:v>
                </c:pt>
                <c:pt idx="1358">
                  <c:v>41415</c:v>
                </c:pt>
                <c:pt idx="1359">
                  <c:v>41416</c:v>
                </c:pt>
                <c:pt idx="1360">
                  <c:v>41417</c:v>
                </c:pt>
                <c:pt idx="1361">
                  <c:v>41418</c:v>
                </c:pt>
                <c:pt idx="1362">
                  <c:v>41419</c:v>
                </c:pt>
                <c:pt idx="1363">
                  <c:v>41420</c:v>
                </c:pt>
                <c:pt idx="1364">
                  <c:v>41421</c:v>
                </c:pt>
                <c:pt idx="1365">
                  <c:v>41422</c:v>
                </c:pt>
                <c:pt idx="1366">
                  <c:v>41423</c:v>
                </c:pt>
                <c:pt idx="1367">
                  <c:v>41424</c:v>
                </c:pt>
                <c:pt idx="1368">
                  <c:v>41425</c:v>
                </c:pt>
                <c:pt idx="1369">
                  <c:v>41426</c:v>
                </c:pt>
                <c:pt idx="1370">
                  <c:v>41427</c:v>
                </c:pt>
                <c:pt idx="1371">
                  <c:v>41428</c:v>
                </c:pt>
                <c:pt idx="1372">
                  <c:v>41429</c:v>
                </c:pt>
                <c:pt idx="1373">
                  <c:v>41430</c:v>
                </c:pt>
                <c:pt idx="1374">
                  <c:v>41431</c:v>
                </c:pt>
                <c:pt idx="1375">
                  <c:v>41432</c:v>
                </c:pt>
                <c:pt idx="1376">
                  <c:v>41433</c:v>
                </c:pt>
                <c:pt idx="1377">
                  <c:v>41434</c:v>
                </c:pt>
                <c:pt idx="1378">
                  <c:v>41435</c:v>
                </c:pt>
                <c:pt idx="1379">
                  <c:v>41436</c:v>
                </c:pt>
                <c:pt idx="1380">
                  <c:v>41437</c:v>
                </c:pt>
                <c:pt idx="1381">
                  <c:v>41438</c:v>
                </c:pt>
                <c:pt idx="1382">
                  <c:v>41439</c:v>
                </c:pt>
                <c:pt idx="1383">
                  <c:v>41440</c:v>
                </c:pt>
                <c:pt idx="1384">
                  <c:v>41441</c:v>
                </c:pt>
                <c:pt idx="1385">
                  <c:v>41442</c:v>
                </c:pt>
                <c:pt idx="1386">
                  <c:v>41443</c:v>
                </c:pt>
                <c:pt idx="1387">
                  <c:v>41444</c:v>
                </c:pt>
                <c:pt idx="1388">
                  <c:v>41445</c:v>
                </c:pt>
                <c:pt idx="1389">
                  <c:v>41446</c:v>
                </c:pt>
                <c:pt idx="1390">
                  <c:v>41447</c:v>
                </c:pt>
                <c:pt idx="1391">
                  <c:v>41448</c:v>
                </c:pt>
                <c:pt idx="1392">
                  <c:v>41449</c:v>
                </c:pt>
                <c:pt idx="1393">
                  <c:v>41450</c:v>
                </c:pt>
                <c:pt idx="1394">
                  <c:v>41451</c:v>
                </c:pt>
                <c:pt idx="1395">
                  <c:v>41452</c:v>
                </c:pt>
                <c:pt idx="1396">
                  <c:v>41453</c:v>
                </c:pt>
                <c:pt idx="1397">
                  <c:v>41454</c:v>
                </c:pt>
                <c:pt idx="1398">
                  <c:v>41455</c:v>
                </c:pt>
                <c:pt idx="1399">
                  <c:v>41456</c:v>
                </c:pt>
                <c:pt idx="1400">
                  <c:v>41457</c:v>
                </c:pt>
                <c:pt idx="1401">
                  <c:v>41458</c:v>
                </c:pt>
                <c:pt idx="1402">
                  <c:v>41459</c:v>
                </c:pt>
                <c:pt idx="1403">
                  <c:v>41460</c:v>
                </c:pt>
                <c:pt idx="1404">
                  <c:v>41461</c:v>
                </c:pt>
                <c:pt idx="1405">
                  <c:v>41462</c:v>
                </c:pt>
                <c:pt idx="1406">
                  <c:v>41463</c:v>
                </c:pt>
                <c:pt idx="1407">
                  <c:v>41464</c:v>
                </c:pt>
                <c:pt idx="1408">
                  <c:v>41465</c:v>
                </c:pt>
                <c:pt idx="1409">
                  <c:v>41466</c:v>
                </c:pt>
                <c:pt idx="1410">
                  <c:v>41467</c:v>
                </c:pt>
                <c:pt idx="1411">
                  <c:v>41468</c:v>
                </c:pt>
                <c:pt idx="1412">
                  <c:v>41469</c:v>
                </c:pt>
                <c:pt idx="1413">
                  <c:v>41470</c:v>
                </c:pt>
                <c:pt idx="1414">
                  <c:v>41471</c:v>
                </c:pt>
                <c:pt idx="1415">
                  <c:v>41472</c:v>
                </c:pt>
                <c:pt idx="1416">
                  <c:v>41473</c:v>
                </c:pt>
                <c:pt idx="1417">
                  <c:v>41474</c:v>
                </c:pt>
                <c:pt idx="1418">
                  <c:v>41475</c:v>
                </c:pt>
                <c:pt idx="1419">
                  <c:v>41476</c:v>
                </c:pt>
                <c:pt idx="1420">
                  <c:v>41477</c:v>
                </c:pt>
                <c:pt idx="1421">
                  <c:v>41478</c:v>
                </c:pt>
                <c:pt idx="1422">
                  <c:v>41479</c:v>
                </c:pt>
                <c:pt idx="1423">
                  <c:v>41480</c:v>
                </c:pt>
                <c:pt idx="1424">
                  <c:v>41481</c:v>
                </c:pt>
                <c:pt idx="1425">
                  <c:v>41482</c:v>
                </c:pt>
                <c:pt idx="1426">
                  <c:v>41483</c:v>
                </c:pt>
                <c:pt idx="1427">
                  <c:v>41484</c:v>
                </c:pt>
                <c:pt idx="1428">
                  <c:v>41485</c:v>
                </c:pt>
                <c:pt idx="1429">
                  <c:v>41486</c:v>
                </c:pt>
                <c:pt idx="1430">
                  <c:v>41487</c:v>
                </c:pt>
                <c:pt idx="1431">
                  <c:v>41488</c:v>
                </c:pt>
                <c:pt idx="1432">
                  <c:v>41489</c:v>
                </c:pt>
                <c:pt idx="1433">
                  <c:v>41490</c:v>
                </c:pt>
                <c:pt idx="1434">
                  <c:v>41491</c:v>
                </c:pt>
                <c:pt idx="1435">
                  <c:v>41492</c:v>
                </c:pt>
                <c:pt idx="1436">
                  <c:v>41493</c:v>
                </c:pt>
                <c:pt idx="1437">
                  <c:v>41494</c:v>
                </c:pt>
                <c:pt idx="1438">
                  <c:v>41495</c:v>
                </c:pt>
                <c:pt idx="1439">
                  <c:v>41496</c:v>
                </c:pt>
                <c:pt idx="1440">
                  <c:v>41497</c:v>
                </c:pt>
                <c:pt idx="1441">
                  <c:v>41498</c:v>
                </c:pt>
                <c:pt idx="1442">
                  <c:v>41499</c:v>
                </c:pt>
                <c:pt idx="1443">
                  <c:v>41500</c:v>
                </c:pt>
                <c:pt idx="1444">
                  <c:v>41501</c:v>
                </c:pt>
                <c:pt idx="1445">
                  <c:v>41502</c:v>
                </c:pt>
                <c:pt idx="1446">
                  <c:v>41503</c:v>
                </c:pt>
                <c:pt idx="1447">
                  <c:v>41504</c:v>
                </c:pt>
                <c:pt idx="1448">
                  <c:v>41505</c:v>
                </c:pt>
                <c:pt idx="1449">
                  <c:v>41506</c:v>
                </c:pt>
                <c:pt idx="1450">
                  <c:v>41507</c:v>
                </c:pt>
                <c:pt idx="1451">
                  <c:v>41508</c:v>
                </c:pt>
                <c:pt idx="1452">
                  <c:v>41509</c:v>
                </c:pt>
                <c:pt idx="1453">
                  <c:v>41510</c:v>
                </c:pt>
                <c:pt idx="1454">
                  <c:v>41511</c:v>
                </c:pt>
                <c:pt idx="1455">
                  <c:v>41512</c:v>
                </c:pt>
                <c:pt idx="1456">
                  <c:v>41513</c:v>
                </c:pt>
                <c:pt idx="1457">
                  <c:v>41514</c:v>
                </c:pt>
                <c:pt idx="1458">
                  <c:v>41515</c:v>
                </c:pt>
                <c:pt idx="1459">
                  <c:v>41516</c:v>
                </c:pt>
              </c:numCache>
            </c:numRef>
          </c:cat>
          <c:val>
            <c:numRef>
              <c:f>'plot2-prt1'!$P$2:$P$1461</c:f>
              <c:numCache>
                <c:formatCode>General</c:formatCode>
                <c:ptCount val="1460"/>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0</c:v>
                </c:pt>
                <c:pt idx="95">
                  <c:v>0</c:v>
                </c:pt>
                <c:pt idx="96">
                  <c:v>0</c:v>
                </c:pt>
                <c:pt idx="97">
                  <c:v>0</c:v>
                </c:pt>
                <c:pt idx="98">
                  <c:v>0</c:v>
                </c:pt>
                <c:pt idx="99">
                  <c:v>0</c:v>
                </c:pt>
                <c:pt idx="100">
                  <c:v>0</c:v>
                </c:pt>
                <c:pt idx="101">
                  <c:v>0</c:v>
                </c:pt>
                <c:pt idx="102">
                  <c:v>0</c:v>
                </c:pt>
                <c:pt idx="103">
                  <c:v>0</c:v>
                </c:pt>
                <c:pt idx="104">
                  <c:v>0</c:v>
                </c:pt>
                <c:pt idx="105">
                  <c:v>0</c:v>
                </c:pt>
                <c:pt idx="106">
                  <c:v>0</c:v>
                </c:pt>
                <c:pt idx="107">
                  <c:v>0</c:v>
                </c:pt>
                <c:pt idx="108">
                  <c:v>0</c:v>
                </c:pt>
                <c:pt idx="109">
                  <c:v>0</c:v>
                </c:pt>
                <c:pt idx="110">
                  <c:v>0</c:v>
                </c:pt>
                <c:pt idx="111">
                  <c:v>0</c:v>
                </c:pt>
                <c:pt idx="112">
                  <c:v>0</c:v>
                </c:pt>
                <c:pt idx="113">
                  <c:v>5.7215495000000104E-3</c:v>
                </c:pt>
                <c:pt idx="114">
                  <c:v>1.0244534200000604E-2</c:v>
                </c:pt>
                <c:pt idx="115">
                  <c:v>1.1289149100000001E-2</c:v>
                </c:pt>
                <c:pt idx="116">
                  <c:v>1.17336674E-2</c:v>
                </c:pt>
                <c:pt idx="117">
                  <c:v>1.1893373600000381E-2</c:v>
                </c:pt>
                <c:pt idx="118">
                  <c:v>1.1955072300000001E-2</c:v>
                </c:pt>
                <c:pt idx="119">
                  <c:v>1.1971575200001165E-2</c:v>
                </c:pt>
                <c:pt idx="120">
                  <c:v>1.1974413199999999E-2</c:v>
                </c:pt>
                <c:pt idx="121">
                  <c:v>1.19748124E-2</c:v>
                </c:pt>
                <c:pt idx="122">
                  <c:v>1.1974815000000001E-2</c:v>
                </c:pt>
                <c:pt idx="123">
                  <c:v>1.1974815000000001E-2</c:v>
                </c:pt>
                <c:pt idx="124">
                  <c:v>1.1974815000000001E-2</c:v>
                </c:pt>
                <c:pt idx="125">
                  <c:v>1.1974815000000001E-2</c:v>
                </c:pt>
                <c:pt idx="126">
                  <c:v>1.974150450000093E-2</c:v>
                </c:pt>
                <c:pt idx="127">
                  <c:v>2.0464888999999997E-2</c:v>
                </c:pt>
                <c:pt idx="128">
                  <c:v>2.0733381200000001E-2</c:v>
                </c:pt>
                <c:pt idx="129">
                  <c:v>2.0803407100000056E-2</c:v>
                </c:pt>
                <c:pt idx="130">
                  <c:v>2.0805671000000012E-2</c:v>
                </c:pt>
                <c:pt idx="131">
                  <c:v>2.0806453000000003E-2</c:v>
                </c:pt>
                <c:pt idx="132">
                  <c:v>2.0806470000000011E-2</c:v>
                </c:pt>
                <c:pt idx="133">
                  <c:v>2.0806472700000012E-2</c:v>
                </c:pt>
                <c:pt idx="134">
                  <c:v>2.0806472700000012E-2</c:v>
                </c:pt>
                <c:pt idx="135">
                  <c:v>2.0806472700000012E-2</c:v>
                </c:pt>
                <c:pt idx="136">
                  <c:v>2.0806472700000012E-2</c:v>
                </c:pt>
                <c:pt idx="137">
                  <c:v>2.0806472700000012E-2</c:v>
                </c:pt>
                <c:pt idx="138">
                  <c:v>2.0806472700000012E-2</c:v>
                </c:pt>
                <c:pt idx="139">
                  <c:v>2.0806472700000012E-2</c:v>
                </c:pt>
                <c:pt idx="140">
                  <c:v>2.1637398800001668E-2</c:v>
                </c:pt>
                <c:pt idx="141">
                  <c:v>2.2043412100001453E-2</c:v>
                </c:pt>
                <c:pt idx="142">
                  <c:v>2.2190870600000016E-2</c:v>
                </c:pt>
                <c:pt idx="143">
                  <c:v>2.2223634400000011E-2</c:v>
                </c:pt>
                <c:pt idx="144">
                  <c:v>2.4800237100000212E-2</c:v>
                </c:pt>
                <c:pt idx="145">
                  <c:v>2.4922057099999999E-2</c:v>
                </c:pt>
                <c:pt idx="146">
                  <c:v>2.5009703300000005E-2</c:v>
                </c:pt>
                <c:pt idx="147">
                  <c:v>2.5107698200000004E-2</c:v>
                </c:pt>
                <c:pt idx="148">
                  <c:v>2.5146846600000005E-2</c:v>
                </c:pt>
                <c:pt idx="149">
                  <c:v>2.5185892000000012E-2</c:v>
                </c:pt>
                <c:pt idx="150">
                  <c:v>2.5318634099999987E-2</c:v>
                </c:pt>
                <c:pt idx="151">
                  <c:v>2.5384941900000006E-2</c:v>
                </c:pt>
                <c:pt idx="152">
                  <c:v>2.5396108000000004E-2</c:v>
                </c:pt>
                <c:pt idx="153">
                  <c:v>2.8841388900000011E-2</c:v>
                </c:pt>
                <c:pt idx="154">
                  <c:v>2.8885305500001776E-2</c:v>
                </c:pt>
                <c:pt idx="155">
                  <c:v>2.8907615200000011E-2</c:v>
                </c:pt>
                <c:pt idx="156">
                  <c:v>2.8909360000000005E-2</c:v>
                </c:pt>
                <c:pt idx="157">
                  <c:v>2.8910704899999997E-2</c:v>
                </c:pt>
                <c:pt idx="158">
                  <c:v>2.8910776199999998E-2</c:v>
                </c:pt>
                <c:pt idx="159">
                  <c:v>2.8910792600000006E-2</c:v>
                </c:pt>
                <c:pt idx="160">
                  <c:v>2.8910792700000007E-2</c:v>
                </c:pt>
                <c:pt idx="161">
                  <c:v>2.8910792700000007E-2</c:v>
                </c:pt>
                <c:pt idx="162">
                  <c:v>2.8910792700000007E-2</c:v>
                </c:pt>
                <c:pt idx="163">
                  <c:v>2.8910792700000007E-2</c:v>
                </c:pt>
                <c:pt idx="164">
                  <c:v>2.8910792700000007E-2</c:v>
                </c:pt>
                <c:pt idx="165">
                  <c:v>2.8910792700000007E-2</c:v>
                </c:pt>
                <c:pt idx="166">
                  <c:v>2.8910792700000007E-2</c:v>
                </c:pt>
                <c:pt idx="167">
                  <c:v>2.8910792700000007E-2</c:v>
                </c:pt>
                <c:pt idx="168">
                  <c:v>2.8910792700000007E-2</c:v>
                </c:pt>
                <c:pt idx="169">
                  <c:v>2.8910792700000007E-2</c:v>
                </c:pt>
                <c:pt idx="170">
                  <c:v>2.8910792700000007E-2</c:v>
                </c:pt>
                <c:pt idx="171">
                  <c:v>2.8910792700000007E-2</c:v>
                </c:pt>
                <c:pt idx="172">
                  <c:v>2.8910792700000007E-2</c:v>
                </c:pt>
                <c:pt idx="173">
                  <c:v>2.8910792700000007E-2</c:v>
                </c:pt>
                <c:pt idx="174">
                  <c:v>2.8910792700000007E-2</c:v>
                </c:pt>
                <c:pt idx="175">
                  <c:v>2.8910792700000007E-2</c:v>
                </c:pt>
                <c:pt idx="176">
                  <c:v>2.8910792700000007E-2</c:v>
                </c:pt>
                <c:pt idx="177">
                  <c:v>2.8927332800000011E-2</c:v>
                </c:pt>
                <c:pt idx="178">
                  <c:v>2.9596488299999977E-2</c:v>
                </c:pt>
                <c:pt idx="179">
                  <c:v>3.0645284500000012E-2</c:v>
                </c:pt>
                <c:pt idx="180">
                  <c:v>3.0763139900000007E-2</c:v>
                </c:pt>
                <c:pt idx="181">
                  <c:v>3.0776821000000003E-2</c:v>
                </c:pt>
                <c:pt idx="182">
                  <c:v>3.0782161300000003E-2</c:v>
                </c:pt>
                <c:pt idx="183">
                  <c:v>3.0783477400001511E-2</c:v>
                </c:pt>
                <c:pt idx="184">
                  <c:v>3.0783520800000005E-2</c:v>
                </c:pt>
                <c:pt idx="185">
                  <c:v>3.0783576500000052E-2</c:v>
                </c:pt>
                <c:pt idx="186">
                  <c:v>3.0783576900000005E-2</c:v>
                </c:pt>
                <c:pt idx="187">
                  <c:v>3.0783576900000005E-2</c:v>
                </c:pt>
                <c:pt idx="188">
                  <c:v>3.0783576900000005E-2</c:v>
                </c:pt>
                <c:pt idx="189">
                  <c:v>3.0783576900000005E-2</c:v>
                </c:pt>
                <c:pt idx="190">
                  <c:v>3.0783576900000005E-2</c:v>
                </c:pt>
                <c:pt idx="191">
                  <c:v>3.0783576900000005E-2</c:v>
                </c:pt>
                <c:pt idx="192">
                  <c:v>3.0783576900000005E-2</c:v>
                </c:pt>
                <c:pt idx="193">
                  <c:v>3.0783576900000005E-2</c:v>
                </c:pt>
                <c:pt idx="194">
                  <c:v>3.0783576900000005E-2</c:v>
                </c:pt>
                <c:pt idx="195">
                  <c:v>3.0783576900000005E-2</c:v>
                </c:pt>
                <c:pt idx="196">
                  <c:v>3.0783576900000005E-2</c:v>
                </c:pt>
                <c:pt idx="197">
                  <c:v>3.0783576900000005E-2</c:v>
                </c:pt>
                <c:pt idx="198">
                  <c:v>3.0783576900000005E-2</c:v>
                </c:pt>
                <c:pt idx="199">
                  <c:v>3.0783576900000005E-2</c:v>
                </c:pt>
                <c:pt idx="200">
                  <c:v>3.0783576900000005E-2</c:v>
                </c:pt>
                <c:pt idx="201">
                  <c:v>3.0783576900000005E-2</c:v>
                </c:pt>
                <c:pt idx="202">
                  <c:v>3.0783576900000005E-2</c:v>
                </c:pt>
                <c:pt idx="203">
                  <c:v>3.0783576900000005E-2</c:v>
                </c:pt>
                <c:pt idx="204">
                  <c:v>3.0783576900000005E-2</c:v>
                </c:pt>
                <c:pt idx="205">
                  <c:v>3.0783576900000005E-2</c:v>
                </c:pt>
                <c:pt idx="206">
                  <c:v>3.0783576900000005E-2</c:v>
                </c:pt>
                <c:pt idx="207">
                  <c:v>3.0783576900000005E-2</c:v>
                </c:pt>
                <c:pt idx="208">
                  <c:v>3.0783576900000005E-2</c:v>
                </c:pt>
                <c:pt idx="209">
                  <c:v>3.0783576900000005E-2</c:v>
                </c:pt>
                <c:pt idx="210">
                  <c:v>3.0783576900000005E-2</c:v>
                </c:pt>
                <c:pt idx="211">
                  <c:v>3.0783576900000005E-2</c:v>
                </c:pt>
                <c:pt idx="212">
                  <c:v>3.0783576900000005E-2</c:v>
                </c:pt>
                <c:pt idx="213">
                  <c:v>3.0783576900000005E-2</c:v>
                </c:pt>
                <c:pt idx="214">
                  <c:v>3.0783576900000005E-2</c:v>
                </c:pt>
                <c:pt idx="215">
                  <c:v>3.0783576900000005E-2</c:v>
                </c:pt>
                <c:pt idx="216">
                  <c:v>3.0783576900000005E-2</c:v>
                </c:pt>
                <c:pt idx="217">
                  <c:v>3.0783576900000005E-2</c:v>
                </c:pt>
                <c:pt idx="218">
                  <c:v>3.0783576900000005E-2</c:v>
                </c:pt>
                <c:pt idx="219">
                  <c:v>3.0783576900000005E-2</c:v>
                </c:pt>
                <c:pt idx="220">
                  <c:v>3.2887726800000051E-2</c:v>
                </c:pt>
                <c:pt idx="221">
                  <c:v>3.3011650100000005E-2</c:v>
                </c:pt>
                <c:pt idx="222">
                  <c:v>3.3034540100000002E-2</c:v>
                </c:pt>
                <c:pt idx="223">
                  <c:v>3.413979360000001E-2</c:v>
                </c:pt>
                <c:pt idx="224">
                  <c:v>3.4926297000000002E-2</c:v>
                </c:pt>
                <c:pt idx="225">
                  <c:v>3.5487756200000005E-2</c:v>
                </c:pt>
                <c:pt idx="226">
                  <c:v>3.5957103400000016E-2</c:v>
                </c:pt>
                <c:pt idx="227">
                  <c:v>3.5975001200000002E-2</c:v>
                </c:pt>
                <c:pt idx="228">
                  <c:v>3.5978309800000011E-2</c:v>
                </c:pt>
                <c:pt idx="229">
                  <c:v>3.5978377100000652E-2</c:v>
                </c:pt>
                <c:pt idx="230">
                  <c:v>3.5978391000000005E-2</c:v>
                </c:pt>
                <c:pt idx="231">
                  <c:v>3.5978409400000008E-2</c:v>
                </c:pt>
                <c:pt idx="232">
                  <c:v>3.597841840000001E-2</c:v>
                </c:pt>
                <c:pt idx="233">
                  <c:v>3.597841840000001E-2</c:v>
                </c:pt>
                <c:pt idx="234">
                  <c:v>3.597841840000001E-2</c:v>
                </c:pt>
                <c:pt idx="235">
                  <c:v>3.597841840000001E-2</c:v>
                </c:pt>
                <c:pt idx="236">
                  <c:v>3.597841840000001E-2</c:v>
                </c:pt>
                <c:pt idx="237">
                  <c:v>3.597841840000001E-2</c:v>
                </c:pt>
                <c:pt idx="238">
                  <c:v>3.597841840000001E-2</c:v>
                </c:pt>
                <c:pt idx="239">
                  <c:v>3.597841840000001E-2</c:v>
                </c:pt>
                <c:pt idx="240">
                  <c:v>3.597841840000001E-2</c:v>
                </c:pt>
                <c:pt idx="241">
                  <c:v>3.597841840000001E-2</c:v>
                </c:pt>
                <c:pt idx="242">
                  <c:v>3.597841840000001E-2</c:v>
                </c:pt>
                <c:pt idx="243">
                  <c:v>3.597841840000001E-2</c:v>
                </c:pt>
                <c:pt idx="244">
                  <c:v>3.597841840000001E-2</c:v>
                </c:pt>
                <c:pt idx="245">
                  <c:v>3.597841840000001E-2</c:v>
                </c:pt>
                <c:pt idx="246">
                  <c:v>3.597841840000001E-2</c:v>
                </c:pt>
                <c:pt idx="247">
                  <c:v>3.597841840000001E-2</c:v>
                </c:pt>
                <c:pt idx="248">
                  <c:v>3.597841840000001E-2</c:v>
                </c:pt>
                <c:pt idx="249">
                  <c:v>3.597841840000001E-2</c:v>
                </c:pt>
                <c:pt idx="250">
                  <c:v>3.597841840000001E-2</c:v>
                </c:pt>
                <c:pt idx="251">
                  <c:v>3.597841840000001E-2</c:v>
                </c:pt>
                <c:pt idx="252">
                  <c:v>3.597841840000001E-2</c:v>
                </c:pt>
                <c:pt idx="253">
                  <c:v>3.597841840000001E-2</c:v>
                </c:pt>
                <c:pt idx="254">
                  <c:v>3.597841840000001E-2</c:v>
                </c:pt>
                <c:pt idx="255">
                  <c:v>3.597841840000001E-2</c:v>
                </c:pt>
                <c:pt idx="256">
                  <c:v>3.597841840000001E-2</c:v>
                </c:pt>
                <c:pt idx="257">
                  <c:v>3.597841840000001E-2</c:v>
                </c:pt>
                <c:pt idx="258">
                  <c:v>3.597841840000001E-2</c:v>
                </c:pt>
                <c:pt idx="259">
                  <c:v>3.597841840000001E-2</c:v>
                </c:pt>
                <c:pt idx="260">
                  <c:v>3.597841840000001E-2</c:v>
                </c:pt>
                <c:pt idx="261">
                  <c:v>3.597841840000001E-2</c:v>
                </c:pt>
                <c:pt idx="262">
                  <c:v>3.597841840000001E-2</c:v>
                </c:pt>
                <c:pt idx="263">
                  <c:v>3.597841840000001E-2</c:v>
                </c:pt>
                <c:pt idx="264">
                  <c:v>3.597841840000001E-2</c:v>
                </c:pt>
                <c:pt idx="265">
                  <c:v>3.597841840000001E-2</c:v>
                </c:pt>
                <c:pt idx="266">
                  <c:v>3.597841840000001E-2</c:v>
                </c:pt>
                <c:pt idx="267">
                  <c:v>3.597841840000001E-2</c:v>
                </c:pt>
                <c:pt idx="268">
                  <c:v>3.597841840000001E-2</c:v>
                </c:pt>
                <c:pt idx="269">
                  <c:v>3.597841840000001E-2</c:v>
                </c:pt>
                <c:pt idx="270">
                  <c:v>3.597841840000001E-2</c:v>
                </c:pt>
                <c:pt idx="271">
                  <c:v>3.597841840000001E-2</c:v>
                </c:pt>
                <c:pt idx="272">
                  <c:v>3.597841840000001E-2</c:v>
                </c:pt>
                <c:pt idx="273">
                  <c:v>3.597841840000001E-2</c:v>
                </c:pt>
                <c:pt idx="274">
                  <c:v>3.597841840000001E-2</c:v>
                </c:pt>
                <c:pt idx="275">
                  <c:v>3.597841840000001E-2</c:v>
                </c:pt>
                <c:pt idx="276">
                  <c:v>3.597841840000001E-2</c:v>
                </c:pt>
                <c:pt idx="277">
                  <c:v>3.597841840000001E-2</c:v>
                </c:pt>
                <c:pt idx="278">
                  <c:v>3.597841840000001E-2</c:v>
                </c:pt>
                <c:pt idx="279">
                  <c:v>3.597841840000001E-2</c:v>
                </c:pt>
                <c:pt idx="280">
                  <c:v>3.597841840000001E-2</c:v>
                </c:pt>
                <c:pt idx="281">
                  <c:v>3.597841840000001E-2</c:v>
                </c:pt>
                <c:pt idx="282">
                  <c:v>3.597841840000001E-2</c:v>
                </c:pt>
                <c:pt idx="283">
                  <c:v>3.597841840000001E-2</c:v>
                </c:pt>
                <c:pt idx="284">
                  <c:v>3.597841840000001E-2</c:v>
                </c:pt>
                <c:pt idx="285">
                  <c:v>3.597841840000001E-2</c:v>
                </c:pt>
                <c:pt idx="286">
                  <c:v>3.597841840000001E-2</c:v>
                </c:pt>
                <c:pt idx="287">
                  <c:v>3.597841840000001E-2</c:v>
                </c:pt>
                <c:pt idx="288">
                  <c:v>3.597841840000001E-2</c:v>
                </c:pt>
                <c:pt idx="289">
                  <c:v>3.597841840000001E-2</c:v>
                </c:pt>
                <c:pt idx="290">
                  <c:v>3.597841840000001E-2</c:v>
                </c:pt>
                <c:pt idx="291">
                  <c:v>3.597841840000001E-2</c:v>
                </c:pt>
                <c:pt idx="292">
                  <c:v>3.597841840000001E-2</c:v>
                </c:pt>
                <c:pt idx="293">
                  <c:v>3.597841840000001E-2</c:v>
                </c:pt>
                <c:pt idx="294">
                  <c:v>3.597841840000001E-2</c:v>
                </c:pt>
                <c:pt idx="295">
                  <c:v>3.597841840000001E-2</c:v>
                </c:pt>
                <c:pt idx="296">
                  <c:v>3.597841840000001E-2</c:v>
                </c:pt>
                <c:pt idx="297">
                  <c:v>3.597841840000001E-2</c:v>
                </c:pt>
                <c:pt idx="298">
                  <c:v>3.597841840000001E-2</c:v>
                </c:pt>
                <c:pt idx="299">
                  <c:v>3.597841840000001E-2</c:v>
                </c:pt>
                <c:pt idx="300">
                  <c:v>3.597841840000001E-2</c:v>
                </c:pt>
                <c:pt idx="301">
                  <c:v>3.597841840000001E-2</c:v>
                </c:pt>
                <c:pt idx="302">
                  <c:v>3.597841840000001E-2</c:v>
                </c:pt>
                <c:pt idx="303">
                  <c:v>3.597841840000001E-2</c:v>
                </c:pt>
                <c:pt idx="304">
                  <c:v>3.597841840000001E-2</c:v>
                </c:pt>
                <c:pt idx="305">
                  <c:v>3.597841840000001E-2</c:v>
                </c:pt>
                <c:pt idx="306">
                  <c:v>3.597841840000001E-2</c:v>
                </c:pt>
                <c:pt idx="307">
                  <c:v>3.597841840000001E-2</c:v>
                </c:pt>
                <c:pt idx="308">
                  <c:v>3.597841840000001E-2</c:v>
                </c:pt>
                <c:pt idx="309">
                  <c:v>3.597841840000001E-2</c:v>
                </c:pt>
                <c:pt idx="310">
                  <c:v>3.597841840000001E-2</c:v>
                </c:pt>
                <c:pt idx="311">
                  <c:v>3.597841840000001E-2</c:v>
                </c:pt>
                <c:pt idx="312">
                  <c:v>3.597841840000001E-2</c:v>
                </c:pt>
                <c:pt idx="313">
                  <c:v>3.597841840000001E-2</c:v>
                </c:pt>
                <c:pt idx="314">
                  <c:v>3.597841840000001E-2</c:v>
                </c:pt>
                <c:pt idx="315">
                  <c:v>3.597841840000001E-2</c:v>
                </c:pt>
                <c:pt idx="316">
                  <c:v>3.597841840000001E-2</c:v>
                </c:pt>
                <c:pt idx="317">
                  <c:v>3.597841840000001E-2</c:v>
                </c:pt>
                <c:pt idx="318">
                  <c:v>3.597841840000001E-2</c:v>
                </c:pt>
                <c:pt idx="319">
                  <c:v>3.597841840000001E-2</c:v>
                </c:pt>
                <c:pt idx="320">
                  <c:v>3.597841840000001E-2</c:v>
                </c:pt>
                <c:pt idx="321">
                  <c:v>3.597841840000001E-2</c:v>
                </c:pt>
                <c:pt idx="322">
                  <c:v>3.597841840000001E-2</c:v>
                </c:pt>
                <c:pt idx="323">
                  <c:v>3.597841840000001E-2</c:v>
                </c:pt>
                <c:pt idx="324">
                  <c:v>3.597841840000001E-2</c:v>
                </c:pt>
                <c:pt idx="325">
                  <c:v>3.597841840000001E-2</c:v>
                </c:pt>
                <c:pt idx="326">
                  <c:v>3.597841840000001E-2</c:v>
                </c:pt>
                <c:pt idx="327">
                  <c:v>3.597841840000001E-2</c:v>
                </c:pt>
                <c:pt idx="328">
                  <c:v>3.597841840000001E-2</c:v>
                </c:pt>
                <c:pt idx="329">
                  <c:v>3.597841840000001E-2</c:v>
                </c:pt>
                <c:pt idx="330">
                  <c:v>3.597841840000001E-2</c:v>
                </c:pt>
                <c:pt idx="331">
                  <c:v>3.597841840000001E-2</c:v>
                </c:pt>
                <c:pt idx="332">
                  <c:v>3.597841840000001E-2</c:v>
                </c:pt>
                <c:pt idx="333">
                  <c:v>3.597841840000001E-2</c:v>
                </c:pt>
                <c:pt idx="334">
                  <c:v>3.597841840000001E-2</c:v>
                </c:pt>
                <c:pt idx="335">
                  <c:v>3.597841840000001E-2</c:v>
                </c:pt>
                <c:pt idx="336">
                  <c:v>3.597841840000001E-2</c:v>
                </c:pt>
                <c:pt idx="337">
                  <c:v>3.597841840000001E-2</c:v>
                </c:pt>
                <c:pt idx="338">
                  <c:v>3.597841840000001E-2</c:v>
                </c:pt>
                <c:pt idx="339">
                  <c:v>3.597841840000001E-2</c:v>
                </c:pt>
                <c:pt idx="340">
                  <c:v>3.597841840000001E-2</c:v>
                </c:pt>
                <c:pt idx="341">
                  <c:v>3.597841840000001E-2</c:v>
                </c:pt>
                <c:pt idx="342">
                  <c:v>3.597841840000001E-2</c:v>
                </c:pt>
                <c:pt idx="343">
                  <c:v>3.597841840000001E-2</c:v>
                </c:pt>
                <c:pt idx="344">
                  <c:v>3.597841840000001E-2</c:v>
                </c:pt>
                <c:pt idx="345">
                  <c:v>3.597841840000001E-2</c:v>
                </c:pt>
                <c:pt idx="346">
                  <c:v>3.597841840000001E-2</c:v>
                </c:pt>
                <c:pt idx="347">
                  <c:v>3.597841840000001E-2</c:v>
                </c:pt>
                <c:pt idx="348">
                  <c:v>3.597841840000001E-2</c:v>
                </c:pt>
                <c:pt idx="349">
                  <c:v>3.597841840000001E-2</c:v>
                </c:pt>
                <c:pt idx="350">
                  <c:v>3.597841840000001E-2</c:v>
                </c:pt>
                <c:pt idx="351">
                  <c:v>3.597841840000001E-2</c:v>
                </c:pt>
                <c:pt idx="352">
                  <c:v>3.597841840000001E-2</c:v>
                </c:pt>
                <c:pt idx="353">
                  <c:v>3.597841840000001E-2</c:v>
                </c:pt>
                <c:pt idx="354">
                  <c:v>3.597841840000001E-2</c:v>
                </c:pt>
                <c:pt idx="355">
                  <c:v>3.597841840000001E-2</c:v>
                </c:pt>
                <c:pt idx="356">
                  <c:v>3.597841840000001E-2</c:v>
                </c:pt>
                <c:pt idx="357">
                  <c:v>3.597841840000001E-2</c:v>
                </c:pt>
                <c:pt idx="358">
                  <c:v>3.597841840000001E-2</c:v>
                </c:pt>
                <c:pt idx="359">
                  <c:v>3.597841840000001E-2</c:v>
                </c:pt>
                <c:pt idx="360">
                  <c:v>3.597841840000001E-2</c:v>
                </c:pt>
                <c:pt idx="361">
                  <c:v>3.597841840000001E-2</c:v>
                </c:pt>
                <c:pt idx="362">
                  <c:v>3.597841840000001E-2</c:v>
                </c:pt>
                <c:pt idx="363">
                  <c:v>3.597841840000001E-2</c:v>
                </c:pt>
                <c:pt idx="364">
                  <c:v>3.597841840000001E-2</c:v>
                </c:pt>
                <c:pt idx="365">
                  <c:v>3.597841840000001E-2</c:v>
                </c:pt>
                <c:pt idx="366">
                  <c:v>3.597841840000001E-2</c:v>
                </c:pt>
                <c:pt idx="367">
                  <c:v>3.597841840000001E-2</c:v>
                </c:pt>
                <c:pt idx="368">
                  <c:v>3.597841840000001E-2</c:v>
                </c:pt>
                <c:pt idx="369">
                  <c:v>3.597841840000001E-2</c:v>
                </c:pt>
                <c:pt idx="370">
                  <c:v>3.597841840000001E-2</c:v>
                </c:pt>
                <c:pt idx="371">
                  <c:v>3.597841840000001E-2</c:v>
                </c:pt>
                <c:pt idx="372">
                  <c:v>3.597841840000001E-2</c:v>
                </c:pt>
                <c:pt idx="373">
                  <c:v>3.597841840000001E-2</c:v>
                </c:pt>
                <c:pt idx="374">
                  <c:v>3.597841840000001E-2</c:v>
                </c:pt>
                <c:pt idx="375">
                  <c:v>3.597841840000001E-2</c:v>
                </c:pt>
                <c:pt idx="376">
                  <c:v>3.597841840000001E-2</c:v>
                </c:pt>
                <c:pt idx="377">
                  <c:v>3.597841840000001E-2</c:v>
                </c:pt>
                <c:pt idx="378">
                  <c:v>3.597841840000001E-2</c:v>
                </c:pt>
                <c:pt idx="379">
                  <c:v>3.597841840000001E-2</c:v>
                </c:pt>
                <c:pt idx="380">
                  <c:v>3.597841840000001E-2</c:v>
                </c:pt>
                <c:pt idx="381">
                  <c:v>3.597841840000001E-2</c:v>
                </c:pt>
                <c:pt idx="382">
                  <c:v>3.597841840000001E-2</c:v>
                </c:pt>
                <c:pt idx="383">
                  <c:v>3.597841840000001E-2</c:v>
                </c:pt>
                <c:pt idx="384">
                  <c:v>3.597841840000001E-2</c:v>
                </c:pt>
                <c:pt idx="385">
                  <c:v>3.597841840000001E-2</c:v>
                </c:pt>
                <c:pt idx="386">
                  <c:v>3.597841840000001E-2</c:v>
                </c:pt>
                <c:pt idx="387">
                  <c:v>3.597841840000001E-2</c:v>
                </c:pt>
                <c:pt idx="388">
                  <c:v>3.597841840000001E-2</c:v>
                </c:pt>
                <c:pt idx="389">
                  <c:v>3.597841840000001E-2</c:v>
                </c:pt>
                <c:pt idx="390">
                  <c:v>3.597841840000001E-2</c:v>
                </c:pt>
                <c:pt idx="391">
                  <c:v>3.597841840000001E-2</c:v>
                </c:pt>
                <c:pt idx="392">
                  <c:v>3.597841840000001E-2</c:v>
                </c:pt>
                <c:pt idx="393">
                  <c:v>3.597841840000001E-2</c:v>
                </c:pt>
                <c:pt idx="394">
                  <c:v>3.597841840000001E-2</c:v>
                </c:pt>
                <c:pt idx="395">
                  <c:v>3.597841840000001E-2</c:v>
                </c:pt>
                <c:pt idx="396">
                  <c:v>3.597841840000001E-2</c:v>
                </c:pt>
                <c:pt idx="397">
                  <c:v>3.597841840000001E-2</c:v>
                </c:pt>
                <c:pt idx="398">
                  <c:v>3.597841840000001E-2</c:v>
                </c:pt>
                <c:pt idx="399">
                  <c:v>3.597841840000001E-2</c:v>
                </c:pt>
                <c:pt idx="400">
                  <c:v>3.597841840000001E-2</c:v>
                </c:pt>
                <c:pt idx="401">
                  <c:v>3.597841840000001E-2</c:v>
                </c:pt>
                <c:pt idx="402">
                  <c:v>3.597841840000001E-2</c:v>
                </c:pt>
                <c:pt idx="403">
                  <c:v>3.9322346100000009E-2</c:v>
                </c:pt>
                <c:pt idx="404">
                  <c:v>3.9446848800000052E-2</c:v>
                </c:pt>
                <c:pt idx="405">
                  <c:v>3.9479192300000056E-2</c:v>
                </c:pt>
                <c:pt idx="406">
                  <c:v>3.9484479600000004E-2</c:v>
                </c:pt>
                <c:pt idx="407">
                  <c:v>3.9484583600000005E-2</c:v>
                </c:pt>
                <c:pt idx="408">
                  <c:v>3.9484623100000005E-2</c:v>
                </c:pt>
                <c:pt idx="409">
                  <c:v>3.948466140000001E-2</c:v>
                </c:pt>
                <c:pt idx="410">
                  <c:v>3.9484661500000004E-2</c:v>
                </c:pt>
                <c:pt idx="411">
                  <c:v>3.9484661500000004E-2</c:v>
                </c:pt>
                <c:pt idx="412">
                  <c:v>3.9484661500000004E-2</c:v>
                </c:pt>
                <c:pt idx="413">
                  <c:v>3.9484661500000004E-2</c:v>
                </c:pt>
                <c:pt idx="414">
                  <c:v>3.9484661500000004E-2</c:v>
                </c:pt>
                <c:pt idx="415">
                  <c:v>3.9484661500000004E-2</c:v>
                </c:pt>
                <c:pt idx="416">
                  <c:v>3.9484661500000004E-2</c:v>
                </c:pt>
                <c:pt idx="417">
                  <c:v>3.9484661500000004E-2</c:v>
                </c:pt>
                <c:pt idx="418">
                  <c:v>3.9484661500000004E-2</c:v>
                </c:pt>
                <c:pt idx="419">
                  <c:v>3.9484661500000004E-2</c:v>
                </c:pt>
                <c:pt idx="420">
                  <c:v>3.9484661500000004E-2</c:v>
                </c:pt>
                <c:pt idx="421">
                  <c:v>3.9484661500000004E-2</c:v>
                </c:pt>
                <c:pt idx="422">
                  <c:v>3.9484661500000004E-2</c:v>
                </c:pt>
                <c:pt idx="423">
                  <c:v>3.9484661500000004E-2</c:v>
                </c:pt>
                <c:pt idx="424">
                  <c:v>3.9484661500000004E-2</c:v>
                </c:pt>
                <c:pt idx="425">
                  <c:v>3.9484789200000002E-2</c:v>
                </c:pt>
                <c:pt idx="426">
                  <c:v>3.9484816400000212E-2</c:v>
                </c:pt>
                <c:pt idx="427">
                  <c:v>3.9484820400000002E-2</c:v>
                </c:pt>
                <c:pt idx="428">
                  <c:v>3.9484820400000002E-2</c:v>
                </c:pt>
                <c:pt idx="429">
                  <c:v>3.9484820400000002E-2</c:v>
                </c:pt>
                <c:pt idx="430">
                  <c:v>3.9484820400000002E-2</c:v>
                </c:pt>
                <c:pt idx="431">
                  <c:v>3.9484820400000002E-2</c:v>
                </c:pt>
                <c:pt idx="432">
                  <c:v>3.9484820400000002E-2</c:v>
                </c:pt>
                <c:pt idx="433">
                  <c:v>3.9484820400000002E-2</c:v>
                </c:pt>
                <c:pt idx="434">
                  <c:v>3.9484820400000002E-2</c:v>
                </c:pt>
                <c:pt idx="435">
                  <c:v>3.9484820400000002E-2</c:v>
                </c:pt>
                <c:pt idx="436">
                  <c:v>3.9484820400000002E-2</c:v>
                </c:pt>
                <c:pt idx="437">
                  <c:v>3.9484820400000002E-2</c:v>
                </c:pt>
                <c:pt idx="438">
                  <c:v>3.9484820400000002E-2</c:v>
                </c:pt>
                <c:pt idx="439">
                  <c:v>3.9484820400000002E-2</c:v>
                </c:pt>
                <c:pt idx="440">
                  <c:v>3.9484820400000002E-2</c:v>
                </c:pt>
                <c:pt idx="441">
                  <c:v>3.9484820400000002E-2</c:v>
                </c:pt>
                <c:pt idx="442">
                  <c:v>3.9484820400000002E-2</c:v>
                </c:pt>
                <c:pt idx="443">
                  <c:v>3.9484820400000002E-2</c:v>
                </c:pt>
                <c:pt idx="444">
                  <c:v>3.9484820400000002E-2</c:v>
                </c:pt>
                <c:pt idx="445">
                  <c:v>3.9484820400000002E-2</c:v>
                </c:pt>
                <c:pt idx="446">
                  <c:v>3.9484820400000002E-2</c:v>
                </c:pt>
                <c:pt idx="447">
                  <c:v>3.9484820400000002E-2</c:v>
                </c:pt>
                <c:pt idx="448">
                  <c:v>3.9484820400000002E-2</c:v>
                </c:pt>
                <c:pt idx="449">
                  <c:v>3.9484820400000002E-2</c:v>
                </c:pt>
                <c:pt idx="450">
                  <c:v>3.9484820400000002E-2</c:v>
                </c:pt>
                <c:pt idx="451">
                  <c:v>3.9484820400000002E-2</c:v>
                </c:pt>
                <c:pt idx="452">
                  <c:v>3.9484820400000002E-2</c:v>
                </c:pt>
                <c:pt idx="453">
                  <c:v>3.9484820400000002E-2</c:v>
                </c:pt>
                <c:pt idx="454">
                  <c:v>3.9484820400000002E-2</c:v>
                </c:pt>
                <c:pt idx="455">
                  <c:v>3.9484820400000002E-2</c:v>
                </c:pt>
                <c:pt idx="456">
                  <c:v>3.9484820400000002E-2</c:v>
                </c:pt>
                <c:pt idx="457">
                  <c:v>3.9484820400000002E-2</c:v>
                </c:pt>
                <c:pt idx="458">
                  <c:v>3.9484820400000002E-2</c:v>
                </c:pt>
                <c:pt idx="459">
                  <c:v>3.9484820400000002E-2</c:v>
                </c:pt>
                <c:pt idx="460">
                  <c:v>3.9484820400000002E-2</c:v>
                </c:pt>
                <c:pt idx="461">
                  <c:v>3.9484820400000002E-2</c:v>
                </c:pt>
                <c:pt idx="462">
                  <c:v>3.9484820400000002E-2</c:v>
                </c:pt>
                <c:pt idx="463">
                  <c:v>3.9484820400000002E-2</c:v>
                </c:pt>
                <c:pt idx="464">
                  <c:v>3.9484820400000002E-2</c:v>
                </c:pt>
                <c:pt idx="465">
                  <c:v>3.9484820400000002E-2</c:v>
                </c:pt>
                <c:pt idx="466">
                  <c:v>3.9484820400000002E-2</c:v>
                </c:pt>
                <c:pt idx="467">
                  <c:v>3.9484820400000002E-2</c:v>
                </c:pt>
                <c:pt idx="468">
                  <c:v>3.9484820400000002E-2</c:v>
                </c:pt>
                <c:pt idx="469">
                  <c:v>3.9484820400000002E-2</c:v>
                </c:pt>
                <c:pt idx="470">
                  <c:v>3.9484820400000002E-2</c:v>
                </c:pt>
                <c:pt idx="471">
                  <c:v>3.9484820400000002E-2</c:v>
                </c:pt>
                <c:pt idx="472">
                  <c:v>3.9484820400000002E-2</c:v>
                </c:pt>
                <c:pt idx="473">
                  <c:v>3.9484820400000002E-2</c:v>
                </c:pt>
                <c:pt idx="474">
                  <c:v>3.9484820400000002E-2</c:v>
                </c:pt>
                <c:pt idx="475">
                  <c:v>3.9484820400000002E-2</c:v>
                </c:pt>
                <c:pt idx="476">
                  <c:v>3.9484820400000002E-2</c:v>
                </c:pt>
                <c:pt idx="477">
                  <c:v>3.9484820400000002E-2</c:v>
                </c:pt>
                <c:pt idx="478">
                  <c:v>3.9484820400000002E-2</c:v>
                </c:pt>
                <c:pt idx="479">
                  <c:v>3.9484820400000002E-2</c:v>
                </c:pt>
                <c:pt idx="480">
                  <c:v>3.9484820400000002E-2</c:v>
                </c:pt>
                <c:pt idx="481">
                  <c:v>3.9484820400000002E-2</c:v>
                </c:pt>
                <c:pt idx="482">
                  <c:v>3.9484820400000002E-2</c:v>
                </c:pt>
                <c:pt idx="483">
                  <c:v>3.9484820400000002E-2</c:v>
                </c:pt>
                <c:pt idx="484">
                  <c:v>3.94880367E-2</c:v>
                </c:pt>
                <c:pt idx="485">
                  <c:v>3.94948813E-2</c:v>
                </c:pt>
                <c:pt idx="486">
                  <c:v>3.9494959400000001E-2</c:v>
                </c:pt>
                <c:pt idx="487">
                  <c:v>3.9494959699999999E-2</c:v>
                </c:pt>
                <c:pt idx="488">
                  <c:v>3.9494959699999999E-2</c:v>
                </c:pt>
                <c:pt idx="489">
                  <c:v>3.9494959699999999E-2</c:v>
                </c:pt>
                <c:pt idx="490">
                  <c:v>3.9494959699999999E-2</c:v>
                </c:pt>
                <c:pt idx="491">
                  <c:v>3.9494959699999999E-2</c:v>
                </c:pt>
                <c:pt idx="492">
                  <c:v>3.9494959699999999E-2</c:v>
                </c:pt>
                <c:pt idx="493">
                  <c:v>3.9494992500000096E-2</c:v>
                </c:pt>
                <c:pt idx="494">
                  <c:v>3.9494994700000001E-2</c:v>
                </c:pt>
                <c:pt idx="495">
                  <c:v>3.9502053100000004E-2</c:v>
                </c:pt>
                <c:pt idx="496">
                  <c:v>3.9507029400000004E-2</c:v>
                </c:pt>
                <c:pt idx="497">
                  <c:v>3.9778286300000007E-2</c:v>
                </c:pt>
                <c:pt idx="498">
                  <c:v>3.9845255800000291E-2</c:v>
                </c:pt>
                <c:pt idx="499">
                  <c:v>3.9853593900000005E-2</c:v>
                </c:pt>
                <c:pt idx="500">
                  <c:v>3.9854956300000008E-2</c:v>
                </c:pt>
                <c:pt idx="501">
                  <c:v>3.9855061500000011E-2</c:v>
                </c:pt>
                <c:pt idx="502">
                  <c:v>3.985795210000001E-2</c:v>
                </c:pt>
                <c:pt idx="503">
                  <c:v>3.9858735200000009E-2</c:v>
                </c:pt>
                <c:pt idx="504">
                  <c:v>3.9860385300000009E-2</c:v>
                </c:pt>
                <c:pt idx="505">
                  <c:v>3.9860920800000012E-2</c:v>
                </c:pt>
                <c:pt idx="506">
                  <c:v>3.9860929600000011E-2</c:v>
                </c:pt>
                <c:pt idx="507">
                  <c:v>3.9860929600000011E-2</c:v>
                </c:pt>
                <c:pt idx="508">
                  <c:v>3.9860929600000011E-2</c:v>
                </c:pt>
                <c:pt idx="509">
                  <c:v>3.9860929600000011E-2</c:v>
                </c:pt>
                <c:pt idx="510">
                  <c:v>3.9860929600000011E-2</c:v>
                </c:pt>
                <c:pt idx="511">
                  <c:v>3.9860929600000011E-2</c:v>
                </c:pt>
                <c:pt idx="512">
                  <c:v>3.9860929600000011E-2</c:v>
                </c:pt>
                <c:pt idx="513">
                  <c:v>3.9860929600000011E-2</c:v>
                </c:pt>
                <c:pt idx="514">
                  <c:v>3.9860929600000011E-2</c:v>
                </c:pt>
                <c:pt idx="515">
                  <c:v>3.9860929600000011E-2</c:v>
                </c:pt>
                <c:pt idx="516">
                  <c:v>3.9860929600000011E-2</c:v>
                </c:pt>
                <c:pt idx="517">
                  <c:v>3.9860929600000011E-2</c:v>
                </c:pt>
                <c:pt idx="518">
                  <c:v>3.9860929600000011E-2</c:v>
                </c:pt>
                <c:pt idx="519">
                  <c:v>3.9860929600000011E-2</c:v>
                </c:pt>
                <c:pt idx="520">
                  <c:v>3.9860929600000011E-2</c:v>
                </c:pt>
                <c:pt idx="521">
                  <c:v>3.9860929600000011E-2</c:v>
                </c:pt>
                <c:pt idx="522">
                  <c:v>3.9860929600000011E-2</c:v>
                </c:pt>
                <c:pt idx="523">
                  <c:v>3.9950515200000009E-2</c:v>
                </c:pt>
                <c:pt idx="524">
                  <c:v>4.0028766500000007E-2</c:v>
                </c:pt>
                <c:pt idx="525">
                  <c:v>4.0054799300000013E-2</c:v>
                </c:pt>
                <c:pt idx="526">
                  <c:v>4.0059632700000007E-2</c:v>
                </c:pt>
                <c:pt idx="527">
                  <c:v>4.005969940000001E-2</c:v>
                </c:pt>
                <c:pt idx="528">
                  <c:v>4.0059702300000007E-2</c:v>
                </c:pt>
                <c:pt idx="529">
                  <c:v>4.0059702300000007E-2</c:v>
                </c:pt>
                <c:pt idx="530">
                  <c:v>4.2198418800000123E-2</c:v>
                </c:pt>
                <c:pt idx="531">
                  <c:v>4.3285447900000003E-2</c:v>
                </c:pt>
                <c:pt idx="532">
                  <c:v>4.3292488200000014E-2</c:v>
                </c:pt>
                <c:pt idx="533">
                  <c:v>4.3351830600000002E-2</c:v>
                </c:pt>
                <c:pt idx="534">
                  <c:v>4.3387570900000123E-2</c:v>
                </c:pt>
                <c:pt idx="535">
                  <c:v>4.3403289200000014E-2</c:v>
                </c:pt>
                <c:pt idx="536">
                  <c:v>4.3409609000000009E-2</c:v>
                </c:pt>
                <c:pt idx="537">
                  <c:v>4.3409851100000008E-2</c:v>
                </c:pt>
                <c:pt idx="538">
                  <c:v>4.3409955800000011E-2</c:v>
                </c:pt>
                <c:pt idx="539">
                  <c:v>5.3827013900000033E-2</c:v>
                </c:pt>
                <c:pt idx="540">
                  <c:v>5.3833128600000009E-2</c:v>
                </c:pt>
                <c:pt idx="541">
                  <c:v>5.3833153400000007E-2</c:v>
                </c:pt>
                <c:pt idx="542">
                  <c:v>5.3856686300000532E-2</c:v>
                </c:pt>
                <c:pt idx="543">
                  <c:v>5.3865214300000033E-2</c:v>
                </c:pt>
                <c:pt idx="544">
                  <c:v>5.3866532500000022E-2</c:v>
                </c:pt>
                <c:pt idx="545">
                  <c:v>5.3866874000000134E-2</c:v>
                </c:pt>
                <c:pt idx="546">
                  <c:v>5.3866980200000934E-2</c:v>
                </c:pt>
                <c:pt idx="547">
                  <c:v>5.3867014700000014E-2</c:v>
                </c:pt>
                <c:pt idx="548">
                  <c:v>5.3867051800002133E-2</c:v>
                </c:pt>
                <c:pt idx="549">
                  <c:v>5.3867098000000023E-2</c:v>
                </c:pt>
                <c:pt idx="550">
                  <c:v>5.3867098300000013E-2</c:v>
                </c:pt>
                <c:pt idx="551">
                  <c:v>5.3867098300000013E-2</c:v>
                </c:pt>
                <c:pt idx="552">
                  <c:v>5.3867098300000013E-2</c:v>
                </c:pt>
                <c:pt idx="553">
                  <c:v>5.3867098300000013E-2</c:v>
                </c:pt>
                <c:pt idx="554">
                  <c:v>5.3867098300000013E-2</c:v>
                </c:pt>
                <c:pt idx="555">
                  <c:v>5.3867098300000013E-2</c:v>
                </c:pt>
                <c:pt idx="556">
                  <c:v>5.3867098300000013E-2</c:v>
                </c:pt>
                <c:pt idx="557">
                  <c:v>5.3867098300000013E-2</c:v>
                </c:pt>
                <c:pt idx="558">
                  <c:v>5.3867098300000013E-2</c:v>
                </c:pt>
                <c:pt idx="559">
                  <c:v>5.3867098300000013E-2</c:v>
                </c:pt>
                <c:pt idx="560">
                  <c:v>5.3883293100000132E-2</c:v>
                </c:pt>
                <c:pt idx="561">
                  <c:v>5.3893400300000532E-2</c:v>
                </c:pt>
                <c:pt idx="562">
                  <c:v>5.3895156600000015E-2</c:v>
                </c:pt>
                <c:pt idx="563">
                  <c:v>5.3895349800000013E-2</c:v>
                </c:pt>
                <c:pt idx="564">
                  <c:v>5.3895432400000012E-2</c:v>
                </c:pt>
                <c:pt idx="565">
                  <c:v>5.3895463200000014E-2</c:v>
                </c:pt>
                <c:pt idx="566">
                  <c:v>5.3895503200000014E-2</c:v>
                </c:pt>
                <c:pt idx="567">
                  <c:v>5.3895522200000011E-2</c:v>
                </c:pt>
                <c:pt idx="568">
                  <c:v>5.3895522200000011E-2</c:v>
                </c:pt>
                <c:pt idx="569">
                  <c:v>5.3895522200000011E-2</c:v>
                </c:pt>
                <c:pt idx="570">
                  <c:v>5.3895522200000011E-2</c:v>
                </c:pt>
                <c:pt idx="571">
                  <c:v>5.3895522200000011E-2</c:v>
                </c:pt>
                <c:pt idx="572">
                  <c:v>5.3940313200000006E-2</c:v>
                </c:pt>
                <c:pt idx="573">
                  <c:v>5.3957881600000007E-2</c:v>
                </c:pt>
                <c:pt idx="574">
                  <c:v>5.3960284500000032E-2</c:v>
                </c:pt>
                <c:pt idx="575">
                  <c:v>5.3965564500000007E-2</c:v>
                </c:pt>
                <c:pt idx="576">
                  <c:v>5.3966282600000012E-2</c:v>
                </c:pt>
                <c:pt idx="577">
                  <c:v>5.3966340400000007E-2</c:v>
                </c:pt>
                <c:pt idx="578">
                  <c:v>5.3975992900000012E-2</c:v>
                </c:pt>
                <c:pt idx="579">
                  <c:v>5.3977817999999997E-2</c:v>
                </c:pt>
                <c:pt idx="580">
                  <c:v>5.3978020800000012E-2</c:v>
                </c:pt>
                <c:pt idx="581">
                  <c:v>5.3978034400000013E-2</c:v>
                </c:pt>
                <c:pt idx="582">
                  <c:v>5.3978034900000034E-2</c:v>
                </c:pt>
                <c:pt idx="583">
                  <c:v>5.3978034900000034E-2</c:v>
                </c:pt>
                <c:pt idx="584">
                  <c:v>5.3978034900000034E-2</c:v>
                </c:pt>
                <c:pt idx="585">
                  <c:v>5.3978034900000034E-2</c:v>
                </c:pt>
                <c:pt idx="586">
                  <c:v>5.3978034900000034E-2</c:v>
                </c:pt>
                <c:pt idx="587">
                  <c:v>5.3978034900000034E-2</c:v>
                </c:pt>
                <c:pt idx="588">
                  <c:v>5.3978034900000034E-2</c:v>
                </c:pt>
                <c:pt idx="589">
                  <c:v>5.3978034900000034E-2</c:v>
                </c:pt>
                <c:pt idx="590">
                  <c:v>5.3978034900000034E-2</c:v>
                </c:pt>
                <c:pt idx="591">
                  <c:v>5.3978034900000034E-2</c:v>
                </c:pt>
                <c:pt idx="592">
                  <c:v>5.3978034900000034E-2</c:v>
                </c:pt>
                <c:pt idx="593">
                  <c:v>5.3978034900000034E-2</c:v>
                </c:pt>
                <c:pt idx="594">
                  <c:v>5.3978034900000034E-2</c:v>
                </c:pt>
                <c:pt idx="595">
                  <c:v>5.3978034900000034E-2</c:v>
                </c:pt>
                <c:pt idx="596">
                  <c:v>5.3978034900000034E-2</c:v>
                </c:pt>
                <c:pt idx="597">
                  <c:v>5.3978034900000034E-2</c:v>
                </c:pt>
                <c:pt idx="598">
                  <c:v>5.3978034900000034E-2</c:v>
                </c:pt>
                <c:pt idx="599">
                  <c:v>5.3978034900000034E-2</c:v>
                </c:pt>
                <c:pt idx="600">
                  <c:v>5.3978034900000034E-2</c:v>
                </c:pt>
                <c:pt idx="601">
                  <c:v>5.3978034900000034E-2</c:v>
                </c:pt>
                <c:pt idx="602">
                  <c:v>5.3978034900000034E-2</c:v>
                </c:pt>
                <c:pt idx="603">
                  <c:v>5.3978034900000034E-2</c:v>
                </c:pt>
                <c:pt idx="604">
                  <c:v>5.3978034900000034E-2</c:v>
                </c:pt>
                <c:pt idx="605">
                  <c:v>5.3978034900000034E-2</c:v>
                </c:pt>
                <c:pt idx="606">
                  <c:v>5.3978034900000034E-2</c:v>
                </c:pt>
                <c:pt idx="607">
                  <c:v>5.3978034900000034E-2</c:v>
                </c:pt>
                <c:pt idx="608">
                  <c:v>5.3978034900000034E-2</c:v>
                </c:pt>
                <c:pt idx="609">
                  <c:v>5.3978034900000034E-2</c:v>
                </c:pt>
                <c:pt idx="610">
                  <c:v>5.3978034900000034E-2</c:v>
                </c:pt>
                <c:pt idx="611">
                  <c:v>5.3978034900000034E-2</c:v>
                </c:pt>
                <c:pt idx="612">
                  <c:v>5.3978034900000034E-2</c:v>
                </c:pt>
                <c:pt idx="613">
                  <c:v>5.3978034900000034E-2</c:v>
                </c:pt>
                <c:pt idx="614">
                  <c:v>5.3978034900000034E-2</c:v>
                </c:pt>
                <c:pt idx="615">
                  <c:v>5.3978034900000034E-2</c:v>
                </c:pt>
                <c:pt idx="616">
                  <c:v>5.3978034900000034E-2</c:v>
                </c:pt>
                <c:pt idx="617">
                  <c:v>5.3978034900000034E-2</c:v>
                </c:pt>
                <c:pt idx="618">
                  <c:v>5.3978034900000034E-2</c:v>
                </c:pt>
                <c:pt idx="619">
                  <c:v>5.3978034900000034E-2</c:v>
                </c:pt>
                <c:pt idx="620">
                  <c:v>5.3978034900000034E-2</c:v>
                </c:pt>
                <c:pt idx="621">
                  <c:v>5.3978034900000034E-2</c:v>
                </c:pt>
                <c:pt idx="622">
                  <c:v>5.3978034900000034E-2</c:v>
                </c:pt>
                <c:pt idx="623">
                  <c:v>5.3978034900000034E-2</c:v>
                </c:pt>
                <c:pt idx="624">
                  <c:v>5.3978034900000034E-2</c:v>
                </c:pt>
                <c:pt idx="625">
                  <c:v>5.3978034900000034E-2</c:v>
                </c:pt>
                <c:pt idx="626">
                  <c:v>5.3978034900000034E-2</c:v>
                </c:pt>
                <c:pt idx="627">
                  <c:v>5.3978034900000034E-2</c:v>
                </c:pt>
                <c:pt idx="628">
                  <c:v>5.3978034900000034E-2</c:v>
                </c:pt>
                <c:pt idx="629">
                  <c:v>5.3978034900000034E-2</c:v>
                </c:pt>
                <c:pt idx="630">
                  <c:v>5.3978034900000034E-2</c:v>
                </c:pt>
                <c:pt idx="631">
                  <c:v>5.3978034900000034E-2</c:v>
                </c:pt>
                <c:pt idx="632">
                  <c:v>5.3978034900000034E-2</c:v>
                </c:pt>
                <c:pt idx="633">
                  <c:v>5.3978034900000034E-2</c:v>
                </c:pt>
                <c:pt idx="634">
                  <c:v>5.3978034900000034E-2</c:v>
                </c:pt>
                <c:pt idx="635">
                  <c:v>5.3978034900000034E-2</c:v>
                </c:pt>
                <c:pt idx="636">
                  <c:v>5.3978034900000034E-2</c:v>
                </c:pt>
                <c:pt idx="637">
                  <c:v>5.3978034900000034E-2</c:v>
                </c:pt>
                <c:pt idx="638">
                  <c:v>5.3978034900000034E-2</c:v>
                </c:pt>
                <c:pt idx="639">
                  <c:v>5.3978034900000034E-2</c:v>
                </c:pt>
                <c:pt idx="640">
                  <c:v>5.3978034900000034E-2</c:v>
                </c:pt>
                <c:pt idx="641">
                  <c:v>5.3978034900000034E-2</c:v>
                </c:pt>
                <c:pt idx="642">
                  <c:v>5.3978034900000034E-2</c:v>
                </c:pt>
                <c:pt idx="643">
                  <c:v>5.3978034900000034E-2</c:v>
                </c:pt>
                <c:pt idx="644">
                  <c:v>5.3978034900000034E-2</c:v>
                </c:pt>
                <c:pt idx="645">
                  <c:v>5.3978034900000034E-2</c:v>
                </c:pt>
                <c:pt idx="646">
                  <c:v>5.3978034900000034E-2</c:v>
                </c:pt>
                <c:pt idx="647">
                  <c:v>5.3978034900000034E-2</c:v>
                </c:pt>
                <c:pt idx="648">
                  <c:v>5.3978034900000034E-2</c:v>
                </c:pt>
                <c:pt idx="649">
                  <c:v>5.3978034900000034E-2</c:v>
                </c:pt>
                <c:pt idx="650">
                  <c:v>5.3978034900000034E-2</c:v>
                </c:pt>
                <c:pt idx="651">
                  <c:v>5.3978034900000034E-2</c:v>
                </c:pt>
                <c:pt idx="652">
                  <c:v>5.3978034900000034E-2</c:v>
                </c:pt>
                <c:pt idx="653">
                  <c:v>5.3978034900000034E-2</c:v>
                </c:pt>
                <c:pt idx="654">
                  <c:v>5.3978034900000034E-2</c:v>
                </c:pt>
                <c:pt idx="655">
                  <c:v>5.3978034900000034E-2</c:v>
                </c:pt>
                <c:pt idx="656">
                  <c:v>5.3978034900000034E-2</c:v>
                </c:pt>
                <c:pt idx="657">
                  <c:v>5.3978034900000034E-2</c:v>
                </c:pt>
                <c:pt idx="658">
                  <c:v>5.3978034900000034E-2</c:v>
                </c:pt>
                <c:pt idx="659">
                  <c:v>5.3978034900000034E-2</c:v>
                </c:pt>
                <c:pt idx="660">
                  <c:v>5.3978034900000034E-2</c:v>
                </c:pt>
                <c:pt idx="661">
                  <c:v>5.3978034900000034E-2</c:v>
                </c:pt>
                <c:pt idx="662">
                  <c:v>5.3978034900000034E-2</c:v>
                </c:pt>
                <c:pt idx="663">
                  <c:v>5.3978034900000034E-2</c:v>
                </c:pt>
                <c:pt idx="664">
                  <c:v>5.3978034900000034E-2</c:v>
                </c:pt>
                <c:pt idx="665">
                  <c:v>5.3978034900000034E-2</c:v>
                </c:pt>
                <c:pt idx="666">
                  <c:v>5.3978034900000034E-2</c:v>
                </c:pt>
                <c:pt idx="667">
                  <c:v>5.3978034900000034E-2</c:v>
                </c:pt>
                <c:pt idx="668">
                  <c:v>5.3978034900000034E-2</c:v>
                </c:pt>
                <c:pt idx="669">
                  <c:v>5.3978034900000034E-2</c:v>
                </c:pt>
                <c:pt idx="670">
                  <c:v>5.3978034900000034E-2</c:v>
                </c:pt>
                <c:pt idx="671">
                  <c:v>5.3978034900000034E-2</c:v>
                </c:pt>
                <c:pt idx="672">
                  <c:v>5.3978034900000034E-2</c:v>
                </c:pt>
                <c:pt idx="673">
                  <c:v>5.3978034900000034E-2</c:v>
                </c:pt>
                <c:pt idx="674">
                  <c:v>5.3978034900000034E-2</c:v>
                </c:pt>
                <c:pt idx="675">
                  <c:v>5.3978034900000034E-2</c:v>
                </c:pt>
                <c:pt idx="676">
                  <c:v>5.3978034900000034E-2</c:v>
                </c:pt>
                <c:pt idx="677">
                  <c:v>5.3978034900000034E-2</c:v>
                </c:pt>
                <c:pt idx="678">
                  <c:v>5.3978034900000034E-2</c:v>
                </c:pt>
                <c:pt idx="679">
                  <c:v>5.3978034900000034E-2</c:v>
                </c:pt>
                <c:pt idx="680">
                  <c:v>5.3978034900000034E-2</c:v>
                </c:pt>
                <c:pt idx="681">
                  <c:v>5.3978034900000034E-2</c:v>
                </c:pt>
                <c:pt idx="682">
                  <c:v>5.3978034900000034E-2</c:v>
                </c:pt>
                <c:pt idx="683">
                  <c:v>5.3978034900000034E-2</c:v>
                </c:pt>
                <c:pt idx="684">
                  <c:v>5.3978034900000034E-2</c:v>
                </c:pt>
                <c:pt idx="685">
                  <c:v>5.3978034900000034E-2</c:v>
                </c:pt>
                <c:pt idx="686">
                  <c:v>5.3978034900000034E-2</c:v>
                </c:pt>
                <c:pt idx="687">
                  <c:v>5.3978034900000034E-2</c:v>
                </c:pt>
                <c:pt idx="688">
                  <c:v>5.3978034900000034E-2</c:v>
                </c:pt>
                <c:pt idx="689">
                  <c:v>5.3978034900000034E-2</c:v>
                </c:pt>
                <c:pt idx="690">
                  <c:v>5.3978034900000034E-2</c:v>
                </c:pt>
                <c:pt idx="691">
                  <c:v>5.3978034900000034E-2</c:v>
                </c:pt>
                <c:pt idx="692">
                  <c:v>5.3978034900000034E-2</c:v>
                </c:pt>
                <c:pt idx="693">
                  <c:v>5.3978034900000034E-2</c:v>
                </c:pt>
                <c:pt idx="694">
                  <c:v>5.3978034900000034E-2</c:v>
                </c:pt>
                <c:pt idx="695">
                  <c:v>5.3978034900000034E-2</c:v>
                </c:pt>
                <c:pt idx="696">
                  <c:v>5.3978034900000034E-2</c:v>
                </c:pt>
                <c:pt idx="697">
                  <c:v>5.3978034900000034E-2</c:v>
                </c:pt>
                <c:pt idx="698">
                  <c:v>5.3978034900000034E-2</c:v>
                </c:pt>
                <c:pt idx="699">
                  <c:v>5.3978034900000034E-2</c:v>
                </c:pt>
                <c:pt idx="700">
                  <c:v>5.3978034900000034E-2</c:v>
                </c:pt>
                <c:pt idx="701">
                  <c:v>5.3978034900000034E-2</c:v>
                </c:pt>
                <c:pt idx="702">
                  <c:v>5.3978034900000034E-2</c:v>
                </c:pt>
                <c:pt idx="703">
                  <c:v>5.3978034900000034E-2</c:v>
                </c:pt>
                <c:pt idx="704">
                  <c:v>5.3978034900000034E-2</c:v>
                </c:pt>
                <c:pt idx="705">
                  <c:v>5.3978034900000034E-2</c:v>
                </c:pt>
                <c:pt idx="706">
                  <c:v>5.3978034900000034E-2</c:v>
                </c:pt>
                <c:pt idx="707">
                  <c:v>5.3978034900000034E-2</c:v>
                </c:pt>
                <c:pt idx="708">
                  <c:v>5.3978034900000034E-2</c:v>
                </c:pt>
                <c:pt idx="709">
                  <c:v>5.3978034900000034E-2</c:v>
                </c:pt>
                <c:pt idx="710">
                  <c:v>5.3978034900000034E-2</c:v>
                </c:pt>
                <c:pt idx="711">
                  <c:v>5.3978034900000034E-2</c:v>
                </c:pt>
                <c:pt idx="712">
                  <c:v>5.3978034900000034E-2</c:v>
                </c:pt>
                <c:pt idx="713">
                  <c:v>5.3978034900000034E-2</c:v>
                </c:pt>
                <c:pt idx="714">
                  <c:v>5.3978034900000034E-2</c:v>
                </c:pt>
                <c:pt idx="715">
                  <c:v>5.3978034900000034E-2</c:v>
                </c:pt>
                <c:pt idx="716">
                  <c:v>5.3978034900000034E-2</c:v>
                </c:pt>
                <c:pt idx="717">
                  <c:v>5.3978034900000034E-2</c:v>
                </c:pt>
                <c:pt idx="718">
                  <c:v>5.3978034900000034E-2</c:v>
                </c:pt>
                <c:pt idx="719">
                  <c:v>5.3978034900000034E-2</c:v>
                </c:pt>
                <c:pt idx="720">
                  <c:v>5.3978034900000034E-2</c:v>
                </c:pt>
                <c:pt idx="721">
                  <c:v>5.3978034900000034E-2</c:v>
                </c:pt>
                <c:pt idx="722">
                  <c:v>5.3978034900000034E-2</c:v>
                </c:pt>
                <c:pt idx="723">
                  <c:v>5.3978034900000034E-2</c:v>
                </c:pt>
                <c:pt idx="724">
                  <c:v>5.3978034900000034E-2</c:v>
                </c:pt>
                <c:pt idx="725">
                  <c:v>5.3978034900000034E-2</c:v>
                </c:pt>
                <c:pt idx="726">
                  <c:v>5.3978034900000034E-2</c:v>
                </c:pt>
                <c:pt idx="727">
                  <c:v>5.3978034900000034E-2</c:v>
                </c:pt>
                <c:pt idx="728">
                  <c:v>5.3978034900000034E-2</c:v>
                </c:pt>
                <c:pt idx="729">
                  <c:v>5.3978034900000034E-2</c:v>
                </c:pt>
                <c:pt idx="730">
                  <c:v>5.3978034900000034E-2</c:v>
                </c:pt>
                <c:pt idx="731">
                  <c:v>5.3978034900000034E-2</c:v>
                </c:pt>
                <c:pt idx="732">
                  <c:v>5.3978034900000034E-2</c:v>
                </c:pt>
                <c:pt idx="733">
                  <c:v>5.3978034900000034E-2</c:v>
                </c:pt>
                <c:pt idx="734">
                  <c:v>5.3978034900000034E-2</c:v>
                </c:pt>
                <c:pt idx="735">
                  <c:v>5.3978034900000034E-2</c:v>
                </c:pt>
                <c:pt idx="736">
                  <c:v>5.3978034900000034E-2</c:v>
                </c:pt>
                <c:pt idx="737">
                  <c:v>5.3978034900000034E-2</c:v>
                </c:pt>
                <c:pt idx="738">
                  <c:v>5.3978034900000034E-2</c:v>
                </c:pt>
                <c:pt idx="739">
                  <c:v>5.3978034900000034E-2</c:v>
                </c:pt>
                <c:pt idx="740">
                  <c:v>5.3978034900000034E-2</c:v>
                </c:pt>
                <c:pt idx="741">
                  <c:v>5.3978034900000034E-2</c:v>
                </c:pt>
                <c:pt idx="742">
                  <c:v>5.3978034900000034E-2</c:v>
                </c:pt>
                <c:pt idx="743">
                  <c:v>5.3978034900000034E-2</c:v>
                </c:pt>
                <c:pt idx="744">
                  <c:v>5.3978034900000034E-2</c:v>
                </c:pt>
                <c:pt idx="745">
                  <c:v>5.3978034900000034E-2</c:v>
                </c:pt>
                <c:pt idx="746">
                  <c:v>5.3978034900000034E-2</c:v>
                </c:pt>
                <c:pt idx="747">
                  <c:v>5.3978034900000034E-2</c:v>
                </c:pt>
                <c:pt idx="748">
                  <c:v>5.3978034900000034E-2</c:v>
                </c:pt>
                <c:pt idx="749">
                  <c:v>5.3978034900000034E-2</c:v>
                </c:pt>
                <c:pt idx="750">
                  <c:v>5.3978034900000034E-2</c:v>
                </c:pt>
                <c:pt idx="751">
                  <c:v>5.3978034900000034E-2</c:v>
                </c:pt>
                <c:pt idx="752">
                  <c:v>5.3978034900000034E-2</c:v>
                </c:pt>
                <c:pt idx="753">
                  <c:v>5.3978034900000034E-2</c:v>
                </c:pt>
                <c:pt idx="754">
                  <c:v>5.3978034900000034E-2</c:v>
                </c:pt>
                <c:pt idx="755">
                  <c:v>5.3978034900000034E-2</c:v>
                </c:pt>
                <c:pt idx="756">
                  <c:v>5.3978034900000034E-2</c:v>
                </c:pt>
                <c:pt idx="757">
                  <c:v>5.3978034900000034E-2</c:v>
                </c:pt>
                <c:pt idx="758">
                  <c:v>5.3978034900000034E-2</c:v>
                </c:pt>
                <c:pt idx="759">
                  <c:v>5.3978034900000034E-2</c:v>
                </c:pt>
                <c:pt idx="760">
                  <c:v>5.3978034900000034E-2</c:v>
                </c:pt>
                <c:pt idx="761">
                  <c:v>5.3978034900000034E-2</c:v>
                </c:pt>
                <c:pt idx="762">
                  <c:v>5.3978034900000034E-2</c:v>
                </c:pt>
                <c:pt idx="763">
                  <c:v>5.3978034900000034E-2</c:v>
                </c:pt>
                <c:pt idx="764">
                  <c:v>5.3978034900000034E-2</c:v>
                </c:pt>
                <c:pt idx="765">
                  <c:v>5.3978034900000034E-2</c:v>
                </c:pt>
                <c:pt idx="766">
                  <c:v>5.3978034900000034E-2</c:v>
                </c:pt>
                <c:pt idx="767">
                  <c:v>5.3978034900000034E-2</c:v>
                </c:pt>
                <c:pt idx="768">
                  <c:v>5.3978034900000034E-2</c:v>
                </c:pt>
                <c:pt idx="769">
                  <c:v>5.3978034900000034E-2</c:v>
                </c:pt>
                <c:pt idx="770">
                  <c:v>5.3978034900000034E-2</c:v>
                </c:pt>
                <c:pt idx="771">
                  <c:v>5.3978034900000034E-2</c:v>
                </c:pt>
                <c:pt idx="772">
                  <c:v>5.3978034900000034E-2</c:v>
                </c:pt>
                <c:pt idx="773">
                  <c:v>5.3978034900000034E-2</c:v>
                </c:pt>
                <c:pt idx="774">
                  <c:v>5.3978034900000034E-2</c:v>
                </c:pt>
                <c:pt idx="775">
                  <c:v>5.3978034900000034E-2</c:v>
                </c:pt>
                <c:pt idx="776">
                  <c:v>5.3978034900000034E-2</c:v>
                </c:pt>
                <c:pt idx="777">
                  <c:v>5.3978034900000034E-2</c:v>
                </c:pt>
                <c:pt idx="778">
                  <c:v>5.3978034900000034E-2</c:v>
                </c:pt>
                <c:pt idx="779">
                  <c:v>5.3978034900000034E-2</c:v>
                </c:pt>
                <c:pt idx="780">
                  <c:v>5.3978034900000034E-2</c:v>
                </c:pt>
                <c:pt idx="781">
                  <c:v>5.3978034900000034E-2</c:v>
                </c:pt>
                <c:pt idx="782">
                  <c:v>5.3978034900000034E-2</c:v>
                </c:pt>
                <c:pt idx="783">
                  <c:v>5.3978034900000034E-2</c:v>
                </c:pt>
                <c:pt idx="784">
                  <c:v>5.3978034900000034E-2</c:v>
                </c:pt>
                <c:pt idx="785">
                  <c:v>5.3978034900000034E-2</c:v>
                </c:pt>
                <c:pt idx="786">
                  <c:v>5.3978034900000034E-2</c:v>
                </c:pt>
                <c:pt idx="787">
                  <c:v>5.3978034900000034E-2</c:v>
                </c:pt>
                <c:pt idx="788">
                  <c:v>5.3978034900000034E-2</c:v>
                </c:pt>
                <c:pt idx="789">
                  <c:v>5.3978034900000034E-2</c:v>
                </c:pt>
                <c:pt idx="790">
                  <c:v>5.3978034900000034E-2</c:v>
                </c:pt>
                <c:pt idx="791">
                  <c:v>5.3978034900000034E-2</c:v>
                </c:pt>
                <c:pt idx="792">
                  <c:v>5.3978034900000034E-2</c:v>
                </c:pt>
                <c:pt idx="793">
                  <c:v>5.3978034900000034E-2</c:v>
                </c:pt>
                <c:pt idx="794">
                  <c:v>5.3978034900000034E-2</c:v>
                </c:pt>
                <c:pt idx="795">
                  <c:v>5.3978034900000034E-2</c:v>
                </c:pt>
                <c:pt idx="796">
                  <c:v>5.3978034900000034E-2</c:v>
                </c:pt>
                <c:pt idx="797">
                  <c:v>5.3978034900000034E-2</c:v>
                </c:pt>
                <c:pt idx="798">
                  <c:v>5.3978034900000034E-2</c:v>
                </c:pt>
                <c:pt idx="799">
                  <c:v>5.3978034900000034E-2</c:v>
                </c:pt>
                <c:pt idx="800">
                  <c:v>5.3978034900000034E-2</c:v>
                </c:pt>
                <c:pt idx="801">
                  <c:v>5.3978034900000034E-2</c:v>
                </c:pt>
                <c:pt idx="802">
                  <c:v>5.3978034900000034E-2</c:v>
                </c:pt>
                <c:pt idx="803">
                  <c:v>5.3978034900000034E-2</c:v>
                </c:pt>
                <c:pt idx="804">
                  <c:v>5.3978034900000034E-2</c:v>
                </c:pt>
                <c:pt idx="805">
                  <c:v>5.3978034900000034E-2</c:v>
                </c:pt>
                <c:pt idx="806">
                  <c:v>5.3978034900000034E-2</c:v>
                </c:pt>
                <c:pt idx="807">
                  <c:v>5.3978034900000034E-2</c:v>
                </c:pt>
                <c:pt idx="808">
                  <c:v>5.3978034900000034E-2</c:v>
                </c:pt>
                <c:pt idx="809">
                  <c:v>5.3978034900000034E-2</c:v>
                </c:pt>
                <c:pt idx="810">
                  <c:v>5.3978034900000034E-2</c:v>
                </c:pt>
                <c:pt idx="811">
                  <c:v>5.3978034900000034E-2</c:v>
                </c:pt>
                <c:pt idx="812">
                  <c:v>6.5331045300000015E-2</c:v>
                </c:pt>
                <c:pt idx="813">
                  <c:v>6.6589368800000007E-2</c:v>
                </c:pt>
                <c:pt idx="814">
                  <c:v>6.7005640000000019E-2</c:v>
                </c:pt>
                <c:pt idx="815">
                  <c:v>6.7048769500000022E-2</c:v>
                </c:pt>
                <c:pt idx="816">
                  <c:v>6.7056360100000031E-2</c:v>
                </c:pt>
                <c:pt idx="817">
                  <c:v>6.7057717200000033E-2</c:v>
                </c:pt>
                <c:pt idx="818">
                  <c:v>6.7057776000000013E-2</c:v>
                </c:pt>
                <c:pt idx="819">
                  <c:v>6.705777620000003E-2</c:v>
                </c:pt>
                <c:pt idx="820">
                  <c:v>6.705777620000003E-2</c:v>
                </c:pt>
                <c:pt idx="821">
                  <c:v>6.705777620000003E-2</c:v>
                </c:pt>
                <c:pt idx="822">
                  <c:v>6.705777620000003E-2</c:v>
                </c:pt>
                <c:pt idx="823">
                  <c:v>9.0231020800000006E-2</c:v>
                </c:pt>
                <c:pt idx="824">
                  <c:v>9.0508761500000048E-2</c:v>
                </c:pt>
                <c:pt idx="825">
                  <c:v>9.0564060600006283E-2</c:v>
                </c:pt>
                <c:pt idx="826">
                  <c:v>9.0567445900007412E-2</c:v>
                </c:pt>
                <c:pt idx="827">
                  <c:v>9.0567791700000067E-2</c:v>
                </c:pt>
                <c:pt idx="828">
                  <c:v>9.0567807600000064E-2</c:v>
                </c:pt>
                <c:pt idx="829">
                  <c:v>9.0567811200000028E-2</c:v>
                </c:pt>
                <c:pt idx="830">
                  <c:v>9.0567811200000028E-2</c:v>
                </c:pt>
                <c:pt idx="831">
                  <c:v>9.0567811200000028E-2</c:v>
                </c:pt>
                <c:pt idx="832">
                  <c:v>9.0567811200000028E-2</c:v>
                </c:pt>
                <c:pt idx="833">
                  <c:v>9.0578502100001068E-2</c:v>
                </c:pt>
                <c:pt idx="834">
                  <c:v>9.0596432200001228E-2</c:v>
                </c:pt>
                <c:pt idx="835">
                  <c:v>9.0597661200000068E-2</c:v>
                </c:pt>
                <c:pt idx="836">
                  <c:v>9.0597718500000063E-2</c:v>
                </c:pt>
                <c:pt idx="837">
                  <c:v>9.0597722500001268E-2</c:v>
                </c:pt>
                <c:pt idx="838">
                  <c:v>9.21699614E-2</c:v>
                </c:pt>
                <c:pt idx="839">
                  <c:v>9.2468443000000025E-2</c:v>
                </c:pt>
                <c:pt idx="840">
                  <c:v>9.2502951300000025E-2</c:v>
                </c:pt>
                <c:pt idx="841">
                  <c:v>9.4221695500001243E-2</c:v>
                </c:pt>
                <c:pt idx="842">
                  <c:v>9.4275227500000044E-2</c:v>
                </c:pt>
                <c:pt idx="843">
                  <c:v>9.4281623699999997E-2</c:v>
                </c:pt>
                <c:pt idx="844">
                  <c:v>9.428187540000002E-2</c:v>
                </c:pt>
                <c:pt idx="845">
                  <c:v>9.5481192800000031E-2</c:v>
                </c:pt>
                <c:pt idx="846">
                  <c:v>9.5571791400000022E-2</c:v>
                </c:pt>
                <c:pt idx="847">
                  <c:v>9.5614899200001227E-2</c:v>
                </c:pt>
                <c:pt idx="848">
                  <c:v>9.5618061100000068E-2</c:v>
                </c:pt>
                <c:pt idx="849">
                  <c:v>9.5618166500000226E-2</c:v>
                </c:pt>
                <c:pt idx="850">
                  <c:v>9.5618177800000009E-2</c:v>
                </c:pt>
                <c:pt idx="851">
                  <c:v>9.5618181200000013E-2</c:v>
                </c:pt>
                <c:pt idx="852">
                  <c:v>9.5618181299999994E-2</c:v>
                </c:pt>
                <c:pt idx="853">
                  <c:v>9.5618181299999994E-2</c:v>
                </c:pt>
                <c:pt idx="854">
                  <c:v>9.5618181299999994E-2</c:v>
                </c:pt>
                <c:pt idx="855">
                  <c:v>9.5618181299999994E-2</c:v>
                </c:pt>
                <c:pt idx="856">
                  <c:v>9.5618181299999994E-2</c:v>
                </c:pt>
                <c:pt idx="857">
                  <c:v>9.5618181299999994E-2</c:v>
                </c:pt>
                <c:pt idx="858">
                  <c:v>9.5618181299999994E-2</c:v>
                </c:pt>
                <c:pt idx="859">
                  <c:v>9.5618181299999994E-2</c:v>
                </c:pt>
                <c:pt idx="860">
                  <c:v>9.5618181299999994E-2</c:v>
                </c:pt>
                <c:pt idx="861">
                  <c:v>9.5618181299999994E-2</c:v>
                </c:pt>
                <c:pt idx="862">
                  <c:v>9.5618181299999994E-2</c:v>
                </c:pt>
                <c:pt idx="863">
                  <c:v>9.5618181299999994E-2</c:v>
                </c:pt>
                <c:pt idx="864">
                  <c:v>9.5618181299999994E-2</c:v>
                </c:pt>
                <c:pt idx="865">
                  <c:v>9.5618181299999994E-2</c:v>
                </c:pt>
                <c:pt idx="866">
                  <c:v>9.5618181299999994E-2</c:v>
                </c:pt>
                <c:pt idx="867">
                  <c:v>9.5618181299999994E-2</c:v>
                </c:pt>
                <c:pt idx="868">
                  <c:v>9.5618181299999994E-2</c:v>
                </c:pt>
                <c:pt idx="869">
                  <c:v>9.5618181299999994E-2</c:v>
                </c:pt>
                <c:pt idx="870">
                  <c:v>9.5618181299999994E-2</c:v>
                </c:pt>
                <c:pt idx="871">
                  <c:v>9.5618181299999994E-2</c:v>
                </c:pt>
                <c:pt idx="872">
                  <c:v>9.5618181299999994E-2</c:v>
                </c:pt>
                <c:pt idx="873">
                  <c:v>9.5618181299999994E-2</c:v>
                </c:pt>
                <c:pt idx="874">
                  <c:v>9.5618727800000011E-2</c:v>
                </c:pt>
                <c:pt idx="875">
                  <c:v>9.5622062200005228E-2</c:v>
                </c:pt>
                <c:pt idx="876">
                  <c:v>9.5622465400005727E-2</c:v>
                </c:pt>
                <c:pt idx="877">
                  <c:v>9.5622900000000066E-2</c:v>
                </c:pt>
                <c:pt idx="878">
                  <c:v>9.5622925300005268E-2</c:v>
                </c:pt>
                <c:pt idx="879">
                  <c:v>9.5622928300005766E-2</c:v>
                </c:pt>
                <c:pt idx="880">
                  <c:v>9.5622928300005766E-2</c:v>
                </c:pt>
                <c:pt idx="881">
                  <c:v>9.5622928300005766E-2</c:v>
                </c:pt>
                <c:pt idx="882">
                  <c:v>9.599651720000002E-2</c:v>
                </c:pt>
                <c:pt idx="883">
                  <c:v>9.6044336600000044E-2</c:v>
                </c:pt>
                <c:pt idx="884">
                  <c:v>9.6144307000000026E-2</c:v>
                </c:pt>
                <c:pt idx="885">
                  <c:v>9.6151232000000017E-2</c:v>
                </c:pt>
                <c:pt idx="886">
                  <c:v>9.6151350300000868E-2</c:v>
                </c:pt>
                <c:pt idx="887">
                  <c:v>9.6151362200004767E-2</c:v>
                </c:pt>
                <c:pt idx="888">
                  <c:v>9.6151363300005746E-2</c:v>
                </c:pt>
                <c:pt idx="889">
                  <c:v>9.6151363300005746E-2</c:v>
                </c:pt>
                <c:pt idx="890">
                  <c:v>9.8088806300000067E-2</c:v>
                </c:pt>
                <c:pt idx="891">
                  <c:v>9.8137068500007557E-2</c:v>
                </c:pt>
                <c:pt idx="892">
                  <c:v>9.8219428800000022E-2</c:v>
                </c:pt>
                <c:pt idx="893">
                  <c:v>9.8224886600000727E-2</c:v>
                </c:pt>
                <c:pt idx="894">
                  <c:v>9.8224963100009402E-2</c:v>
                </c:pt>
                <c:pt idx="895">
                  <c:v>9.8224964700007272E-2</c:v>
                </c:pt>
                <c:pt idx="896">
                  <c:v>9.8224964700007272E-2</c:v>
                </c:pt>
                <c:pt idx="897">
                  <c:v>9.8224964700007272E-2</c:v>
                </c:pt>
                <c:pt idx="898">
                  <c:v>9.8224964700007272E-2</c:v>
                </c:pt>
                <c:pt idx="899">
                  <c:v>9.8224964700007272E-2</c:v>
                </c:pt>
                <c:pt idx="900">
                  <c:v>9.8224964700007272E-2</c:v>
                </c:pt>
                <c:pt idx="901">
                  <c:v>9.8224964700007272E-2</c:v>
                </c:pt>
                <c:pt idx="902">
                  <c:v>9.8224964700007272E-2</c:v>
                </c:pt>
                <c:pt idx="903">
                  <c:v>9.8224964700007272E-2</c:v>
                </c:pt>
                <c:pt idx="904">
                  <c:v>9.8224964700007272E-2</c:v>
                </c:pt>
                <c:pt idx="905">
                  <c:v>9.8224964700007272E-2</c:v>
                </c:pt>
                <c:pt idx="906">
                  <c:v>9.8224964700007272E-2</c:v>
                </c:pt>
                <c:pt idx="907">
                  <c:v>9.8224964700007272E-2</c:v>
                </c:pt>
                <c:pt idx="908">
                  <c:v>9.8224964700007272E-2</c:v>
                </c:pt>
                <c:pt idx="909">
                  <c:v>9.8224964700007272E-2</c:v>
                </c:pt>
                <c:pt idx="910">
                  <c:v>9.8224964700007272E-2</c:v>
                </c:pt>
                <c:pt idx="911">
                  <c:v>9.8224964700007272E-2</c:v>
                </c:pt>
                <c:pt idx="912">
                  <c:v>9.8224964700007272E-2</c:v>
                </c:pt>
                <c:pt idx="913">
                  <c:v>9.8224964700007272E-2</c:v>
                </c:pt>
                <c:pt idx="914">
                  <c:v>9.8224964700007272E-2</c:v>
                </c:pt>
                <c:pt idx="915">
                  <c:v>9.8224964700007272E-2</c:v>
                </c:pt>
                <c:pt idx="916">
                  <c:v>9.8224964700007272E-2</c:v>
                </c:pt>
                <c:pt idx="917">
                  <c:v>9.8224964700007272E-2</c:v>
                </c:pt>
                <c:pt idx="918">
                  <c:v>9.8224964700007272E-2</c:v>
                </c:pt>
                <c:pt idx="919">
                  <c:v>9.8224964700007272E-2</c:v>
                </c:pt>
                <c:pt idx="920">
                  <c:v>9.8224964700007272E-2</c:v>
                </c:pt>
                <c:pt idx="921">
                  <c:v>9.8224964700007272E-2</c:v>
                </c:pt>
                <c:pt idx="922">
                  <c:v>9.8224964700007272E-2</c:v>
                </c:pt>
                <c:pt idx="923">
                  <c:v>9.8224964700007272E-2</c:v>
                </c:pt>
                <c:pt idx="924">
                  <c:v>9.8224964700007272E-2</c:v>
                </c:pt>
                <c:pt idx="925">
                  <c:v>9.8237994100000267E-2</c:v>
                </c:pt>
                <c:pt idx="926">
                  <c:v>9.8329456800000048E-2</c:v>
                </c:pt>
                <c:pt idx="927">
                  <c:v>9.8458013900000044E-2</c:v>
                </c:pt>
                <c:pt idx="928">
                  <c:v>9.8462904500000004E-2</c:v>
                </c:pt>
                <c:pt idx="929">
                  <c:v>9.8463178000000026E-2</c:v>
                </c:pt>
                <c:pt idx="930">
                  <c:v>9.8463181799999966E-2</c:v>
                </c:pt>
                <c:pt idx="931">
                  <c:v>9.846318189999996E-2</c:v>
                </c:pt>
                <c:pt idx="932">
                  <c:v>9.846318189999996E-2</c:v>
                </c:pt>
                <c:pt idx="933">
                  <c:v>9.846318189999996E-2</c:v>
                </c:pt>
                <c:pt idx="934">
                  <c:v>9.846318189999996E-2</c:v>
                </c:pt>
                <c:pt idx="935">
                  <c:v>9.846318189999996E-2</c:v>
                </c:pt>
                <c:pt idx="936">
                  <c:v>9.846318189999996E-2</c:v>
                </c:pt>
                <c:pt idx="937">
                  <c:v>9.846318189999996E-2</c:v>
                </c:pt>
                <c:pt idx="938">
                  <c:v>9.846318189999996E-2</c:v>
                </c:pt>
                <c:pt idx="939">
                  <c:v>9.846318189999996E-2</c:v>
                </c:pt>
                <c:pt idx="940">
                  <c:v>9.846318189999996E-2</c:v>
                </c:pt>
                <c:pt idx="941">
                  <c:v>9.846318189999996E-2</c:v>
                </c:pt>
                <c:pt idx="942">
                  <c:v>9.846318189999996E-2</c:v>
                </c:pt>
                <c:pt idx="943">
                  <c:v>9.846318189999996E-2</c:v>
                </c:pt>
                <c:pt idx="944">
                  <c:v>9.846318189999996E-2</c:v>
                </c:pt>
                <c:pt idx="945">
                  <c:v>9.846318189999996E-2</c:v>
                </c:pt>
                <c:pt idx="946">
                  <c:v>9.846318189999996E-2</c:v>
                </c:pt>
                <c:pt idx="947">
                  <c:v>9.846318189999996E-2</c:v>
                </c:pt>
                <c:pt idx="948">
                  <c:v>9.846318189999996E-2</c:v>
                </c:pt>
                <c:pt idx="949">
                  <c:v>9.846318189999996E-2</c:v>
                </c:pt>
                <c:pt idx="950">
                  <c:v>9.846318189999996E-2</c:v>
                </c:pt>
                <c:pt idx="951">
                  <c:v>9.846318189999996E-2</c:v>
                </c:pt>
                <c:pt idx="952">
                  <c:v>9.846318189999996E-2</c:v>
                </c:pt>
                <c:pt idx="953">
                  <c:v>9.846318189999996E-2</c:v>
                </c:pt>
                <c:pt idx="954">
                  <c:v>9.846318189999996E-2</c:v>
                </c:pt>
                <c:pt idx="955">
                  <c:v>9.846318189999996E-2</c:v>
                </c:pt>
                <c:pt idx="956">
                  <c:v>9.846318189999996E-2</c:v>
                </c:pt>
                <c:pt idx="957">
                  <c:v>9.846318189999996E-2</c:v>
                </c:pt>
                <c:pt idx="958">
                  <c:v>9.846318189999996E-2</c:v>
                </c:pt>
                <c:pt idx="959">
                  <c:v>9.846318189999996E-2</c:v>
                </c:pt>
                <c:pt idx="960">
                  <c:v>9.846318189999996E-2</c:v>
                </c:pt>
                <c:pt idx="961">
                  <c:v>9.846318189999996E-2</c:v>
                </c:pt>
                <c:pt idx="962">
                  <c:v>9.846318189999996E-2</c:v>
                </c:pt>
                <c:pt idx="963">
                  <c:v>9.846318189999996E-2</c:v>
                </c:pt>
                <c:pt idx="964">
                  <c:v>9.846318189999996E-2</c:v>
                </c:pt>
                <c:pt idx="965">
                  <c:v>9.9771758600000024E-2</c:v>
                </c:pt>
                <c:pt idx="966">
                  <c:v>0.10050590229999996</c:v>
                </c:pt>
                <c:pt idx="967">
                  <c:v>0.10084851469999283</c:v>
                </c:pt>
                <c:pt idx="968">
                  <c:v>0.10087341329999995</c:v>
                </c:pt>
                <c:pt idx="969">
                  <c:v>0.10087351069999995</c:v>
                </c:pt>
                <c:pt idx="970">
                  <c:v>0.10087351119999995</c:v>
                </c:pt>
                <c:pt idx="971">
                  <c:v>0.10087351119999995</c:v>
                </c:pt>
                <c:pt idx="972">
                  <c:v>0.10087351119999995</c:v>
                </c:pt>
                <c:pt idx="973">
                  <c:v>0.10087351119999995</c:v>
                </c:pt>
                <c:pt idx="974">
                  <c:v>0.10087351119999995</c:v>
                </c:pt>
                <c:pt idx="975">
                  <c:v>0.10087351119999995</c:v>
                </c:pt>
                <c:pt idx="976">
                  <c:v>0.10087351119999995</c:v>
                </c:pt>
                <c:pt idx="977">
                  <c:v>0.10087351119999995</c:v>
                </c:pt>
                <c:pt idx="978">
                  <c:v>0.10087351119999995</c:v>
                </c:pt>
                <c:pt idx="979">
                  <c:v>0.10087351119999995</c:v>
                </c:pt>
                <c:pt idx="980">
                  <c:v>0.10087351119999995</c:v>
                </c:pt>
                <c:pt idx="981">
                  <c:v>0.10087351119999995</c:v>
                </c:pt>
                <c:pt idx="982">
                  <c:v>0.10087351119999995</c:v>
                </c:pt>
                <c:pt idx="983">
                  <c:v>0.10087351119999995</c:v>
                </c:pt>
                <c:pt idx="984">
                  <c:v>0.10087351119999995</c:v>
                </c:pt>
                <c:pt idx="985">
                  <c:v>0.10087351119999995</c:v>
                </c:pt>
                <c:pt idx="986">
                  <c:v>0.10087351119999995</c:v>
                </c:pt>
                <c:pt idx="987">
                  <c:v>0.10087351119999995</c:v>
                </c:pt>
                <c:pt idx="988">
                  <c:v>0.10087351119999995</c:v>
                </c:pt>
                <c:pt idx="989">
                  <c:v>0.10087351119999995</c:v>
                </c:pt>
                <c:pt idx="990">
                  <c:v>0.10087351119999995</c:v>
                </c:pt>
                <c:pt idx="991">
                  <c:v>0.10087351119999995</c:v>
                </c:pt>
                <c:pt idx="992">
                  <c:v>0.10087351119999995</c:v>
                </c:pt>
                <c:pt idx="993">
                  <c:v>0.10087351119999995</c:v>
                </c:pt>
                <c:pt idx="994">
                  <c:v>0.10087351119999995</c:v>
                </c:pt>
                <c:pt idx="995">
                  <c:v>0.10087351119999995</c:v>
                </c:pt>
                <c:pt idx="996">
                  <c:v>0.10087351119999995</c:v>
                </c:pt>
                <c:pt idx="997">
                  <c:v>0.10087351119999995</c:v>
                </c:pt>
                <c:pt idx="998">
                  <c:v>0.10087351119999995</c:v>
                </c:pt>
                <c:pt idx="999">
                  <c:v>0.10087351119999995</c:v>
                </c:pt>
                <c:pt idx="1000">
                  <c:v>0.10087351119999995</c:v>
                </c:pt>
                <c:pt idx="1001">
                  <c:v>0.10087351119999995</c:v>
                </c:pt>
                <c:pt idx="1002">
                  <c:v>0.10087351119999995</c:v>
                </c:pt>
                <c:pt idx="1003">
                  <c:v>0.10087351119999995</c:v>
                </c:pt>
                <c:pt idx="1004">
                  <c:v>0.10087351119999995</c:v>
                </c:pt>
                <c:pt idx="1005">
                  <c:v>0.10087351119999995</c:v>
                </c:pt>
                <c:pt idx="1006">
                  <c:v>0.10087351119999995</c:v>
                </c:pt>
                <c:pt idx="1007">
                  <c:v>0.10087351119999995</c:v>
                </c:pt>
                <c:pt idx="1008">
                  <c:v>0.10087351119999995</c:v>
                </c:pt>
                <c:pt idx="1009">
                  <c:v>0.10087351119999995</c:v>
                </c:pt>
                <c:pt idx="1010">
                  <c:v>0.10087351119999995</c:v>
                </c:pt>
                <c:pt idx="1011">
                  <c:v>0.10087351119999995</c:v>
                </c:pt>
                <c:pt idx="1012">
                  <c:v>0.10087351119999995</c:v>
                </c:pt>
                <c:pt idx="1013">
                  <c:v>0.10087351119999995</c:v>
                </c:pt>
                <c:pt idx="1014">
                  <c:v>0.10087351119999995</c:v>
                </c:pt>
                <c:pt idx="1015">
                  <c:v>0.10087351119999995</c:v>
                </c:pt>
                <c:pt idx="1016">
                  <c:v>0.10087351119999995</c:v>
                </c:pt>
                <c:pt idx="1017">
                  <c:v>0.10087351119999995</c:v>
                </c:pt>
                <c:pt idx="1018">
                  <c:v>0.10087351119999995</c:v>
                </c:pt>
                <c:pt idx="1019">
                  <c:v>0.10087351119999995</c:v>
                </c:pt>
                <c:pt idx="1020">
                  <c:v>0.10087351119999995</c:v>
                </c:pt>
                <c:pt idx="1021">
                  <c:v>0.10087351119999995</c:v>
                </c:pt>
                <c:pt idx="1022">
                  <c:v>0.10087351119999995</c:v>
                </c:pt>
                <c:pt idx="1023">
                  <c:v>0.10087351119999995</c:v>
                </c:pt>
                <c:pt idx="1024">
                  <c:v>0.10087351119999995</c:v>
                </c:pt>
                <c:pt idx="1025">
                  <c:v>0.10087351119999995</c:v>
                </c:pt>
                <c:pt idx="1026">
                  <c:v>0.10087351119999995</c:v>
                </c:pt>
                <c:pt idx="1027">
                  <c:v>0.10087351119999995</c:v>
                </c:pt>
                <c:pt idx="1028">
                  <c:v>0.10087351119999995</c:v>
                </c:pt>
                <c:pt idx="1029">
                  <c:v>0.10087351119999995</c:v>
                </c:pt>
                <c:pt idx="1030">
                  <c:v>0.10087351119999995</c:v>
                </c:pt>
                <c:pt idx="1031">
                  <c:v>0.10087351119999995</c:v>
                </c:pt>
                <c:pt idx="1032">
                  <c:v>0.10087351119999995</c:v>
                </c:pt>
                <c:pt idx="1033">
                  <c:v>0.10087351119999995</c:v>
                </c:pt>
                <c:pt idx="1034">
                  <c:v>0.10087351119999995</c:v>
                </c:pt>
                <c:pt idx="1035">
                  <c:v>0.10087351119999995</c:v>
                </c:pt>
                <c:pt idx="1036">
                  <c:v>0.10087351119999995</c:v>
                </c:pt>
                <c:pt idx="1037">
                  <c:v>0.10087351119999995</c:v>
                </c:pt>
                <c:pt idx="1038">
                  <c:v>0.10087351119999995</c:v>
                </c:pt>
                <c:pt idx="1039">
                  <c:v>0.10087351119999995</c:v>
                </c:pt>
                <c:pt idx="1040">
                  <c:v>0.10087351119999995</c:v>
                </c:pt>
                <c:pt idx="1041">
                  <c:v>0.10087351119999995</c:v>
                </c:pt>
                <c:pt idx="1042">
                  <c:v>0.10087351119999995</c:v>
                </c:pt>
                <c:pt idx="1043">
                  <c:v>0.10087351119999995</c:v>
                </c:pt>
                <c:pt idx="1044">
                  <c:v>0.10087351119999995</c:v>
                </c:pt>
                <c:pt idx="1045">
                  <c:v>0.10087351119999995</c:v>
                </c:pt>
                <c:pt idx="1046">
                  <c:v>0.10087351119999995</c:v>
                </c:pt>
                <c:pt idx="1047">
                  <c:v>0.10087351119999995</c:v>
                </c:pt>
                <c:pt idx="1048">
                  <c:v>0.10087351119999995</c:v>
                </c:pt>
                <c:pt idx="1049">
                  <c:v>0.10087351119999995</c:v>
                </c:pt>
                <c:pt idx="1050">
                  <c:v>0.10087351119999995</c:v>
                </c:pt>
                <c:pt idx="1051">
                  <c:v>0.10087351119999995</c:v>
                </c:pt>
                <c:pt idx="1052">
                  <c:v>0.10087351119999995</c:v>
                </c:pt>
                <c:pt idx="1053">
                  <c:v>0.10087351119999995</c:v>
                </c:pt>
                <c:pt idx="1054">
                  <c:v>0.10087351119999995</c:v>
                </c:pt>
                <c:pt idx="1055">
                  <c:v>0.10087351119999995</c:v>
                </c:pt>
                <c:pt idx="1056">
                  <c:v>0.10087351119999995</c:v>
                </c:pt>
                <c:pt idx="1057">
                  <c:v>0.10087351119999995</c:v>
                </c:pt>
                <c:pt idx="1058">
                  <c:v>0.10087351119999995</c:v>
                </c:pt>
                <c:pt idx="1059">
                  <c:v>0.10087351119999995</c:v>
                </c:pt>
                <c:pt idx="1060">
                  <c:v>0.10087351119999995</c:v>
                </c:pt>
                <c:pt idx="1061">
                  <c:v>0.10087351119999995</c:v>
                </c:pt>
                <c:pt idx="1062">
                  <c:v>0.10087351119999995</c:v>
                </c:pt>
                <c:pt idx="1063">
                  <c:v>0.10087351119999995</c:v>
                </c:pt>
                <c:pt idx="1064">
                  <c:v>0.10087351119999995</c:v>
                </c:pt>
                <c:pt idx="1065">
                  <c:v>0.10087351119999995</c:v>
                </c:pt>
                <c:pt idx="1066">
                  <c:v>0.10087351119999995</c:v>
                </c:pt>
                <c:pt idx="1067">
                  <c:v>0.10087351119999995</c:v>
                </c:pt>
                <c:pt idx="1068">
                  <c:v>0.10087351119999995</c:v>
                </c:pt>
                <c:pt idx="1069">
                  <c:v>0.10087351119999995</c:v>
                </c:pt>
                <c:pt idx="1070">
                  <c:v>0.10087351119999995</c:v>
                </c:pt>
                <c:pt idx="1071">
                  <c:v>0.10087351119999995</c:v>
                </c:pt>
                <c:pt idx="1072">
                  <c:v>0.10087351119999995</c:v>
                </c:pt>
                <c:pt idx="1073">
                  <c:v>0.10087351119999995</c:v>
                </c:pt>
                <c:pt idx="1074">
                  <c:v>0.10087351119999995</c:v>
                </c:pt>
                <c:pt idx="1075">
                  <c:v>0.10087351119999995</c:v>
                </c:pt>
                <c:pt idx="1076">
                  <c:v>0.10087351119999995</c:v>
                </c:pt>
                <c:pt idx="1077">
                  <c:v>0.10087351119999995</c:v>
                </c:pt>
                <c:pt idx="1078">
                  <c:v>0.10087351119999995</c:v>
                </c:pt>
                <c:pt idx="1079">
                  <c:v>0.10087351119999995</c:v>
                </c:pt>
                <c:pt idx="1080">
                  <c:v>0.10087351119999995</c:v>
                </c:pt>
                <c:pt idx="1081">
                  <c:v>0.10087351119999995</c:v>
                </c:pt>
                <c:pt idx="1082">
                  <c:v>0.10087351119999995</c:v>
                </c:pt>
                <c:pt idx="1083">
                  <c:v>0.10087351119999995</c:v>
                </c:pt>
                <c:pt idx="1084">
                  <c:v>0.10087351119999995</c:v>
                </c:pt>
                <c:pt idx="1085">
                  <c:v>0.10087351119999995</c:v>
                </c:pt>
                <c:pt idx="1086">
                  <c:v>0.10087351119999995</c:v>
                </c:pt>
                <c:pt idx="1087">
                  <c:v>0.10087351119999995</c:v>
                </c:pt>
                <c:pt idx="1088">
                  <c:v>0.10087351119999995</c:v>
                </c:pt>
                <c:pt idx="1089">
                  <c:v>0.10087351119999995</c:v>
                </c:pt>
                <c:pt idx="1090">
                  <c:v>0.10087351119999995</c:v>
                </c:pt>
                <c:pt idx="1091">
                  <c:v>0.10087351119999995</c:v>
                </c:pt>
                <c:pt idx="1092">
                  <c:v>0.10087351119999995</c:v>
                </c:pt>
                <c:pt idx="1093">
                  <c:v>0.10087351119999995</c:v>
                </c:pt>
                <c:pt idx="1094">
                  <c:v>0.10087351119999995</c:v>
                </c:pt>
                <c:pt idx="1095">
                  <c:v>0.10087351119999995</c:v>
                </c:pt>
                <c:pt idx="1096">
                  <c:v>0.10087351119999995</c:v>
                </c:pt>
                <c:pt idx="1097">
                  <c:v>0.10087351119999995</c:v>
                </c:pt>
                <c:pt idx="1098">
                  <c:v>0.10087351119999995</c:v>
                </c:pt>
                <c:pt idx="1099">
                  <c:v>0.10087351119999995</c:v>
                </c:pt>
                <c:pt idx="1100">
                  <c:v>0.10087351119999995</c:v>
                </c:pt>
                <c:pt idx="1101">
                  <c:v>0.10087351119999995</c:v>
                </c:pt>
                <c:pt idx="1102">
                  <c:v>0.10087351119999995</c:v>
                </c:pt>
                <c:pt idx="1103">
                  <c:v>0.10087351119999995</c:v>
                </c:pt>
                <c:pt idx="1104">
                  <c:v>0.10087351119999995</c:v>
                </c:pt>
                <c:pt idx="1105">
                  <c:v>0.10087351119999995</c:v>
                </c:pt>
                <c:pt idx="1106">
                  <c:v>0.10087351119999995</c:v>
                </c:pt>
                <c:pt idx="1107">
                  <c:v>0.10087351119999995</c:v>
                </c:pt>
                <c:pt idx="1108">
                  <c:v>0.10087351119999995</c:v>
                </c:pt>
                <c:pt idx="1109">
                  <c:v>0.10087351119999995</c:v>
                </c:pt>
                <c:pt idx="1110">
                  <c:v>0.10087351119999995</c:v>
                </c:pt>
                <c:pt idx="1111">
                  <c:v>0.10087351119999995</c:v>
                </c:pt>
                <c:pt idx="1112">
                  <c:v>0.10087351119999995</c:v>
                </c:pt>
                <c:pt idx="1113">
                  <c:v>0.10087351119999995</c:v>
                </c:pt>
                <c:pt idx="1114">
                  <c:v>0.10087351119999995</c:v>
                </c:pt>
                <c:pt idx="1115">
                  <c:v>0.10087351119999995</c:v>
                </c:pt>
                <c:pt idx="1116">
                  <c:v>0.10087351119999995</c:v>
                </c:pt>
                <c:pt idx="1117">
                  <c:v>0.10087351119999995</c:v>
                </c:pt>
                <c:pt idx="1118">
                  <c:v>0.10087351119999995</c:v>
                </c:pt>
                <c:pt idx="1119">
                  <c:v>0.10087351119999995</c:v>
                </c:pt>
                <c:pt idx="1120">
                  <c:v>0.10087351119999995</c:v>
                </c:pt>
                <c:pt idx="1121">
                  <c:v>0.10087351119999995</c:v>
                </c:pt>
                <c:pt idx="1122">
                  <c:v>0.10087351119999995</c:v>
                </c:pt>
                <c:pt idx="1123">
                  <c:v>0.10087351119999995</c:v>
                </c:pt>
                <c:pt idx="1124">
                  <c:v>0.10087351119999995</c:v>
                </c:pt>
                <c:pt idx="1125">
                  <c:v>0.10087351119999995</c:v>
                </c:pt>
                <c:pt idx="1126">
                  <c:v>0.10087351119999995</c:v>
                </c:pt>
                <c:pt idx="1127">
                  <c:v>0.10087351119999995</c:v>
                </c:pt>
                <c:pt idx="1128">
                  <c:v>0.10087351119999995</c:v>
                </c:pt>
                <c:pt idx="1129">
                  <c:v>0.10087351119999995</c:v>
                </c:pt>
                <c:pt idx="1130">
                  <c:v>0.10087351119999995</c:v>
                </c:pt>
                <c:pt idx="1131">
                  <c:v>0.10087351119999995</c:v>
                </c:pt>
                <c:pt idx="1132">
                  <c:v>0.10087351119999995</c:v>
                </c:pt>
                <c:pt idx="1133">
                  <c:v>0.10087351119999995</c:v>
                </c:pt>
                <c:pt idx="1134">
                  <c:v>0.10087351119999995</c:v>
                </c:pt>
                <c:pt idx="1135">
                  <c:v>0.10087351119999995</c:v>
                </c:pt>
                <c:pt idx="1136">
                  <c:v>0.10087351119999995</c:v>
                </c:pt>
                <c:pt idx="1137">
                  <c:v>0.10087351119999995</c:v>
                </c:pt>
                <c:pt idx="1138">
                  <c:v>0.10087351119999995</c:v>
                </c:pt>
                <c:pt idx="1139">
                  <c:v>0.10087351119999995</c:v>
                </c:pt>
                <c:pt idx="1140">
                  <c:v>0.10087351119999995</c:v>
                </c:pt>
                <c:pt idx="1141">
                  <c:v>0.10087351119999995</c:v>
                </c:pt>
                <c:pt idx="1142">
                  <c:v>0.10087351119999995</c:v>
                </c:pt>
                <c:pt idx="1143">
                  <c:v>0.10087351119999995</c:v>
                </c:pt>
                <c:pt idx="1144">
                  <c:v>0.10087351119999995</c:v>
                </c:pt>
                <c:pt idx="1145">
                  <c:v>0.10087351119999995</c:v>
                </c:pt>
                <c:pt idx="1146">
                  <c:v>0.10087351119999995</c:v>
                </c:pt>
                <c:pt idx="1147">
                  <c:v>0.10087351119999995</c:v>
                </c:pt>
                <c:pt idx="1148">
                  <c:v>0.10087351119999995</c:v>
                </c:pt>
                <c:pt idx="1149">
                  <c:v>0.10087351119999995</c:v>
                </c:pt>
                <c:pt idx="1150">
                  <c:v>0.10087351119999995</c:v>
                </c:pt>
                <c:pt idx="1151">
                  <c:v>0.10087351119999995</c:v>
                </c:pt>
                <c:pt idx="1152">
                  <c:v>0.10087351119999995</c:v>
                </c:pt>
                <c:pt idx="1153">
                  <c:v>0.10087351119999995</c:v>
                </c:pt>
                <c:pt idx="1154">
                  <c:v>0.10087351119999995</c:v>
                </c:pt>
                <c:pt idx="1155">
                  <c:v>0.10087351119999995</c:v>
                </c:pt>
                <c:pt idx="1156">
                  <c:v>0.10087351119999995</c:v>
                </c:pt>
                <c:pt idx="1157">
                  <c:v>0.10087351119999995</c:v>
                </c:pt>
                <c:pt idx="1158">
                  <c:v>0.10087351119999995</c:v>
                </c:pt>
                <c:pt idx="1159">
                  <c:v>0.10087351119999995</c:v>
                </c:pt>
                <c:pt idx="1160">
                  <c:v>0.10087351119999995</c:v>
                </c:pt>
                <c:pt idx="1161">
                  <c:v>0.10087351119999995</c:v>
                </c:pt>
                <c:pt idx="1162">
                  <c:v>0.10087351119999995</c:v>
                </c:pt>
                <c:pt idx="1163">
                  <c:v>0.10087351119999995</c:v>
                </c:pt>
                <c:pt idx="1164">
                  <c:v>0.10087351119999995</c:v>
                </c:pt>
                <c:pt idx="1165">
                  <c:v>0.10087351119999995</c:v>
                </c:pt>
                <c:pt idx="1166">
                  <c:v>0.10087351119999995</c:v>
                </c:pt>
                <c:pt idx="1167">
                  <c:v>0.10087351119999995</c:v>
                </c:pt>
                <c:pt idx="1168">
                  <c:v>0.10087351119999995</c:v>
                </c:pt>
                <c:pt idx="1169">
                  <c:v>0.10087351119999995</c:v>
                </c:pt>
                <c:pt idx="1170">
                  <c:v>0.10087351119999995</c:v>
                </c:pt>
                <c:pt idx="1171">
                  <c:v>0.10087351119999995</c:v>
                </c:pt>
                <c:pt idx="1172">
                  <c:v>0.10087351119999995</c:v>
                </c:pt>
                <c:pt idx="1173">
                  <c:v>0.10087351119999995</c:v>
                </c:pt>
                <c:pt idx="1174">
                  <c:v>0.10087351119999995</c:v>
                </c:pt>
                <c:pt idx="1175">
                  <c:v>0.10087351119999995</c:v>
                </c:pt>
                <c:pt idx="1176">
                  <c:v>0.10087351119999995</c:v>
                </c:pt>
                <c:pt idx="1177">
                  <c:v>0.10087351119999995</c:v>
                </c:pt>
                <c:pt idx="1178">
                  <c:v>0.10087351119999995</c:v>
                </c:pt>
                <c:pt idx="1179">
                  <c:v>0.10087351119999995</c:v>
                </c:pt>
                <c:pt idx="1180">
                  <c:v>0.10372155390000504</c:v>
                </c:pt>
                <c:pt idx="1181">
                  <c:v>0.10410278519999996</c:v>
                </c:pt>
                <c:pt idx="1182">
                  <c:v>0.10413976909999996</c:v>
                </c:pt>
                <c:pt idx="1183">
                  <c:v>0.10414109509999994</c:v>
                </c:pt>
                <c:pt idx="1184">
                  <c:v>0.10414112119999996</c:v>
                </c:pt>
                <c:pt idx="1185">
                  <c:v>0.10414112130000019</c:v>
                </c:pt>
                <c:pt idx="1186">
                  <c:v>0.10414112130000019</c:v>
                </c:pt>
                <c:pt idx="1187">
                  <c:v>0.10414112130000019</c:v>
                </c:pt>
                <c:pt idx="1188">
                  <c:v>0.10414112130000019</c:v>
                </c:pt>
                <c:pt idx="1189">
                  <c:v>0.10414112130000019</c:v>
                </c:pt>
                <c:pt idx="1190">
                  <c:v>0.10414112130000019</c:v>
                </c:pt>
                <c:pt idx="1191">
                  <c:v>0.10414112130000019</c:v>
                </c:pt>
                <c:pt idx="1192">
                  <c:v>0.10414112130000019</c:v>
                </c:pt>
                <c:pt idx="1193">
                  <c:v>0.10414112130000019</c:v>
                </c:pt>
                <c:pt idx="1194">
                  <c:v>0.10414112130000019</c:v>
                </c:pt>
                <c:pt idx="1195">
                  <c:v>0.10414112130000019</c:v>
                </c:pt>
                <c:pt idx="1196">
                  <c:v>0.10414112130000019</c:v>
                </c:pt>
                <c:pt idx="1197">
                  <c:v>0.10414112130000019</c:v>
                </c:pt>
                <c:pt idx="1198">
                  <c:v>0.10414112130000019</c:v>
                </c:pt>
                <c:pt idx="1199">
                  <c:v>0.10414112130000019</c:v>
                </c:pt>
                <c:pt idx="1200">
                  <c:v>0.10414112130000019</c:v>
                </c:pt>
                <c:pt idx="1201">
                  <c:v>0.10414113799999992</c:v>
                </c:pt>
                <c:pt idx="1202">
                  <c:v>0.10414128609999992</c:v>
                </c:pt>
                <c:pt idx="1203">
                  <c:v>0.10414129499999999</c:v>
                </c:pt>
                <c:pt idx="1204">
                  <c:v>0.10672429010000391</c:v>
                </c:pt>
                <c:pt idx="1205">
                  <c:v>0.10690139349999993</c:v>
                </c:pt>
                <c:pt idx="1206">
                  <c:v>0.10691081529999991</c:v>
                </c:pt>
                <c:pt idx="1207">
                  <c:v>0.10691132149999993</c:v>
                </c:pt>
                <c:pt idx="1208">
                  <c:v>0.10861173389999999</c:v>
                </c:pt>
                <c:pt idx="1209">
                  <c:v>0.10863131059999993</c:v>
                </c:pt>
                <c:pt idx="1210">
                  <c:v>0.10868282089999996</c:v>
                </c:pt>
                <c:pt idx="1211">
                  <c:v>0.10868703729999994</c:v>
                </c:pt>
                <c:pt idx="1212">
                  <c:v>0.10868712259999996</c:v>
                </c:pt>
                <c:pt idx="1213">
                  <c:v>0.10868712369999993</c:v>
                </c:pt>
                <c:pt idx="1214">
                  <c:v>0.10868712369999993</c:v>
                </c:pt>
                <c:pt idx="1215">
                  <c:v>0.10868712369999993</c:v>
                </c:pt>
                <c:pt idx="1216">
                  <c:v>0.10868712369999993</c:v>
                </c:pt>
                <c:pt idx="1217">
                  <c:v>0.10868712369999993</c:v>
                </c:pt>
                <c:pt idx="1218">
                  <c:v>0.10868712369999993</c:v>
                </c:pt>
                <c:pt idx="1219">
                  <c:v>0.10868712369999993</c:v>
                </c:pt>
                <c:pt idx="1220">
                  <c:v>0.10868712369999993</c:v>
                </c:pt>
                <c:pt idx="1221">
                  <c:v>0.10868712369999993</c:v>
                </c:pt>
                <c:pt idx="1222">
                  <c:v>0.10868712369999993</c:v>
                </c:pt>
                <c:pt idx="1223">
                  <c:v>0.10868712369999993</c:v>
                </c:pt>
                <c:pt idx="1224">
                  <c:v>0.10868712369999993</c:v>
                </c:pt>
                <c:pt idx="1225">
                  <c:v>0.10868712369999993</c:v>
                </c:pt>
                <c:pt idx="1226">
                  <c:v>0.10868712369999993</c:v>
                </c:pt>
                <c:pt idx="1227">
                  <c:v>0.10868712369999993</c:v>
                </c:pt>
                <c:pt idx="1228">
                  <c:v>0.10868712369999993</c:v>
                </c:pt>
                <c:pt idx="1229">
                  <c:v>0.10868712369999993</c:v>
                </c:pt>
                <c:pt idx="1230">
                  <c:v>0.10868712369999993</c:v>
                </c:pt>
                <c:pt idx="1231">
                  <c:v>0.10868712369999993</c:v>
                </c:pt>
                <c:pt idx="1232">
                  <c:v>0.10868712369999993</c:v>
                </c:pt>
                <c:pt idx="1233">
                  <c:v>0.10938431929999994</c:v>
                </c:pt>
                <c:pt idx="1234">
                  <c:v>0.10945898739999985</c:v>
                </c:pt>
                <c:pt idx="1235">
                  <c:v>0.10947598969999993</c:v>
                </c:pt>
                <c:pt idx="1236">
                  <c:v>0.10947738399999993</c:v>
                </c:pt>
                <c:pt idx="1237">
                  <c:v>0.10947740159999993</c:v>
                </c:pt>
                <c:pt idx="1238">
                  <c:v>0.10947740199999993</c:v>
                </c:pt>
                <c:pt idx="1239">
                  <c:v>0.10947740199999993</c:v>
                </c:pt>
                <c:pt idx="1240">
                  <c:v>0.10947740199999993</c:v>
                </c:pt>
                <c:pt idx="1241">
                  <c:v>0.10947740199999993</c:v>
                </c:pt>
                <c:pt idx="1242">
                  <c:v>0.10947740199999993</c:v>
                </c:pt>
                <c:pt idx="1243">
                  <c:v>0.10947740199999993</c:v>
                </c:pt>
                <c:pt idx="1244">
                  <c:v>0.10980414800000129</c:v>
                </c:pt>
                <c:pt idx="1245">
                  <c:v>0.10989536749999999</c:v>
                </c:pt>
                <c:pt idx="1246">
                  <c:v>0.10990630259999996</c:v>
                </c:pt>
                <c:pt idx="1247">
                  <c:v>0.10990724689999996</c:v>
                </c:pt>
                <c:pt idx="1248">
                  <c:v>0.10990726069999994</c:v>
                </c:pt>
                <c:pt idx="1249">
                  <c:v>0.10990726109999994</c:v>
                </c:pt>
                <c:pt idx="1250">
                  <c:v>0.10990726109999994</c:v>
                </c:pt>
                <c:pt idx="1251">
                  <c:v>0.10990726109999994</c:v>
                </c:pt>
                <c:pt idx="1252">
                  <c:v>0.10990726109999994</c:v>
                </c:pt>
                <c:pt idx="1253">
                  <c:v>0.10990726109999994</c:v>
                </c:pt>
                <c:pt idx="1254">
                  <c:v>0.10990726109999994</c:v>
                </c:pt>
                <c:pt idx="1255">
                  <c:v>0.10990726109999994</c:v>
                </c:pt>
                <c:pt idx="1256">
                  <c:v>0.10990726109999994</c:v>
                </c:pt>
                <c:pt idx="1257">
                  <c:v>0.10990726109999994</c:v>
                </c:pt>
                <c:pt idx="1258">
                  <c:v>0.10990726109999994</c:v>
                </c:pt>
                <c:pt idx="1259">
                  <c:v>0.10990726109999994</c:v>
                </c:pt>
                <c:pt idx="1260">
                  <c:v>0.10990726109999994</c:v>
                </c:pt>
                <c:pt idx="1261">
                  <c:v>0.10990726109999994</c:v>
                </c:pt>
                <c:pt idx="1262">
                  <c:v>0.10990726109999994</c:v>
                </c:pt>
                <c:pt idx="1263">
                  <c:v>0.10990726109999994</c:v>
                </c:pt>
                <c:pt idx="1264">
                  <c:v>0.10990726109999994</c:v>
                </c:pt>
                <c:pt idx="1265">
                  <c:v>0.10990726109999994</c:v>
                </c:pt>
                <c:pt idx="1266">
                  <c:v>0.10990726109999994</c:v>
                </c:pt>
                <c:pt idx="1267">
                  <c:v>0.10990726109999994</c:v>
                </c:pt>
                <c:pt idx="1268">
                  <c:v>0.10990726109999994</c:v>
                </c:pt>
                <c:pt idx="1269">
                  <c:v>0.10990726109999994</c:v>
                </c:pt>
                <c:pt idx="1270">
                  <c:v>0.10990726109999994</c:v>
                </c:pt>
                <c:pt idx="1271">
                  <c:v>0.10990726109999994</c:v>
                </c:pt>
                <c:pt idx="1272">
                  <c:v>0.10990726109999994</c:v>
                </c:pt>
                <c:pt idx="1273">
                  <c:v>0.10990726109999994</c:v>
                </c:pt>
                <c:pt idx="1274">
                  <c:v>0.10990726109999994</c:v>
                </c:pt>
                <c:pt idx="1275">
                  <c:v>0.10990726109999994</c:v>
                </c:pt>
                <c:pt idx="1276">
                  <c:v>0.10990726109999994</c:v>
                </c:pt>
                <c:pt idx="1277">
                  <c:v>0.10990726109999994</c:v>
                </c:pt>
                <c:pt idx="1278">
                  <c:v>0.10990726109999994</c:v>
                </c:pt>
                <c:pt idx="1279">
                  <c:v>0.10990726109999994</c:v>
                </c:pt>
                <c:pt idx="1280">
                  <c:v>0.10990726109999994</c:v>
                </c:pt>
                <c:pt idx="1281">
                  <c:v>0.10990726109999994</c:v>
                </c:pt>
                <c:pt idx="1282">
                  <c:v>0.10990726109999994</c:v>
                </c:pt>
                <c:pt idx="1283">
                  <c:v>0.10990726109999994</c:v>
                </c:pt>
                <c:pt idx="1284">
                  <c:v>0.10990726109999994</c:v>
                </c:pt>
                <c:pt idx="1285">
                  <c:v>0.10990726109999994</c:v>
                </c:pt>
                <c:pt idx="1286">
                  <c:v>0.10990726109999994</c:v>
                </c:pt>
                <c:pt idx="1287">
                  <c:v>0.10990726109999994</c:v>
                </c:pt>
                <c:pt idx="1288">
                  <c:v>0.10990726109999994</c:v>
                </c:pt>
                <c:pt idx="1289">
                  <c:v>0.10990726109999994</c:v>
                </c:pt>
                <c:pt idx="1290">
                  <c:v>0.10990726109999994</c:v>
                </c:pt>
                <c:pt idx="1291">
                  <c:v>0.10990726109999994</c:v>
                </c:pt>
                <c:pt idx="1292">
                  <c:v>0.10990726109999994</c:v>
                </c:pt>
                <c:pt idx="1293">
                  <c:v>0.10990726109999994</c:v>
                </c:pt>
                <c:pt idx="1294">
                  <c:v>0.10990726109999994</c:v>
                </c:pt>
                <c:pt idx="1295">
                  <c:v>0.10990726109999994</c:v>
                </c:pt>
                <c:pt idx="1296">
                  <c:v>0.10990726109999994</c:v>
                </c:pt>
                <c:pt idx="1297">
                  <c:v>0.10990726109999994</c:v>
                </c:pt>
                <c:pt idx="1298">
                  <c:v>0.10990726109999994</c:v>
                </c:pt>
                <c:pt idx="1299">
                  <c:v>0.10990726109999994</c:v>
                </c:pt>
                <c:pt idx="1300">
                  <c:v>0.10990726109999994</c:v>
                </c:pt>
                <c:pt idx="1301">
                  <c:v>0.10990726109999994</c:v>
                </c:pt>
                <c:pt idx="1302">
                  <c:v>0.10990726109999994</c:v>
                </c:pt>
                <c:pt idx="1303">
                  <c:v>0.10990726109999994</c:v>
                </c:pt>
                <c:pt idx="1304">
                  <c:v>0.10990726109999994</c:v>
                </c:pt>
                <c:pt idx="1305">
                  <c:v>0.11043192629999994</c:v>
                </c:pt>
                <c:pt idx="1306">
                  <c:v>0.11233400619999995</c:v>
                </c:pt>
                <c:pt idx="1307">
                  <c:v>0.11234056059999988</c:v>
                </c:pt>
                <c:pt idx="1308">
                  <c:v>0.11234222279999996</c:v>
                </c:pt>
                <c:pt idx="1309">
                  <c:v>0.11234247329999995</c:v>
                </c:pt>
                <c:pt idx="1310">
                  <c:v>0.11234248409999995</c:v>
                </c:pt>
                <c:pt idx="1311">
                  <c:v>0.11234248419999429</c:v>
                </c:pt>
                <c:pt idx="1312">
                  <c:v>0.11234248439999985</c:v>
                </c:pt>
                <c:pt idx="1313">
                  <c:v>0.11234248439999985</c:v>
                </c:pt>
                <c:pt idx="1314">
                  <c:v>0.11234248439999985</c:v>
                </c:pt>
                <c:pt idx="1315">
                  <c:v>0.11234248439999985</c:v>
                </c:pt>
                <c:pt idx="1316">
                  <c:v>0.11234248439999985</c:v>
                </c:pt>
                <c:pt idx="1317">
                  <c:v>0.11234248439999985</c:v>
                </c:pt>
                <c:pt idx="1318">
                  <c:v>0.11234248439999985</c:v>
                </c:pt>
                <c:pt idx="1319">
                  <c:v>0.11234248439999985</c:v>
                </c:pt>
                <c:pt idx="1320">
                  <c:v>0.11234248439999985</c:v>
                </c:pt>
                <c:pt idx="1321">
                  <c:v>0.11234248439999985</c:v>
                </c:pt>
                <c:pt idx="1322">
                  <c:v>0.11234248439999985</c:v>
                </c:pt>
                <c:pt idx="1323">
                  <c:v>0.11234248439999985</c:v>
                </c:pt>
                <c:pt idx="1324">
                  <c:v>0.11234248439999985</c:v>
                </c:pt>
                <c:pt idx="1325">
                  <c:v>0.11234248439999985</c:v>
                </c:pt>
                <c:pt idx="1326">
                  <c:v>0.11234248439999985</c:v>
                </c:pt>
                <c:pt idx="1327">
                  <c:v>0.11234248439999985</c:v>
                </c:pt>
                <c:pt idx="1328">
                  <c:v>0.11234248439999985</c:v>
                </c:pt>
                <c:pt idx="1329">
                  <c:v>0.11234248439999985</c:v>
                </c:pt>
                <c:pt idx="1330">
                  <c:v>0.11234248439999985</c:v>
                </c:pt>
                <c:pt idx="1331">
                  <c:v>0.11234248439999985</c:v>
                </c:pt>
                <c:pt idx="1332">
                  <c:v>0.11234248439999985</c:v>
                </c:pt>
                <c:pt idx="1333">
                  <c:v>0.11234248439999985</c:v>
                </c:pt>
                <c:pt idx="1334">
                  <c:v>0.11234248439999985</c:v>
                </c:pt>
                <c:pt idx="1335">
                  <c:v>0.11234248439999985</c:v>
                </c:pt>
                <c:pt idx="1336">
                  <c:v>0.11234248439999985</c:v>
                </c:pt>
                <c:pt idx="1337">
                  <c:v>0.11234248439999985</c:v>
                </c:pt>
                <c:pt idx="1338">
                  <c:v>0.11234248439999985</c:v>
                </c:pt>
                <c:pt idx="1339">
                  <c:v>0.11234248439999985</c:v>
                </c:pt>
                <c:pt idx="1340">
                  <c:v>0.11234248439999985</c:v>
                </c:pt>
                <c:pt idx="1341">
                  <c:v>0.11234248439999985</c:v>
                </c:pt>
                <c:pt idx="1342">
                  <c:v>0.11234248439999985</c:v>
                </c:pt>
                <c:pt idx="1343">
                  <c:v>0.11234248439999985</c:v>
                </c:pt>
                <c:pt idx="1344">
                  <c:v>0.11234248439999985</c:v>
                </c:pt>
                <c:pt idx="1345">
                  <c:v>0.11234248439999985</c:v>
                </c:pt>
                <c:pt idx="1346">
                  <c:v>0.11234248439999985</c:v>
                </c:pt>
                <c:pt idx="1347">
                  <c:v>0.11234248439999985</c:v>
                </c:pt>
                <c:pt idx="1348">
                  <c:v>0.11234248439999985</c:v>
                </c:pt>
                <c:pt idx="1349">
                  <c:v>0.11234248439999985</c:v>
                </c:pt>
                <c:pt idx="1350">
                  <c:v>0.11234248439999985</c:v>
                </c:pt>
                <c:pt idx="1351">
                  <c:v>0.11234248439999985</c:v>
                </c:pt>
                <c:pt idx="1352">
                  <c:v>0.11234248439999985</c:v>
                </c:pt>
                <c:pt idx="1353">
                  <c:v>0.11234248439999985</c:v>
                </c:pt>
                <c:pt idx="1354">
                  <c:v>0.11234248439999985</c:v>
                </c:pt>
                <c:pt idx="1355">
                  <c:v>0.11234248439999985</c:v>
                </c:pt>
                <c:pt idx="1356">
                  <c:v>0.11234248439999985</c:v>
                </c:pt>
                <c:pt idx="1357">
                  <c:v>0.11234248439999985</c:v>
                </c:pt>
                <c:pt idx="1358">
                  <c:v>0.11234248439999985</c:v>
                </c:pt>
                <c:pt idx="1359">
                  <c:v>0.11234248439999985</c:v>
                </c:pt>
                <c:pt idx="1360">
                  <c:v>0.11234248439999985</c:v>
                </c:pt>
                <c:pt idx="1361">
                  <c:v>0.11234248439999985</c:v>
                </c:pt>
                <c:pt idx="1362">
                  <c:v>0.11234248439999985</c:v>
                </c:pt>
                <c:pt idx="1363">
                  <c:v>0.11234248439999985</c:v>
                </c:pt>
                <c:pt idx="1364">
                  <c:v>0.11234248439999985</c:v>
                </c:pt>
                <c:pt idx="1365">
                  <c:v>0.11234248439999985</c:v>
                </c:pt>
                <c:pt idx="1366">
                  <c:v>0.11234248439999985</c:v>
                </c:pt>
                <c:pt idx="1367">
                  <c:v>0.11234248439999985</c:v>
                </c:pt>
                <c:pt idx="1368">
                  <c:v>0.11234248439999985</c:v>
                </c:pt>
                <c:pt idx="1369">
                  <c:v>0.11234248439999985</c:v>
                </c:pt>
                <c:pt idx="1370">
                  <c:v>0.11234248439999985</c:v>
                </c:pt>
                <c:pt idx="1371">
                  <c:v>0.11234248439999985</c:v>
                </c:pt>
                <c:pt idx="1372">
                  <c:v>0.11234248439999985</c:v>
                </c:pt>
                <c:pt idx="1373">
                  <c:v>0.11234248439999985</c:v>
                </c:pt>
                <c:pt idx="1374">
                  <c:v>0.11234248439999985</c:v>
                </c:pt>
                <c:pt idx="1375">
                  <c:v>0.11234248439999985</c:v>
                </c:pt>
                <c:pt idx="1376">
                  <c:v>0.11234248439999985</c:v>
                </c:pt>
                <c:pt idx="1377">
                  <c:v>0.11234248439999985</c:v>
                </c:pt>
                <c:pt idx="1378">
                  <c:v>0.11234248439999985</c:v>
                </c:pt>
                <c:pt idx="1379">
                  <c:v>0.11234248439999985</c:v>
                </c:pt>
                <c:pt idx="1380">
                  <c:v>0.11234248439999985</c:v>
                </c:pt>
                <c:pt idx="1381">
                  <c:v>0.11234248439999985</c:v>
                </c:pt>
                <c:pt idx="1382">
                  <c:v>0.11234248439999985</c:v>
                </c:pt>
                <c:pt idx="1383">
                  <c:v>0.11234248439999985</c:v>
                </c:pt>
                <c:pt idx="1384">
                  <c:v>0.11234248439999985</c:v>
                </c:pt>
                <c:pt idx="1385">
                  <c:v>0.11234248439999985</c:v>
                </c:pt>
                <c:pt idx="1386">
                  <c:v>0.11234248439999985</c:v>
                </c:pt>
                <c:pt idx="1387">
                  <c:v>0.11234248439999985</c:v>
                </c:pt>
                <c:pt idx="1388">
                  <c:v>0.11234248439999985</c:v>
                </c:pt>
                <c:pt idx="1389">
                  <c:v>0.11234248439999985</c:v>
                </c:pt>
                <c:pt idx="1390">
                  <c:v>0.11234248439999985</c:v>
                </c:pt>
                <c:pt idx="1391">
                  <c:v>0.11234248439999985</c:v>
                </c:pt>
                <c:pt idx="1392">
                  <c:v>0.11234248439999985</c:v>
                </c:pt>
                <c:pt idx="1393">
                  <c:v>0.11234248439999985</c:v>
                </c:pt>
                <c:pt idx="1394">
                  <c:v>0.11234248439999985</c:v>
                </c:pt>
                <c:pt idx="1395">
                  <c:v>0.11234248439999985</c:v>
                </c:pt>
                <c:pt idx="1396">
                  <c:v>0.11234248439999985</c:v>
                </c:pt>
                <c:pt idx="1397">
                  <c:v>0.11234248439999985</c:v>
                </c:pt>
                <c:pt idx="1398">
                  <c:v>0.11234248439999985</c:v>
                </c:pt>
                <c:pt idx="1399">
                  <c:v>0.11234248439999985</c:v>
                </c:pt>
                <c:pt idx="1400">
                  <c:v>0.11234248439999985</c:v>
                </c:pt>
                <c:pt idx="1401">
                  <c:v>0.11234248439999985</c:v>
                </c:pt>
                <c:pt idx="1402">
                  <c:v>0.11234248439999985</c:v>
                </c:pt>
                <c:pt idx="1403">
                  <c:v>0.11234248439999985</c:v>
                </c:pt>
                <c:pt idx="1404">
                  <c:v>0.11234248439999985</c:v>
                </c:pt>
                <c:pt idx="1405">
                  <c:v>0.11234248439999985</c:v>
                </c:pt>
                <c:pt idx="1406">
                  <c:v>0.11234248439999985</c:v>
                </c:pt>
                <c:pt idx="1407">
                  <c:v>0.11234248439999985</c:v>
                </c:pt>
                <c:pt idx="1408">
                  <c:v>0.11234248439999985</c:v>
                </c:pt>
                <c:pt idx="1409">
                  <c:v>0.11234248439999985</c:v>
                </c:pt>
                <c:pt idx="1410">
                  <c:v>0.11234248439999985</c:v>
                </c:pt>
                <c:pt idx="1411">
                  <c:v>0.11234248439999985</c:v>
                </c:pt>
                <c:pt idx="1412">
                  <c:v>0.11234248439999985</c:v>
                </c:pt>
                <c:pt idx="1413">
                  <c:v>0.11234248439999985</c:v>
                </c:pt>
                <c:pt idx="1414">
                  <c:v>0.11234248439999985</c:v>
                </c:pt>
                <c:pt idx="1415">
                  <c:v>0.11234248439999985</c:v>
                </c:pt>
                <c:pt idx="1416">
                  <c:v>0.11234248439999985</c:v>
                </c:pt>
                <c:pt idx="1417">
                  <c:v>0.11234248439999985</c:v>
                </c:pt>
                <c:pt idx="1418">
                  <c:v>0.11234248439999985</c:v>
                </c:pt>
                <c:pt idx="1419">
                  <c:v>0.11234248439999985</c:v>
                </c:pt>
                <c:pt idx="1420">
                  <c:v>0.11234248439999985</c:v>
                </c:pt>
                <c:pt idx="1421">
                  <c:v>0.11234248439999985</c:v>
                </c:pt>
                <c:pt idx="1422">
                  <c:v>0.11234248439999985</c:v>
                </c:pt>
                <c:pt idx="1423">
                  <c:v>0.11234248439999985</c:v>
                </c:pt>
                <c:pt idx="1424">
                  <c:v>0.11234248439999985</c:v>
                </c:pt>
                <c:pt idx="1425">
                  <c:v>0.11234248439999985</c:v>
                </c:pt>
                <c:pt idx="1426">
                  <c:v>0.11234248439999985</c:v>
                </c:pt>
                <c:pt idx="1427">
                  <c:v>0.11234248439999985</c:v>
                </c:pt>
                <c:pt idx="1428">
                  <c:v>0.11234248439999985</c:v>
                </c:pt>
                <c:pt idx="1429">
                  <c:v>0.11234248439999985</c:v>
                </c:pt>
                <c:pt idx="1430">
                  <c:v>0.11234248439999985</c:v>
                </c:pt>
                <c:pt idx="1431">
                  <c:v>0.11234248439999985</c:v>
                </c:pt>
                <c:pt idx="1432">
                  <c:v>0.11234248439999985</c:v>
                </c:pt>
                <c:pt idx="1433">
                  <c:v>0.11234248439999985</c:v>
                </c:pt>
                <c:pt idx="1434">
                  <c:v>0.11234248439999985</c:v>
                </c:pt>
                <c:pt idx="1435">
                  <c:v>0.11234248439999985</c:v>
                </c:pt>
                <c:pt idx="1436">
                  <c:v>0.11234248439999985</c:v>
                </c:pt>
                <c:pt idx="1437">
                  <c:v>0.11234248439999985</c:v>
                </c:pt>
                <c:pt idx="1438">
                  <c:v>0.11234248439999985</c:v>
                </c:pt>
                <c:pt idx="1439">
                  <c:v>0.11234248439999985</c:v>
                </c:pt>
                <c:pt idx="1440">
                  <c:v>0.11234248439999985</c:v>
                </c:pt>
                <c:pt idx="1441">
                  <c:v>0.11234248439999985</c:v>
                </c:pt>
                <c:pt idx="1442">
                  <c:v>0.11234248439999985</c:v>
                </c:pt>
                <c:pt idx="1443">
                  <c:v>0.11234248439999985</c:v>
                </c:pt>
                <c:pt idx="1444">
                  <c:v>0.11234248439999985</c:v>
                </c:pt>
                <c:pt idx="1445">
                  <c:v>0.11234248439999985</c:v>
                </c:pt>
                <c:pt idx="1446">
                  <c:v>0.11234248439999985</c:v>
                </c:pt>
                <c:pt idx="1447">
                  <c:v>0.11234248439999985</c:v>
                </c:pt>
                <c:pt idx="1448">
                  <c:v>0.11234248439999985</c:v>
                </c:pt>
                <c:pt idx="1449">
                  <c:v>0.11234248439999985</c:v>
                </c:pt>
                <c:pt idx="1450">
                  <c:v>0.11234248439999985</c:v>
                </c:pt>
                <c:pt idx="1451">
                  <c:v>0.11234248439999985</c:v>
                </c:pt>
                <c:pt idx="1452">
                  <c:v>0.11234248439999985</c:v>
                </c:pt>
                <c:pt idx="1453">
                  <c:v>0.11234248439999985</c:v>
                </c:pt>
                <c:pt idx="1454">
                  <c:v>0.11234248439999985</c:v>
                </c:pt>
                <c:pt idx="1455">
                  <c:v>0.11234248439999985</c:v>
                </c:pt>
                <c:pt idx="1456">
                  <c:v>0.11234248439999985</c:v>
                </c:pt>
                <c:pt idx="1457">
                  <c:v>0.11234248439999985</c:v>
                </c:pt>
                <c:pt idx="1458">
                  <c:v>0.11234248439999985</c:v>
                </c:pt>
                <c:pt idx="1459">
                  <c:v>0.11234248439999985</c:v>
                </c:pt>
              </c:numCache>
            </c:numRef>
          </c:val>
        </c:ser>
        <c:ser>
          <c:idx val="1"/>
          <c:order val="1"/>
          <c:tx>
            <c:strRef>
              <c:f>'plot2-prt1'!$Q$1</c:f>
              <c:strCache>
                <c:ptCount val="1"/>
                <c:pt idx="0">
                  <c:v>CumulativeFieldBedload</c:v>
                </c:pt>
              </c:strCache>
            </c:strRef>
          </c:tx>
          <c:marker>
            <c:symbol val="none"/>
          </c:marker>
          <c:cat>
            <c:numRef>
              <c:f>'plot2-prt1'!$O$2:$O$1461</c:f>
              <c:numCache>
                <c:formatCode>d/mm/yyyy</c:formatCode>
                <c:ptCount val="1460"/>
                <c:pt idx="0">
                  <c:v>40057</c:v>
                </c:pt>
                <c:pt idx="1">
                  <c:v>40058</c:v>
                </c:pt>
                <c:pt idx="2">
                  <c:v>40059</c:v>
                </c:pt>
                <c:pt idx="3">
                  <c:v>40060</c:v>
                </c:pt>
                <c:pt idx="4">
                  <c:v>40061</c:v>
                </c:pt>
                <c:pt idx="5">
                  <c:v>40062</c:v>
                </c:pt>
                <c:pt idx="6">
                  <c:v>40063</c:v>
                </c:pt>
                <c:pt idx="7">
                  <c:v>40064</c:v>
                </c:pt>
                <c:pt idx="8">
                  <c:v>40065</c:v>
                </c:pt>
                <c:pt idx="9">
                  <c:v>40066</c:v>
                </c:pt>
                <c:pt idx="10">
                  <c:v>40067</c:v>
                </c:pt>
                <c:pt idx="11">
                  <c:v>40068</c:v>
                </c:pt>
                <c:pt idx="12">
                  <c:v>40069</c:v>
                </c:pt>
                <c:pt idx="13">
                  <c:v>40070</c:v>
                </c:pt>
                <c:pt idx="14">
                  <c:v>40071</c:v>
                </c:pt>
                <c:pt idx="15">
                  <c:v>40072</c:v>
                </c:pt>
                <c:pt idx="16">
                  <c:v>40073</c:v>
                </c:pt>
                <c:pt idx="17">
                  <c:v>40074</c:v>
                </c:pt>
                <c:pt idx="18">
                  <c:v>40075</c:v>
                </c:pt>
                <c:pt idx="19">
                  <c:v>40076</c:v>
                </c:pt>
                <c:pt idx="20">
                  <c:v>40077</c:v>
                </c:pt>
                <c:pt idx="21">
                  <c:v>40078</c:v>
                </c:pt>
                <c:pt idx="22">
                  <c:v>40079</c:v>
                </c:pt>
                <c:pt idx="23">
                  <c:v>40080</c:v>
                </c:pt>
                <c:pt idx="24">
                  <c:v>40081</c:v>
                </c:pt>
                <c:pt idx="25">
                  <c:v>40082</c:v>
                </c:pt>
                <c:pt idx="26">
                  <c:v>40083</c:v>
                </c:pt>
                <c:pt idx="27">
                  <c:v>40084</c:v>
                </c:pt>
                <c:pt idx="28">
                  <c:v>40085</c:v>
                </c:pt>
                <c:pt idx="29">
                  <c:v>40086</c:v>
                </c:pt>
                <c:pt idx="30">
                  <c:v>40087</c:v>
                </c:pt>
                <c:pt idx="31">
                  <c:v>40088</c:v>
                </c:pt>
                <c:pt idx="32">
                  <c:v>40089</c:v>
                </c:pt>
                <c:pt idx="33">
                  <c:v>40090</c:v>
                </c:pt>
                <c:pt idx="34">
                  <c:v>40091</c:v>
                </c:pt>
                <c:pt idx="35">
                  <c:v>40092</c:v>
                </c:pt>
                <c:pt idx="36">
                  <c:v>40093</c:v>
                </c:pt>
                <c:pt idx="37">
                  <c:v>40094</c:v>
                </c:pt>
                <c:pt idx="38">
                  <c:v>40095</c:v>
                </c:pt>
                <c:pt idx="39">
                  <c:v>40096</c:v>
                </c:pt>
                <c:pt idx="40">
                  <c:v>40097</c:v>
                </c:pt>
                <c:pt idx="41">
                  <c:v>40098</c:v>
                </c:pt>
                <c:pt idx="42">
                  <c:v>40099</c:v>
                </c:pt>
                <c:pt idx="43">
                  <c:v>40100</c:v>
                </c:pt>
                <c:pt idx="44">
                  <c:v>40101</c:v>
                </c:pt>
                <c:pt idx="45">
                  <c:v>40102</c:v>
                </c:pt>
                <c:pt idx="46">
                  <c:v>40103</c:v>
                </c:pt>
                <c:pt idx="47">
                  <c:v>40104</c:v>
                </c:pt>
                <c:pt idx="48">
                  <c:v>40105</c:v>
                </c:pt>
                <c:pt idx="49">
                  <c:v>40106</c:v>
                </c:pt>
                <c:pt idx="50">
                  <c:v>40107</c:v>
                </c:pt>
                <c:pt idx="51">
                  <c:v>40108</c:v>
                </c:pt>
                <c:pt idx="52">
                  <c:v>40109</c:v>
                </c:pt>
                <c:pt idx="53">
                  <c:v>40110</c:v>
                </c:pt>
                <c:pt idx="54">
                  <c:v>40111</c:v>
                </c:pt>
                <c:pt idx="55">
                  <c:v>40112</c:v>
                </c:pt>
                <c:pt idx="56">
                  <c:v>40113</c:v>
                </c:pt>
                <c:pt idx="57">
                  <c:v>40114</c:v>
                </c:pt>
                <c:pt idx="58">
                  <c:v>40115</c:v>
                </c:pt>
                <c:pt idx="59">
                  <c:v>40116</c:v>
                </c:pt>
                <c:pt idx="60">
                  <c:v>40117</c:v>
                </c:pt>
                <c:pt idx="61">
                  <c:v>40118</c:v>
                </c:pt>
                <c:pt idx="62">
                  <c:v>40119</c:v>
                </c:pt>
                <c:pt idx="63">
                  <c:v>40120</c:v>
                </c:pt>
                <c:pt idx="64">
                  <c:v>40121</c:v>
                </c:pt>
                <c:pt idx="65">
                  <c:v>40122</c:v>
                </c:pt>
                <c:pt idx="66">
                  <c:v>40123</c:v>
                </c:pt>
                <c:pt idx="67">
                  <c:v>40124</c:v>
                </c:pt>
                <c:pt idx="68">
                  <c:v>40125</c:v>
                </c:pt>
                <c:pt idx="69">
                  <c:v>40126</c:v>
                </c:pt>
                <c:pt idx="70">
                  <c:v>40127</c:v>
                </c:pt>
                <c:pt idx="71">
                  <c:v>40128</c:v>
                </c:pt>
                <c:pt idx="72">
                  <c:v>40129</c:v>
                </c:pt>
                <c:pt idx="73">
                  <c:v>40130</c:v>
                </c:pt>
                <c:pt idx="74">
                  <c:v>40131</c:v>
                </c:pt>
                <c:pt idx="75">
                  <c:v>40132</c:v>
                </c:pt>
                <c:pt idx="76">
                  <c:v>40133</c:v>
                </c:pt>
                <c:pt idx="77">
                  <c:v>40134</c:v>
                </c:pt>
                <c:pt idx="78">
                  <c:v>40135</c:v>
                </c:pt>
                <c:pt idx="79">
                  <c:v>40136</c:v>
                </c:pt>
                <c:pt idx="80">
                  <c:v>40137</c:v>
                </c:pt>
                <c:pt idx="81">
                  <c:v>40138</c:v>
                </c:pt>
                <c:pt idx="82">
                  <c:v>40139</c:v>
                </c:pt>
                <c:pt idx="83">
                  <c:v>40140</c:v>
                </c:pt>
                <c:pt idx="84">
                  <c:v>40141</c:v>
                </c:pt>
                <c:pt idx="85">
                  <c:v>40142</c:v>
                </c:pt>
                <c:pt idx="86">
                  <c:v>40143</c:v>
                </c:pt>
                <c:pt idx="87">
                  <c:v>40144</c:v>
                </c:pt>
                <c:pt idx="88">
                  <c:v>40145</c:v>
                </c:pt>
                <c:pt idx="89">
                  <c:v>40146</c:v>
                </c:pt>
                <c:pt idx="90">
                  <c:v>40147</c:v>
                </c:pt>
                <c:pt idx="91">
                  <c:v>40148</c:v>
                </c:pt>
                <c:pt idx="92">
                  <c:v>40149</c:v>
                </c:pt>
                <c:pt idx="93">
                  <c:v>40150</c:v>
                </c:pt>
                <c:pt idx="94">
                  <c:v>40151</c:v>
                </c:pt>
                <c:pt idx="95">
                  <c:v>40152</c:v>
                </c:pt>
                <c:pt idx="96">
                  <c:v>40153</c:v>
                </c:pt>
                <c:pt idx="97">
                  <c:v>40154</c:v>
                </c:pt>
                <c:pt idx="98">
                  <c:v>40155</c:v>
                </c:pt>
                <c:pt idx="99">
                  <c:v>40156</c:v>
                </c:pt>
                <c:pt idx="100">
                  <c:v>40157</c:v>
                </c:pt>
                <c:pt idx="101">
                  <c:v>40158</c:v>
                </c:pt>
                <c:pt idx="102">
                  <c:v>40159</c:v>
                </c:pt>
                <c:pt idx="103">
                  <c:v>40160</c:v>
                </c:pt>
                <c:pt idx="104">
                  <c:v>40161</c:v>
                </c:pt>
                <c:pt idx="105">
                  <c:v>40162</c:v>
                </c:pt>
                <c:pt idx="106">
                  <c:v>40163</c:v>
                </c:pt>
                <c:pt idx="107">
                  <c:v>40164</c:v>
                </c:pt>
                <c:pt idx="108">
                  <c:v>40165</c:v>
                </c:pt>
                <c:pt idx="109">
                  <c:v>40166</c:v>
                </c:pt>
                <c:pt idx="110">
                  <c:v>40167</c:v>
                </c:pt>
                <c:pt idx="111">
                  <c:v>40168</c:v>
                </c:pt>
                <c:pt idx="112">
                  <c:v>40169</c:v>
                </c:pt>
                <c:pt idx="113">
                  <c:v>40170</c:v>
                </c:pt>
                <c:pt idx="114">
                  <c:v>40171</c:v>
                </c:pt>
                <c:pt idx="115">
                  <c:v>40172</c:v>
                </c:pt>
                <c:pt idx="116">
                  <c:v>40173</c:v>
                </c:pt>
                <c:pt idx="117">
                  <c:v>40174</c:v>
                </c:pt>
                <c:pt idx="118">
                  <c:v>40175</c:v>
                </c:pt>
                <c:pt idx="119">
                  <c:v>40176</c:v>
                </c:pt>
                <c:pt idx="120">
                  <c:v>40177</c:v>
                </c:pt>
                <c:pt idx="121">
                  <c:v>40178</c:v>
                </c:pt>
                <c:pt idx="122">
                  <c:v>40179</c:v>
                </c:pt>
                <c:pt idx="123">
                  <c:v>40180</c:v>
                </c:pt>
                <c:pt idx="124">
                  <c:v>40181</c:v>
                </c:pt>
                <c:pt idx="125">
                  <c:v>40182</c:v>
                </c:pt>
                <c:pt idx="126">
                  <c:v>40183</c:v>
                </c:pt>
                <c:pt idx="127">
                  <c:v>40184</c:v>
                </c:pt>
                <c:pt idx="128">
                  <c:v>40185</c:v>
                </c:pt>
                <c:pt idx="129">
                  <c:v>40186</c:v>
                </c:pt>
                <c:pt idx="130">
                  <c:v>40187</c:v>
                </c:pt>
                <c:pt idx="131">
                  <c:v>40188</c:v>
                </c:pt>
                <c:pt idx="132">
                  <c:v>40189</c:v>
                </c:pt>
                <c:pt idx="133">
                  <c:v>40190</c:v>
                </c:pt>
                <c:pt idx="134">
                  <c:v>40191</c:v>
                </c:pt>
                <c:pt idx="135">
                  <c:v>40192</c:v>
                </c:pt>
                <c:pt idx="136">
                  <c:v>40193</c:v>
                </c:pt>
                <c:pt idx="137">
                  <c:v>40194</c:v>
                </c:pt>
                <c:pt idx="138">
                  <c:v>40195</c:v>
                </c:pt>
                <c:pt idx="139">
                  <c:v>40196</c:v>
                </c:pt>
                <c:pt idx="140">
                  <c:v>40197</c:v>
                </c:pt>
                <c:pt idx="141">
                  <c:v>40198</c:v>
                </c:pt>
                <c:pt idx="142">
                  <c:v>40199</c:v>
                </c:pt>
                <c:pt idx="143">
                  <c:v>40200</c:v>
                </c:pt>
                <c:pt idx="144">
                  <c:v>40201</c:v>
                </c:pt>
                <c:pt idx="145">
                  <c:v>40202</c:v>
                </c:pt>
                <c:pt idx="146">
                  <c:v>40203</c:v>
                </c:pt>
                <c:pt idx="147">
                  <c:v>40204</c:v>
                </c:pt>
                <c:pt idx="148">
                  <c:v>40205</c:v>
                </c:pt>
                <c:pt idx="149">
                  <c:v>40206</c:v>
                </c:pt>
                <c:pt idx="150">
                  <c:v>40207</c:v>
                </c:pt>
                <c:pt idx="151">
                  <c:v>40208</c:v>
                </c:pt>
                <c:pt idx="152">
                  <c:v>40209</c:v>
                </c:pt>
                <c:pt idx="153">
                  <c:v>40210</c:v>
                </c:pt>
                <c:pt idx="154">
                  <c:v>40211</c:v>
                </c:pt>
                <c:pt idx="155">
                  <c:v>40212</c:v>
                </c:pt>
                <c:pt idx="156">
                  <c:v>40213</c:v>
                </c:pt>
                <c:pt idx="157">
                  <c:v>40214</c:v>
                </c:pt>
                <c:pt idx="158">
                  <c:v>40215</c:v>
                </c:pt>
                <c:pt idx="159">
                  <c:v>40216</c:v>
                </c:pt>
                <c:pt idx="160">
                  <c:v>40217</c:v>
                </c:pt>
                <c:pt idx="161">
                  <c:v>40218</c:v>
                </c:pt>
                <c:pt idx="162">
                  <c:v>40219</c:v>
                </c:pt>
                <c:pt idx="163">
                  <c:v>40220</c:v>
                </c:pt>
                <c:pt idx="164">
                  <c:v>40221</c:v>
                </c:pt>
                <c:pt idx="165">
                  <c:v>40222</c:v>
                </c:pt>
                <c:pt idx="166">
                  <c:v>40223</c:v>
                </c:pt>
                <c:pt idx="167">
                  <c:v>40224</c:v>
                </c:pt>
                <c:pt idx="168">
                  <c:v>40225</c:v>
                </c:pt>
                <c:pt idx="169">
                  <c:v>40226</c:v>
                </c:pt>
                <c:pt idx="170">
                  <c:v>40227</c:v>
                </c:pt>
                <c:pt idx="171">
                  <c:v>40228</c:v>
                </c:pt>
                <c:pt idx="172">
                  <c:v>40229</c:v>
                </c:pt>
                <c:pt idx="173">
                  <c:v>40230</c:v>
                </c:pt>
                <c:pt idx="174">
                  <c:v>40231</c:v>
                </c:pt>
                <c:pt idx="175">
                  <c:v>40232</c:v>
                </c:pt>
                <c:pt idx="176">
                  <c:v>40233</c:v>
                </c:pt>
                <c:pt idx="177">
                  <c:v>40234</c:v>
                </c:pt>
                <c:pt idx="178">
                  <c:v>40235</c:v>
                </c:pt>
                <c:pt idx="179">
                  <c:v>40236</c:v>
                </c:pt>
                <c:pt idx="180">
                  <c:v>40237</c:v>
                </c:pt>
                <c:pt idx="181">
                  <c:v>40238</c:v>
                </c:pt>
                <c:pt idx="182">
                  <c:v>40239</c:v>
                </c:pt>
                <c:pt idx="183">
                  <c:v>40240</c:v>
                </c:pt>
                <c:pt idx="184">
                  <c:v>40241</c:v>
                </c:pt>
                <c:pt idx="185">
                  <c:v>40242</c:v>
                </c:pt>
                <c:pt idx="186">
                  <c:v>40243</c:v>
                </c:pt>
                <c:pt idx="187">
                  <c:v>40244</c:v>
                </c:pt>
                <c:pt idx="188">
                  <c:v>40245</c:v>
                </c:pt>
                <c:pt idx="189">
                  <c:v>40246</c:v>
                </c:pt>
                <c:pt idx="190">
                  <c:v>40247</c:v>
                </c:pt>
                <c:pt idx="191">
                  <c:v>40248</c:v>
                </c:pt>
                <c:pt idx="192">
                  <c:v>40249</c:v>
                </c:pt>
                <c:pt idx="193">
                  <c:v>40250</c:v>
                </c:pt>
                <c:pt idx="194">
                  <c:v>40251</c:v>
                </c:pt>
                <c:pt idx="195">
                  <c:v>40252</c:v>
                </c:pt>
                <c:pt idx="196">
                  <c:v>40253</c:v>
                </c:pt>
                <c:pt idx="197">
                  <c:v>40254</c:v>
                </c:pt>
                <c:pt idx="198">
                  <c:v>40255</c:v>
                </c:pt>
                <c:pt idx="199">
                  <c:v>40256</c:v>
                </c:pt>
                <c:pt idx="200">
                  <c:v>40257</c:v>
                </c:pt>
                <c:pt idx="201">
                  <c:v>40258</c:v>
                </c:pt>
                <c:pt idx="202">
                  <c:v>40259</c:v>
                </c:pt>
                <c:pt idx="203">
                  <c:v>40260</c:v>
                </c:pt>
                <c:pt idx="204">
                  <c:v>40261</c:v>
                </c:pt>
                <c:pt idx="205">
                  <c:v>40262</c:v>
                </c:pt>
                <c:pt idx="206">
                  <c:v>40263</c:v>
                </c:pt>
                <c:pt idx="207">
                  <c:v>40264</c:v>
                </c:pt>
                <c:pt idx="208">
                  <c:v>40265</c:v>
                </c:pt>
                <c:pt idx="209">
                  <c:v>40266</c:v>
                </c:pt>
                <c:pt idx="210">
                  <c:v>40267</c:v>
                </c:pt>
                <c:pt idx="211">
                  <c:v>40268</c:v>
                </c:pt>
                <c:pt idx="212">
                  <c:v>40269</c:v>
                </c:pt>
                <c:pt idx="213">
                  <c:v>40270</c:v>
                </c:pt>
                <c:pt idx="214">
                  <c:v>40271</c:v>
                </c:pt>
                <c:pt idx="215">
                  <c:v>40272</c:v>
                </c:pt>
                <c:pt idx="216">
                  <c:v>40273</c:v>
                </c:pt>
                <c:pt idx="217">
                  <c:v>40274</c:v>
                </c:pt>
                <c:pt idx="218">
                  <c:v>40275</c:v>
                </c:pt>
                <c:pt idx="219">
                  <c:v>40276</c:v>
                </c:pt>
                <c:pt idx="220">
                  <c:v>40277</c:v>
                </c:pt>
                <c:pt idx="221">
                  <c:v>40278</c:v>
                </c:pt>
                <c:pt idx="222">
                  <c:v>40279</c:v>
                </c:pt>
                <c:pt idx="223">
                  <c:v>40280</c:v>
                </c:pt>
                <c:pt idx="224">
                  <c:v>40281</c:v>
                </c:pt>
                <c:pt idx="225">
                  <c:v>40282</c:v>
                </c:pt>
                <c:pt idx="226">
                  <c:v>40283</c:v>
                </c:pt>
                <c:pt idx="227">
                  <c:v>40284</c:v>
                </c:pt>
                <c:pt idx="228">
                  <c:v>40285</c:v>
                </c:pt>
                <c:pt idx="229">
                  <c:v>40286</c:v>
                </c:pt>
                <c:pt idx="230">
                  <c:v>40287</c:v>
                </c:pt>
                <c:pt idx="231">
                  <c:v>40288</c:v>
                </c:pt>
                <c:pt idx="232">
                  <c:v>40289</c:v>
                </c:pt>
                <c:pt idx="233">
                  <c:v>40290</c:v>
                </c:pt>
                <c:pt idx="234">
                  <c:v>40291</c:v>
                </c:pt>
                <c:pt idx="235">
                  <c:v>40292</c:v>
                </c:pt>
                <c:pt idx="236">
                  <c:v>40293</c:v>
                </c:pt>
                <c:pt idx="237">
                  <c:v>40294</c:v>
                </c:pt>
                <c:pt idx="238">
                  <c:v>40295</c:v>
                </c:pt>
                <c:pt idx="239">
                  <c:v>40296</c:v>
                </c:pt>
                <c:pt idx="240">
                  <c:v>40297</c:v>
                </c:pt>
                <c:pt idx="241">
                  <c:v>40298</c:v>
                </c:pt>
                <c:pt idx="242">
                  <c:v>40299</c:v>
                </c:pt>
                <c:pt idx="243">
                  <c:v>40300</c:v>
                </c:pt>
                <c:pt idx="244">
                  <c:v>40301</c:v>
                </c:pt>
                <c:pt idx="245">
                  <c:v>40302</c:v>
                </c:pt>
                <c:pt idx="246">
                  <c:v>40303</c:v>
                </c:pt>
                <c:pt idx="247">
                  <c:v>40304</c:v>
                </c:pt>
                <c:pt idx="248">
                  <c:v>40305</c:v>
                </c:pt>
                <c:pt idx="249">
                  <c:v>40306</c:v>
                </c:pt>
                <c:pt idx="250">
                  <c:v>40307</c:v>
                </c:pt>
                <c:pt idx="251">
                  <c:v>40308</c:v>
                </c:pt>
                <c:pt idx="252">
                  <c:v>40309</c:v>
                </c:pt>
                <c:pt idx="253">
                  <c:v>40310</c:v>
                </c:pt>
                <c:pt idx="254">
                  <c:v>40311</c:v>
                </c:pt>
                <c:pt idx="255">
                  <c:v>40312</c:v>
                </c:pt>
                <c:pt idx="256">
                  <c:v>40313</c:v>
                </c:pt>
                <c:pt idx="257">
                  <c:v>40314</c:v>
                </c:pt>
                <c:pt idx="258">
                  <c:v>40315</c:v>
                </c:pt>
                <c:pt idx="259">
                  <c:v>40316</c:v>
                </c:pt>
                <c:pt idx="260">
                  <c:v>40317</c:v>
                </c:pt>
                <c:pt idx="261">
                  <c:v>40318</c:v>
                </c:pt>
                <c:pt idx="262">
                  <c:v>40319</c:v>
                </c:pt>
                <c:pt idx="263">
                  <c:v>40320</c:v>
                </c:pt>
                <c:pt idx="264">
                  <c:v>40321</c:v>
                </c:pt>
                <c:pt idx="265">
                  <c:v>40322</c:v>
                </c:pt>
                <c:pt idx="266">
                  <c:v>40323</c:v>
                </c:pt>
                <c:pt idx="267">
                  <c:v>40324</c:v>
                </c:pt>
                <c:pt idx="268">
                  <c:v>40325</c:v>
                </c:pt>
                <c:pt idx="269">
                  <c:v>40326</c:v>
                </c:pt>
                <c:pt idx="270">
                  <c:v>40327</c:v>
                </c:pt>
                <c:pt idx="271">
                  <c:v>40328</c:v>
                </c:pt>
                <c:pt idx="272">
                  <c:v>40329</c:v>
                </c:pt>
                <c:pt idx="273">
                  <c:v>40330</c:v>
                </c:pt>
                <c:pt idx="274">
                  <c:v>40331</c:v>
                </c:pt>
                <c:pt idx="275">
                  <c:v>40332</c:v>
                </c:pt>
                <c:pt idx="276">
                  <c:v>40333</c:v>
                </c:pt>
                <c:pt idx="277">
                  <c:v>40334</c:v>
                </c:pt>
                <c:pt idx="278">
                  <c:v>40335</c:v>
                </c:pt>
                <c:pt idx="279">
                  <c:v>40336</c:v>
                </c:pt>
                <c:pt idx="280">
                  <c:v>40337</c:v>
                </c:pt>
                <c:pt idx="281">
                  <c:v>40338</c:v>
                </c:pt>
                <c:pt idx="282">
                  <c:v>40339</c:v>
                </c:pt>
                <c:pt idx="283">
                  <c:v>40340</c:v>
                </c:pt>
                <c:pt idx="284">
                  <c:v>40341</c:v>
                </c:pt>
                <c:pt idx="285">
                  <c:v>40342</c:v>
                </c:pt>
                <c:pt idx="286">
                  <c:v>40343</c:v>
                </c:pt>
                <c:pt idx="287">
                  <c:v>40344</c:v>
                </c:pt>
                <c:pt idx="288">
                  <c:v>40345</c:v>
                </c:pt>
                <c:pt idx="289">
                  <c:v>40346</c:v>
                </c:pt>
                <c:pt idx="290">
                  <c:v>40347</c:v>
                </c:pt>
                <c:pt idx="291">
                  <c:v>40348</c:v>
                </c:pt>
                <c:pt idx="292">
                  <c:v>40349</c:v>
                </c:pt>
                <c:pt idx="293">
                  <c:v>40350</c:v>
                </c:pt>
                <c:pt idx="294">
                  <c:v>40351</c:v>
                </c:pt>
                <c:pt idx="295">
                  <c:v>40352</c:v>
                </c:pt>
                <c:pt idx="296">
                  <c:v>40353</c:v>
                </c:pt>
                <c:pt idx="297">
                  <c:v>40354</c:v>
                </c:pt>
                <c:pt idx="298">
                  <c:v>40355</c:v>
                </c:pt>
                <c:pt idx="299">
                  <c:v>40356</c:v>
                </c:pt>
                <c:pt idx="300">
                  <c:v>40357</c:v>
                </c:pt>
                <c:pt idx="301">
                  <c:v>40358</c:v>
                </c:pt>
                <c:pt idx="302">
                  <c:v>40359</c:v>
                </c:pt>
                <c:pt idx="303">
                  <c:v>40360</c:v>
                </c:pt>
                <c:pt idx="304">
                  <c:v>40361</c:v>
                </c:pt>
                <c:pt idx="305">
                  <c:v>40362</c:v>
                </c:pt>
                <c:pt idx="306">
                  <c:v>40363</c:v>
                </c:pt>
                <c:pt idx="307">
                  <c:v>40364</c:v>
                </c:pt>
                <c:pt idx="308">
                  <c:v>40365</c:v>
                </c:pt>
                <c:pt idx="309">
                  <c:v>40366</c:v>
                </c:pt>
                <c:pt idx="310">
                  <c:v>40367</c:v>
                </c:pt>
                <c:pt idx="311">
                  <c:v>40368</c:v>
                </c:pt>
                <c:pt idx="312">
                  <c:v>40369</c:v>
                </c:pt>
                <c:pt idx="313">
                  <c:v>40370</c:v>
                </c:pt>
                <c:pt idx="314">
                  <c:v>40371</c:v>
                </c:pt>
                <c:pt idx="315">
                  <c:v>40372</c:v>
                </c:pt>
                <c:pt idx="316">
                  <c:v>40373</c:v>
                </c:pt>
                <c:pt idx="317">
                  <c:v>40374</c:v>
                </c:pt>
                <c:pt idx="318">
                  <c:v>40375</c:v>
                </c:pt>
                <c:pt idx="319">
                  <c:v>40376</c:v>
                </c:pt>
                <c:pt idx="320">
                  <c:v>40377</c:v>
                </c:pt>
                <c:pt idx="321">
                  <c:v>40378</c:v>
                </c:pt>
                <c:pt idx="322">
                  <c:v>40379</c:v>
                </c:pt>
                <c:pt idx="323">
                  <c:v>40380</c:v>
                </c:pt>
                <c:pt idx="324">
                  <c:v>40381</c:v>
                </c:pt>
                <c:pt idx="325">
                  <c:v>40382</c:v>
                </c:pt>
                <c:pt idx="326">
                  <c:v>40383</c:v>
                </c:pt>
                <c:pt idx="327">
                  <c:v>40384</c:v>
                </c:pt>
                <c:pt idx="328">
                  <c:v>40385</c:v>
                </c:pt>
                <c:pt idx="329">
                  <c:v>40386</c:v>
                </c:pt>
                <c:pt idx="330">
                  <c:v>40387</c:v>
                </c:pt>
                <c:pt idx="331">
                  <c:v>40388</c:v>
                </c:pt>
                <c:pt idx="332">
                  <c:v>40389</c:v>
                </c:pt>
                <c:pt idx="333">
                  <c:v>40390</c:v>
                </c:pt>
                <c:pt idx="334">
                  <c:v>40391</c:v>
                </c:pt>
                <c:pt idx="335">
                  <c:v>40392</c:v>
                </c:pt>
                <c:pt idx="336">
                  <c:v>40393</c:v>
                </c:pt>
                <c:pt idx="337">
                  <c:v>40394</c:v>
                </c:pt>
                <c:pt idx="338">
                  <c:v>40395</c:v>
                </c:pt>
                <c:pt idx="339">
                  <c:v>40396</c:v>
                </c:pt>
                <c:pt idx="340">
                  <c:v>40397</c:v>
                </c:pt>
                <c:pt idx="341">
                  <c:v>40398</c:v>
                </c:pt>
                <c:pt idx="342">
                  <c:v>40399</c:v>
                </c:pt>
                <c:pt idx="343">
                  <c:v>40400</c:v>
                </c:pt>
                <c:pt idx="344">
                  <c:v>40401</c:v>
                </c:pt>
                <c:pt idx="345">
                  <c:v>40402</c:v>
                </c:pt>
                <c:pt idx="346">
                  <c:v>40403</c:v>
                </c:pt>
                <c:pt idx="347">
                  <c:v>40404</c:v>
                </c:pt>
                <c:pt idx="348">
                  <c:v>40405</c:v>
                </c:pt>
                <c:pt idx="349">
                  <c:v>40406</c:v>
                </c:pt>
                <c:pt idx="350">
                  <c:v>40407</c:v>
                </c:pt>
                <c:pt idx="351">
                  <c:v>40408</c:v>
                </c:pt>
                <c:pt idx="352">
                  <c:v>40409</c:v>
                </c:pt>
                <c:pt idx="353">
                  <c:v>40410</c:v>
                </c:pt>
                <c:pt idx="354">
                  <c:v>40411</c:v>
                </c:pt>
                <c:pt idx="355">
                  <c:v>40412</c:v>
                </c:pt>
                <c:pt idx="356">
                  <c:v>40413</c:v>
                </c:pt>
                <c:pt idx="357">
                  <c:v>40414</c:v>
                </c:pt>
                <c:pt idx="358">
                  <c:v>40415</c:v>
                </c:pt>
                <c:pt idx="359">
                  <c:v>40416</c:v>
                </c:pt>
                <c:pt idx="360">
                  <c:v>40417</c:v>
                </c:pt>
                <c:pt idx="361">
                  <c:v>40418</c:v>
                </c:pt>
                <c:pt idx="362">
                  <c:v>40419</c:v>
                </c:pt>
                <c:pt idx="363">
                  <c:v>40420</c:v>
                </c:pt>
                <c:pt idx="364">
                  <c:v>40421</c:v>
                </c:pt>
                <c:pt idx="365">
                  <c:v>40422</c:v>
                </c:pt>
                <c:pt idx="366">
                  <c:v>40423</c:v>
                </c:pt>
                <c:pt idx="367">
                  <c:v>40424</c:v>
                </c:pt>
                <c:pt idx="368">
                  <c:v>40425</c:v>
                </c:pt>
                <c:pt idx="369">
                  <c:v>40426</c:v>
                </c:pt>
                <c:pt idx="370">
                  <c:v>40427</c:v>
                </c:pt>
                <c:pt idx="371">
                  <c:v>40428</c:v>
                </c:pt>
                <c:pt idx="372">
                  <c:v>40429</c:v>
                </c:pt>
                <c:pt idx="373">
                  <c:v>40430</c:v>
                </c:pt>
                <c:pt idx="374">
                  <c:v>40431</c:v>
                </c:pt>
                <c:pt idx="375">
                  <c:v>40432</c:v>
                </c:pt>
                <c:pt idx="376">
                  <c:v>40433</c:v>
                </c:pt>
                <c:pt idx="377">
                  <c:v>40434</c:v>
                </c:pt>
                <c:pt idx="378">
                  <c:v>40435</c:v>
                </c:pt>
                <c:pt idx="379">
                  <c:v>40436</c:v>
                </c:pt>
                <c:pt idx="380">
                  <c:v>40437</c:v>
                </c:pt>
                <c:pt idx="381">
                  <c:v>40438</c:v>
                </c:pt>
                <c:pt idx="382">
                  <c:v>40439</c:v>
                </c:pt>
                <c:pt idx="383">
                  <c:v>40440</c:v>
                </c:pt>
                <c:pt idx="384">
                  <c:v>40441</c:v>
                </c:pt>
                <c:pt idx="385">
                  <c:v>40442</c:v>
                </c:pt>
                <c:pt idx="386">
                  <c:v>40443</c:v>
                </c:pt>
                <c:pt idx="387">
                  <c:v>40444</c:v>
                </c:pt>
                <c:pt idx="388">
                  <c:v>40445</c:v>
                </c:pt>
                <c:pt idx="389">
                  <c:v>40446</c:v>
                </c:pt>
                <c:pt idx="390">
                  <c:v>40447</c:v>
                </c:pt>
                <c:pt idx="391">
                  <c:v>40448</c:v>
                </c:pt>
                <c:pt idx="392">
                  <c:v>40449</c:v>
                </c:pt>
                <c:pt idx="393">
                  <c:v>40450</c:v>
                </c:pt>
                <c:pt idx="394">
                  <c:v>40451</c:v>
                </c:pt>
                <c:pt idx="395">
                  <c:v>40452</c:v>
                </c:pt>
                <c:pt idx="396">
                  <c:v>40453</c:v>
                </c:pt>
                <c:pt idx="397">
                  <c:v>40454</c:v>
                </c:pt>
                <c:pt idx="398">
                  <c:v>40455</c:v>
                </c:pt>
                <c:pt idx="399">
                  <c:v>40456</c:v>
                </c:pt>
                <c:pt idx="400">
                  <c:v>40457</c:v>
                </c:pt>
                <c:pt idx="401">
                  <c:v>40458</c:v>
                </c:pt>
                <c:pt idx="402">
                  <c:v>40459</c:v>
                </c:pt>
                <c:pt idx="403">
                  <c:v>40460</c:v>
                </c:pt>
                <c:pt idx="404">
                  <c:v>40461</c:v>
                </c:pt>
                <c:pt idx="405">
                  <c:v>40462</c:v>
                </c:pt>
                <c:pt idx="406">
                  <c:v>40463</c:v>
                </c:pt>
                <c:pt idx="407">
                  <c:v>40464</c:v>
                </c:pt>
                <c:pt idx="408">
                  <c:v>40465</c:v>
                </c:pt>
                <c:pt idx="409">
                  <c:v>40466</c:v>
                </c:pt>
                <c:pt idx="410">
                  <c:v>40467</c:v>
                </c:pt>
                <c:pt idx="411">
                  <c:v>40468</c:v>
                </c:pt>
                <c:pt idx="412">
                  <c:v>40469</c:v>
                </c:pt>
                <c:pt idx="413">
                  <c:v>40470</c:v>
                </c:pt>
                <c:pt idx="414">
                  <c:v>40471</c:v>
                </c:pt>
                <c:pt idx="415">
                  <c:v>40472</c:v>
                </c:pt>
                <c:pt idx="416">
                  <c:v>40473</c:v>
                </c:pt>
                <c:pt idx="417">
                  <c:v>40474</c:v>
                </c:pt>
                <c:pt idx="418">
                  <c:v>40475</c:v>
                </c:pt>
                <c:pt idx="419">
                  <c:v>40476</c:v>
                </c:pt>
                <c:pt idx="420">
                  <c:v>40477</c:v>
                </c:pt>
                <c:pt idx="421">
                  <c:v>40478</c:v>
                </c:pt>
                <c:pt idx="422">
                  <c:v>40479</c:v>
                </c:pt>
                <c:pt idx="423">
                  <c:v>40480</c:v>
                </c:pt>
                <c:pt idx="424">
                  <c:v>40481</c:v>
                </c:pt>
                <c:pt idx="425">
                  <c:v>40482</c:v>
                </c:pt>
                <c:pt idx="426">
                  <c:v>40483</c:v>
                </c:pt>
                <c:pt idx="427">
                  <c:v>40484</c:v>
                </c:pt>
                <c:pt idx="428">
                  <c:v>40485</c:v>
                </c:pt>
                <c:pt idx="429">
                  <c:v>40486</c:v>
                </c:pt>
                <c:pt idx="430">
                  <c:v>40487</c:v>
                </c:pt>
                <c:pt idx="431">
                  <c:v>40488</c:v>
                </c:pt>
                <c:pt idx="432">
                  <c:v>40489</c:v>
                </c:pt>
                <c:pt idx="433">
                  <c:v>40490</c:v>
                </c:pt>
                <c:pt idx="434">
                  <c:v>40491</c:v>
                </c:pt>
                <c:pt idx="435">
                  <c:v>40492</c:v>
                </c:pt>
                <c:pt idx="436">
                  <c:v>40493</c:v>
                </c:pt>
                <c:pt idx="437">
                  <c:v>40494</c:v>
                </c:pt>
                <c:pt idx="438">
                  <c:v>40495</c:v>
                </c:pt>
                <c:pt idx="439">
                  <c:v>40496</c:v>
                </c:pt>
                <c:pt idx="440">
                  <c:v>40497</c:v>
                </c:pt>
                <c:pt idx="441">
                  <c:v>40498</c:v>
                </c:pt>
                <c:pt idx="442">
                  <c:v>40499</c:v>
                </c:pt>
                <c:pt idx="443">
                  <c:v>40500</c:v>
                </c:pt>
                <c:pt idx="444">
                  <c:v>40501</c:v>
                </c:pt>
                <c:pt idx="445">
                  <c:v>40502</c:v>
                </c:pt>
                <c:pt idx="446">
                  <c:v>40503</c:v>
                </c:pt>
                <c:pt idx="447">
                  <c:v>40504</c:v>
                </c:pt>
                <c:pt idx="448">
                  <c:v>40505</c:v>
                </c:pt>
                <c:pt idx="449">
                  <c:v>40506</c:v>
                </c:pt>
                <c:pt idx="450">
                  <c:v>40507</c:v>
                </c:pt>
                <c:pt idx="451">
                  <c:v>40508</c:v>
                </c:pt>
                <c:pt idx="452">
                  <c:v>40509</c:v>
                </c:pt>
                <c:pt idx="453">
                  <c:v>40510</c:v>
                </c:pt>
                <c:pt idx="454">
                  <c:v>40511</c:v>
                </c:pt>
                <c:pt idx="455">
                  <c:v>40512</c:v>
                </c:pt>
                <c:pt idx="456">
                  <c:v>40513</c:v>
                </c:pt>
                <c:pt idx="457">
                  <c:v>40514</c:v>
                </c:pt>
                <c:pt idx="458">
                  <c:v>40515</c:v>
                </c:pt>
                <c:pt idx="459">
                  <c:v>40516</c:v>
                </c:pt>
                <c:pt idx="460">
                  <c:v>40517</c:v>
                </c:pt>
                <c:pt idx="461">
                  <c:v>40518</c:v>
                </c:pt>
                <c:pt idx="462">
                  <c:v>40519</c:v>
                </c:pt>
                <c:pt idx="463">
                  <c:v>40520</c:v>
                </c:pt>
                <c:pt idx="464">
                  <c:v>40521</c:v>
                </c:pt>
                <c:pt idx="465">
                  <c:v>40522</c:v>
                </c:pt>
                <c:pt idx="466">
                  <c:v>40523</c:v>
                </c:pt>
                <c:pt idx="467">
                  <c:v>40524</c:v>
                </c:pt>
                <c:pt idx="468">
                  <c:v>40525</c:v>
                </c:pt>
                <c:pt idx="469">
                  <c:v>40526</c:v>
                </c:pt>
                <c:pt idx="470">
                  <c:v>40527</c:v>
                </c:pt>
                <c:pt idx="471">
                  <c:v>40528</c:v>
                </c:pt>
                <c:pt idx="472">
                  <c:v>40529</c:v>
                </c:pt>
                <c:pt idx="473">
                  <c:v>40530</c:v>
                </c:pt>
                <c:pt idx="474">
                  <c:v>40531</c:v>
                </c:pt>
                <c:pt idx="475">
                  <c:v>40532</c:v>
                </c:pt>
                <c:pt idx="476">
                  <c:v>40533</c:v>
                </c:pt>
                <c:pt idx="477">
                  <c:v>40534</c:v>
                </c:pt>
                <c:pt idx="478">
                  <c:v>40535</c:v>
                </c:pt>
                <c:pt idx="479">
                  <c:v>40536</c:v>
                </c:pt>
                <c:pt idx="480">
                  <c:v>40537</c:v>
                </c:pt>
                <c:pt idx="481">
                  <c:v>40538</c:v>
                </c:pt>
                <c:pt idx="482">
                  <c:v>40539</c:v>
                </c:pt>
                <c:pt idx="483">
                  <c:v>40540</c:v>
                </c:pt>
                <c:pt idx="484">
                  <c:v>40541</c:v>
                </c:pt>
                <c:pt idx="485">
                  <c:v>40542</c:v>
                </c:pt>
                <c:pt idx="486">
                  <c:v>40543</c:v>
                </c:pt>
                <c:pt idx="487">
                  <c:v>40544</c:v>
                </c:pt>
                <c:pt idx="488">
                  <c:v>40545</c:v>
                </c:pt>
                <c:pt idx="489">
                  <c:v>40546</c:v>
                </c:pt>
                <c:pt idx="490">
                  <c:v>40547</c:v>
                </c:pt>
                <c:pt idx="491">
                  <c:v>40548</c:v>
                </c:pt>
                <c:pt idx="492">
                  <c:v>40549</c:v>
                </c:pt>
                <c:pt idx="493">
                  <c:v>40550</c:v>
                </c:pt>
                <c:pt idx="494">
                  <c:v>40551</c:v>
                </c:pt>
                <c:pt idx="495">
                  <c:v>40552</c:v>
                </c:pt>
                <c:pt idx="496">
                  <c:v>40553</c:v>
                </c:pt>
                <c:pt idx="497">
                  <c:v>40554</c:v>
                </c:pt>
                <c:pt idx="498">
                  <c:v>40555</c:v>
                </c:pt>
                <c:pt idx="499">
                  <c:v>40556</c:v>
                </c:pt>
                <c:pt idx="500">
                  <c:v>40557</c:v>
                </c:pt>
                <c:pt idx="501">
                  <c:v>40558</c:v>
                </c:pt>
                <c:pt idx="502">
                  <c:v>40559</c:v>
                </c:pt>
                <c:pt idx="503">
                  <c:v>40560</c:v>
                </c:pt>
                <c:pt idx="504">
                  <c:v>40561</c:v>
                </c:pt>
                <c:pt idx="505">
                  <c:v>40562</c:v>
                </c:pt>
                <c:pt idx="506">
                  <c:v>40563</c:v>
                </c:pt>
                <c:pt idx="507">
                  <c:v>40564</c:v>
                </c:pt>
                <c:pt idx="508">
                  <c:v>40565</c:v>
                </c:pt>
                <c:pt idx="509">
                  <c:v>40566</c:v>
                </c:pt>
                <c:pt idx="510">
                  <c:v>40567</c:v>
                </c:pt>
                <c:pt idx="511">
                  <c:v>40568</c:v>
                </c:pt>
                <c:pt idx="512">
                  <c:v>40569</c:v>
                </c:pt>
                <c:pt idx="513">
                  <c:v>40570</c:v>
                </c:pt>
                <c:pt idx="514">
                  <c:v>40571</c:v>
                </c:pt>
                <c:pt idx="515">
                  <c:v>40572</c:v>
                </c:pt>
                <c:pt idx="516">
                  <c:v>40573</c:v>
                </c:pt>
                <c:pt idx="517">
                  <c:v>40574</c:v>
                </c:pt>
                <c:pt idx="518">
                  <c:v>40575</c:v>
                </c:pt>
                <c:pt idx="519">
                  <c:v>40576</c:v>
                </c:pt>
                <c:pt idx="520">
                  <c:v>40577</c:v>
                </c:pt>
                <c:pt idx="521">
                  <c:v>40578</c:v>
                </c:pt>
                <c:pt idx="522">
                  <c:v>40579</c:v>
                </c:pt>
                <c:pt idx="523">
                  <c:v>40580</c:v>
                </c:pt>
                <c:pt idx="524">
                  <c:v>40581</c:v>
                </c:pt>
                <c:pt idx="525">
                  <c:v>40582</c:v>
                </c:pt>
                <c:pt idx="526">
                  <c:v>40583</c:v>
                </c:pt>
                <c:pt idx="527">
                  <c:v>40584</c:v>
                </c:pt>
                <c:pt idx="528">
                  <c:v>40585</c:v>
                </c:pt>
                <c:pt idx="529">
                  <c:v>40586</c:v>
                </c:pt>
                <c:pt idx="530">
                  <c:v>40587</c:v>
                </c:pt>
                <c:pt idx="531">
                  <c:v>40588</c:v>
                </c:pt>
                <c:pt idx="532">
                  <c:v>40589</c:v>
                </c:pt>
                <c:pt idx="533">
                  <c:v>40590</c:v>
                </c:pt>
                <c:pt idx="534">
                  <c:v>40591</c:v>
                </c:pt>
                <c:pt idx="535">
                  <c:v>40592</c:v>
                </c:pt>
                <c:pt idx="536">
                  <c:v>40593</c:v>
                </c:pt>
                <c:pt idx="537">
                  <c:v>40594</c:v>
                </c:pt>
                <c:pt idx="538">
                  <c:v>40595</c:v>
                </c:pt>
                <c:pt idx="539">
                  <c:v>40596</c:v>
                </c:pt>
                <c:pt idx="540">
                  <c:v>40597</c:v>
                </c:pt>
                <c:pt idx="541">
                  <c:v>40598</c:v>
                </c:pt>
                <c:pt idx="542">
                  <c:v>40599</c:v>
                </c:pt>
                <c:pt idx="543">
                  <c:v>40600</c:v>
                </c:pt>
                <c:pt idx="544">
                  <c:v>40601</c:v>
                </c:pt>
                <c:pt idx="545">
                  <c:v>40602</c:v>
                </c:pt>
                <c:pt idx="546">
                  <c:v>40603</c:v>
                </c:pt>
                <c:pt idx="547">
                  <c:v>40604</c:v>
                </c:pt>
                <c:pt idx="548">
                  <c:v>40605</c:v>
                </c:pt>
                <c:pt idx="549">
                  <c:v>40606</c:v>
                </c:pt>
                <c:pt idx="550">
                  <c:v>40607</c:v>
                </c:pt>
                <c:pt idx="551">
                  <c:v>40608</c:v>
                </c:pt>
                <c:pt idx="552">
                  <c:v>40609</c:v>
                </c:pt>
                <c:pt idx="553">
                  <c:v>40610</c:v>
                </c:pt>
                <c:pt idx="554">
                  <c:v>40611</c:v>
                </c:pt>
                <c:pt idx="555">
                  <c:v>40612</c:v>
                </c:pt>
                <c:pt idx="556">
                  <c:v>40613</c:v>
                </c:pt>
                <c:pt idx="557">
                  <c:v>40614</c:v>
                </c:pt>
                <c:pt idx="558">
                  <c:v>40615</c:v>
                </c:pt>
                <c:pt idx="559">
                  <c:v>40616</c:v>
                </c:pt>
                <c:pt idx="560">
                  <c:v>40617</c:v>
                </c:pt>
                <c:pt idx="561">
                  <c:v>40618</c:v>
                </c:pt>
                <c:pt idx="562">
                  <c:v>40619</c:v>
                </c:pt>
                <c:pt idx="563">
                  <c:v>40620</c:v>
                </c:pt>
                <c:pt idx="564">
                  <c:v>40621</c:v>
                </c:pt>
                <c:pt idx="565">
                  <c:v>40622</c:v>
                </c:pt>
                <c:pt idx="566">
                  <c:v>40623</c:v>
                </c:pt>
                <c:pt idx="567">
                  <c:v>40624</c:v>
                </c:pt>
                <c:pt idx="568">
                  <c:v>40625</c:v>
                </c:pt>
                <c:pt idx="569">
                  <c:v>40626</c:v>
                </c:pt>
                <c:pt idx="570">
                  <c:v>40627</c:v>
                </c:pt>
                <c:pt idx="571">
                  <c:v>40628</c:v>
                </c:pt>
                <c:pt idx="572">
                  <c:v>40629</c:v>
                </c:pt>
                <c:pt idx="573">
                  <c:v>40630</c:v>
                </c:pt>
                <c:pt idx="574">
                  <c:v>40631</c:v>
                </c:pt>
                <c:pt idx="575">
                  <c:v>40632</c:v>
                </c:pt>
                <c:pt idx="576">
                  <c:v>40633</c:v>
                </c:pt>
                <c:pt idx="577">
                  <c:v>40634</c:v>
                </c:pt>
                <c:pt idx="578">
                  <c:v>40635</c:v>
                </c:pt>
                <c:pt idx="579">
                  <c:v>40636</c:v>
                </c:pt>
                <c:pt idx="580">
                  <c:v>40637</c:v>
                </c:pt>
                <c:pt idx="581">
                  <c:v>40638</c:v>
                </c:pt>
                <c:pt idx="582">
                  <c:v>40639</c:v>
                </c:pt>
                <c:pt idx="583">
                  <c:v>40640</c:v>
                </c:pt>
                <c:pt idx="584">
                  <c:v>40641</c:v>
                </c:pt>
                <c:pt idx="585">
                  <c:v>40642</c:v>
                </c:pt>
                <c:pt idx="586">
                  <c:v>40643</c:v>
                </c:pt>
                <c:pt idx="587">
                  <c:v>40644</c:v>
                </c:pt>
                <c:pt idx="588">
                  <c:v>40645</c:v>
                </c:pt>
                <c:pt idx="589">
                  <c:v>40646</c:v>
                </c:pt>
                <c:pt idx="590">
                  <c:v>40647</c:v>
                </c:pt>
                <c:pt idx="591">
                  <c:v>40648</c:v>
                </c:pt>
                <c:pt idx="592">
                  <c:v>40649</c:v>
                </c:pt>
                <c:pt idx="593">
                  <c:v>40650</c:v>
                </c:pt>
                <c:pt idx="594">
                  <c:v>40651</c:v>
                </c:pt>
                <c:pt idx="595">
                  <c:v>40652</c:v>
                </c:pt>
                <c:pt idx="596">
                  <c:v>40653</c:v>
                </c:pt>
                <c:pt idx="597">
                  <c:v>40654</c:v>
                </c:pt>
                <c:pt idx="598">
                  <c:v>40655</c:v>
                </c:pt>
                <c:pt idx="599">
                  <c:v>40656</c:v>
                </c:pt>
                <c:pt idx="600">
                  <c:v>40657</c:v>
                </c:pt>
                <c:pt idx="601">
                  <c:v>40658</c:v>
                </c:pt>
                <c:pt idx="602">
                  <c:v>40659</c:v>
                </c:pt>
                <c:pt idx="603">
                  <c:v>40660</c:v>
                </c:pt>
                <c:pt idx="604">
                  <c:v>40661</c:v>
                </c:pt>
                <c:pt idx="605">
                  <c:v>40662</c:v>
                </c:pt>
                <c:pt idx="606">
                  <c:v>40663</c:v>
                </c:pt>
                <c:pt idx="607">
                  <c:v>40664</c:v>
                </c:pt>
                <c:pt idx="608">
                  <c:v>40665</c:v>
                </c:pt>
                <c:pt idx="609">
                  <c:v>40666</c:v>
                </c:pt>
                <c:pt idx="610">
                  <c:v>40667</c:v>
                </c:pt>
                <c:pt idx="611">
                  <c:v>40668</c:v>
                </c:pt>
                <c:pt idx="612">
                  <c:v>40669</c:v>
                </c:pt>
                <c:pt idx="613">
                  <c:v>40670</c:v>
                </c:pt>
                <c:pt idx="614">
                  <c:v>40671</c:v>
                </c:pt>
                <c:pt idx="615">
                  <c:v>40672</c:v>
                </c:pt>
                <c:pt idx="616">
                  <c:v>40673</c:v>
                </c:pt>
                <c:pt idx="617">
                  <c:v>40674</c:v>
                </c:pt>
                <c:pt idx="618">
                  <c:v>40675</c:v>
                </c:pt>
                <c:pt idx="619">
                  <c:v>40676</c:v>
                </c:pt>
                <c:pt idx="620">
                  <c:v>40677</c:v>
                </c:pt>
                <c:pt idx="621">
                  <c:v>40678</c:v>
                </c:pt>
                <c:pt idx="622">
                  <c:v>40679</c:v>
                </c:pt>
                <c:pt idx="623">
                  <c:v>40680</c:v>
                </c:pt>
                <c:pt idx="624">
                  <c:v>40681</c:v>
                </c:pt>
                <c:pt idx="625">
                  <c:v>40682</c:v>
                </c:pt>
                <c:pt idx="626">
                  <c:v>40683</c:v>
                </c:pt>
                <c:pt idx="627">
                  <c:v>40684</c:v>
                </c:pt>
                <c:pt idx="628">
                  <c:v>40685</c:v>
                </c:pt>
                <c:pt idx="629">
                  <c:v>40686</c:v>
                </c:pt>
                <c:pt idx="630">
                  <c:v>40687</c:v>
                </c:pt>
                <c:pt idx="631">
                  <c:v>40688</c:v>
                </c:pt>
                <c:pt idx="632">
                  <c:v>40689</c:v>
                </c:pt>
                <c:pt idx="633">
                  <c:v>40690</c:v>
                </c:pt>
                <c:pt idx="634">
                  <c:v>40691</c:v>
                </c:pt>
                <c:pt idx="635">
                  <c:v>40692</c:v>
                </c:pt>
                <c:pt idx="636">
                  <c:v>40693</c:v>
                </c:pt>
                <c:pt idx="637">
                  <c:v>40694</c:v>
                </c:pt>
                <c:pt idx="638">
                  <c:v>40695</c:v>
                </c:pt>
                <c:pt idx="639">
                  <c:v>40696</c:v>
                </c:pt>
                <c:pt idx="640">
                  <c:v>40697</c:v>
                </c:pt>
                <c:pt idx="641">
                  <c:v>40698</c:v>
                </c:pt>
                <c:pt idx="642">
                  <c:v>40699</c:v>
                </c:pt>
                <c:pt idx="643">
                  <c:v>40700</c:v>
                </c:pt>
                <c:pt idx="644">
                  <c:v>40701</c:v>
                </c:pt>
                <c:pt idx="645">
                  <c:v>40702</c:v>
                </c:pt>
                <c:pt idx="646">
                  <c:v>40703</c:v>
                </c:pt>
                <c:pt idx="647">
                  <c:v>40704</c:v>
                </c:pt>
                <c:pt idx="648">
                  <c:v>40705</c:v>
                </c:pt>
                <c:pt idx="649">
                  <c:v>40706</c:v>
                </c:pt>
                <c:pt idx="650">
                  <c:v>40707</c:v>
                </c:pt>
                <c:pt idx="651">
                  <c:v>40708</c:v>
                </c:pt>
                <c:pt idx="652">
                  <c:v>40709</c:v>
                </c:pt>
                <c:pt idx="653">
                  <c:v>40710</c:v>
                </c:pt>
                <c:pt idx="654">
                  <c:v>40711</c:v>
                </c:pt>
                <c:pt idx="655">
                  <c:v>40712</c:v>
                </c:pt>
                <c:pt idx="656">
                  <c:v>40713</c:v>
                </c:pt>
                <c:pt idx="657">
                  <c:v>40714</c:v>
                </c:pt>
                <c:pt idx="658">
                  <c:v>40715</c:v>
                </c:pt>
                <c:pt idx="659">
                  <c:v>40716</c:v>
                </c:pt>
                <c:pt idx="660">
                  <c:v>40717</c:v>
                </c:pt>
                <c:pt idx="661">
                  <c:v>40718</c:v>
                </c:pt>
                <c:pt idx="662">
                  <c:v>40719</c:v>
                </c:pt>
                <c:pt idx="663">
                  <c:v>40720</c:v>
                </c:pt>
                <c:pt idx="664">
                  <c:v>40721</c:v>
                </c:pt>
                <c:pt idx="665">
                  <c:v>40722</c:v>
                </c:pt>
                <c:pt idx="666">
                  <c:v>40723</c:v>
                </c:pt>
                <c:pt idx="667">
                  <c:v>40724</c:v>
                </c:pt>
                <c:pt idx="668">
                  <c:v>40725</c:v>
                </c:pt>
                <c:pt idx="669">
                  <c:v>40726</c:v>
                </c:pt>
                <c:pt idx="670">
                  <c:v>40727</c:v>
                </c:pt>
                <c:pt idx="671">
                  <c:v>40728</c:v>
                </c:pt>
                <c:pt idx="672">
                  <c:v>40729</c:v>
                </c:pt>
                <c:pt idx="673">
                  <c:v>40730</c:v>
                </c:pt>
                <c:pt idx="674">
                  <c:v>40731</c:v>
                </c:pt>
                <c:pt idx="675">
                  <c:v>40732</c:v>
                </c:pt>
                <c:pt idx="676">
                  <c:v>40733</c:v>
                </c:pt>
                <c:pt idx="677">
                  <c:v>40734</c:v>
                </c:pt>
                <c:pt idx="678">
                  <c:v>40735</c:v>
                </c:pt>
                <c:pt idx="679">
                  <c:v>40736</c:v>
                </c:pt>
                <c:pt idx="680">
                  <c:v>40737</c:v>
                </c:pt>
                <c:pt idx="681">
                  <c:v>40738</c:v>
                </c:pt>
                <c:pt idx="682">
                  <c:v>40739</c:v>
                </c:pt>
                <c:pt idx="683">
                  <c:v>40740</c:v>
                </c:pt>
                <c:pt idx="684">
                  <c:v>40741</c:v>
                </c:pt>
                <c:pt idx="685">
                  <c:v>40742</c:v>
                </c:pt>
                <c:pt idx="686">
                  <c:v>40743</c:v>
                </c:pt>
                <c:pt idx="687">
                  <c:v>40744</c:v>
                </c:pt>
                <c:pt idx="688">
                  <c:v>40745</c:v>
                </c:pt>
                <c:pt idx="689">
                  <c:v>40746</c:v>
                </c:pt>
                <c:pt idx="690">
                  <c:v>40747</c:v>
                </c:pt>
                <c:pt idx="691">
                  <c:v>40748</c:v>
                </c:pt>
                <c:pt idx="692">
                  <c:v>40749</c:v>
                </c:pt>
                <c:pt idx="693">
                  <c:v>40750</c:v>
                </c:pt>
                <c:pt idx="694">
                  <c:v>40751</c:v>
                </c:pt>
                <c:pt idx="695">
                  <c:v>40752</c:v>
                </c:pt>
                <c:pt idx="696">
                  <c:v>40753</c:v>
                </c:pt>
                <c:pt idx="697">
                  <c:v>40754</c:v>
                </c:pt>
                <c:pt idx="698">
                  <c:v>40755</c:v>
                </c:pt>
                <c:pt idx="699">
                  <c:v>40756</c:v>
                </c:pt>
                <c:pt idx="700">
                  <c:v>40757</c:v>
                </c:pt>
                <c:pt idx="701">
                  <c:v>40758</c:v>
                </c:pt>
                <c:pt idx="702">
                  <c:v>40759</c:v>
                </c:pt>
                <c:pt idx="703">
                  <c:v>40760</c:v>
                </c:pt>
                <c:pt idx="704">
                  <c:v>40761</c:v>
                </c:pt>
                <c:pt idx="705">
                  <c:v>40762</c:v>
                </c:pt>
                <c:pt idx="706">
                  <c:v>40763</c:v>
                </c:pt>
                <c:pt idx="707">
                  <c:v>40764</c:v>
                </c:pt>
                <c:pt idx="708">
                  <c:v>40765</c:v>
                </c:pt>
                <c:pt idx="709">
                  <c:v>40766</c:v>
                </c:pt>
                <c:pt idx="710">
                  <c:v>40767</c:v>
                </c:pt>
                <c:pt idx="711">
                  <c:v>40768</c:v>
                </c:pt>
                <c:pt idx="712">
                  <c:v>40769</c:v>
                </c:pt>
                <c:pt idx="713">
                  <c:v>40770</c:v>
                </c:pt>
                <c:pt idx="714">
                  <c:v>40771</c:v>
                </c:pt>
                <c:pt idx="715">
                  <c:v>40772</c:v>
                </c:pt>
                <c:pt idx="716">
                  <c:v>40773</c:v>
                </c:pt>
                <c:pt idx="717">
                  <c:v>40774</c:v>
                </c:pt>
                <c:pt idx="718">
                  <c:v>40775</c:v>
                </c:pt>
                <c:pt idx="719">
                  <c:v>40776</c:v>
                </c:pt>
                <c:pt idx="720">
                  <c:v>40777</c:v>
                </c:pt>
                <c:pt idx="721">
                  <c:v>40778</c:v>
                </c:pt>
                <c:pt idx="722">
                  <c:v>40779</c:v>
                </c:pt>
                <c:pt idx="723">
                  <c:v>40780</c:v>
                </c:pt>
                <c:pt idx="724">
                  <c:v>40781</c:v>
                </c:pt>
                <c:pt idx="725">
                  <c:v>40782</c:v>
                </c:pt>
                <c:pt idx="726">
                  <c:v>40783</c:v>
                </c:pt>
                <c:pt idx="727">
                  <c:v>40784</c:v>
                </c:pt>
                <c:pt idx="728">
                  <c:v>40785</c:v>
                </c:pt>
                <c:pt idx="729">
                  <c:v>40786</c:v>
                </c:pt>
                <c:pt idx="730">
                  <c:v>40787</c:v>
                </c:pt>
                <c:pt idx="731">
                  <c:v>40788</c:v>
                </c:pt>
                <c:pt idx="732">
                  <c:v>40789</c:v>
                </c:pt>
                <c:pt idx="733">
                  <c:v>40790</c:v>
                </c:pt>
                <c:pt idx="734">
                  <c:v>40791</c:v>
                </c:pt>
                <c:pt idx="735">
                  <c:v>40792</c:v>
                </c:pt>
                <c:pt idx="736">
                  <c:v>40793</c:v>
                </c:pt>
                <c:pt idx="737">
                  <c:v>40794</c:v>
                </c:pt>
                <c:pt idx="738">
                  <c:v>40795</c:v>
                </c:pt>
                <c:pt idx="739">
                  <c:v>40796</c:v>
                </c:pt>
                <c:pt idx="740">
                  <c:v>40797</c:v>
                </c:pt>
                <c:pt idx="741">
                  <c:v>40798</c:v>
                </c:pt>
                <c:pt idx="742">
                  <c:v>40799</c:v>
                </c:pt>
                <c:pt idx="743">
                  <c:v>40800</c:v>
                </c:pt>
                <c:pt idx="744">
                  <c:v>40801</c:v>
                </c:pt>
                <c:pt idx="745">
                  <c:v>40802</c:v>
                </c:pt>
                <c:pt idx="746">
                  <c:v>40803</c:v>
                </c:pt>
                <c:pt idx="747">
                  <c:v>40804</c:v>
                </c:pt>
                <c:pt idx="748">
                  <c:v>40805</c:v>
                </c:pt>
                <c:pt idx="749">
                  <c:v>40806</c:v>
                </c:pt>
                <c:pt idx="750">
                  <c:v>40807</c:v>
                </c:pt>
                <c:pt idx="751">
                  <c:v>40808</c:v>
                </c:pt>
                <c:pt idx="752">
                  <c:v>40809</c:v>
                </c:pt>
                <c:pt idx="753">
                  <c:v>40810</c:v>
                </c:pt>
                <c:pt idx="754">
                  <c:v>40811</c:v>
                </c:pt>
                <c:pt idx="755">
                  <c:v>40812</c:v>
                </c:pt>
                <c:pt idx="756">
                  <c:v>40813</c:v>
                </c:pt>
                <c:pt idx="757">
                  <c:v>40814</c:v>
                </c:pt>
                <c:pt idx="758">
                  <c:v>40815</c:v>
                </c:pt>
                <c:pt idx="759">
                  <c:v>40816</c:v>
                </c:pt>
                <c:pt idx="760">
                  <c:v>40817</c:v>
                </c:pt>
                <c:pt idx="761">
                  <c:v>40818</c:v>
                </c:pt>
                <c:pt idx="762">
                  <c:v>40819</c:v>
                </c:pt>
                <c:pt idx="763">
                  <c:v>40820</c:v>
                </c:pt>
                <c:pt idx="764">
                  <c:v>40821</c:v>
                </c:pt>
                <c:pt idx="765">
                  <c:v>40822</c:v>
                </c:pt>
                <c:pt idx="766">
                  <c:v>40823</c:v>
                </c:pt>
                <c:pt idx="767">
                  <c:v>40824</c:v>
                </c:pt>
                <c:pt idx="768">
                  <c:v>40825</c:v>
                </c:pt>
                <c:pt idx="769">
                  <c:v>40826</c:v>
                </c:pt>
                <c:pt idx="770">
                  <c:v>40827</c:v>
                </c:pt>
                <c:pt idx="771">
                  <c:v>40828</c:v>
                </c:pt>
                <c:pt idx="772">
                  <c:v>40829</c:v>
                </c:pt>
                <c:pt idx="773">
                  <c:v>40830</c:v>
                </c:pt>
                <c:pt idx="774">
                  <c:v>40831</c:v>
                </c:pt>
                <c:pt idx="775">
                  <c:v>40832</c:v>
                </c:pt>
                <c:pt idx="776">
                  <c:v>40833</c:v>
                </c:pt>
                <c:pt idx="777">
                  <c:v>40834</c:v>
                </c:pt>
                <c:pt idx="778">
                  <c:v>40835</c:v>
                </c:pt>
                <c:pt idx="779">
                  <c:v>40836</c:v>
                </c:pt>
                <c:pt idx="780">
                  <c:v>40837</c:v>
                </c:pt>
                <c:pt idx="781">
                  <c:v>40838</c:v>
                </c:pt>
                <c:pt idx="782">
                  <c:v>40839</c:v>
                </c:pt>
                <c:pt idx="783">
                  <c:v>40840</c:v>
                </c:pt>
                <c:pt idx="784">
                  <c:v>40841</c:v>
                </c:pt>
                <c:pt idx="785">
                  <c:v>40842</c:v>
                </c:pt>
                <c:pt idx="786">
                  <c:v>40843</c:v>
                </c:pt>
                <c:pt idx="787">
                  <c:v>40844</c:v>
                </c:pt>
                <c:pt idx="788">
                  <c:v>40845</c:v>
                </c:pt>
                <c:pt idx="789">
                  <c:v>40846</c:v>
                </c:pt>
                <c:pt idx="790">
                  <c:v>40847</c:v>
                </c:pt>
                <c:pt idx="791">
                  <c:v>40848</c:v>
                </c:pt>
                <c:pt idx="792">
                  <c:v>40849</c:v>
                </c:pt>
                <c:pt idx="793">
                  <c:v>40850</c:v>
                </c:pt>
                <c:pt idx="794">
                  <c:v>40851</c:v>
                </c:pt>
                <c:pt idx="795">
                  <c:v>40852</c:v>
                </c:pt>
                <c:pt idx="796">
                  <c:v>40853</c:v>
                </c:pt>
                <c:pt idx="797">
                  <c:v>40854</c:v>
                </c:pt>
                <c:pt idx="798">
                  <c:v>40855</c:v>
                </c:pt>
                <c:pt idx="799">
                  <c:v>40856</c:v>
                </c:pt>
                <c:pt idx="800">
                  <c:v>40857</c:v>
                </c:pt>
                <c:pt idx="801">
                  <c:v>40858</c:v>
                </c:pt>
                <c:pt idx="802">
                  <c:v>40859</c:v>
                </c:pt>
                <c:pt idx="803">
                  <c:v>40860</c:v>
                </c:pt>
                <c:pt idx="804">
                  <c:v>40861</c:v>
                </c:pt>
                <c:pt idx="805">
                  <c:v>40862</c:v>
                </c:pt>
                <c:pt idx="806">
                  <c:v>40863</c:v>
                </c:pt>
                <c:pt idx="807">
                  <c:v>40864</c:v>
                </c:pt>
                <c:pt idx="808">
                  <c:v>40865</c:v>
                </c:pt>
                <c:pt idx="809">
                  <c:v>40866</c:v>
                </c:pt>
                <c:pt idx="810">
                  <c:v>40867</c:v>
                </c:pt>
                <c:pt idx="811">
                  <c:v>40868</c:v>
                </c:pt>
                <c:pt idx="812">
                  <c:v>40869</c:v>
                </c:pt>
                <c:pt idx="813">
                  <c:v>40870</c:v>
                </c:pt>
                <c:pt idx="814">
                  <c:v>40871</c:v>
                </c:pt>
                <c:pt idx="815">
                  <c:v>40872</c:v>
                </c:pt>
                <c:pt idx="816">
                  <c:v>40873</c:v>
                </c:pt>
                <c:pt idx="817">
                  <c:v>40874</c:v>
                </c:pt>
                <c:pt idx="818">
                  <c:v>40875</c:v>
                </c:pt>
                <c:pt idx="819">
                  <c:v>40876</c:v>
                </c:pt>
                <c:pt idx="820">
                  <c:v>40877</c:v>
                </c:pt>
                <c:pt idx="821">
                  <c:v>40878</c:v>
                </c:pt>
                <c:pt idx="822">
                  <c:v>40879</c:v>
                </c:pt>
                <c:pt idx="823">
                  <c:v>40880</c:v>
                </c:pt>
                <c:pt idx="824">
                  <c:v>40881</c:v>
                </c:pt>
                <c:pt idx="825">
                  <c:v>40882</c:v>
                </c:pt>
                <c:pt idx="826">
                  <c:v>40883</c:v>
                </c:pt>
                <c:pt idx="827">
                  <c:v>40884</c:v>
                </c:pt>
                <c:pt idx="828">
                  <c:v>40885</c:v>
                </c:pt>
                <c:pt idx="829">
                  <c:v>40886</c:v>
                </c:pt>
                <c:pt idx="830">
                  <c:v>40887</c:v>
                </c:pt>
                <c:pt idx="831">
                  <c:v>40888</c:v>
                </c:pt>
                <c:pt idx="832">
                  <c:v>40889</c:v>
                </c:pt>
                <c:pt idx="833">
                  <c:v>40890</c:v>
                </c:pt>
                <c:pt idx="834">
                  <c:v>40891</c:v>
                </c:pt>
                <c:pt idx="835">
                  <c:v>40892</c:v>
                </c:pt>
                <c:pt idx="836">
                  <c:v>40893</c:v>
                </c:pt>
                <c:pt idx="837">
                  <c:v>40894</c:v>
                </c:pt>
                <c:pt idx="838">
                  <c:v>40895</c:v>
                </c:pt>
                <c:pt idx="839">
                  <c:v>40896</c:v>
                </c:pt>
                <c:pt idx="840">
                  <c:v>40897</c:v>
                </c:pt>
                <c:pt idx="841">
                  <c:v>40898</c:v>
                </c:pt>
                <c:pt idx="842">
                  <c:v>40899</c:v>
                </c:pt>
                <c:pt idx="843">
                  <c:v>40900</c:v>
                </c:pt>
                <c:pt idx="844">
                  <c:v>40901</c:v>
                </c:pt>
                <c:pt idx="845">
                  <c:v>40902</c:v>
                </c:pt>
                <c:pt idx="846">
                  <c:v>40903</c:v>
                </c:pt>
                <c:pt idx="847">
                  <c:v>40904</c:v>
                </c:pt>
                <c:pt idx="848">
                  <c:v>40905</c:v>
                </c:pt>
                <c:pt idx="849">
                  <c:v>40906</c:v>
                </c:pt>
                <c:pt idx="850">
                  <c:v>40907</c:v>
                </c:pt>
                <c:pt idx="851">
                  <c:v>40908</c:v>
                </c:pt>
                <c:pt idx="852">
                  <c:v>40909</c:v>
                </c:pt>
                <c:pt idx="853">
                  <c:v>40910</c:v>
                </c:pt>
                <c:pt idx="854">
                  <c:v>40911</c:v>
                </c:pt>
                <c:pt idx="855">
                  <c:v>40912</c:v>
                </c:pt>
                <c:pt idx="856">
                  <c:v>40913</c:v>
                </c:pt>
                <c:pt idx="857">
                  <c:v>40914</c:v>
                </c:pt>
                <c:pt idx="858">
                  <c:v>40915</c:v>
                </c:pt>
                <c:pt idx="859">
                  <c:v>40916</c:v>
                </c:pt>
                <c:pt idx="860">
                  <c:v>40917</c:v>
                </c:pt>
                <c:pt idx="861">
                  <c:v>40918</c:v>
                </c:pt>
                <c:pt idx="862">
                  <c:v>40919</c:v>
                </c:pt>
                <c:pt idx="863">
                  <c:v>40920</c:v>
                </c:pt>
                <c:pt idx="864">
                  <c:v>40921</c:v>
                </c:pt>
                <c:pt idx="865">
                  <c:v>40922</c:v>
                </c:pt>
                <c:pt idx="866">
                  <c:v>40923</c:v>
                </c:pt>
                <c:pt idx="867">
                  <c:v>40924</c:v>
                </c:pt>
                <c:pt idx="868">
                  <c:v>40925</c:v>
                </c:pt>
                <c:pt idx="869">
                  <c:v>40926</c:v>
                </c:pt>
                <c:pt idx="870">
                  <c:v>40927</c:v>
                </c:pt>
                <c:pt idx="871">
                  <c:v>40928</c:v>
                </c:pt>
                <c:pt idx="872">
                  <c:v>40929</c:v>
                </c:pt>
                <c:pt idx="873">
                  <c:v>40930</c:v>
                </c:pt>
                <c:pt idx="874">
                  <c:v>40931</c:v>
                </c:pt>
                <c:pt idx="875">
                  <c:v>40932</c:v>
                </c:pt>
                <c:pt idx="876">
                  <c:v>40933</c:v>
                </c:pt>
                <c:pt idx="877">
                  <c:v>40934</c:v>
                </c:pt>
                <c:pt idx="878">
                  <c:v>40935</c:v>
                </c:pt>
                <c:pt idx="879">
                  <c:v>40936</c:v>
                </c:pt>
                <c:pt idx="880">
                  <c:v>40937</c:v>
                </c:pt>
                <c:pt idx="881">
                  <c:v>40938</c:v>
                </c:pt>
                <c:pt idx="882">
                  <c:v>40939</c:v>
                </c:pt>
                <c:pt idx="883">
                  <c:v>40940</c:v>
                </c:pt>
                <c:pt idx="884">
                  <c:v>40941</c:v>
                </c:pt>
                <c:pt idx="885">
                  <c:v>40942</c:v>
                </c:pt>
                <c:pt idx="886">
                  <c:v>40943</c:v>
                </c:pt>
                <c:pt idx="887">
                  <c:v>40944</c:v>
                </c:pt>
                <c:pt idx="888">
                  <c:v>40945</c:v>
                </c:pt>
                <c:pt idx="889">
                  <c:v>40946</c:v>
                </c:pt>
                <c:pt idx="890">
                  <c:v>40947</c:v>
                </c:pt>
                <c:pt idx="891">
                  <c:v>40948</c:v>
                </c:pt>
                <c:pt idx="892">
                  <c:v>40949</c:v>
                </c:pt>
                <c:pt idx="893">
                  <c:v>40950</c:v>
                </c:pt>
                <c:pt idx="894">
                  <c:v>40951</c:v>
                </c:pt>
                <c:pt idx="895">
                  <c:v>40952</c:v>
                </c:pt>
                <c:pt idx="896">
                  <c:v>40953</c:v>
                </c:pt>
                <c:pt idx="897">
                  <c:v>40954</c:v>
                </c:pt>
                <c:pt idx="898">
                  <c:v>40955</c:v>
                </c:pt>
                <c:pt idx="899">
                  <c:v>40956</c:v>
                </c:pt>
                <c:pt idx="900">
                  <c:v>40957</c:v>
                </c:pt>
                <c:pt idx="901">
                  <c:v>40958</c:v>
                </c:pt>
                <c:pt idx="902">
                  <c:v>40959</c:v>
                </c:pt>
                <c:pt idx="903">
                  <c:v>40960</c:v>
                </c:pt>
                <c:pt idx="904">
                  <c:v>40961</c:v>
                </c:pt>
                <c:pt idx="905">
                  <c:v>40962</c:v>
                </c:pt>
                <c:pt idx="906">
                  <c:v>40963</c:v>
                </c:pt>
                <c:pt idx="907">
                  <c:v>40964</c:v>
                </c:pt>
                <c:pt idx="908">
                  <c:v>40965</c:v>
                </c:pt>
                <c:pt idx="909">
                  <c:v>40966</c:v>
                </c:pt>
                <c:pt idx="910">
                  <c:v>40967</c:v>
                </c:pt>
                <c:pt idx="911">
                  <c:v>40968</c:v>
                </c:pt>
                <c:pt idx="912">
                  <c:v>40969</c:v>
                </c:pt>
                <c:pt idx="913">
                  <c:v>40970</c:v>
                </c:pt>
                <c:pt idx="914">
                  <c:v>40971</c:v>
                </c:pt>
                <c:pt idx="915">
                  <c:v>40972</c:v>
                </c:pt>
                <c:pt idx="916">
                  <c:v>40973</c:v>
                </c:pt>
                <c:pt idx="917">
                  <c:v>40974</c:v>
                </c:pt>
                <c:pt idx="918">
                  <c:v>40975</c:v>
                </c:pt>
                <c:pt idx="919">
                  <c:v>40976</c:v>
                </c:pt>
                <c:pt idx="920">
                  <c:v>40977</c:v>
                </c:pt>
                <c:pt idx="921">
                  <c:v>40978</c:v>
                </c:pt>
                <c:pt idx="922">
                  <c:v>40979</c:v>
                </c:pt>
                <c:pt idx="923">
                  <c:v>40980</c:v>
                </c:pt>
                <c:pt idx="924">
                  <c:v>40981</c:v>
                </c:pt>
                <c:pt idx="925">
                  <c:v>40982</c:v>
                </c:pt>
                <c:pt idx="926">
                  <c:v>40983</c:v>
                </c:pt>
                <c:pt idx="927">
                  <c:v>40984</c:v>
                </c:pt>
                <c:pt idx="928">
                  <c:v>40985</c:v>
                </c:pt>
                <c:pt idx="929">
                  <c:v>40986</c:v>
                </c:pt>
                <c:pt idx="930">
                  <c:v>40987</c:v>
                </c:pt>
                <c:pt idx="931">
                  <c:v>40988</c:v>
                </c:pt>
                <c:pt idx="932">
                  <c:v>40989</c:v>
                </c:pt>
                <c:pt idx="933">
                  <c:v>40990</c:v>
                </c:pt>
                <c:pt idx="934">
                  <c:v>40991</c:v>
                </c:pt>
                <c:pt idx="935">
                  <c:v>40992</c:v>
                </c:pt>
                <c:pt idx="936">
                  <c:v>40993</c:v>
                </c:pt>
                <c:pt idx="937">
                  <c:v>40994</c:v>
                </c:pt>
                <c:pt idx="938">
                  <c:v>40995</c:v>
                </c:pt>
                <c:pt idx="939">
                  <c:v>40996</c:v>
                </c:pt>
                <c:pt idx="940">
                  <c:v>40997</c:v>
                </c:pt>
                <c:pt idx="941">
                  <c:v>40998</c:v>
                </c:pt>
                <c:pt idx="942">
                  <c:v>40999</c:v>
                </c:pt>
                <c:pt idx="943">
                  <c:v>41000</c:v>
                </c:pt>
                <c:pt idx="944">
                  <c:v>41001</c:v>
                </c:pt>
                <c:pt idx="945">
                  <c:v>41002</c:v>
                </c:pt>
                <c:pt idx="946">
                  <c:v>41003</c:v>
                </c:pt>
                <c:pt idx="947">
                  <c:v>41004</c:v>
                </c:pt>
                <c:pt idx="948">
                  <c:v>41005</c:v>
                </c:pt>
                <c:pt idx="949">
                  <c:v>41006</c:v>
                </c:pt>
                <c:pt idx="950">
                  <c:v>41007</c:v>
                </c:pt>
                <c:pt idx="951">
                  <c:v>41008</c:v>
                </c:pt>
                <c:pt idx="952">
                  <c:v>41009</c:v>
                </c:pt>
                <c:pt idx="953">
                  <c:v>41010</c:v>
                </c:pt>
                <c:pt idx="954">
                  <c:v>41011</c:v>
                </c:pt>
                <c:pt idx="955">
                  <c:v>41012</c:v>
                </c:pt>
                <c:pt idx="956">
                  <c:v>41013</c:v>
                </c:pt>
                <c:pt idx="957">
                  <c:v>41014</c:v>
                </c:pt>
                <c:pt idx="958">
                  <c:v>41015</c:v>
                </c:pt>
                <c:pt idx="959">
                  <c:v>41016</c:v>
                </c:pt>
                <c:pt idx="960">
                  <c:v>41017</c:v>
                </c:pt>
                <c:pt idx="961">
                  <c:v>41018</c:v>
                </c:pt>
                <c:pt idx="962">
                  <c:v>41019</c:v>
                </c:pt>
                <c:pt idx="963">
                  <c:v>41020</c:v>
                </c:pt>
                <c:pt idx="964">
                  <c:v>41021</c:v>
                </c:pt>
                <c:pt idx="965">
                  <c:v>41022</c:v>
                </c:pt>
                <c:pt idx="966">
                  <c:v>41023</c:v>
                </c:pt>
                <c:pt idx="967">
                  <c:v>41024</c:v>
                </c:pt>
                <c:pt idx="968">
                  <c:v>41025</c:v>
                </c:pt>
                <c:pt idx="969">
                  <c:v>41026</c:v>
                </c:pt>
                <c:pt idx="970">
                  <c:v>41027</c:v>
                </c:pt>
                <c:pt idx="971">
                  <c:v>41028</c:v>
                </c:pt>
                <c:pt idx="972">
                  <c:v>41029</c:v>
                </c:pt>
                <c:pt idx="973">
                  <c:v>41030</c:v>
                </c:pt>
                <c:pt idx="974">
                  <c:v>41031</c:v>
                </c:pt>
                <c:pt idx="975">
                  <c:v>41032</c:v>
                </c:pt>
                <c:pt idx="976">
                  <c:v>41033</c:v>
                </c:pt>
                <c:pt idx="977">
                  <c:v>41034</c:v>
                </c:pt>
                <c:pt idx="978">
                  <c:v>41035</c:v>
                </c:pt>
                <c:pt idx="979">
                  <c:v>41036</c:v>
                </c:pt>
                <c:pt idx="980">
                  <c:v>41037</c:v>
                </c:pt>
                <c:pt idx="981">
                  <c:v>41038</c:v>
                </c:pt>
                <c:pt idx="982">
                  <c:v>41039</c:v>
                </c:pt>
                <c:pt idx="983">
                  <c:v>41040</c:v>
                </c:pt>
                <c:pt idx="984">
                  <c:v>41041</c:v>
                </c:pt>
                <c:pt idx="985">
                  <c:v>41042</c:v>
                </c:pt>
                <c:pt idx="986">
                  <c:v>41043</c:v>
                </c:pt>
                <c:pt idx="987">
                  <c:v>41044</c:v>
                </c:pt>
                <c:pt idx="988">
                  <c:v>41045</c:v>
                </c:pt>
                <c:pt idx="989">
                  <c:v>41046</c:v>
                </c:pt>
                <c:pt idx="990">
                  <c:v>41047</c:v>
                </c:pt>
                <c:pt idx="991">
                  <c:v>41048</c:v>
                </c:pt>
                <c:pt idx="992">
                  <c:v>41049</c:v>
                </c:pt>
                <c:pt idx="993">
                  <c:v>41050</c:v>
                </c:pt>
                <c:pt idx="994">
                  <c:v>41051</c:v>
                </c:pt>
                <c:pt idx="995">
                  <c:v>41052</c:v>
                </c:pt>
                <c:pt idx="996">
                  <c:v>41053</c:v>
                </c:pt>
                <c:pt idx="997">
                  <c:v>41054</c:v>
                </c:pt>
                <c:pt idx="998">
                  <c:v>41055</c:v>
                </c:pt>
                <c:pt idx="999">
                  <c:v>41056</c:v>
                </c:pt>
                <c:pt idx="1000">
                  <c:v>41057</c:v>
                </c:pt>
                <c:pt idx="1001">
                  <c:v>41058</c:v>
                </c:pt>
                <c:pt idx="1002">
                  <c:v>41059</c:v>
                </c:pt>
                <c:pt idx="1003">
                  <c:v>41060</c:v>
                </c:pt>
                <c:pt idx="1004">
                  <c:v>41061</c:v>
                </c:pt>
                <c:pt idx="1005">
                  <c:v>41062</c:v>
                </c:pt>
                <c:pt idx="1006">
                  <c:v>41063</c:v>
                </c:pt>
                <c:pt idx="1007">
                  <c:v>41064</c:v>
                </c:pt>
                <c:pt idx="1008">
                  <c:v>41065</c:v>
                </c:pt>
                <c:pt idx="1009">
                  <c:v>41066</c:v>
                </c:pt>
                <c:pt idx="1010">
                  <c:v>41067</c:v>
                </c:pt>
                <c:pt idx="1011">
                  <c:v>41068</c:v>
                </c:pt>
                <c:pt idx="1012">
                  <c:v>41069</c:v>
                </c:pt>
                <c:pt idx="1013">
                  <c:v>41070</c:v>
                </c:pt>
                <c:pt idx="1014">
                  <c:v>41071</c:v>
                </c:pt>
                <c:pt idx="1015">
                  <c:v>41072</c:v>
                </c:pt>
                <c:pt idx="1016">
                  <c:v>41073</c:v>
                </c:pt>
                <c:pt idx="1017">
                  <c:v>41074</c:v>
                </c:pt>
                <c:pt idx="1018">
                  <c:v>41075</c:v>
                </c:pt>
                <c:pt idx="1019">
                  <c:v>41076</c:v>
                </c:pt>
                <c:pt idx="1020">
                  <c:v>41077</c:v>
                </c:pt>
                <c:pt idx="1021">
                  <c:v>41078</c:v>
                </c:pt>
                <c:pt idx="1022">
                  <c:v>41079</c:v>
                </c:pt>
                <c:pt idx="1023">
                  <c:v>41080</c:v>
                </c:pt>
                <c:pt idx="1024">
                  <c:v>41081</c:v>
                </c:pt>
                <c:pt idx="1025">
                  <c:v>41082</c:v>
                </c:pt>
                <c:pt idx="1026">
                  <c:v>41083</c:v>
                </c:pt>
                <c:pt idx="1027">
                  <c:v>41084</c:v>
                </c:pt>
                <c:pt idx="1028">
                  <c:v>41085</c:v>
                </c:pt>
                <c:pt idx="1029">
                  <c:v>41086</c:v>
                </c:pt>
                <c:pt idx="1030">
                  <c:v>41087</c:v>
                </c:pt>
                <c:pt idx="1031">
                  <c:v>41088</c:v>
                </c:pt>
                <c:pt idx="1032">
                  <c:v>41089</c:v>
                </c:pt>
                <c:pt idx="1033">
                  <c:v>41090</c:v>
                </c:pt>
                <c:pt idx="1034">
                  <c:v>41091</c:v>
                </c:pt>
                <c:pt idx="1035">
                  <c:v>41092</c:v>
                </c:pt>
                <c:pt idx="1036">
                  <c:v>41093</c:v>
                </c:pt>
                <c:pt idx="1037">
                  <c:v>41094</c:v>
                </c:pt>
                <c:pt idx="1038">
                  <c:v>41095</c:v>
                </c:pt>
                <c:pt idx="1039">
                  <c:v>41096</c:v>
                </c:pt>
                <c:pt idx="1040">
                  <c:v>41097</c:v>
                </c:pt>
                <c:pt idx="1041">
                  <c:v>41098</c:v>
                </c:pt>
                <c:pt idx="1042">
                  <c:v>41099</c:v>
                </c:pt>
                <c:pt idx="1043">
                  <c:v>41100</c:v>
                </c:pt>
                <c:pt idx="1044">
                  <c:v>41101</c:v>
                </c:pt>
                <c:pt idx="1045">
                  <c:v>41102</c:v>
                </c:pt>
                <c:pt idx="1046">
                  <c:v>41103</c:v>
                </c:pt>
                <c:pt idx="1047">
                  <c:v>41104</c:v>
                </c:pt>
                <c:pt idx="1048">
                  <c:v>41105</c:v>
                </c:pt>
                <c:pt idx="1049">
                  <c:v>41106</c:v>
                </c:pt>
                <c:pt idx="1050">
                  <c:v>41107</c:v>
                </c:pt>
                <c:pt idx="1051">
                  <c:v>41108</c:v>
                </c:pt>
                <c:pt idx="1052">
                  <c:v>41109</c:v>
                </c:pt>
                <c:pt idx="1053">
                  <c:v>41110</c:v>
                </c:pt>
                <c:pt idx="1054">
                  <c:v>41111</c:v>
                </c:pt>
                <c:pt idx="1055">
                  <c:v>41112</c:v>
                </c:pt>
                <c:pt idx="1056">
                  <c:v>41113</c:v>
                </c:pt>
                <c:pt idx="1057">
                  <c:v>41114</c:v>
                </c:pt>
                <c:pt idx="1058">
                  <c:v>41115</c:v>
                </c:pt>
                <c:pt idx="1059">
                  <c:v>41116</c:v>
                </c:pt>
                <c:pt idx="1060">
                  <c:v>41117</c:v>
                </c:pt>
                <c:pt idx="1061">
                  <c:v>41118</c:v>
                </c:pt>
                <c:pt idx="1062">
                  <c:v>41119</c:v>
                </c:pt>
                <c:pt idx="1063">
                  <c:v>41120</c:v>
                </c:pt>
                <c:pt idx="1064">
                  <c:v>41121</c:v>
                </c:pt>
                <c:pt idx="1065">
                  <c:v>41122</c:v>
                </c:pt>
                <c:pt idx="1066">
                  <c:v>41123</c:v>
                </c:pt>
                <c:pt idx="1067">
                  <c:v>41124</c:v>
                </c:pt>
                <c:pt idx="1068">
                  <c:v>41125</c:v>
                </c:pt>
                <c:pt idx="1069">
                  <c:v>41126</c:v>
                </c:pt>
                <c:pt idx="1070">
                  <c:v>41127</c:v>
                </c:pt>
                <c:pt idx="1071">
                  <c:v>41128</c:v>
                </c:pt>
                <c:pt idx="1072">
                  <c:v>41129</c:v>
                </c:pt>
                <c:pt idx="1073">
                  <c:v>41130</c:v>
                </c:pt>
                <c:pt idx="1074">
                  <c:v>41131</c:v>
                </c:pt>
                <c:pt idx="1075">
                  <c:v>41132</c:v>
                </c:pt>
                <c:pt idx="1076">
                  <c:v>41133</c:v>
                </c:pt>
                <c:pt idx="1077">
                  <c:v>41134</c:v>
                </c:pt>
                <c:pt idx="1078">
                  <c:v>41135</c:v>
                </c:pt>
                <c:pt idx="1079">
                  <c:v>41136</c:v>
                </c:pt>
                <c:pt idx="1080">
                  <c:v>41137</c:v>
                </c:pt>
                <c:pt idx="1081">
                  <c:v>41138</c:v>
                </c:pt>
                <c:pt idx="1082">
                  <c:v>41139</c:v>
                </c:pt>
                <c:pt idx="1083">
                  <c:v>41140</c:v>
                </c:pt>
                <c:pt idx="1084">
                  <c:v>41141</c:v>
                </c:pt>
                <c:pt idx="1085">
                  <c:v>41142</c:v>
                </c:pt>
                <c:pt idx="1086">
                  <c:v>41143</c:v>
                </c:pt>
                <c:pt idx="1087">
                  <c:v>41144</c:v>
                </c:pt>
                <c:pt idx="1088">
                  <c:v>41145</c:v>
                </c:pt>
                <c:pt idx="1089">
                  <c:v>41146</c:v>
                </c:pt>
                <c:pt idx="1090">
                  <c:v>41147</c:v>
                </c:pt>
                <c:pt idx="1091">
                  <c:v>41148</c:v>
                </c:pt>
                <c:pt idx="1092">
                  <c:v>41149</c:v>
                </c:pt>
                <c:pt idx="1093">
                  <c:v>41150</c:v>
                </c:pt>
                <c:pt idx="1094">
                  <c:v>41151</c:v>
                </c:pt>
                <c:pt idx="1095">
                  <c:v>41152</c:v>
                </c:pt>
                <c:pt idx="1096">
                  <c:v>41153</c:v>
                </c:pt>
                <c:pt idx="1097">
                  <c:v>41154</c:v>
                </c:pt>
                <c:pt idx="1098">
                  <c:v>41155</c:v>
                </c:pt>
                <c:pt idx="1099">
                  <c:v>41156</c:v>
                </c:pt>
                <c:pt idx="1100">
                  <c:v>41157</c:v>
                </c:pt>
                <c:pt idx="1101">
                  <c:v>41158</c:v>
                </c:pt>
                <c:pt idx="1102">
                  <c:v>41159</c:v>
                </c:pt>
                <c:pt idx="1103">
                  <c:v>41160</c:v>
                </c:pt>
                <c:pt idx="1104">
                  <c:v>41161</c:v>
                </c:pt>
                <c:pt idx="1105">
                  <c:v>41162</c:v>
                </c:pt>
                <c:pt idx="1106">
                  <c:v>41163</c:v>
                </c:pt>
                <c:pt idx="1107">
                  <c:v>41164</c:v>
                </c:pt>
                <c:pt idx="1108">
                  <c:v>41165</c:v>
                </c:pt>
                <c:pt idx="1109">
                  <c:v>41166</c:v>
                </c:pt>
                <c:pt idx="1110">
                  <c:v>41167</c:v>
                </c:pt>
                <c:pt idx="1111">
                  <c:v>41168</c:v>
                </c:pt>
                <c:pt idx="1112">
                  <c:v>41169</c:v>
                </c:pt>
                <c:pt idx="1113">
                  <c:v>41170</c:v>
                </c:pt>
                <c:pt idx="1114">
                  <c:v>41171</c:v>
                </c:pt>
                <c:pt idx="1115">
                  <c:v>41172</c:v>
                </c:pt>
                <c:pt idx="1116">
                  <c:v>41173</c:v>
                </c:pt>
                <c:pt idx="1117">
                  <c:v>41174</c:v>
                </c:pt>
                <c:pt idx="1118">
                  <c:v>41175</c:v>
                </c:pt>
                <c:pt idx="1119">
                  <c:v>41176</c:v>
                </c:pt>
                <c:pt idx="1120">
                  <c:v>41177</c:v>
                </c:pt>
                <c:pt idx="1121">
                  <c:v>41178</c:v>
                </c:pt>
                <c:pt idx="1122">
                  <c:v>41179</c:v>
                </c:pt>
                <c:pt idx="1123">
                  <c:v>41180</c:v>
                </c:pt>
                <c:pt idx="1124">
                  <c:v>41181</c:v>
                </c:pt>
                <c:pt idx="1125">
                  <c:v>41182</c:v>
                </c:pt>
                <c:pt idx="1126">
                  <c:v>41183</c:v>
                </c:pt>
                <c:pt idx="1127">
                  <c:v>41184</c:v>
                </c:pt>
                <c:pt idx="1128">
                  <c:v>41185</c:v>
                </c:pt>
                <c:pt idx="1129">
                  <c:v>41186</c:v>
                </c:pt>
                <c:pt idx="1130">
                  <c:v>41187</c:v>
                </c:pt>
                <c:pt idx="1131">
                  <c:v>41188</c:v>
                </c:pt>
                <c:pt idx="1132">
                  <c:v>41189</c:v>
                </c:pt>
                <c:pt idx="1133">
                  <c:v>41190</c:v>
                </c:pt>
                <c:pt idx="1134">
                  <c:v>41191</c:v>
                </c:pt>
                <c:pt idx="1135">
                  <c:v>41192</c:v>
                </c:pt>
                <c:pt idx="1136">
                  <c:v>41193</c:v>
                </c:pt>
                <c:pt idx="1137">
                  <c:v>41194</c:v>
                </c:pt>
                <c:pt idx="1138">
                  <c:v>41195</c:v>
                </c:pt>
                <c:pt idx="1139">
                  <c:v>41196</c:v>
                </c:pt>
                <c:pt idx="1140">
                  <c:v>41197</c:v>
                </c:pt>
                <c:pt idx="1141">
                  <c:v>41198</c:v>
                </c:pt>
                <c:pt idx="1142">
                  <c:v>41199</c:v>
                </c:pt>
                <c:pt idx="1143">
                  <c:v>41200</c:v>
                </c:pt>
                <c:pt idx="1144">
                  <c:v>41201</c:v>
                </c:pt>
                <c:pt idx="1145">
                  <c:v>41202</c:v>
                </c:pt>
                <c:pt idx="1146">
                  <c:v>41203</c:v>
                </c:pt>
                <c:pt idx="1147">
                  <c:v>41204</c:v>
                </c:pt>
                <c:pt idx="1148">
                  <c:v>41205</c:v>
                </c:pt>
                <c:pt idx="1149">
                  <c:v>41206</c:v>
                </c:pt>
                <c:pt idx="1150">
                  <c:v>41207</c:v>
                </c:pt>
                <c:pt idx="1151">
                  <c:v>41208</c:v>
                </c:pt>
                <c:pt idx="1152">
                  <c:v>41209</c:v>
                </c:pt>
                <c:pt idx="1153">
                  <c:v>41210</c:v>
                </c:pt>
                <c:pt idx="1154">
                  <c:v>41211</c:v>
                </c:pt>
                <c:pt idx="1155">
                  <c:v>41212</c:v>
                </c:pt>
                <c:pt idx="1156">
                  <c:v>41213</c:v>
                </c:pt>
                <c:pt idx="1157">
                  <c:v>41214</c:v>
                </c:pt>
                <c:pt idx="1158">
                  <c:v>41215</c:v>
                </c:pt>
                <c:pt idx="1159">
                  <c:v>41216</c:v>
                </c:pt>
                <c:pt idx="1160">
                  <c:v>41217</c:v>
                </c:pt>
                <c:pt idx="1161">
                  <c:v>41218</c:v>
                </c:pt>
                <c:pt idx="1162">
                  <c:v>41219</c:v>
                </c:pt>
                <c:pt idx="1163">
                  <c:v>41220</c:v>
                </c:pt>
                <c:pt idx="1164">
                  <c:v>41221</c:v>
                </c:pt>
                <c:pt idx="1165">
                  <c:v>41222</c:v>
                </c:pt>
                <c:pt idx="1166">
                  <c:v>41223</c:v>
                </c:pt>
                <c:pt idx="1167">
                  <c:v>41224</c:v>
                </c:pt>
                <c:pt idx="1168">
                  <c:v>41225</c:v>
                </c:pt>
                <c:pt idx="1169">
                  <c:v>41226</c:v>
                </c:pt>
                <c:pt idx="1170">
                  <c:v>41227</c:v>
                </c:pt>
                <c:pt idx="1171">
                  <c:v>41228</c:v>
                </c:pt>
                <c:pt idx="1172">
                  <c:v>41229</c:v>
                </c:pt>
                <c:pt idx="1173">
                  <c:v>41230</c:v>
                </c:pt>
                <c:pt idx="1174">
                  <c:v>41231</c:v>
                </c:pt>
                <c:pt idx="1175">
                  <c:v>41232</c:v>
                </c:pt>
                <c:pt idx="1176">
                  <c:v>41233</c:v>
                </c:pt>
                <c:pt idx="1177">
                  <c:v>41234</c:v>
                </c:pt>
                <c:pt idx="1178">
                  <c:v>41235</c:v>
                </c:pt>
                <c:pt idx="1179">
                  <c:v>41236</c:v>
                </c:pt>
                <c:pt idx="1180">
                  <c:v>41237</c:v>
                </c:pt>
                <c:pt idx="1181">
                  <c:v>41238</c:v>
                </c:pt>
                <c:pt idx="1182">
                  <c:v>41239</c:v>
                </c:pt>
                <c:pt idx="1183">
                  <c:v>41240</c:v>
                </c:pt>
                <c:pt idx="1184">
                  <c:v>41241</c:v>
                </c:pt>
                <c:pt idx="1185">
                  <c:v>41242</c:v>
                </c:pt>
                <c:pt idx="1186">
                  <c:v>41243</c:v>
                </c:pt>
                <c:pt idx="1187">
                  <c:v>41244</c:v>
                </c:pt>
                <c:pt idx="1188">
                  <c:v>41245</c:v>
                </c:pt>
                <c:pt idx="1189">
                  <c:v>41246</c:v>
                </c:pt>
                <c:pt idx="1190">
                  <c:v>41247</c:v>
                </c:pt>
                <c:pt idx="1191">
                  <c:v>41248</c:v>
                </c:pt>
                <c:pt idx="1192">
                  <c:v>41249</c:v>
                </c:pt>
                <c:pt idx="1193">
                  <c:v>41250</c:v>
                </c:pt>
                <c:pt idx="1194">
                  <c:v>41251</c:v>
                </c:pt>
                <c:pt idx="1195">
                  <c:v>41252</c:v>
                </c:pt>
                <c:pt idx="1196">
                  <c:v>41253</c:v>
                </c:pt>
                <c:pt idx="1197">
                  <c:v>41254</c:v>
                </c:pt>
                <c:pt idx="1198">
                  <c:v>41255</c:v>
                </c:pt>
                <c:pt idx="1199">
                  <c:v>41256</c:v>
                </c:pt>
                <c:pt idx="1200">
                  <c:v>41257</c:v>
                </c:pt>
                <c:pt idx="1201">
                  <c:v>41258</c:v>
                </c:pt>
                <c:pt idx="1202">
                  <c:v>41259</c:v>
                </c:pt>
                <c:pt idx="1203">
                  <c:v>41260</c:v>
                </c:pt>
                <c:pt idx="1204">
                  <c:v>41261</c:v>
                </c:pt>
                <c:pt idx="1205">
                  <c:v>41262</c:v>
                </c:pt>
                <c:pt idx="1206">
                  <c:v>41263</c:v>
                </c:pt>
                <c:pt idx="1207">
                  <c:v>41264</c:v>
                </c:pt>
                <c:pt idx="1208">
                  <c:v>41265</c:v>
                </c:pt>
                <c:pt idx="1209">
                  <c:v>41266</c:v>
                </c:pt>
                <c:pt idx="1210">
                  <c:v>41267</c:v>
                </c:pt>
                <c:pt idx="1211">
                  <c:v>41268</c:v>
                </c:pt>
                <c:pt idx="1212">
                  <c:v>41269</c:v>
                </c:pt>
                <c:pt idx="1213">
                  <c:v>41270</c:v>
                </c:pt>
                <c:pt idx="1214">
                  <c:v>41271</c:v>
                </c:pt>
                <c:pt idx="1215">
                  <c:v>41272</c:v>
                </c:pt>
                <c:pt idx="1216">
                  <c:v>41273</c:v>
                </c:pt>
                <c:pt idx="1217">
                  <c:v>41274</c:v>
                </c:pt>
                <c:pt idx="1218">
                  <c:v>41275</c:v>
                </c:pt>
                <c:pt idx="1219">
                  <c:v>41276</c:v>
                </c:pt>
                <c:pt idx="1220">
                  <c:v>41277</c:v>
                </c:pt>
                <c:pt idx="1221">
                  <c:v>41278</c:v>
                </c:pt>
                <c:pt idx="1222">
                  <c:v>41279</c:v>
                </c:pt>
                <c:pt idx="1223">
                  <c:v>41280</c:v>
                </c:pt>
                <c:pt idx="1224">
                  <c:v>41281</c:v>
                </c:pt>
                <c:pt idx="1225">
                  <c:v>41282</c:v>
                </c:pt>
                <c:pt idx="1226">
                  <c:v>41283</c:v>
                </c:pt>
                <c:pt idx="1227">
                  <c:v>41284</c:v>
                </c:pt>
                <c:pt idx="1228">
                  <c:v>41285</c:v>
                </c:pt>
                <c:pt idx="1229">
                  <c:v>41286</c:v>
                </c:pt>
                <c:pt idx="1230">
                  <c:v>41287</c:v>
                </c:pt>
                <c:pt idx="1231">
                  <c:v>41288</c:v>
                </c:pt>
                <c:pt idx="1232">
                  <c:v>41289</c:v>
                </c:pt>
                <c:pt idx="1233">
                  <c:v>41290</c:v>
                </c:pt>
                <c:pt idx="1234">
                  <c:v>41291</c:v>
                </c:pt>
                <c:pt idx="1235">
                  <c:v>41292</c:v>
                </c:pt>
                <c:pt idx="1236">
                  <c:v>41293</c:v>
                </c:pt>
                <c:pt idx="1237">
                  <c:v>41294</c:v>
                </c:pt>
                <c:pt idx="1238">
                  <c:v>41295</c:v>
                </c:pt>
                <c:pt idx="1239">
                  <c:v>41296</c:v>
                </c:pt>
                <c:pt idx="1240">
                  <c:v>41297</c:v>
                </c:pt>
                <c:pt idx="1241">
                  <c:v>41298</c:v>
                </c:pt>
                <c:pt idx="1242">
                  <c:v>41299</c:v>
                </c:pt>
                <c:pt idx="1243">
                  <c:v>41300</c:v>
                </c:pt>
                <c:pt idx="1244">
                  <c:v>41301</c:v>
                </c:pt>
                <c:pt idx="1245">
                  <c:v>41302</c:v>
                </c:pt>
                <c:pt idx="1246">
                  <c:v>41303</c:v>
                </c:pt>
                <c:pt idx="1247">
                  <c:v>41304</c:v>
                </c:pt>
                <c:pt idx="1248">
                  <c:v>41305</c:v>
                </c:pt>
                <c:pt idx="1249">
                  <c:v>41306</c:v>
                </c:pt>
                <c:pt idx="1250">
                  <c:v>41307</c:v>
                </c:pt>
                <c:pt idx="1251">
                  <c:v>41308</c:v>
                </c:pt>
                <c:pt idx="1252">
                  <c:v>41309</c:v>
                </c:pt>
                <c:pt idx="1253">
                  <c:v>41310</c:v>
                </c:pt>
                <c:pt idx="1254">
                  <c:v>41311</c:v>
                </c:pt>
                <c:pt idx="1255">
                  <c:v>41312</c:v>
                </c:pt>
                <c:pt idx="1256">
                  <c:v>41313</c:v>
                </c:pt>
                <c:pt idx="1257">
                  <c:v>41314</c:v>
                </c:pt>
                <c:pt idx="1258">
                  <c:v>41315</c:v>
                </c:pt>
                <c:pt idx="1259">
                  <c:v>41316</c:v>
                </c:pt>
                <c:pt idx="1260">
                  <c:v>41317</c:v>
                </c:pt>
                <c:pt idx="1261">
                  <c:v>41318</c:v>
                </c:pt>
                <c:pt idx="1262">
                  <c:v>41319</c:v>
                </c:pt>
                <c:pt idx="1263">
                  <c:v>41320</c:v>
                </c:pt>
                <c:pt idx="1264">
                  <c:v>41321</c:v>
                </c:pt>
                <c:pt idx="1265">
                  <c:v>41322</c:v>
                </c:pt>
                <c:pt idx="1266">
                  <c:v>41323</c:v>
                </c:pt>
                <c:pt idx="1267">
                  <c:v>41324</c:v>
                </c:pt>
                <c:pt idx="1268">
                  <c:v>41325</c:v>
                </c:pt>
                <c:pt idx="1269">
                  <c:v>41326</c:v>
                </c:pt>
                <c:pt idx="1270">
                  <c:v>41327</c:v>
                </c:pt>
                <c:pt idx="1271">
                  <c:v>41328</c:v>
                </c:pt>
                <c:pt idx="1272">
                  <c:v>41329</c:v>
                </c:pt>
                <c:pt idx="1273">
                  <c:v>41330</c:v>
                </c:pt>
                <c:pt idx="1274">
                  <c:v>41331</c:v>
                </c:pt>
                <c:pt idx="1275">
                  <c:v>41332</c:v>
                </c:pt>
                <c:pt idx="1276">
                  <c:v>41333</c:v>
                </c:pt>
                <c:pt idx="1277">
                  <c:v>41334</c:v>
                </c:pt>
                <c:pt idx="1278">
                  <c:v>41335</c:v>
                </c:pt>
                <c:pt idx="1279">
                  <c:v>41336</c:v>
                </c:pt>
                <c:pt idx="1280">
                  <c:v>41337</c:v>
                </c:pt>
                <c:pt idx="1281">
                  <c:v>41338</c:v>
                </c:pt>
                <c:pt idx="1282">
                  <c:v>41339</c:v>
                </c:pt>
                <c:pt idx="1283">
                  <c:v>41340</c:v>
                </c:pt>
                <c:pt idx="1284">
                  <c:v>41341</c:v>
                </c:pt>
                <c:pt idx="1285">
                  <c:v>41342</c:v>
                </c:pt>
                <c:pt idx="1286">
                  <c:v>41343</c:v>
                </c:pt>
                <c:pt idx="1287">
                  <c:v>41344</c:v>
                </c:pt>
                <c:pt idx="1288">
                  <c:v>41345</c:v>
                </c:pt>
                <c:pt idx="1289">
                  <c:v>41346</c:v>
                </c:pt>
                <c:pt idx="1290">
                  <c:v>41347</c:v>
                </c:pt>
                <c:pt idx="1291">
                  <c:v>41348</c:v>
                </c:pt>
                <c:pt idx="1292">
                  <c:v>41349</c:v>
                </c:pt>
                <c:pt idx="1293">
                  <c:v>41350</c:v>
                </c:pt>
                <c:pt idx="1294">
                  <c:v>41351</c:v>
                </c:pt>
                <c:pt idx="1295">
                  <c:v>41352</c:v>
                </c:pt>
                <c:pt idx="1296">
                  <c:v>41353</c:v>
                </c:pt>
                <c:pt idx="1297">
                  <c:v>41354</c:v>
                </c:pt>
                <c:pt idx="1298">
                  <c:v>41355</c:v>
                </c:pt>
                <c:pt idx="1299">
                  <c:v>41356</c:v>
                </c:pt>
                <c:pt idx="1300">
                  <c:v>41357</c:v>
                </c:pt>
                <c:pt idx="1301">
                  <c:v>41358</c:v>
                </c:pt>
                <c:pt idx="1302">
                  <c:v>41359</c:v>
                </c:pt>
                <c:pt idx="1303">
                  <c:v>41360</c:v>
                </c:pt>
                <c:pt idx="1304">
                  <c:v>41361</c:v>
                </c:pt>
                <c:pt idx="1305">
                  <c:v>41362</c:v>
                </c:pt>
                <c:pt idx="1306">
                  <c:v>41363</c:v>
                </c:pt>
                <c:pt idx="1307">
                  <c:v>41364</c:v>
                </c:pt>
                <c:pt idx="1308">
                  <c:v>41365</c:v>
                </c:pt>
                <c:pt idx="1309">
                  <c:v>41366</c:v>
                </c:pt>
                <c:pt idx="1310">
                  <c:v>41367</c:v>
                </c:pt>
                <c:pt idx="1311">
                  <c:v>41368</c:v>
                </c:pt>
                <c:pt idx="1312">
                  <c:v>41369</c:v>
                </c:pt>
                <c:pt idx="1313">
                  <c:v>41370</c:v>
                </c:pt>
                <c:pt idx="1314">
                  <c:v>41371</c:v>
                </c:pt>
                <c:pt idx="1315">
                  <c:v>41372</c:v>
                </c:pt>
                <c:pt idx="1316">
                  <c:v>41373</c:v>
                </c:pt>
                <c:pt idx="1317">
                  <c:v>41374</c:v>
                </c:pt>
                <c:pt idx="1318">
                  <c:v>41375</c:v>
                </c:pt>
                <c:pt idx="1319">
                  <c:v>41376</c:v>
                </c:pt>
                <c:pt idx="1320">
                  <c:v>41377</c:v>
                </c:pt>
                <c:pt idx="1321">
                  <c:v>41378</c:v>
                </c:pt>
                <c:pt idx="1322">
                  <c:v>41379</c:v>
                </c:pt>
                <c:pt idx="1323">
                  <c:v>41380</c:v>
                </c:pt>
                <c:pt idx="1324">
                  <c:v>41381</c:v>
                </c:pt>
                <c:pt idx="1325">
                  <c:v>41382</c:v>
                </c:pt>
                <c:pt idx="1326">
                  <c:v>41383</c:v>
                </c:pt>
                <c:pt idx="1327">
                  <c:v>41384</c:v>
                </c:pt>
                <c:pt idx="1328">
                  <c:v>41385</c:v>
                </c:pt>
                <c:pt idx="1329">
                  <c:v>41386</c:v>
                </c:pt>
                <c:pt idx="1330">
                  <c:v>41387</c:v>
                </c:pt>
                <c:pt idx="1331">
                  <c:v>41388</c:v>
                </c:pt>
                <c:pt idx="1332">
                  <c:v>41389</c:v>
                </c:pt>
                <c:pt idx="1333">
                  <c:v>41390</c:v>
                </c:pt>
                <c:pt idx="1334">
                  <c:v>41391</c:v>
                </c:pt>
                <c:pt idx="1335">
                  <c:v>41392</c:v>
                </c:pt>
                <c:pt idx="1336">
                  <c:v>41393</c:v>
                </c:pt>
                <c:pt idx="1337">
                  <c:v>41394</c:v>
                </c:pt>
                <c:pt idx="1338">
                  <c:v>41395</c:v>
                </c:pt>
                <c:pt idx="1339">
                  <c:v>41396</c:v>
                </c:pt>
                <c:pt idx="1340">
                  <c:v>41397</c:v>
                </c:pt>
                <c:pt idx="1341">
                  <c:v>41398</c:v>
                </c:pt>
                <c:pt idx="1342">
                  <c:v>41399</c:v>
                </c:pt>
                <c:pt idx="1343">
                  <c:v>41400</c:v>
                </c:pt>
                <c:pt idx="1344">
                  <c:v>41401</c:v>
                </c:pt>
                <c:pt idx="1345">
                  <c:v>41402</c:v>
                </c:pt>
                <c:pt idx="1346">
                  <c:v>41403</c:v>
                </c:pt>
                <c:pt idx="1347">
                  <c:v>41404</c:v>
                </c:pt>
                <c:pt idx="1348">
                  <c:v>41405</c:v>
                </c:pt>
                <c:pt idx="1349">
                  <c:v>41406</c:v>
                </c:pt>
                <c:pt idx="1350">
                  <c:v>41407</c:v>
                </c:pt>
                <c:pt idx="1351">
                  <c:v>41408</c:v>
                </c:pt>
                <c:pt idx="1352">
                  <c:v>41409</c:v>
                </c:pt>
                <c:pt idx="1353">
                  <c:v>41410</c:v>
                </c:pt>
                <c:pt idx="1354">
                  <c:v>41411</c:v>
                </c:pt>
                <c:pt idx="1355">
                  <c:v>41412</c:v>
                </c:pt>
                <c:pt idx="1356">
                  <c:v>41413</c:v>
                </c:pt>
                <c:pt idx="1357">
                  <c:v>41414</c:v>
                </c:pt>
                <c:pt idx="1358">
                  <c:v>41415</c:v>
                </c:pt>
                <c:pt idx="1359">
                  <c:v>41416</c:v>
                </c:pt>
                <c:pt idx="1360">
                  <c:v>41417</c:v>
                </c:pt>
                <c:pt idx="1361">
                  <c:v>41418</c:v>
                </c:pt>
                <c:pt idx="1362">
                  <c:v>41419</c:v>
                </c:pt>
                <c:pt idx="1363">
                  <c:v>41420</c:v>
                </c:pt>
                <c:pt idx="1364">
                  <c:v>41421</c:v>
                </c:pt>
                <c:pt idx="1365">
                  <c:v>41422</c:v>
                </c:pt>
                <c:pt idx="1366">
                  <c:v>41423</c:v>
                </c:pt>
                <c:pt idx="1367">
                  <c:v>41424</c:v>
                </c:pt>
                <c:pt idx="1368">
                  <c:v>41425</c:v>
                </c:pt>
                <c:pt idx="1369">
                  <c:v>41426</c:v>
                </c:pt>
                <c:pt idx="1370">
                  <c:v>41427</c:v>
                </c:pt>
                <c:pt idx="1371">
                  <c:v>41428</c:v>
                </c:pt>
                <c:pt idx="1372">
                  <c:v>41429</c:v>
                </c:pt>
                <c:pt idx="1373">
                  <c:v>41430</c:v>
                </c:pt>
                <c:pt idx="1374">
                  <c:v>41431</c:v>
                </c:pt>
                <c:pt idx="1375">
                  <c:v>41432</c:v>
                </c:pt>
                <c:pt idx="1376">
                  <c:v>41433</c:v>
                </c:pt>
                <c:pt idx="1377">
                  <c:v>41434</c:v>
                </c:pt>
                <c:pt idx="1378">
                  <c:v>41435</c:v>
                </c:pt>
                <c:pt idx="1379">
                  <c:v>41436</c:v>
                </c:pt>
                <c:pt idx="1380">
                  <c:v>41437</c:v>
                </c:pt>
                <c:pt idx="1381">
                  <c:v>41438</c:v>
                </c:pt>
                <c:pt idx="1382">
                  <c:v>41439</c:v>
                </c:pt>
                <c:pt idx="1383">
                  <c:v>41440</c:v>
                </c:pt>
                <c:pt idx="1384">
                  <c:v>41441</c:v>
                </c:pt>
                <c:pt idx="1385">
                  <c:v>41442</c:v>
                </c:pt>
                <c:pt idx="1386">
                  <c:v>41443</c:v>
                </c:pt>
                <c:pt idx="1387">
                  <c:v>41444</c:v>
                </c:pt>
                <c:pt idx="1388">
                  <c:v>41445</c:v>
                </c:pt>
                <c:pt idx="1389">
                  <c:v>41446</c:v>
                </c:pt>
                <c:pt idx="1390">
                  <c:v>41447</c:v>
                </c:pt>
                <c:pt idx="1391">
                  <c:v>41448</c:v>
                </c:pt>
                <c:pt idx="1392">
                  <c:v>41449</c:v>
                </c:pt>
                <c:pt idx="1393">
                  <c:v>41450</c:v>
                </c:pt>
                <c:pt idx="1394">
                  <c:v>41451</c:v>
                </c:pt>
                <c:pt idx="1395">
                  <c:v>41452</c:v>
                </c:pt>
                <c:pt idx="1396">
                  <c:v>41453</c:v>
                </c:pt>
                <c:pt idx="1397">
                  <c:v>41454</c:v>
                </c:pt>
                <c:pt idx="1398">
                  <c:v>41455</c:v>
                </c:pt>
                <c:pt idx="1399">
                  <c:v>41456</c:v>
                </c:pt>
                <c:pt idx="1400">
                  <c:v>41457</c:v>
                </c:pt>
                <c:pt idx="1401">
                  <c:v>41458</c:v>
                </c:pt>
                <c:pt idx="1402">
                  <c:v>41459</c:v>
                </c:pt>
                <c:pt idx="1403">
                  <c:v>41460</c:v>
                </c:pt>
                <c:pt idx="1404">
                  <c:v>41461</c:v>
                </c:pt>
                <c:pt idx="1405">
                  <c:v>41462</c:v>
                </c:pt>
                <c:pt idx="1406">
                  <c:v>41463</c:v>
                </c:pt>
                <c:pt idx="1407">
                  <c:v>41464</c:v>
                </c:pt>
                <c:pt idx="1408">
                  <c:v>41465</c:v>
                </c:pt>
                <c:pt idx="1409">
                  <c:v>41466</c:v>
                </c:pt>
                <c:pt idx="1410">
                  <c:v>41467</c:v>
                </c:pt>
                <c:pt idx="1411">
                  <c:v>41468</c:v>
                </c:pt>
                <c:pt idx="1412">
                  <c:v>41469</c:v>
                </c:pt>
                <c:pt idx="1413">
                  <c:v>41470</c:v>
                </c:pt>
                <c:pt idx="1414">
                  <c:v>41471</c:v>
                </c:pt>
                <c:pt idx="1415">
                  <c:v>41472</c:v>
                </c:pt>
                <c:pt idx="1416">
                  <c:v>41473</c:v>
                </c:pt>
                <c:pt idx="1417">
                  <c:v>41474</c:v>
                </c:pt>
                <c:pt idx="1418">
                  <c:v>41475</c:v>
                </c:pt>
                <c:pt idx="1419">
                  <c:v>41476</c:v>
                </c:pt>
                <c:pt idx="1420">
                  <c:v>41477</c:v>
                </c:pt>
                <c:pt idx="1421">
                  <c:v>41478</c:v>
                </c:pt>
                <c:pt idx="1422">
                  <c:v>41479</c:v>
                </c:pt>
                <c:pt idx="1423">
                  <c:v>41480</c:v>
                </c:pt>
                <c:pt idx="1424">
                  <c:v>41481</c:v>
                </c:pt>
                <c:pt idx="1425">
                  <c:v>41482</c:v>
                </c:pt>
                <c:pt idx="1426">
                  <c:v>41483</c:v>
                </c:pt>
                <c:pt idx="1427">
                  <c:v>41484</c:v>
                </c:pt>
                <c:pt idx="1428">
                  <c:v>41485</c:v>
                </c:pt>
                <c:pt idx="1429">
                  <c:v>41486</c:v>
                </c:pt>
                <c:pt idx="1430">
                  <c:v>41487</c:v>
                </c:pt>
                <c:pt idx="1431">
                  <c:v>41488</c:v>
                </c:pt>
                <c:pt idx="1432">
                  <c:v>41489</c:v>
                </c:pt>
                <c:pt idx="1433">
                  <c:v>41490</c:v>
                </c:pt>
                <c:pt idx="1434">
                  <c:v>41491</c:v>
                </c:pt>
                <c:pt idx="1435">
                  <c:v>41492</c:v>
                </c:pt>
                <c:pt idx="1436">
                  <c:v>41493</c:v>
                </c:pt>
                <c:pt idx="1437">
                  <c:v>41494</c:v>
                </c:pt>
                <c:pt idx="1438">
                  <c:v>41495</c:v>
                </c:pt>
                <c:pt idx="1439">
                  <c:v>41496</c:v>
                </c:pt>
                <c:pt idx="1440">
                  <c:v>41497</c:v>
                </c:pt>
                <c:pt idx="1441">
                  <c:v>41498</c:v>
                </c:pt>
                <c:pt idx="1442">
                  <c:v>41499</c:v>
                </c:pt>
                <c:pt idx="1443">
                  <c:v>41500</c:v>
                </c:pt>
                <c:pt idx="1444">
                  <c:v>41501</c:v>
                </c:pt>
                <c:pt idx="1445">
                  <c:v>41502</c:v>
                </c:pt>
                <c:pt idx="1446">
                  <c:v>41503</c:v>
                </c:pt>
                <c:pt idx="1447">
                  <c:v>41504</c:v>
                </c:pt>
                <c:pt idx="1448">
                  <c:v>41505</c:v>
                </c:pt>
                <c:pt idx="1449">
                  <c:v>41506</c:v>
                </c:pt>
                <c:pt idx="1450">
                  <c:v>41507</c:v>
                </c:pt>
                <c:pt idx="1451">
                  <c:v>41508</c:v>
                </c:pt>
                <c:pt idx="1452">
                  <c:v>41509</c:v>
                </c:pt>
                <c:pt idx="1453">
                  <c:v>41510</c:v>
                </c:pt>
                <c:pt idx="1454">
                  <c:v>41511</c:v>
                </c:pt>
                <c:pt idx="1455">
                  <c:v>41512</c:v>
                </c:pt>
                <c:pt idx="1456">
                  <c:v>41513</c:v>
                </c:pt>
                <c:pt idx="1457">
                  <c:v>41514</c:v>
                </c:pt>
                <c:pt idx="1458">
                  <c:v>41515</c:v>
                </c:pt>
                <c:pt idx="1459">
                  <c:v>41516</c:v>
                </c:pt>
              </c:numCache>
            </c:numRef>
          </c:cat>
          <c:val>
            <c:numRef>
              <c:f>'plot2-prt1'!$Q$2:$Q$1461</c:f>
              <c:numCache>
                <c:formatCode>General</c:formatCode>
                <c:ptCount val="1460"/>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3.1761200000000652E-3</c:v>
                </c:pt>
                <c:pt idx="26">
                  <c:v>3.1761200000000652E-3</c:v>
                </c:pt>
                <c:pt idx="27">
                  <c:v>3.1761200000000652E-3</c:v>
                </c:pt>
                <c:pt idx="28">
                  <c:v>3.1761200000000652E-3</c:v>
                </c:pt>
                <c:pt idx="29">
                  <c:v>3.1761200000000652E-3</c:v>
                </c:pt>
                <c:pt idx="30">
                  <c:v>3.1761200000000652E-3</c:v>
                </c:pt>
                <c:pt idx="31">
                  <c:v>3.1761200000000652E-3</c:v>
                </c:pt>
                <c:pt idx="32">
                  <c:v>3.1761200000000652E-3</c:v>
                </c:pt>
                <c:pt idx="33">
                  <c:v>3.1761200000000652E-3</c:v>
                </c:pt>
                <c:pt idx="34">
                  <c:v>3.1761200000000652E-3</c:v>
                </c:pt>
                <c:pt idx="35">
                  <c:v>3.1761200000000652E-3</c:v>
                </c:pt>
                <c:pt idx="36">
                  <c:v>3.1761200000000652E-3</c:v>
                </c:pt>
                <c:pt idx="37">
                  <c:v>3.1761200000000652E-3</c:v>
                </c:pt>
                <c:pt idx="38">
                  <c:v>3.1761200000000652E-3</c:v>
                </c:pt>
                <c:pt idx="39">
                  <c:v>3.1761200000000652E-3</c:v>
                </c:pt>
                <c:pt idx="40">
                  <c:v>3.1761200000000652E-3</c:v>
                </c:pt>
                <c:pt idx="41">
                  <c:v>3.1761200000000652E-3</c:v>
                </c:pt>
                <c:pt idx="42">
                  <c:v>3.1761200000000652E-3</c:v>
                </c:pt>
                <c:pt idx="43">
                  <c:v>3.1761200000000652E-3</c:v>
                </c:pt>
                <c:pt idx="44">
                  <c:v>3.1761200000000652E-3</c:v>
                </c:pt>
                <c:pt idx="45">
                  <c:v>3.1761200000000652E-3</c:v>
                </c:pt>
                <c:pt idx="46">
                  <c:v>3.1761200000000652E-3</c:v>
                </c:pt>
                <c:pt idx="47">
                  <c:v>3.1761200000000652E-3</c:v>
                </c:pt>
                <c:pt idx="48">
                  <c:v>3.1761200000000652E-3</c:v>
                </c:pt>
                <c:pt idx="49">
                  <c:v>3.1761200000000652E-3</c:v>
                </c:pt>
                <c:pt idx="50">
                  <c:v>3.1761200000000652E-3</c:v>
                </c:pt>
                <c:pt idx="51">
                  <c:v>3.1761200000000652E-3</c:v>
                </c:pt>
                <c:pt idx="52">
                  <c:v>3.1761200000000652E-3</c:v>
                </c:pt>
                <c:pt idx="53">
                  <c:v>3.1761200000000652E-3</c:v>
                </c:pt>
                <c:pt idx="54">
                  <c:v>3.1761200000000652E-3</c:v>
                </c:pt>
                <c:pt idx="55">
                  <c:v>3.1761200000000652E-3</c:v>
                </c:pt>
                <c:pt idx="56">
                  <c:v>3.1761200000000652E-3</c:v>
                </c:pt>
                <c:pt idx="57">
                  <c:v>3.1761200000000652E-3</c:v>
                </c:pt>
                <c:pt idx="58">
                  <c:v>3.1761200000000652E-3</c:v>
                </c:pt>
                <c:pt idx="59">
                  <c:v>3.1761200000000652E-3</c:v>
                </c:pt>
                <c:pt idx="60">
                  <c:v>3.1761200000000652E-3</c:v>
                </c:pt>
                <c:pt idx="61">
                  <c:v>3.1761200000000652E-3</c:v>
                </c:pt>
                <c:pt idx="62">
                  <c:v>3.1761200000000652E-3</c:v>
                </c:pt>
                <c:pt idx="63">
                  <c:v>3.1761200000000652E-3</c:v>
                </c:pt>
                <c:pt idx="64">
                  <c:v>3.1761200000000652E-3</c:v>
                </c:pt>
                <c:pt idx="65">
                  <c:v>3.1761200000000652E-3</c:v>
                </c:pt>
                <c:pt idx="66">
                  <c:v>3.1761200000000652E-3</c:v>
                </c:pt>
                <c:pt idx="67">
                  <c:v>3.1761200000000652E-3</c:v>
                </c:pt>
                <c:pt idx="68">
                  <c:v>3.1761200000000652E-3</c:v>
                </c:pt>
                <c:pt idx="69">
                  <c:v>3.1761200000000652E-3</c:v>
                </c:pt>
                <c:pt idx="70">
                  <c:v>3.1761200000000652E-3</c:v>
                </c:pt>
                <c:pt idx="71">
                  <c:v>3.1761200000000652E-3</c:v>
                </c:pt>
                <c:pt idx="72">
                  <c:v>9.1000640000000067E-3</c:v>
                </c:pt>
                <c:pt idx="73">
                  <c:v>9.1000640000000067E-3</c:v>
                </c:pt>
                <c:pt idx="74">
                  <c:v>9.1000640000000067E-3</c:v>
                </c:pt>
                <c:pt idx="75">
                  <c:v>9.1000640000000067E-3</c:v>
                </c:pt>
                <c:pt idx="76">
                  <c:v>9.1000640000000067E-3</c:v>
                </c:pt>
                <c:pt idx="77">
                  <c:v>9.1000640000000067E-3</c:v>
                </c:pt>
                <c:pt idx="78">
                  <c:v>9.1000640000000067E-3</c:v>
                </c:pt>
                <c:pt idx="79">
                  <c:v>9.1000640000000067E-3</c:v>
                </c:pt>
                <c:pt idx="80">
                  <c:v>9.1000640000000067E-3</c:v>
                </c:pt>
                <c:pt idx="81">
                  <c:v>9.1000640000000067E-3</c:v>
                </c:pt>
                <c:pt idx="82">
                  <c:v>9.1000640000000067E-3</c:v>
                </c:pt>
                <c:pt idx="83">
                  <c:v>9.1000640000000067E-3</c:v>
                </c:pt>
                <c:pt idx="84">
                  <c:v>9.1000640000000067E-3</c:v>
                </c:pt>
                <c:pt idx="85">
                  <c:v>9.1000640000000067E-3</c:v>
                </c:pt>
                <c:pt idx="86">
                  <c:v>9.1000640000000067E-3</c:v>
                </c:pt>
                <c:pt idx="87">
                  <c:v>9.1000640000000067E-3</c:v>
                </c:pt>
                <c:pt idx="88">
                  <c:v>9.1000640000000067E-3</c:v>
                </c:pt>
                <c:pt idx="89">
                  <c:v>9.1000640000000067E-3</c:v>
                </c:pt>
                <c:pt idx="90">
                  <c:v>9.1000640000000067E-3</c:v>
                </c:pt>
                <c:pt idx="91">
                  <c:v>9.1000640000000067E-3</c:v>
                </c:pt>
                <c:pt idx="92">
                  <c:v>1.0969800000000043E-2</c:v>
                </c:pt>
                <c:pt idx="93">
                  <c:v>1.0969800000000043E-2</c:v>
                </c:pt>
                <c:pt idx="94">
                  <c:v>1.0969800000000043E-2</c:v>
                </c:pt>
                <c:pt idx="95">
                  <c:v>1.0969800000000043E-2</c:v>
                </c:pt>
                <c:pt idx="96">
                  <c:v>1.0969800000000043E-2</c:v>
                </c:pt>
                <c:pt idx="97">
                  <c:v>1.0969800000000043E-2</c:v>
                </c:pt>
                <c:pt idx="98">
                  <c:v>1.0969800000000043E-2</c:v>
                </c:pt>
                <c:pt idx="99">
                  <c:v>1.0969800000000043E-2</c:v>
                </c:pt>
                <c:pt idx="100">
                  <c:v>1.0969800000000043E-2</c:v>
                </c:pt>
                <c:pt idx="101">
                  <c:v>1.2601084000000005E-2</c:v>
                </c:pt>
                <c:pt idx="102">
                  <c:v>1.2601084000000005E-2</c:v>
                </c:pt>
                <c:pt idx="103">
                  <c:v>1.2601084000000005E-2</c:v>
                </c:pt>
                <c:pt idx="104">
                  <c:v>1.2601084000000005E-2</c:v>
                </c:pt>
                <c:pt idx="105">
                  <c:v>1.2601084000000005E-2</c:v>
                </c:pt>
                <c:pt idx="106">
                  <c:v>1.2601084000000005E-2</c:v>
                </c:pt>
                <c:pt idx="107">
                  <c:v>1.2601084000000005E-2</c:v>
                </c:pt>
                <c:pt idx="108">
                  <c:v>1.2928027999999999E-2</c:v>
                </c:pt>
                <c:pt idx="109">
                  <c:v>1.2928027999999999E-2</c:v>
                </c:pt>
                <c:pt idx="110">
                  <c:v>1.2928027999999999E-2</c:v>
                </c:pt>
                <c:pt idx="111">
                  <c:v>1.2928027999999999E-2</c:v>
                </c:pt>
                <c:pt idx="112">
                  <c:v>1.2928027999999999E-2</c:v>
                </c:pt>
                <c:pt idx="113">
                  <c:v>1.2928027999999999E-2</c:v>
                </c:pt>
                <c:pt idx="114">
                  <c:v>1.2928027999999999E-2</c:v>
                </c:pt>
                <c:pt idx="115">
                  <c:v>1.2928027999999999E-2</c:v>
                </c:pt>
                <c:pt idx="116">
                  <c:v>1.2928027999999999E-2</c:v>
                </c:pt>
                <c:pt idx="117">
                  <c:v>1.2928027999999999E-2</c:v>
                </c:pt>
                <c:pt idx="118">
                  <c:v>1.2928027999999999E-2</c:v>
                </c:pt>
                <c:pt idx="119">
                  <c:v>1.2928027999999999E-2</c:v>
                </c:pt>
                <c:pt idx="120">
                  <c:v>1.2928027999999999E-2</c:v>
                </c:pt>
                <c:pt idx="121">
                  <c:v>1.2928027999999999E-2</c:v>
                </c:pt>
                <c:pt idx="122">
                  <c:v>1.2928027999999999E-2</c:v>
                </c:pt>
                <c:pt idx="123">
                  <c:v>1.2928027999999999E-2</c:v>
                </c:pt>
                <c:pt idx="124">
                  <c:v>1.2928027999999999E-2</c:v>
                </c:pt>
                <c:pt idx="125">
                  <c:v>1.2928027999999999E-2</c:v>
                </c:pt>
                <c:pt idx="126">
                  <c:v>1.2928027999999999E-2</c:v>
                </c:pt>
                <c:pt idx="127">
                  <c:v>1.2928027999999999E-2</c:v>
                </c:pt>
                <c:pt idx="128">
                  <c:v>2.2324523999999978E-2</c:v>
                </c:pt>
                <c:pt idx="129">
                  <c:v>2.2324523999999978E-2</c:v>
                </c:pt>
                <c:pt idx="130">
                  <c:v>2.3064803999999998E-2</c:v>
                </c:pt>
                <c:pt idx="131">
                  <c:v>2.3064803999999998E-2</c:v>
                </c:pt>
                <c:pt idx="132">
                  <c:v>2.3064803999999998E-2</c:v>
                </c:pt>
                <c:pt idx="133">
                  <c:v>2.3064803999999998E-2</c:v>
                </c:pt>
                <c:pt idx="134">
                  <c:v>2.3064803999999998E-2</c:v>
                </c:pt>
                <c:pt idx="135">
                  <c:v>2.3064803999999998E-2</c:v>
                </c:pt>
                <c:pt idx="136">
                  <c:v>2.3064803999999998E-2</c:v>
                </c:pt>
                <c:pt idx="137">
                  <c:v>2.3064803999999998E-2</c:v>
                </c:pt>
                <c:pt idx="138">
                  <c:v>2.3064803999999998E-2</c:v>
                </c:pt>
                <c:pt idx="139">
                  <c:v>2.3064803999999998E-2</c:v>
                </c:pt>
                <c:pt idx="140">
                  <c:v>2.3064803999999998E-2</c:v>
                </c:pt>
                <c:pt idx="141">
                  <c:v>2.3064803999999998E-2</c:v>
                </c:pt>
                <c:pt idx="142">
                  <c:v>2.6374068000000011E-2</c:v>
                </c:pt>
                <c:pt idx="143">
                  <c:v>2.6374068000000011E-2</c:v>
                </c:pt>
                <c:pt idx="144">
                  <c:v>2.6374068000000011E-2</c:v>
                </c:pt>
                <c:pt idx="145">
                  <c:v>2.6374068000000011E-2</c:v>
                </c:pt>
                <c:pt idx="146">
                  <c:v>2.6374068000000011E-2</c:v>
                </c:pt>
                <c:pt idx="147">
                  <c:v>2.6374068000000011E-2</c:v>
                </c:pt>
                <c:pt idx="148">
                  <c:v>2.6374068000000011E-2</c:v>
                </c:pt>
                <c:pt idx="149">
                  <c:v>3.2249328000001416E-2</c:v>
                </c:pt>
                <c:pt idx="150">
                  <c:v>3.2249328000001416E-2</c:v>
                </c:pt>
                <c:pt idx="151">
                  <c:v>3.2249328000001416E-2</c:v>
                </c:pt>
                <c:pt idx="152">
                  <c:v>3.2249328000001416E-2</c:v>
                </c:pt>
                <c:pt idx="153">
                  <c:v>3.2249328000001416E-2</c:v>
                </c:pt>
                <c:pt idx="154">
                  <c:v>3.2249328000001416E-2</c:v>
                </c:pt>
                <c:pt idx="155">
                  <c:v>3.2249328000001416E-2</c:v>
                </c:pt>
                <c:pt idx="156">
                  <c:v>3.2249328000001416E-2</c:v>
                </c:pt>
                <c:pt idx="157">
                  <c:v>3.2249328000001416E-2</c:v>
                </c:pt>
                <c:pt idx="158">
                  <c:v>3.6100716000000005E-2</c:v>
                </c:pt>
                <c:pt idx="159">
                  <c:v>3.6100716000000005E-2</c:v>
                </c:pt>
                <c:pt idx="160">
                  <c:v>3.6100716000000005E-2</c:v>
                </c:pt>
                <c:pt idx="161">
                  <c:v>3.6100716000000005E-2</c:v>
                </c:pt>
                <c:pt idx="162">
                  <c:v>3.6100716000000005E-2</c:v>
                </c:pt>
                <c:pt idx="163">
                  <c:v>3.6100716000000005E-2</c:v>
                </c:pt>
                <c:pt idx="164">
                  <c:v>3.6100716000000005E-2</c:v>
                </c:pt>
                <c:pt idx="165">
                  <c:v>3.6100716000000005E-2</c:v>
                </c:pt>
                <c:pt idx="166">
                  <c:v>3.6100716000000005E-2</c:v>
                </c:pt>
                <c:pt idx="167">
                  <c:v>3.6100716000000005E-2</c:v>
                </c:pt>
                <c:pt idx="168">
                  <c:v>3.6100716000000005E-2</c:v>
                </c:pt>
                <c:pt idx="169">
                  <c:v>3.6100716000000005E-2</c:v>
                </c:pt>
                <c:pt idx="170">
                  <c:v>3.7002008000000051E-2</c:v>
                </c:pt>
                <c:pt idx="171">
                  <c:v>3.7002008000000051E-2</c:v>
                </c:pt>
                <c:pt idx="172">
                  <c:v>3.7002008000000051E-2</c:v>
                </c:pt>
                <c:pt idx="173">
                  <c:v>3.7002008000000051E-2</c:v>
                </c:pt>
                <c:pt idx="174">
                  <c:v>3.7002008000000051E-2</c:v>
                </c:pt>
                <c:pt idx="175">
                  <c:v>3.7002008000000051E-2</c:v>
                </c:pt>
                <c:pt idx="176">
                  <c:v>3.7526516000000003E-2</c:v>
                </c:pt>
                <c:pt idx="177">
                  <c:v>3.7526516000000003E-2</c:v>
                </c:pt>
                <c:pt idx="178">
                  <c:v>3.7526516000000003E-2</c:v>
                </c:pt>
                <c:pt idx="179">
                  <c:v>3.7526516000000003E-2</c:v>
                </c:pt>
                <c:pt idx="180">
                  <c:v>3.7526516000000003E-2</c:v>
                </c:pt>
                <c:pt idx="181">
                  <c:v>3.7526516000000003E-2</c:v>
                </c:pt>
                <c:pt idx="182">
                  <c:v>3.7526516000000003E-2</c:v>
                </c:pt>
                <c:pt idx="183">
                  <c:v>3.7526516000000003E-2</c:v>
                </c:pt>
                <c:pt idx="184">
                  <c:v>4.0726508000000002E-2</c:v>
                </c:pt>
                <c:pt idx="185">
                  <c:v>4.0726508000000002E-2</c:v>
                </c:pt>
                <c:pt idx="186">
                  <c:v>4.0726508000000002E-2</c:v>
                </c:pt>
                <c:pt idx="187">
                  <c:v>4.0726508000000002E-2</c:v>
                </c:pt>
                <c:pt idx="188">
                  <c:v>4.0726508000000002E-2</c:v>
                </c:pt>
                <c:pt idx="189">
                  <c:v>4.0726508000000002E-2</c:v>
                </c:pt>
                <c:pt idx="190">
                  <c:v>4.0726508000000002E-2</c:v>
                </c:pt>
                <c:pt idx="191">
                  <c:v>4.0726508000000002E-2</c:v>
                </c:pt>
                <c:pt idx="192">
                  <c:v>4.0726508000000002E-2</c:v>
                </c:pt>
                <c:pt idx="193">
                  <c:v>4.0726508000000002E-2</c:v>
                </c:pt>
                <c:pt idx="194">
                  <c:v>4.0726508000000002E-2</c:v>
                </c:pt>
                <c:pt idx="195">
                  <c:v>4.0726508000000002E-2</c:v>
                </c:pt>
                <c:pt idx="196">
                  <c:v>4.0726508000000002E-2</c:v>
                </c:pt>
                <c:pt idx="197">
                  <c:v>4.0726508000000002E-2</c:v>
                </c:pt>
                <c:pt idx="198">
                  <c:v>4.1472143999999947E-2</c:v>
                </c:pt>
                <c:pt idx="199">
                  <c:v>4.1472143999999947E-2</c:v>
                </c:pt>
                <c:pt idx="200">
                  <c:v>4.1472143999999947E-2</c:v>
                </c:pt>
                <c:pt idx="201">
                  <c:v>4.1472143999999947E-2</c:v>
                </c:pt>
                <c:pt idx="202">
                  <c:v>4.1472143999999947E-2</c:v>
                </c:pt>
                <c:pt idx="203">
                  <c:v>4.1472143999999947E-2</c:v>
                </c:pt>
                <c:pt idx="204">
                  <c:v>4.1472143999999947E-2</c:v>
                </c:pt>
                <c:pt idx="205">
                  <c:v>4.1472143999999947E-2</c:v>
                </c:pt>
                <c:pt idx="206">
                  <c:v>4.1472143999999947E-2</c:v>
                </c:pt>
                <c:pt idx="207">
                  <c:v>4.1472143999999947E-2</c:v>
                </c:pt>
                <c:pt idx="208">
                  <c:v>4.1472143999999947E-2</c:v>
                </c:pt>
                <c:pt idx="209">
                  <c:v>4.1472143999999947E-2</c:v>
                </c:pt>
                <c:pt idx="210">
                  <c:v>4.1472143999999947E-2</c:v>
                </c:pt>
                <c:pt idx="211">
                  <c:v>4.1472143999999947E-2</c:v>
                </c:pt>
                <c:pt idx="212">
                  <c:v>4.3456196000000002E-2</c:v>
                </c:pt>
                <c:pt idx="213">
                  <c:v>4.3456196000000002E-2</c:v>
                </c:pt>
                <c:pt idx="214">
                  <c:v>4.3456196000000002E-2</c:v>
                </c:pt>
                <c:pt idx="215">
                  <c:v>4.3456196000000002E-2</c:v>
                </c:pt>
                <c:pt idx="216">
                  <c:v>4.3456196000000002E-2</c:v>
                </c:pt>
                <c:pt idx="217">
                  <c:v>4.3456196000000002E-2</c:v>
                </c:pt>
                <c:pt idx="218">
                  <c:v>4.3456196000000002E-2</c:v>
                </c:pt>
                <c:pt idx="219">
                  <c:v>4.3456196000000002E-2</c:v>
                </c:pt>
                <c:pt idx="220">
                  <c:v>4.4714836000002534E-2</c:v>
                </c:pt>
                <c:pt idx="221">
                  <c:v>4.4714836000002534E-2</c:v>
                </c:pt>
                <c:pt idx="222">
                  <c:v>4.4714836000002534E-2</c:v>
                </c:pt>
                <c:pt idx="223">
                  <c:v>4.4714836000002534E-2</c:v>
                </c:pt>
                <c:pt idx="224">
                  <c:v>4.4714836000002534E-2</c:v>
                </c:pt>
                <c:pt idx="225">
                  <c:v>4.4714836000002534E-2</c:v>
                </c:pt>
                <c:pt idx="226">
                  <c:v>4.4714836000002534E-2</c:v>
                </c:pt>
                <c:pt idx="227">
                  <c:v>5.0796404000004486E-2</c:v>
                </c:pt>
                <c:pt idx="228">
                  <c:v>5.0796404000004486E-2</c:v>
                </c:pt>
                <c:pt idx="229">
                  <c:v>5.0796404000004486E-2</c:v>
                </c:pt>
                <c:pt idx="230">
                  <c:v>5.0796404000004486E-2</c:v>
                </c:pt>
                <c:pt idx="231">
                  <c:v>5.0796404000004486E-2</c:v>
                </c:pt>
                <c:pt idx="232">
                  <c:v>5.0796404000004486E-2</c:v>
                </c:pt>
                <c:pt idx="233">
                  <c:v>5.0908836000000013E-2</c:v>
                </c:pt>
                <c:pt idx="234">
                  <c:v>5.0908836000000013E-2</c:v>
                </c:pt>
                <c:pt idx="235">
                  <c:v>5.0908836000000013E-2</c:v>
                </c:pt>
                <c:pt idx="236">
                  <c:v>5.0908836000000013E-2</c:v>
                </c:pt>
                <c:pt idx="237">
                  <c:v>5.0908836000000013E-2</c:v>
                </c:pt>
                <c:pt idx="238">
                  <c:v>5.0908836000000013E-2</c:v>
                </c:pt>
                <c:pt idx="239">
                  <c:v>5.0908836000000013E-2</c:v>
                </c:pt>
                <c:pt idx="240">
                  <c:v>5.0908836000000013E-2</c:v>
                </c:pt>
                <c:pt idx="241">
                  <c:v>5.0908836000000013E-2</c:v>
                </c:pt>
                <c:pt idx="242">
                  <c:v>5.0908836000000013E-2</c:v>
                </c:pt>
                <c:pt idx="243">
                  <c:v>5.0908836000000013E-2</c:v>
                </c:pt>
                <c:pt idx="244">
                  <c:v>5.0908836000000013E-2</c:v>
                </c:pt>
                <c:pt idx="245">
                  <c:v>5.0908836000000013E-2</c:v>
                </c:pt>
                <c:pt idx="246">
                  <c:v>5.0908836000000013E-2</c:v>
                </c:pt>
                <c:pt idx="247">
                  <c:v>5.0908836000000013E-2</c:v>
                </c:pt>
                <c:pt idx="248">
                  <c:v>5.0908836000000013E-2</c:v>
                </c:pt>
                <c:pt idx="249">
                  <c:v>5.0908836000000013E-2</c:v>
                </c:pt>
                <c:pt idx="250">
                  <c:v>5.0908836000000013E-2</c:v>
                </c:pt>
                <c:pt idx="251">
                  <c:v>5.0908836000000013E-2</c:v>
                </c:pt>
                <c:pt idx="252">
                  <c:v>5.0908836000000013E-2</c:v>
                </c:pt>
                <c:pt idx="253">
                  <c:v>5.0908836000000013E-2</c:v>
                </c:pt>
                <c:pt idx="254">
                  <c:v>5.0908836000000013E-2</c:v>
                </c:pt>
                <c:pt idx="255">
                  <c:v>5.0908836000000013E-2</c:v>
                </c:pt>
                <c:pt idx="256">
                  <c:v>5.0908836000000013E-2</c:v>
                </c:pt>
                <c:pt idx="257">
                  <c:v>5.0908836000000013E-2</c:v>
                </c:pt>
                <c:pt idx="258">
                  <c:v>5.0908836000000013E-2</c:v>
                </c:pt>
                <c:pt idx="259">
                  <c:v>5.0908836000000013E-2</c:v>
                </c:pt>
                <c:pt idx="260">
                  <c:v>5.0908836000000013E-2</c:v>
                </c:pt>
                <c:pt idx="261">
                  <c:v>5.0908836000000013E-2</c:v>
                </c:pt>
                <c:pt idx="262">
                  <c:v>5.0908836000000013E-2</c:v>
                </c:pt>
                <c:pt idx="263">
                  <c:v>5.0908836000000013E-2</c:v>
                </c:pt>
                <c:pt idx="264">
                  <c:v>5.0908836000000013E-2</c:v>
                </c:pt>
                <c:pt idx="265">
                  <c:v>5.0908836000000013E-2</c:v>
                </c:pt>
                <c:pt idx="266">
                  <c:v>5.0908836000000013E-2</c:v>
                </c:pt>
                <c:pt idx="267">
                  <c:v>5.0908836000000013E-2</c:v>
                </c:pt>
                <c:pt idx="268">
                  <c:v>5.0908836000000013E-2</c:v>
                </c:pt>
                <c:pt idx="269">
                  <c:v>5.0908836000000013E-2</c:v>
                </c:pt>
                <c:pt idx="270">
                  <c:v>5.0908836000000013E-2</c:v>
                </c:pt>
                <c:pt idx="271">
                  <c:v>5.0908836000000013E-2</c:v>
                </c:pt>
                <c:pt idx="272">
                  <c:v>5.0908836000000013E-2</c:v>
                </c:pt>
                <c:pt idx="273">
                  <c:v>5.0908836000000013E-2</c:v>
                </c:pt>
                <c:pt idx="274">
                  <c:v>5.0908836000000013E-2</c:v>
                </c:pt>
                <c:pt idx="275">
                  <c:v>5.0908836000000013E-2</c:v>
                </c:pt>
                <c:pt idx="276">
                  <c:v>5.0908836000000013E-2</c:v>
                </c:pt>
                <c:pt idx="277">
                  <c:v>5.0908836000000013E-2</c:v>
                </c:pt>
                <c:pt idx="278">
                  <c:v>5.0908836000000013E-2</c:v>
                </c:pt>
                <c:pt idx="279">
                  <c:v>5.0908836000000013E-2</c:v>
                </c:pt>
                <c:pt idx="280">
                  <c:v>5.0908836000000013E-2</c:v>
                </c:pt>
                <c:pt idx="281">
                  <c:v>5.0908836000000013E-2</c:v>
                </c:pt>
                <c:pt idx="282">
                  <c:v>5.0908836000000013E-2</c:v>
                </c:pt>
                <c:pt idx="283">
                  <c:v>5.0908836000000013E-2</c:v>
                </c:pt>
                <c:pt idx="284">
                  <c:v>5.0908836000000013E-2</c:v>
                </c:pt>
                <c:pt idx="285">
                  <c:v>5.0908836000000013E-2</c:v>
                </c:pt>
                <c:pt idx="286">
                  <c:v>5.0908836000000013E-2</c:v>
                </c:pt>
                <c:pt idx="287">
                  <c:v>5.0908836000000013E-2</c:v>
                </c:pt>
                <c:pt idx="288">
                  <c:v>5.0908836000000013E-2</c:v>
                </c:pt>
                <c:pt idx="289">
                  <c:v>5.0908836000000013E-2</c:v>
                </c:pt>
                <c:pt idx="290">
                  <c:v>5.0908836000000013E-2</c:v>
                </c:pt>
                <c:pt idx="291">
                  <c:v>5.0908836000000013E-2</c:v>
                </c:pt>
                <c:pt idx="292">
                  <c:v>5.0908836000000013E-2</c:v>
                </c:pt>
                <c:pt idx="293">
                  <c:v>5.0908836000000013E-2</c:v>
                </c:pt>
                <c:pt idx="294">
                  <c:v>5.0908836000000013E-2</c:v>
                </c:pt>
                <c:pt idx="295">
                  <c:v>5.0908836000000013E-2</c:v>
                </c:pt>
                <c:pt idx="296">
                  <c:v>5.0908836000000013E-2</c:v>
                </c:pt>
                <c:pt idx="297">
                  <c:v>5.0908836000000013E-2</c:v>
                </c:pt>
                <c:pt idx="298">
                  <c:v>5.0908836000000013E-2</c:v>
                </c:pt>
                <c:pt idx="299">
                  <c:v>5.0908836000000013E-2</c:v>
                </c:pt>
                <c:pt idx="300">
                  <c:v>5.0908836000000013E-2</c:v>
                </c:pt>
                <c:pt idx="301">
                  <c:v>5.0908836000000013E-2</c:v>
                </c:pt>
                <c:pt idx="302">
                  <c:v>5.0908836000000013E-2</c:v>
                </c:pt>
                <c:pt idx="303">
                  <c:v>5.0908836000000013E-2</c:v>
                </c:pt>
                <c:pt idx="304">
                  <c:v>5.0908836000000013E-2</c:v>
                </c:pt>
                <c:pt idx="305">
                  <c:v>5.0908836000000013E-2</c:v>
                </c:pt>
                <c:pt idx="306">
                  <c:v>5.0908836000000013E-2</c:v>
                </c:pt>
                <c:pt idx="307">
                  <c:v>5.0908836000000013E-2</c:v>
                </c:pt>
                <c:pt idx="308">
                  <c:v>5.0908836000000013E-2</c:v>
                </c:pt>
                <c:pt idx="309">
                  <c:v>5.0908836000000013E-2</c:v>
                </c:pt>
                <c:pt idx="310">
                  <c:v>5.0908836000000013E-2</c:v>
                </c:pt>
                <c:pt idx="311">
                  <c:v>5.0908836000000013E-2</c:v>
                </c:pt>
                <c:pt idx="312">
                  <c:v>5.0908836000000013E-2</c:v>
                </c:pt>
                <c:pt idx="313">
                  <c:v>5.0908836000000013E-2</c:v>
                </c:pt>
                <c:pt idx="314">
                  <c:v>5.0908836000000013E-2</c:v>
                </c:pt>
                <c:pt idx="315">
                  <c:v>5.0908836000000013E-2</c:v>
                </c:pt>
                <c:pt idx="316">
                  <c:v>5.0908836000000013E-2</c:v>
                </c:pt>
                <c:pt idx="317">
                  <c:v>5.0908836000000013E-2</c:v>
                </c:pt>
                <c:pt idx="318">
                  <c:v>5.0908836000000013E-2</c:v>
                </c:pt>
                <c:pt idx="319">
                  <c:v>5.0908836000000013E-2</c:v>
                </c:pt>
                <c:pt idx="320">
                  <c:v>5.0908836000000013E-2</c:v>
                </c:pt>
                <c:pt idx="321">
                  <c:v>5.0908836000000013E-2</c:v>
                </c:pt>
                <c:pt idx="322">
                  <c:v>5.0908836000000013E-2</c:v>
                </c:pt>
                <c:pt idx="323">
                  <c:v>5.0908836000000013E-2</c:v>
                </c:pt>
                <c:pt idx="324">
                  <c:v>5.0908836000000013E-2</c:v>
                </c:pt>
                <c:pt idx="325">
                  <c:v>5.0908836000000013E-2</c:v>
                </c:pt>
                <c:pt idx="326">
                  <c:v>5.0908836000000013E-2</c:v>
                </c:pt>
                <c:pt idx="327">
                  <c:v>5.0908836000000013E-2</c:v>
                </c:pt>
                <c:pt idx="328">
                  <c:v>5.0908836000000013E-2</c:v>
                </c:pt>
                <c:pt idx="329">
                  <c:v>5.0908836000000013E-2</c:v>
                </c:pt>
                <c:pt idx="330">
                  <c:v>5.0908836000000013E-2</c:v>
                </c:pt>
                <c:pt idx="331">
                  <c:v>5.0908836000000013E-2</c:v>
                </c:pt>
                <c:pt idx="332">
                  <c:v>5.0908836000000013E-2</c:v>
                </c:pt>
                <c:pt idx="333">
                  <c:v>5.0908836000000013E-2</c:v>
                </c:pt>
                <c:pt idx="334">
                  <c:v>5.0908836000000013E-2</c:v>
                </c:pt>
                <c:pt idx="335">
                  <c:v>5.0908836000000013E-2</c:v>
                </c:pt>
                <c:pt idx="336">
                  <c:v>5.0908836000000013E-2</c:v>
                </c:pt>
                <c:pt idx="337">
                  <c:v>5.0908836000000013E-2</c:v>
                </c:pt>
                <c:pt idx="338">
                  <c:v>5.0908836000000013E-2</c:v>
                </c:pt>
                <c:pt idx="339">
                  <c:v>5.0908836000000013E-2</c:v>
                </c:pt>
                <c:pt idx="340">
                  <c:v>5.0908836000000013E-2</c:v>
                </c:pt>
                <c:pt idx="341">
                  <c:v>5.0908836000000013E-2</c:v>
                </c:pt>
                <c:pt idx="342">
                  <c:v>5.0908836000000013E-2</c:v>
                </c:pt>
                <c:pt idx="343">
                  <c:v>5.0908836000000013E-2</c:v>
                </c:pt>
                <c:pt idx="344">
                  <c:v>5.0908836000000013E-2</c:v>
                </c:pt>
                <c:pt idx="345">
                  <c:v>5.0908836000000013E-2</c:v>
                </c:pt>
                <c:pt idx="346">
                  <c:v>5.0908836000000013E-2</c:v>
                </c:pt>
                <c:pt idx="347">
                  <c:v>5.0908836000000013E-2</c:v>
                </c:pt>
                <c:pt idx="348">
                  <c:v>5.0908836000000013E-2</c:v>
                </c:pt>
                <c:pt idx="349">
                  <c:v>5.0908836000000013E-2</c:v>
                </c:pt>
                <c:pt idx="350">
                  <c:v>5.0908836000000013E-2</c:v>
                </c:pt>
                <c:pt idx="351">
                  <c:v>5.0908836000000013E-2</c:v>
                </c:pt>
                <c:pt idx="352">
                  <c:v>5.0908836000000013E-2</c:v>
                </c:pt>
                <c:pt idx="353">
                  <c:v>5.0908836000000013E-2</c:v>
                </c:pt>
                <c:pt idx="354">
                  <c:v>5.0908836000000013E-2</c:v>
                </c:pt>
                <c:pt idx="355">
                  <c:v>5.0908836000000013E-2</c:v>
                </c:pt>
                <c:pt idx="356">
                  <c:v>5.0908836000000013E-2</c:v>
                </c:pt>
                <c:pt idx="357">
                  <c:v>5.0908836000000013E-2</c:v>
                </c:pt>
                <c:pt idx="358">
                  <c:v>5.0908836000000013E-2</c:v>
                </c:pt>
                <c:pt idx="359">
                  <c:v>5.0908836000000013E-2</c:v>
                </c:pt>
                <c:pt idx="360">
                  <c:v>5.0908836000000013E-2</c:v>
                </c:pt>
                <c:pt idx="361">
                  <c:v>5.0908836000000013E-2</c:v>
                </c:pt>
                <c:pt idx="362">
                  <c:v>5.0908836000000013E-2</c:v>
                </c:pt>
                <c:pt idx="363">
                  <c:v>5.0908836000000013E-2</c:v>
                </c:pt>
                <c:pt idx="364">
                  <c:v>5.0908836000000013E-2</c:v>
                </c:pt>
                <c:pt idx="365">
                  <c:v>5.0908836000000013E-2</c:v>
                </c:pt>
                <c:pt idx="366">
                  <c:v>5.0908836000000013E-2</c:v>
                </c:pt>
                <c:pt idx="367">
                  <c:v>5.0908836000000013E-2</c:v>
                </c:pt>
                <c:pt idx="368">
                  <c:v>5.0908836000000013E-2</c:v>
                </c:pt>
                <c:pt idx="369">
                  <c:v>5.0908836000000013E-2</c:v>
                </c:pt>
                <c:pt idx="370">
                  <c:v>5.0908836000000013E-2</c:v>
                </c:pt>
                <c:pt idx="371">
                  <c:v>5.0908836000000013E-2</c:v>
                </c:pt>
                <c:pt idx="372">
                  <c:v>5.1608787999999996E-2</c:v>
                </c:pt>
                <c:pt idx="373">
                  <c:v>5.1608787999999996E-2</c:v>
                </c:pt>
                <c:pt idx="374">
                  <c:v>5.1608787999999996E-2</c:v>
                </c:pt>
                <c:pt idx="375">
                  <c:v>5.1608787999999996E-2</c:v>
                </c:pt>
                <c:pt idx="376">
                  <c:v>5.1608787999999996E-2</c:v>
                </c:pt>
                <c:pt idx="377">
                  <c:v>5.1608787999999996E-2</c:v>
                </c:pt>
                <c:pt idx="378">
                  <c:v>5.1608787999999996E-2</c:v>
                </c:pt>
                <c:pt idx="379">
                  <c:v>5.1608787999999996E-2</c:v>
                </c:pt>
                <c:pt idx="380">
                  <c:v>5.1608787999999996E-2</c:v>
                </c:pt>
                <c:pt idx="381">
                  <c:v>5.1608787999999996E-2</c:v>
                </c:pt>
                <c:pt idx="382">
                  <c:v>5.1608787999999996E-2</c:v>
                </c:pt>
                <c:pt idx="383">
                  <c:v>5.1608787999999996E-2</c:v>
                </c:pt>
                <c:pt idx="384">
                  <c:v>5.1608787999999996E-2</c:v>
                </c:pt>
                <c:pt idx="385">
                  <c:v>5.1608787999999996E-2</c:v>
                </c:pt>
                <c:pt idx="386">
                  <c:v>5.1608787999999996E-2</c:v>
                </c:pt>
                <c:pt idx="387">
                  <c:v>5.1608787999999996E-2</c:v>
                </c:pt>
                <c:pt idx="388">
                  <c:v>5.1608787999999996E-2</c:v>
                </c:pt>
                <c:pt idx="389">
                  <c:v>5.1608787999999996E-2</c:v>
                </c:pt>
                <c:pt idx="390">
                  <c:v>5.1608787999999996E-2</c:v>
                </c:pt>
                <c:pt idx="391">
                  <c:v>5.1608787999999996E-2</c:v>
                </c:pt>
                <c:pt idx="392">
                  <c:v>5.1608787999999996E-2</c:v>
                </c:pt>
                <c:pt idx="393">
                  <c:v>5.1608787999999996E-2</c:v>
                </c:pt>
                <c:pt idx="394">
                  <c:v>5.1608787999999996E-2</c:v>
                </c:pt>
                <c:pt idx="395">
                  <c:v>5.1608787999999996E-2</c:v>
                </c:pt>
                <c:pt idx="396">
                  <c:v>5.1608787999999996E-2</c:v>
                </c:pt>
                <c:pt idx="397">
                  <c:v>5.1608787999999996E-2</c:v>
                </c:pt>
                <c:pt idx="398">
                  <c:v>5.1608787999999996E-2</c:v>
                </c:pt>
                <c:pt idx="399">
                  <c:v>5.1608787999999996E-2</c:v>
                </c:pt>
                <c:pt idx="400">
                  <c:v>5.1608787999999996E-2</c:v>
                </c:pt>
                <c:pt idx="401">
                  <c:v>5.1608787999999996E-2</c:v>
                </c:pt>
                <c:pt idx="402">
                  <c:v>5.1608787999999996E-2</c:v>
                </c:pt>
                <c:pt idx="403">
                  <c:v>5.1608787999999996E-2</c:v>
                </c:pt>
                <c:pt idx="404">
                  <c:v>5.1608787999999996E-2</c:v>
                </c:pt>
                <c:pt idx="405">
                  <c:v>5.1608787999999996E-2</c:v>
                </c:pt>
                <c:pt idx="406">
                  <c:v>5.1608787999999996E-2</c:v>
                </c:pt>
                <c:pt idx="407">
                  <c:v>5.6421507999999995E-2</c:v>
                </c:pt>
                <c:pt idx="408">
                  <c:v>5.6421507999999995E-2</c:v>
                </c:pt>
                <c:pt idx="409">
                  <c:v>5.6421507999999995E-2</c:v>
                </c:pt>
                <c:pt idx="410">
                  <c:v>5.6421507999999995E-2</c:v>
                </c:pt>
                <c:pt idx="411">
                  <c:v>5.6421507999999995E-2</c:v>
                </c:pt>
                <c:pt idx="412">
                  <c:v>5.6421507999999995E-2</c:v>
                </c:pt>
                <c:pt idx="413">
                  <c:v>5.6421507999999995E-2</c:v>
                </c:pt>
                <c:pt idx="414">
                  <c:v>5.6421507999999995E-2</c:v>
                </c:pt>
                <c:pt idx="415">
                  <c:v>5.6421507999999995E-2</c:v>
                </c:pt>
                <c:pt idx="416">
                  <c:v>5.6421507999999995E-2</c:v>
                </c:pt>
                <c:pt idx="417">
                  <c:v>5.6421507999999995E-2</c:v>
                </c:pt>
                <c:pt idx="418">
                  <c:v>5.6421507999999995E-2</c:v>
                </c:pt>
                <c:pt idx="419">
                  <c:v>5.6421507999999995E-2</c:v>
                </c:pt>
                <c:pt idx="420">
                  <c:v>5.6421507999999995E-2</c:v>
                </c:pt>
                <c:pt idx="421">
                  <c:v>5.6421507999999995E-2</c:v>
                </c:pt>
                <c:pt idx="422">
                  <c:v>5.6421507999999995E-2</c:v>
                </c:pt>
                <c:pt idx="423">
                  <c:v>5.6421507999999995E-2</c:v>
                </c:pt>
                <c:pt idx="424">
                  <c:v>5.6421507999999995E-2</c:v>
                </c:pt>
                <c:pt idx="425">
                  <c:v>5.6421507999999995E-2</c:v>
                </c:pt>
                <c:pt idx="426">
                  <c:v>5.6421507999999995E-2</c:v>
                </c:pt>
                <c:pt idx="427">
                  <c:v>5.6421507999999995E-2</c:v>
                </c:pt>
                <c:pt idx="428">
                  <c:v>5.6421507999999995E-2</c:v>
                </c:pt>
                <c:pt idx="429">
                  <c:v>5.6421507999999995E-2</c:v>
                </c:pt>
                <c:pt idx="430">
                  <c:v>5.6421507999999995E-2</c:v>
                </c:pt>
                <c:pt idx="431">
                  <c:v>5.6421507999999995E-2</c:v>
                </c:pt>
                <c:pt idx="432">
                  <c:v>5.6421507999999995E-2</c:v>
                </c:pt>
                <c:pt idx="433">
                  <c:v>5.6421507999999995E-2</c:v>
                </c:pt>
                <c:pt idx="434">
                  <c:v>5.6421507999999995E-2</c:v>
                </c:pt>
                <c:pt idx="435">
                  <c:v>5.6421507999999995E-2</c:v>
                </c:pt>
                <c:pt idx="436">
                  <c:v>5.6421507999999995E-2</c:v>
                </c:pt>
                <c:pt idx="437">
                  <c:v>5.6421507999999995E-2</c:v>
                </c:pt>
                <c:pt idx="438">
                  <c:v>5.6421507999999995E-2</c:v>
                </c:pt>
                <c:pt idx="439">
                  <c:v>5.6421507999999995E-2</c:v>
                </c:pt>
                <c:pt idx="440">
                  <c:v>5.6421507999999995E-2</c:v>
                </c:pt>
                <c:pt idx="441">
                  <c:v>5.6421507999999995E-2</c:v>
                </c:pt>
                <c:pt idx="442">
                  <c:v>5.6421507999999995E-2</c:v>
                </c:pt>
                <c:pt idx="443">
                  <c:v>5.6421507999999995E-2</c:v>
                </c:pt>
                <c:pt idx="444">
                  <c:v>5.6421507999999995E-2</c:v>
                </c:pt>
                <c:pt idx="445">
                  <c:v>5.6421507999999995E-2</c:v>
                </c:pt>
                <c:pt idx="446">
                  <c:v>5.6421507999999995E-2</c:v>
                </c:pt>
                <c:pt idx="447">
                  <c:v>5.6421507999999995E-2</c:v>
                </c:pt>
                <c:pt idx="448">
                  <c:v>5.6421507999999995E-2</c:v>
                </c:pt>
                <c:pt idx="449">
                  <c:v>5.6421507999999995E-2</c:v>
                </c:pt>
                <c:pt idx="450">
                  <c:v>6.0110608000000024E-2</c:v>
                </c:pt>
                <c:pt idx="451">
                  <c:v>6.0110608000000024E-2</c:v>
                </c:pt>
                <c:pt idx="452">
                  <c:v>6.0110608000000024E-2</c:v>
                </c:pt>
                <c:pt idx="453">
                  <c:v>6.0110608000000024E-2</c:v>
                </c:pt>
                <c:pt idx="454">
                  <c:v>6.0110608000000024E-2</c:v>
                </c:pt>
                <c:pt idx="455">
                  <c:v>6.0110608000000024E-2</c:v>
                </c:pt>
                <c:pt idx="456">
                  <c:v>6.0110608000000024E-2</c:v>
                </c:pt>
                <c:pt idx="457">
                  <c:v>6.0110608000000024E-2</c:v>
                </c:pt>
                <c:pt idx="458">
                  <c:v>6.0110608000000024E-2</c:v>
                </c:pt>
                <c:pt idx="459">
                  <c:v>6.0110608000000024E-2</c:v>
                </c:pt>
                <c:pt idx="460">
                  <c:v>6.0110608000000024E-2</c:v>
                </c:pt>
                <c:pt idx="461">
                  <c:v>6.0110608000000024E-2</c:v>
                </c:pt>
                <c:pt idx="462">
                  <c:v>6.0110608000000024E-2</c:v>
                </c:pt>
                <c:pt idx="463">
                  <c:v>6.0110608000000024E-2</c:v>
                </c:pt>
                <c:pt idx="464">
                  <c:v>6.0110608000000024E-2</c:v>
                </c:pt>
                <c:pt idx="465">
                  <c:v>6.0110608000000024E-2</c:v>
                </c:pt>
                <c:pt idx="466">
                  <c:v>6.0110608000000024E-2</c:v>
                </c:pt>
                <c:pt idx="467">
                  <c:v>6.0110608000000024E-2</c:v>
                </c:pt>
                <c:pt idx="468">
                  <c:v>6.0110608000000024E-2</c:v>
                </c:pt>
                <c:pt idx="469">
                  <c:v>6.0110608000000024E-2</c:v>
                </c:pt>
                <c:pt idx="470">
                  <c:v>6.0110608000000024E-2</c:v>
                </c:pt>
                <c:pt idx="471">
                  <c:v>6.0110608000000024E-2</c:v>
                </c:pt>
                <c:pt idx="472">
                  <c:v>6.0110608000000024E-2</c:v>
                </c:pt>
                <c:pt idx="473">
                  <c:v>6.0110608000000024E-2</c:v>
                </c:pt>
                <c:pt idx="474">
                  <c:v>6.0110608000000024E-2</c:v>
                </c:pt>
                <c:pt idx="475">
                  <c:v>6.0110608000000024E-2</c:v>
                </c:pt>
                <c:pt idx="476">
                  <c:v>6.0110608000000024E-2</c:v>
                </c:pt>
                <c:pt idx="477">
                  <c:v>6.2493100000000114E-2</c:v>
                </c:pt>
                <c:pt idx="478">
                  <c:v>6.2493100000000114E-2</c:v>
                </c:pt>
                <c:pt idx="479">
                  <c:v>6.2493100000000114E-2</c:v>
                </c:pt>
                <c:pt idx="480">
                  <c:v>6.2493100000000114E-2</c:v>
                </c:pt>
                <c:pt idx="481">
                  <c:v>6.2493100000000114E-2</c:v>
                </c:pt>
                <c:pt idx="482">
                  <c:v>6.2493100000000114E-2</c:v>
                </c:pt>
                <c:pt idx="483">
                  <c:v>6.2493100000000114E-2</c:v>
                </c:pt>
                <c:pt idx="484">
                  <c:v>6.2493100000000114E-2</c:v>
                </c:pt>
                <c:pt idx="485">
                  <c:v>6.2493100000000114E-2</c:v>
                </c:pt>
                <c:pt idx="486">
                  <c:v>6.2493100000000114E-2</c:v>
                </c:pt>
                <c:pt idx="487">
                  <c:v>6.2493100000000114E-2</c:v>
                </c:pt>
                <c:pt idx="488">
                  <c:v>6.2493100000000114E-2</c:v>
                </c:pt>
                <c:pt idx="489">
                  <c:v>6.2493100000000114E-2</c:v>
                </c:pt>
                <c:pt idx="490">
                  <c:v>6.2493100000000114E-2</c:v>
                </c:pt>
                <c:pt idx="491">
                  <c:v>6.2493100000000114E-2</c:v>
                </c:pt>
                <c:pt idx="492">
                  <c:v>6.2493100000000114E-2</c:v>
                </c:pt>
                <c:pt idx="493">
                  <c:v>6.2493100000000114E-2</c:v>
                </c:pt>
                <c:pt idx="494">
                  <c:v>6.5635607999999998E-2</c:v>
                </c:pt>
                <c:pt idx="495">
                  <c:v>6.5635607999999998E-2</c:v>
                </c:pt>
                <c:pt idx="496">
                  <c:v>6.5635607999999998E-2</c:v>
                </c:pt>
                <c:pt idx="497">
                  <c:v>6.5635607999999998E-2</c:v>
                </c:pt>
                <c:pt idx="498">
                  <c:v>6.5635607999999998E-2</c:v>
                </c:pt>
                <c:pt idx="499">
                  <c:v>6.5635607999999998E-2</c:v>
                </c:pt>
                <c:pt idx="500">
                  <c:v>6.5635607999999998E-2</c:v>
                </c:pt>
                <c:pt idx="501">
                  <c:v>6.5635607999999998E-2</c:v>
                </c:pt>
                <c:pt idx="502">
                  <c:v>6.5635607999999998E-2</c:v>
                </c:pt>
                <c:pt idx="503">
                  <c:v>6.5635607999999998E-2</c:v>
                </c:pt>
                <c:pt idx="504">
                  <c:v>6.5635607999999998E-2</c:v>
                </c:pt>
                <c:pt idx="505">
                  <c:v>6.5635607999999998E-2</c:v>
                </c:pt>
                <c:pt idx="506">
                  <c:v>6.5635607999999998E-2</c:v>
                </c:pt>
                <c:pt idx="507">
                  <c:v>6.5635607999999998E-2</c:v>
                </c:pt>
                <c:pt idx="508">
                  <c:v>6.5635607999999998E-2</c:v>
                </c:pt>
                <c:pt idx="509">
                  <c:v>6.5635607999999998E-2</c:v>
                </c:pt>
                <c:pt idx="510">
                  <c:v>6.5635607999999998E-2</c:v>
                </c:pt>
                <c:pt idx="511">
                  <c:v>6.5635607999999998E-2</c:v>
                </c:pt>
                <c:pt idx="512">
                  <c:v>6.5635607999999998E-2</c:v>
                </c:pt>
                <c:pt idx="513">
                  <c:v>6.5635607999999998E-2</c:v>
                </c:pt>
                <c:pt idx="514">
                  <c:v>6.5635607999999998E-2</c:v>
                </c:pt>
                <c:pt idx="515">
                  <c:v>6.5635607999999998E-2</c:v>
                </c:pt>
                <c:pt idx="516">
                  <c:v>6.5635607999999998E-2</c:v>
                </c:pt>
                <c:pt idx="517">
                  <c:v>6.5635607999999998E-2</c:v>
                </c:pt>
                <c:pt idx="518">
                  <c:v>7.0305828000000001E-2</c:v>
                </c:pt>
                <c:pt idx="519">
                  <c:v>7.0305828000000001E-2</c:v>
                </c:pt>
                <c:pt idx="520">
                  <c:v>7.0305828000000001E-2</c:v>
                </c:pt>
                <c:pt idx="521">
                  <c:v>7.0305828000000001E-2</c:v>
                </c:pt>
                <c:pt idx="522">
                  <c:v>7.0305828000000001E-2</c:v>
                </c:pt>
                <c:pt idx="523">
                  <c:v>7.0305828000000001E-2</c:v>
                </c:pt>
                <c:pt idx="524">
                  <c:v>7.0305828000000001E-2</c:v>
                </c:pt>
                <c:pt idx="525">
                  <c:v>7.0305828000000001E-2</c:v>
                </c:pt>
                <c:pt idx="526">
                  <c:v>7.0305828000000001E-2</c:v>
                </c:pt>
                <c:pt idx="527">
                  <c:v>7.0305828000000001E-2</c:v>
                </c:pt>
                <c:pt idx="528">
                  <c:v>7.0305828000000001E-2</c:v>
                </c:pt>
                <c:pt idx="529">
                  <c:v>7.0305828000000001E-2</c:v>
                </c:pt>
                <c:pt idx="530">
                  <c:v>7.0305828000000001E-2</c:v>
                </c:pt>
                <c:pt idx="531">
                  <c:v>7.0305828000000001E-2</c:v>
                </c:pt>
                <c:pt idx="532">
                  <c:v>7.0305828000000001E-2</c:v>
                </c:pt>
                <c:pt idx="533">
                  <c:v>7.0305828000000001E-2</c:v>
                </c:pt>
                <c:pt idx="534">
                  <c:v>7.0305828000000001E-2</c:v>
                </c:pt>
                <c:pt idx="535">
                  <c:v>7.0305828000000001E-2</c:v>
                </c:pt>
                <c:pt idx="536">
                  <c:v>7.0305828000000001E-2</c:v>
                </c:pt>
                <c:pt idx="537">
                  <c:v>7.0305828000000001E-2</c:v>
                </c:pt>
                <c:pt idx="538">
                  <c:v>7.0305828000000001E-2</c:v>
                </c:pt>
                <c:pt idx="539">
                  <c:v>7.0305828000000001E-2</c:v>
                </c:pt>
                <c:pt idx="540">
                  <c:v>7.0305828000000001E-2</c:v>
                </c:pt>
                <c:pt idx="541">
                  <c:v>8.6140364000000025E-2</c:v>
                </c:pt>
                <c:pt idx="542">
                  <c:v>8.6140364000000025E-2</c:v>
                </c:pt>
                <c:pt idx="543">
                  <c:v>8.6140364000000025E-2</c:v>
                </c:pt>
                <c:pt idx="544">
                  <c:v>8.6140364000000025E-2</c:v>
                </c:pt>
                <c:pt idx="545">
                  <c:v>8.6140364000000025E-2</c:v>
                </c:pt>
                <c:pt idx="546">
                  <c:v>8.6140364000000025E-2</c:v>
                </c:pt>
                <c:pt idx="547">
                  <c:v>8.6140364000000025E-2</c:v>
                </c:pt>
                <c:pt idx="548">
                  <c:v>8.6140364000000025E-2</c:v>
                </c:pt>
                <c:pt idx="549">
                  <c:v>8.6140364000000025E-2</c:v>
                </c:pt>
                <c:pt idx="550">
                  <c:v>8.6140364000000025E-2</c:v>
                </c:pt>
                <c:pt idx="551">
                  <c:v>8.6140364000000025E-2</c:v>
                </c:pt>
                <c:pt idx="552">
                  <c:v>8.6140364000000025E-2</c:v>
                </c:pt>
                <c:pt idx="553">
                  <c:v>8.6140364000000025E-2</c:v>
                </c:pt>
                <c:pt idx="554">
                  <c:v>8.7567644000000028E-2</c:v>
                </c:pt>
                <c:pt idx="555">
                  <c:v>8.7567644000000028E-2</c:v>
                </c:pt>
                <c:pt idx="556">
                  <c:v>8.7567644000000028E-2</c:v>
                </c:pt>
                <c:pt idx="557">
                  <c:v>8.7567644000000028E-2</c:v>
                </c:pt>
                <c:pt idx="558">
                  <c:v>8.7567644000000028E-2</c:v>
                </c:pt>
                <c:pt idx="559">
                  <c:v>8.7567644000000028E-2</c:v>
                </c:pt>
                <c:pt idx="560">
                  <c:v>8.7567644000000028E-2</c:v>
                </c:pt>
                <c:pt idx="561">
                  <c:v>8.7567644000000028E-2</c:v>
                </c:pt>
                <c:pt idx="562">
                  <c:v>8.7567644000000028E-2</c:v>
                </c:pt>
                <c:pt idx="563">
                  <c:v>8.7567644000000028E-2</c:v>
                </c:pt>
                <c:pt idx="564">
                  <c:v>8.7567644000000028E-2</c:v>
                </c:pt>
                <c:pt idx="565">
                  <c:v>8.7567644000000028E-2</c:v>
                </c:pt>
                <c:pt idx="566">
                  <c:v>8.7567644000000028E-2</c:v>
                </c:pt>
                <c:pt idx="567">
                  <c:v>8.7567644000000028E-2</c:v>
                </c:pt>
                <c:pt idx="568">
                  <c:v>8.7567644000000028E-2</c:v>
                </c:pt>
                <c:pt idx="569">
                  <c:v>8.7567644000000028E-2</c:v>
                </c:pt>
                <c:pt idx="570">
                  <c:v>8.7567644000000028E-2</c:v>
                </c:pt>
                <c:pt idx="571">
                  <c:v>8.7567644000000028E-2</c:v>
                </c:pt>
                <c:pt idx="572">
                  <c:v>8.7567644000000028E-2</c:v>
                </c:pt>
                <c:pt idx="573">
                  <c:v>8.7567644000000028E-2</c:v>
                </c:pt>
                <c:pt idx="574">
                  <c:v>8.7567644000000028E-2</c:v>
                </c:pt>
                <c:pt idx="575">
                  <c:v>8.7567644000000028E-2</c:v>
                </c:pt>
                <c:pt idx="576">
                  <c:v>8.7567644000000028E-2</c:v>
                </c:pt>
                <c:pt idx="577">
                  <c:v>8.9446472000000027E-2</c:v>
                </c:pt>
                <c:pt idx="578">
                  <c:v>8.9446472000000027E-2</c:v>
                </c:pt>
                <c:pt idx="579">
                  <c:v>8.9446472000000027E-2</c:v>
                </c:pt>
                <c:pt idx="580">
                  <c:v>8.9446472000000027E-2</c:v>
                </c:pt>
                <c:pt idx="581">
                  <c:v>8.9446472000000027E-2</c:v>
                </c:pt>
                <c:pt idx="582">
                  <c:v>8.9446472000000027E-2</c:v>
                </c:pt>
                <c:pt idx="583">
                  <c:v>8.9446472000000027E-2</c:v>
                </c:pt>
                <c:pt idx="584">
                  <c:v>8.9446472000000027E-2</c:v>
                </c:pt>
                <c:pt idx="585">
                  <c:v>8.9446472000000027E-2</c:v>
                </c:pt>
                <c:pt idx="586">
                  <c:v>8.9446472000000027E-2</c:v>
                </c:pt>
                <c:pt idx="587">
                  <c:v>8.9446472000000027E-2</c:v>
                </c:pt>
                <c:pt idx="588">
                  <c:v>8.9446472000000027E-2</c:v>
                </c:pt>
                <c:pt idx="589">
                  <c:v>8.9446472000000027E-2</c:v>
                </c:pt>
                <c:pt idx="590">
                  <c:v>8.9446472000000027E-2</c:v>
                </c:pt>
                <c:pt idx="591">
                  <c:v>8.9446472000000027E-2</c:v>
                </c:pt>
                <c:pt idx="592">
                  <c:v>8.9446472000000027E-2</c:v>
                </c:pt>
                <c:pt idx="593">
                  <c:v>8.9446472000000027E-2</c:v>
                </c:pt>
                <c:pt idx="594">
                  <c:v>8.9446472000000027E-2</c:v>
                </c:pt>
                <c:pt idx="595">
                  <c:v>8.9446472000000027E-2</c:v>
                </c:pt>
                <c:pt idx="596">
                  <c:v>8.9446472000000027E-2</c:v>
                </c:pt>
                <c:pt idx="597">
                  <c:v>9.0646808000001244E-2</c:v>
                </c:pt>
                <c:pt idx="598">
                  <c:v>9.0646808000001244E-2</c:v>
                </c:pt>
                <c:pt idx="599">
                  <c:v>9.0646808000001244E-2</c:v>
                </c:pt>
                <c:pt idx="600">
                  <c:v>9.108580400000002E-2</c:v>
                </c:pt>
                <c:pt idx="601">
                  <c:v>9.108580400000002E-2</c:v>
                </c:pt>
                <c:pt idx="602">
                  <c:v>9.108580400000002E-2</c:v>
                </c:pt>
                <c:pt idx="603">
                  <c:v>9.108580400000002E-2</c:v>
                </c:pt>
                <c:pt idx="604">
                  <c:v>9.108580400000002E-2</c:v>
                </c:pt>
                <c:pt idx="605">
                  <c:v>9.108580400000002E-2</c:v>
                </c:pt>
                <c:pt idx="606">
                  <c:v>9.108580400000002E-2</c:v>
                </c:pt>
                <c:pt idx="607">
                  <c:v>9.108580400000002E-2</c:v>
                </c:pt>
                <c:pt idx="608">
                  <c:v>9.108580400000002E-2</c:v>
                </c:pt>
                <c:pt idx="609">
                  <c:v>9.108580400000002E-2</c:v>
                </c:pt>
                <c:pt idx="610">
                  <c:v>9.108580400000002E-2</c:v>
                </c:pt>
                <c:pt idx="611">
                  <c:v>9.108580400000002E-2</c:v>
                </c:pt>
                <c:pt idx="612">
                  <c:v>9.108580400000002E-2</c:v>
                </c:pt>
                <c:pt idx="613">
                  <c:v>9.108580400000002E-2</c:v>
                </c:pt>
                <c:pt idx="614">
                  <c:v>9.108580400000002E-2</c:v>
                </c:pt>
                <c:pt idx="615">
                  <c:v>9.108580400000002E-2</c:v>
                </c:pt>
                <c:pt idx="616">
                  <c:v>9.108580400000002E-2</c:v>
                </c:pt>
                <c:pt idx="617">
                  <c:v>9.108580400000002E-2</c:v>
                </c:pt>
                <c:pt idx="618">
                  <c:v>9.108580400000002E-2</c:v>
                </c:pt>
                <c:pt idx="619">
                  <c:v>9.108580400000002E-2</c:v>
                </c:pt>
                <c:pt idx="620">
                  <c:v>9.108580400000002E-2</c:v>
                </c:pt>
                <c:pt idx="621">
                  <c:v>9.108580400000002E-2</c:v>
                </c:pt>
                <c:pt idx="622">
                  <c:v>9.108580400000002E-2</c:v>
                </c:pt>
                <c:pt idx="623">
                  <c:v>9.108580400000002E-2</c:v>
                </c:pt>
                <c:pt idx="624">
                  <c:v>9.108580400000002E-2</c:v>
                </c:pt>
                <c:pt idx="625">
                  <c:v>9.108580400000002E-2</c:v>
                </c:pt>
                <c:pt idx="626">
                  <c:v>9.108580400000002E-2</c:v>
                </c:pt>
                <c:pt idx="627">
                  <c:v>9.108580400000002E-2</c:v>
                </c:pt>
                <c:pt idx="628">
                  <c:v>9.108580400000002E-2</c:v>
                </c:pt>
                <c:pt idx="629">
                  <c:v>9.108580400000002E-2</c:v>
                </c:pt>
                <c:pt idx="630">
                  <c:v>9.108580400000002E-2</c:v>
                </c:pt>
                <c:pt idx="631">
                  <c:v>9.108580400000002E-2</c:v>
                </c:pt>
                <c:pt idx="632">
                  <c:v>9.108580400000002E-2</c:v>
                </c:pt>
                <c:pt idx="633">
                  <c:v>9.108580400000002E-2</c:v>
                </c:pt>
                <c:pt idx="634">
                  <c:v>9.108580400000002E-2</c:v>
                </c:pt>
                <c:pt idx="635">
                  <c:v>9.108580400000002E-2</c:v>
                </c:pt>
                <c:pt idx="636">
                  <c:v>9.108580400000002E-2</c:v>
                </c:pt>
                <c:pt idx="637">
                  <c:v>9.108580400000002E-2</c:v>
                </c:pt>
                <c:pt idx="638">
                  <c:v>9.108580400000002E-2</c:v>
                </c:pt>
                <c:pt idx="639">
                  <c:v>9.108580400000002E-2</c:v>
                </c:pt>
                <c:pt idx="640">
                  <c:v>9.108580400000002E-2</c:v>
                </c:pt>
                <c:pt idx="641">
                  <c:v>9.108580400000002E-2</c:v>
                </c:pt>
                <c:pt idx="642">
                  <c:v>9.108580400000002E-2</c:v>
                </c:pt>
                <c:pt idx="643">
                  <c:v>9.108580400000002E-2</c:v>
                </c:pt>
                <c:pt idx="644">
                  <c:v>9.108580400000002E-2</c:v>
                </c:pt>
                <c:pt idx="645">
                  <c:v>9.108580400000002E-2</c:v>
                </c:pt>
                <c:pt idx="646">
                  <c:v>9.108580400000002E-2</c:v>
                </c:pt>
                <c:pt idx="647">
                  <c:v>9.108580400000002E-2</c:v>
                </c:pt>
                <c:pt idx="648">
                  <c:v>9.108580400000002E-2</c:v>
                </c:pt>
                <c:pt idx="649">
                  <c:v>9.108580400000002E-2</c:v>
                </c:pt>
                <c:pt idx="650">
                  <c:v>9.108580400000002E-2</c:v>
                </c:pt>
                <c:pt idx="651">
                  <c:v>9.108580400000002E-2</c:v>
                </c:pt>
                <c:pt idx="652">
                  <c:v>9.108580400000002E-2</c:v>
                </c:pt>
                <c:pt idx="653">
                  <c:v>9.108580400000002E-2</c:v>
                </c:pt>
                <c:pt idx="654">
                  <c:v>9.108580400000002E-2</c:v>
                </c:pt>
                <c:pt idx="655">
                  <c:v>9.108580400000002E-2</c:v>
                </c:pt>
                <c:pt idx="656">
                  <c:v>9.108580400000002E-2</c:v>
                </c:pt>
                <c:pt idx="657">
                  <c:v>9.108580400000002E-2</c:v>
                </c:pt>
                <c:pt idx="658">
                  <c:v>9.108580400000002E-2</c:v>
                </c:pt>
                <c:pt idx="659">
                  <c:v>9.108580400000002E-2</c:v>
                </c:pt>
                <c:pt idx="660">
                  <c:v>9.108580400000002E-2</c:v>
                </c:pt>
                <c:pt idx="661">
                  <c:v>9.108580400000002E-2</c:v>
                </c:pt>
                <c:pt idx="662">
                  <c:v>9.108580400000002E-2</c:v>
                </c:pt>
                <c:pt idx="663">
                  <c:v>9.108580400000002E-2</c:v>
                </c:pt>
                <c:pt idx="664">
                  <c:v>9.108580400000002E-2</c:v>
                </c:pt>
                <c:pt idx="665">
                  <c:v>9.108580400000002E-2</c:v>
                </c:pt>
                <c:pt idx="666">
                  <c:v>9.108580400000002E-2</c:v>
                </c:pt>
                <c:pt idx="667">
                  <c:v>9.108580400000002E-2</c:v>
                </c:pt>
                <c:pt idx="668">
                  <c:v>9.108580400000002E-2</c:v>
                </c:pt>
                <c:pt idx="669">
                  <c:v>9.108580400000002E-2</c:v>
                </c:pt>
                <c:pt idx="670">
                  <c:v>9.108580400000002E-2</c:v>
                </c:pt>
                <c:pt idx="671">
                  <c:v>9.108580400000002E-2</c:v>
                </c:pt>
                <c:pt idx="672">
                  <c:v>9.108580400000002E-2</c:v>
                </c:pt>
                <c:pt idx="673">
                  <c:v>9.108580400000002E-2</c:v>
                </c:pt>
                <c:pt idx="674">
                  <c:v>9.108580400000002E-2</c:v>
                </c:pt>
                <c:pt idx="675">
                  <c:v>9.108580400000002E-2</c:v>
                </c:pt>
                <c:pt idx="676">
                  <c:v>9.108580400000002E-2</c:v>
                </c:pt>
                <c:pt idx="677">
                  <c:v>9.108580400000002E-2</c:v>
                </c:pt>
                <c:pt idx="678">
                  <c:v>9.108580400000002E-2</c:v>
                </c:pt>
                <c:pt idx="679">
                  <c:v>9.108580400000002E-2</c:v>
                </c:pt>
                <c:pt idx="680">
                  <c:v>9.108580400000002E-2</c:v>
                </c:pt>
                <c:pt idx="681">
                  <c:v>9.108580400000002E-2</c:v>
                </c:pt>
                <c:pt idx="682">
                  <c:v>9.108580400000002E-2</c:v>
                </c:pt>
                <c:pt idx="683">
                  <c:v>9.108580400000002E-2</c:v>
                </c:pt>
                <c:pt idx="684">
                  <c:v>9.108580400000002E-2</c:v>
                </c:pt>
                <c:pt idx="685">
                  <c:v>9.108580400000002E-2</c:v>
                </c:pt>
                <c:pt idx="686">
                  <c:v>9.108580400000002E-2</c:v>
                </c:pt>
                <c:pt idx="687">
                  <c:v>9.108580400000002E-2</c:v>
                </c:pt>
                <c:pt idx="688">
                  <c:v>9.108580400000002E-2</c:v>
                </c:pt>
                <c:pt idx="689">
                  <c:v>9.108580400000002E-2</c:v>
                </c:pt>
                <c:pt idx="690">
                  <c:v>9.108580400000002E-2</c:v>
                </c:pt>
                <c:pt idx="691">
                  <c:v>9.108580400000002E-2</c:v>
                </c:pt>
                <c:pt idx="692">
                  <c:v>9.108580400000002E-2</c:v>
                </c:pt>
                <c:pt idx="693">
                  <c:v>9.108580400000002E-2</c:v>
                </c:pt>
                <c:pt idx="694">
                  <c:v>9.108580400000002E-2</c:v>
                </c:pt>
                <c:pt idx="695">
                  <c:v>9.108580400000002E-2</c:v>
                </c:pt>
                <c:pt idx="696">
                  <c:v>9.108580400000002E-2</c:v>
                </c:pt>
                <c:pt idx="697">
                  <c:v>9.108580400000002E-2</c:v>
                </c:pt>
                <c:pt idx="698">
                  <c:v>9.108580400000002E-2</c:v>
                </c:pt>
                <c:pt idx="699">
                  <c:v>9.108580400000002E-2</c:v>
                </c:pt>
                <c:pt idx="700">
                  <c:v>9.108580400000002E-2</c:v>
                </c:pt>
                <c:pt idx="701">
                  <c:v>9.108580400000002E-2</c:v>
                </c:pt>
                <c:pt idx="702">
                  <c:v>9.108580400000002E-2</c:v>
                </c:pt>
                <c:pt idx="703">
                  <c:v>9.108580400000002E-2</c:v>
                </c:pt>
                <c:pt idx="704">
                  <c:v>9.108580400000002E-2</c:v>
                </c:pt>
                <c:pt idx="705">
                  <c:v>9.108580400000002E-2</c:v>
                </c:pt>
                <c:pt idx="706">
                  <c:v>9.108580400000002E-2</c:v>
                </c:pt>
                <c:pt idx="707">
                  <c:v>9.108580400000002E-2</c:v>
                </c:pt>
                <c:pt idx="708">
                  <c:v>9.108580400000002E-2</c:v>
                </c:pt>
                <c:pt idx="709">
                  <c:v>9.108580400000002E-2</c:v>
                </c:pt>
                <c:pt idx="710">
                  <c:v>9.108580400000002E-2</c:v>
                </c:pt>
                <c:pt idx="711">
                  <c:v>9.108580400000002E-2</c:v>
                </c:pt>
                <c:pt idx="712">
                  <c:v>9.108580400000002E-2</c:v>
                </c:pt>
                <c:pt idx="713">
                  <c:v>9.108580400000002E-2</c:v>
                </c:pt>
                <c:pt idx="714">
                  <c:v>9.108580400000002E-2</c:v>
                </c:pt>
                <c:pt idx="715">
                  <c:v>9.108580400000002E-2</c:v>
                </c:pt>
                <c:pt idx="716">
                  <c:v>9.108580400000002E-2</c:v>
                </c:pt>
                <c:pt idx="717">
                  <c:v>9.108580400000002E-2</c:v>
                </c:pt>
                <c:pt idx="718">
                  <c:v>9.108580400000002E-2</c:v>
                </c:pt>
                <c:pt idx="719">
                  <c:v>9.108580400000002E-2</c:v>
                </c:pt>
                <c:pt idx="720">
                  <c:v>9.108580400000002E-2</c:v>
                </c:pt>
                <c:pt idx="721">
                  <c:v>9.108580400000002E-2</c:v>
                </c:pt>
                <c:pt idx="722">
                  <c:v>9.108580400000002E-2</c:v>
                </c:pt>
                <c:pt idx="723">
                  <c:v>9.108580400000002E-2</c:v>
                </c:pt>
                <c:pt idx="724">
                  <c:v>9.108580400000002E-2</c:v>
                </c:pt>
                <c:pt idx="725">
                  <c:v>9.108580400000002E-2</c:v>
                </c:pt>
                <c:pt idx="726">
                  <c:v>9.108580400000002E-2</c:v>
                </c:pt>
                <c:pt idx="727">
                  <c:v>9.108580400000002E-2</c:v>
                </c:pt>
                <c:pt idx="728">
                  <c:v>9.108580400000002E-2</c:v>
                </c:pt>
                <c:pt idx="729">
                  <c:v>9.108580400000002E-2</c:v>
                </c:pt>
                <c:pt idx="730">
                  <c:v>9.108580400000002E-2</c:v>
                </c:pt>
                <c:pt idx="731">
                  <c:v>9.108580400000002E-2</c:v>
                </c:pt>
                <c:pt idx="732">
                  <c:v>9.108580400000002E-2</c:v>
                </c:pt>
                <c:pt idx="733">
                  <c:v>9.108580400000002E-2</c:v>
                </c:pt>
                <c:pt idx="734">
                  <c:v>9.108580400000002E-2</c:v>
                </c:pt>
                <c:pt idx="735">
                  <c:v>9.108580400000002E-2</c:v>
                </c:pt>
                <c:pt idx="736">
                  <c:v>9.108580400000002E-2</c:v>
                </c:pt>
                <c:pt idx="737">
                  <c:v>9.108580400000002E-2</c:v>
                </c:pt>
                <c:pt idx="738">
                  <c:v>9.108580400000002E-2</c:v>
                </c:pt>
                <c:pt idx="739">
                  <c:v>9.108580400000002E-2</c:v>
                </c:pt>
                <c:pt idx="740">
                  <c:v>9.108580400000002E-2</c:v>
                </c:pt>
                <c:pt idx="741">
                  <c:v>9.108580400000002E-2</c:v>
                </c:pt>
                <c:pt idx="742">
                  <c:v>9.108580400000002E-2</c:v>
                </c:pt>
                <c:pt idx="743">
                  <c:v>9.108580400000002E-2</c:v>
                </c:pt>
                <c:pt idx="744">
                  <c:v>9.108580400000002E-2</c:v>
                </c:pt>
                <c:pt idx="745">
                  <c:v>9.108580400000002E-2</c:v>
                </c:pt>
                <c:pt idx="746">
                  <c:v>9.108580400000002E-2</c:v>
                </c:pt>
                <c:pt idx="747">
                  <c:v>9.108580400000002E-2</c:v>
                </c:pt>
                <c:pt idx="748">
                  <c:v>9.108580400000002E-2</c:v>
                </c:pt>
                <c:pt idx="749">
                  <c:v>9.108580400000002E-2</c:v>
                </c:pt>
                <c:pt idx="750">
                  <c:v>9.108580400000002E-2</c:v>
                </c:pt>
                <c:pt idx="751">
                  <c:v>9.108580400000002E-2</c:v>
                </c:pt>
                <c:pt idx="752">
                  <c:v>9.108580400000002E-2</c:v>
                </c:pt>
                <c:pt idx="753">
                  <c:v>9.108580400000002E-2</c:v>
                </c:pt>
                <c:pt idx="754">
                  <c:v>9.108580400000002E-2</c:v>
                </c:pt>
                <c:pt idx="755">
                  <c:v>9.108580400000002E-2</c:v>
                </c:pt>
                <c:pt idx="756">
                  <c:v>9.108580400000002E-2</c:v>
                </c:pt>
                <c:pt idx="757">
                  <c:v>9.108580400000002E-2</c:v>
                </c:pt>
                <c:pt idx="758">
                  <c:v>9.108580400000002E-2</c:v>
                </c:pt>
                <c:pt idx="759">
                  <c:v>9.108580400000002E-2</c:v>
                </c:pt>
                <c:pt idx="760">
                  <c:v>9.108580400000002E-2</c:v>
                </c:pt>
                <c:pt idx="761">
                  <c:v>9.108580400000002E-2</c:v>
                </c:pt>
                <c:pt idx="762">
                  <c:v>9.108580400000002E-2</c:v>
                </c:pt>
                <c:pt idx="763">
                  <c:v>9.108580400000002E-2</c:v>
                </c:pt>
                <c:pt idx="764">
                  <c:v>9.108580400000002E-2</c:v>
                </c:pt>
                <c:pt idx="765">
                  <c:v>9.108580400000002E-2</c:v>
                </c:pt>
                <c:pt idx="766">
                  <c:v>9.108580400000002E-2</c:v>
                </c:pt>
                <c:pt idx="767">
                  <c:v>9.108580400000002E-2</c:v>
                </c:pt>
                <c:pt idx="768">
                  <c:v>9.108580400000002E-2</c:v>
                </c:pt>
                <c:pt idx="769">
                  <c:v>9.108580400000002E-2</c:v>
                </c:pt>
                <c:pt idx="770">
                  <c:v>9.108580400000002E-2</c:v>
                </c:pt>
                <c:pt idx="771">
                  <c:v>9.108580400000002E-2</c:v>
                </c:pt>
                <c:pt idx="772">
                  <c:v>9.108580400000002E-2</c:v>
                </c:pt>
                <c:pt idx="773">
                  <c:v>9.108580400000002E-2</c:v>
                </c:pt>
                <c:pt idx="774">
                  <c:v>9.108580400000002E-2</c:v>
                </c:pt>
                <c:pt idx="775">
                  <c:v>9.108580400000002E-2</c:v>
                </c:pt>
                <c:pt idx="776">
                  <c:v>9.108580400000002E-2</c:v>
                </c:pt>
                <c:pt idx="777">
                  <c:v>9.108580400000002E-2</c:v>
                </c:pt>
                <c:pt idx="778">
                  <c:v>9.108580400000002E-2</c:v>
                </c:pt>
                <c:pt idx="779">
                  <c:v>9.108580400000002E-2</c:v>
                </c:pt>
                <c:pt idx="780">
                  <c:v>9.108580400000002E-2</c:v>
                </c:pt>
                <c:pt idx="781">
                  <c:v>9.108580400000002E-2</c:v>
                </c:pt>
                <c:pt idx="782">
                  <c:v>9.108580400000002E-2</c:v>
                </c:pt>
                <c:pt idx="783">
                  <c:v>9.108580400000002E-2</c:v>
                </c:pt>
                <c:pt idx="784">
                  <c:v>9.108580400000002E-2</c:v>
                </c:pt>
                <c:pt idx="785">
                  <c:v>9.108580400000002E-2</c:v>
                </c:pt>
                <c:pt idx="786">
                  <c:v>9.108580400000002E-2</c:v>
                </c:pt>
                <c:pt idx="787">
                  <c:v>9.108580400000002E-2</c:v>
                </c:pt>
                <c:pt idx="788">
                  <c:v>9.1673100000000021E-2</c:v>
                </c:pt>
                <c:pt idx="789">
                  <c:v>9.1673100000000021E-2</c:v>
                </c:pt>
                <c:pt idx="790">
                  <c:v>9.1673100000000021E-2</c:v>
                </c:pt>
                <c:pt idx="791">
                  <c:v>9.1673100000000021E-2</c:v>
                </c:pt>
                <c:pt idx="792">
                  <c:v>9.1673100000000021E-2</c:v>
                </c:pt>
                <c:pt idx="793">
                  <c:v>9.1673100000000021E-2</c:v>
                </c:pt>
                <c:pt idx="794">
                  <c:v>9.1673100000000021E-2</c:v>
                </c:pt>
                <c:pt idx="795">
                  <c:v>9.1673100000000021E-2</c:v>
                </c:pt>
                <c:pt idx="796">
                  <c:v>9.1673100000000021E-2</c:v>
                </c:pt>
                <c:pt idx="797">
                  <c:v>9.1673100000000021E-2</c:v>
                </c:pt>
                <c:pt idx="798">
                  <c:v>9.1673100000000021E-2</c:v>
                </c:pt>
                <c:pt idx="799">
                  <c:v>9.1673100000000021E-2</c:v>
                </c:pt>
                <c:pt idx="800">
                  <c:v>9.1673100000000021E-2</c:v>
                </c:pt>
                <c:pt idx="801">
                  <c:v>9.1673100000000021E-2</c:v>
                </c:pt>
                <c:pt idx="802">
                  <c:v>9.1673100000000021E-2</c:v>
                </c:pt>
                <c:pt idx="803">
                  <c:v>9.1673100000000021E-2</c:v>
                </c:pt>
                <c:pt idx="804">
                  <c:v>9.1673100000000021E-2</c:v>
                </c:pt>
                <c:pt idx="805">
                  <c:v>9.1673100000000021E-2</c:v>
                </c:pt>
                <c:pt idx="806">
                  <c:v>9.1673100000000021E-2</c:v>
                </c:pt>
                <c:pt idx="807">
                  <c:v>9.1673100000000021E-2</c:v>
                </c:pt>
                <c:pt idx="808">
                  <c:v>9.1673100000000021E-2</c:v>
                </c:pt>
                <c:pt idx="809">
                  <c:v>9.1673100000000021E-2</c:v>
                </c:pt>
                <c:pt idx="810">
                  <c:v>9.1673100000000021E-2</c:v>
                </c:pt>
                <c:pt idx="811">
                  <c:v>9.1673100000000021E-2</c:v>
                </c:pt>
                <c:pt idx="812">
                  <c:v>9.1673100000000021E-2</c:v>
                </c:pt>
                <c:pt idx="813">
                  <c:v>9.1673100000000021E-2</c:v>
                </c:pt>
                <c:pt idx="814">
                  <c:v>9.1673100000000021E-2</c:v>
                </c:pt>
                <c:pt idx="815">
                  <c:v>9.1673100000000021E-2</c:v>
                </c:pt>
                <c:pt idx="816">
                  <c:v>9.1673100000000021E-2</c:v>
                </c:pt>
                <c:pt idx="817">
                  <c:v>9.1673100000000021E-2</c:v>
                </c:pt>
                <c:pt idx="818">
                  <c:v>9.1673100000000021E-2</c:v>
                </c:pt>
                <c:pt idx="819">
                  <c:v>9.1673100000000021E-2</c:v>
                </c:pt>
                <c:pt idx="820">
                  <c:v>9.1673100000000021E-2</c:v>
                </c:pt>
                <c:pt idx="821">
                  <c:v>9.5104776000000044E-2</c:v>
                </c:pt>
                <c:pt idx="822">
                  <c:v>9.5104776000000044E-2</c:v>
                </c:pt>
                <c:pt idx="823">
                  <c:v>9.5104776000000044E-2</c:v>
                </c:pt>
                <c:pt idx="824">
                  <c:v>9.5104776000000044E-2</c:v>
                </c:pt>
                <c:pt idx="825">
                  <c:v>9.5104776000000044E-2</c:v>
                </c:pt>
                <c:pt idx="826">
                  <c:v>9.5104776000000044E-2</c:v>
                </c:pt>
                <c:pt idx="827">
                  <c:v>9.5104776000000044E-2</c:v>
                </c:pt>
                <c:pt idx="828">
                  <c:v>9.5104776000000044E-2</c:v>
                </c:pt>
                <c:pt idx="829">
                  <c:v>9.5104776000000044E-2</c:v>
                </c:pt>
                <c:pt idx="830">
                  <c:v>9.5104776000000044E-2</c:v>
                </c:pt>
                <c:pt idx="831">
                  <c:v>9.5104776000000044E-2</c:v>
                </c:pt>
                <c:pt idx="832">
                  <c:v>9.5104776000000044E-2</c:v>
                </c:pt>
                <c:pt idx="833">
                  <c:v>9.5104776000000044E-2</c:v>
                </c:pt>
                <c:pt idx="834">
                  <c:v>9.5104776000000044E-2</c:v>
                </c:pt>
                <c:pt idx="835">
                  <c:v>9.5104776000000044E-2</c:v>
                </c:pt>
                <c:pt idx="836">
                  <c:v>9.5104776000000044E-2</c:v>
                </c:pt>
                <c:pt idx="837">
                  <c:v>9.5104776000000044E-2</c:v>
                </c:pt>
                <c:pt idx="838">
                  <c:v>9.5104776000000044E-2</c:v>
                </c:pt>
                <c:pt idx="839">
                  <c:v>9.5104776000000044E-2</c:v>
                </c:pt>
                <c:pt idx="840">
                  <c:v>9.5104776000000044E-2</c:v>
                </c:pt>
                <c:pt idx="841">
                  <c:v>9.9368912000000004E-2</c:v>
                </c:pt>
                <c:pt idx="842">
                  <c:v>9.9368912000000004E-2</c:v>
                </c:pt>
                <c:pt idx="843">
                  <c:v>9.9368912000000004E-2</c:v>
                </c:pt>
                <c:pt idx="844">
                  <c:v>9.9368912000000004E-2</c:v>
                </c:pt>
                <c:pt idx="845">
                  <c:v>9.9368912000000004E-2</c:v>
                </c:pt>
                <c:pt idx="846">
                  <c:v>9.9368912000000004E-2</c:v>
                </c:pt>
                <c:pt idx="847">
                  <c:v>9.9368912000000004E-2</c:v>
                </c:pt>
                <c:pt idx="848">
                  <c:v>9.9368912000000004E-2</c:v>
                </c:pt>
                <c:pt idx="849">
                  <c:v>9.9368912000000004E-2</c:v>
                </c:pt>
                <c:pt idx="850">
                  <c:v>9.9368912000000004E-2</c:v>
                </c:pt>
                <c:pt idx="851">
                  <c:v>9.9368912000000004E-2</c:v>
                </c:pt>
                <c:pt idx="852">
                  <c:v>9.9368912000000004E-2</c:v>
                </c:pt>
                <c:pt idx="853">
                  <c:v>9.9368912000000004E-2</c:v>
                </c:pt>
                <c:pt idx="854">
                  <c:v>9.9368912000000004E-2</c:v>
                </c:pt>
                <c:pt idx="855">
                  <c:v>9.9368912000000004E-2</c:v>
                </c:pt>
                <c:pt idx="856">
                  <c:v>9.9368912000000004E-2</c:v>
                </c:pt>
                <c:pt idx="857">
                  <c:v>0.10098713999999998</c:v>
                </c:pt>
                <c:pt idx="858">
                  <c:v>0.10098713999999998</c:v>
                </c:pt>
                <c:pt idx="859">
                  <c:v>0.10098713999999998</c:v>
                </c:pt>
                <c:pt idx="860">
                  <c:v>0.10098713999999998</c:v>
                </c:pt>
                <c:pt idx="861">
                  <c:v>0.10098713999999998</c:v>
                </c:pt>
                <c:pt idx="862">
                  <c:v>0.10098713999999998</c:v>
                </c:pt>
                <c:pt idx="863">
                  <c:v>0.10098713999999998</c:v>
                </c:pt>
                <c:pt idx="864">
                  <c:v>0.10098713999999998</c:v>
                </c:pt>
                <c:pt idx="865">
                  <c:v>0.10098713999999998</c:v>
                </c:pt>
                <c:pt idx="866">
                  <c:v>0.10098713999999998</c:v>
                </c:pt>
                <c:pt idx="867">
                  <c:v>0.10098713999999998</c:v>
                </c:pt>
                <c:pt idx="868">
                  <c:v>0.10098713999999998</c:v>
                </c:pt>
                <c:pt idx="869">
                  <c:v>0.10098713999999998</c:v>
                </c:pt>
                <c:pt idx="870">
                  <c:v>0.10098713999999998</c:v>
                </c:pt>
                <c:pt idx="871">
                  <c:v>0.10098713999999998</c:v>
                </c:pt>
                <c:pt idx="872">
                  <c:v>0.10098713999999998</c:v>
                </c:pt>
                <c:pt idx="873">
                  <c:v>0.10098713999999998</c:v>
                </c:pt>
                <c:pt idx="874">
                  <c:v>0.10098713999999998</c:v>
                </c:pt>
                <c:pt idx="875">
                  <c:v>0.10150533199999999</c:v>
                </c:pt>
                <c:pt idx="876">
                  <c:v>0.10150533199999999</c:v>
                </c:pt>
                <c:pt idx="877">
                  <c:v>0.10150533199999999</c:v>
                </c:pt>
                <c:pt idx="878">
                  <c:v>0.10150533199999999</c:v>
                </c:pt>
                <c:pt idx="879">
                  <c:v>0.10150533199999999</c:v>
                </c:pt>
                <c:pt idx="880">
                  <c:v>0.10150533199999999</c:v>
                </c:pt>
                <c:pt idx="881">
                  <c:v>0.10150533199999999</c:v>
                </c:pt>
                <c:pt idx="882">
                  <c:v>0.10150533199999999</c:v>
                </c:pt>
                <c:pt idx="883">
                  <c:v>0.10150533199999999</c:v>
                </c:pt>
                <c:pt idx="884">
                  <c:v>0.10150533199999999</c:v>
                </c:pt>
                <c:pt idx="885">
                  <c:v>0.10150533199999999</c:v>
                </c:pt>
                <c:pt idx="886">
                  <c:v>0.10150533199999999</c:v>
                </c:pt>
                <c:pt idx="887">
                  <c:v>0.10150533199999999</c:v>
                </c:pt>
                <c:pt idx="888">
                  <c:v>0.10150533199999999</c:v>
                </c:pt>
                <c:pt idx="889">
                  <c:v>0.10150533199999999</c:v>
                </c:pt>
                <c:pt idx="890">
                  <c:v>0.10150533199999999</c:v>
                </c:pt>
                <c:pt idx="891">
                  <c:v>0.10150533199999999</c:v>
                </c:pt>
                <c:pt idx="892">
                  <c:v>0.10150533199999999</c:v>
                </c:pt>
                <c:pt idx="893">
                  <c:v>0.10150533199999999</c:v>
                </c:pt>
                <c:pt idx="894">
                  <c:v>0.10150533199999999</c:v>
                </c:pt>
                <c:pt idx="895">
                  <c:v>0.10150533199999999</c:v>
                </c:pt>
                <c:pt idx="896">
                  <c:v>0.10150533199999999</c:v>
                </c:pt>
                <c:pt idx="897">
                  <c:v>0.10150533199999999</c:v>
                </c:pt>
                <c:pt idx="898">
                  <c:v>0.10150533199999999</c:v>
                </c:pt>
                <c:pt idx="899">
                  <c:v>0.10452480400000012</c:v>
                </c:pt>
                <c:pt idx="900">
                  <c:v>0.10452480400000012</c:v>
                </c:pt>
                <c:pt idx="901">
                  <c:v>0.10452480400000012</c:v>
                </c:pt>
                <c:pt idx="902">
                  <c:v>0.10452480400000012</c:v>
                </c:pt>
                <c:pt idx="903">
                  <c:v>0.10452480400000012</c:v>
                </c:pt>
                <c:pt idx="904">
                  <c:v>0.10452480400000012</c:v>
                </c:pt>
                <c:pt idx="905">
                  <c:v>0.10452480400000012</c:v>
                </c:pt>
                <c:pt idx="906">
                  <c:v>0.10452480400000012</c:v>
                </c:pt>
                <c:pt idx="907">
                  <c:v>0.10452480400000012</c:v>
                </c:pt>
                <c:pt idx="908">
                  <c:v>0.10452480400000012</c:v>
                </c:pt>
                <c:pt idx="909">
                  <c:v>0.10452480400000012</c:v>
                </c:pt>
                <c:pt idx="910">
                  <c:v>0.10452480400000012</c:v>
                </c:pt>
                <c:pt idx="911">
                  <c:v>0.10452480400000012</c:v>
                </c:pt>
                <c:pt idx="912">
                  <c:v>0.10452480400000012</c:v>
                </c:pt>
                <c:pt idx="913">
                  <c:v>0.10452480400000012</c:v>
                </c:pt>
                <c:pt idx="914">
                  <c:v>0.10452480400000012</c:v>
                </c:pt>
                <c:pt idx="915">
                  <c:v>0.10452480400000012</c:v>
                </c:pt>
                <c:pt idx="916">
                  <c:v>0.10452480400000012</c:v>
                </c:pt>
                <c:pt idx="917">
                  <c:v>0.10452480400000012</c:v>
                </c:pt>
                <c:pt idx="918">
                  <c:v>0.10452480400000012</c:v>
                </c:pt>
                <c:pt idx="919">
                  <c:v>0.10569014000000573</c:v>
                </c:pt>
                <c:pt idx="920">
                  <c:v>0.10569014000000573</c:v>
                </c:pt>
                <c:pt idx="921">
                  <c:v>0.10569014000000573</c:v>
                </c:pt>
                <c:pt idx="922">
                  <c:v>0.10569014000000573</c:v>
                </c:pt>
                <c:pt idx="923">
                  <c:v>0.10569014000000573</c:v>
                </c:pt>
                <c:pt idx="924">
                  <c:v>0.10569014000000573</c:v>
                </c:pt>
                <c:pt idx="925">
                  <c:v>0.10569014000000573</c:v>
                </c:pt>
                <c:pt idx="926">
                  <c:v>0.10569014000000573</c:v>
                </c:pt>
                <c:pt idx="927">
                  <c:v>0.10569014000000573</c:v>
                </c:pt>
                <c:pt idx="928">
                  <c:v>0.10569014000000573</c:v>
                </c:pt>
                <c:pt idx="929">
                  <c:v>0.10569014000000573</c:v>
                </c:pt>
                <c:pt idx="930">
                  <c:v>0.10569014000000573</c:v>
                </c:pt>
                <c:pt idx="931">
                  <c:v>0.10569014000000573</c:v>
                </c:pt>
                <c:pt idx="932">
                  <c:v>0.10569014000000573</c:v>
                </c:pt>
                <c:pt idx="933">
                  <c:v>0.10569014000000573</c:v>
                </c:pt>
                <c:pt idx="934">
                  <c:v>0.10569014000000573</c:v>
                </c:pt>
                <c:pt idx="935">
                  <c:v>0.10569014000000573</c:v>
                </c:pt>
                <c:pt idx="936">
                  <c:v>0.10569014000000573</c:v>
                </c:pt>
                <c:pt idx="937">
                  <c:v>0.10569014000000573</c:v>
                </c:pt>
                <c:pt idx="938">
                  <c:v>0.10569014000000573</c:v>
                </c:pt>
                <c:pt idx="939">
                  <c:v>0.10569014000000573</c:v>
                </c:pt>
                <c:pt idx="940">
                  <c:v>0.10569014000000573</c:v>
                </c:pt>
                <c:pt idx="941">
                  <c:v>0.10693311599999999</c:v>
                </c:pt>
                <c:pt idx="942">
                  <c:v>0.10693311599999999</c:v>
                </c:pt>
                <c:pt idx="943">
                  <c:v>0.10693311599999999</c:v>
                </c:pt>
                <c:pt idx="944">
                  <c:v>0.10693311599999999</c:v>
                </c:pt>
                <c:pt idx="945">
                  <c:v>0.10693311599999999</c:v>
                </c:pt>
                <c:pt idx="946">
                  <c:v>0.10693311599999999</c:v>
                </c:pt>
                <c:pt idx="947">
                  <c:v>0.10693311599999999</c:v>
                </c:pt>
                <c:pt idx="948">
                  <c:v>0.10693311599999999</c:v>
                </c:pt>
                <c:pt idx="949">
                  <c:v>0.10693311599999999</c:v>
                </c:pt>
                <c:pt idx="950">
                  <c:v>0.10693311599999999</c:v>
                </c:pt>
                <c:pt idx="951">
                  <c:v>0.10693311599999999</c:v>
                </c:pt>
                <c:pt idx="952">
                  <c:v>0.10693311599999999</c:v>
                </c:pt>
                <c:pt idx="953">
                  <c:v>0.10693311599999999</c:v>
                </c:pt>
                <c:pt idx="954">
                  <c:v>0.10693311599999999</c:v>
                </c:pt>
                <c:pt idx="955">
                  <c:v>0.10693311599999999</c:v>
                </c:pt>
                <c:pt idx="956">
                  <c:v>0.10693311599999999</c:v>
                </c:pt>
                <c:pt idx="957">
                  <c:v>0.10693311599999999</c:v>
                </c:pt>
                <c:pt idx="958">
                  <c:v>0.10693311599999999</c:v>
                </c:pt>
                <c:pt idx="959">
                  <c:v>0.10693311599999999</c:v>
                </c:pt>
                <c:pt idx="960">
                  <c:v>0.10693311599999999</c:v>
                </c:pt>
                <c:pt idx="961">
                  <c:v>0.10693311599999999</c:v>
                </c:pt>
                <c:pt idx="962">
                  <c:v>0.10693311599999999</c:v>
                </c:pt>
                <c:pt idx="963">
                  <c:v>0.10693311599999999</c:v>
                </c:pt>
                <c:pt idx="964">
                  <c:v>0.10693311599999999</c:v>
                </c:pt>
                <c:pt idx="965">
                  <c:v>0.10693311599999999</c:v>
                </c:pt>
                <c:pt idx="966">
                  <c:v>0.10693311599999999</c:v>
                </c:pt>
                <c:pt idx="967">
                  <c:v>0.10693311599999999</c:v>
                </c:pt>
                <c:pt idx="968">
                  <c:v>0.10693311599999999</c:v>
                </c:pt>
                <c:pt idx="969">
                  <c:v>0.10693311599999999</c:v>
                </c:pt>
                <c:pt idx="970">
                  <c:v>0.10693311599999999</c:v>
                </c:pt>
                <c:pt idx="971">
                  <c:v>0.10693311599999999</c:v>
                </c:pt>
                <c:pt idx="972">
                  <c:v>0.10693311599999999</c:v>
                </c:pt>
                <c:pt idx="973">
                  <c:v>0.10693311599999999</c:v>
                </c:pt>
                <c:pt idx="974">
                  <c:v>0.10693311599999999</c:v>
                </c:pt>
                <c:pt idx="975">
                  <c:v>0.10693311599999999</c:v>
                </c:pt>
                <c:pt idx="976">
                  <c:v>0.10693311599999999</c:v>
                </c:pt>
                <c:pt idx="977">
                  <c:v>0.10693311599999999</c:v>
                </c:pt>
                <c:pt idx="978">
                  <c:v>0.10693311599999999</c:v>
                </c:pt>
                <c:pt idx="979">
                  <c:v>0.10693311599999999</c:v>
                </c:pt>
                <c:pt idx="980">
                  <c:v>0.10693311599999999</c:v>
                </c:pt>
                <c:pt idx="981">
                  <c:v>0.10693311599999999</c:v>
                </c:pt>
                <c:pt idx="982">
                  <c:v>0.10693311599999999</c:v>
                </c:pt>
                <c:pt idx="983">
                  <c:v>0.10693311599999999</c:v>
                </c:pt>
                <c:pt idx="984">
                  <c:v>0.10693311599999999</c:v>
                </c:pt>
                <c:pt idx="985">
                  <c:v>0.10693311599999999</c:v>
                </c:pt>
                <c:pt idx="986">
                  <c:v>0.10693311599999999</c:v>
                </c:pt>
                <c:pt idx="987">
                  <c:v>0.10693311599999999</c:v>
                </c:pt>
                <c:pt idx="988">
                  <c:v>0.10693311599999999</c:v>
                </c:pt>
                <c:pt idx="989">
                  <c:v>0.10693311599999999</c:v>
                </c:pt>
                <c:pt idx="990">
                  <c:v>0.10693311599999999</c:v>
                </c:pt>
                <c:pt idx="991">
                  <c:v>0.10693311599999999</c:v>
                </c:pt>
                <c:pt idx="992">
                  <c:v>0.10693311599999999</c:v>
                </c:pt>
                <c:pt idx="993">
                  <c:v>0.10693311599999999</c:v>
                </c:pt>
                <c:pt idx="994">
                  <c:v>0.10693311599999999</c:v>
                </c:pt>
                <c:pt idx="995">
                  <c:v>0.10693311599999999</c:v>
                </c:pt>
                <c:pt idx="996">
                  <c:v>0.10693311599999999</c:v>
                </c:pt>
                <c:pt idx="997">
                  <c:v>0.10693311599999999</c:v>
                </c:pt>
                <c:pt idx="998">
                  <c:v>0.10693311599999999</c:v>
                </c:pt>
                <c:pt idx="999">
                  <c:v>0.10693311599999999</c:v>
                </c:pt>
                <c:pt idx="1000">
                  <c:v>0.10693311599999999</c:v>
                </c:pt>
                <c:pt idx="1001">
                  <c:v>0.10693311599999999</c:v>
                </c:pt>
                <c:pt idx="1002">
                  <c:v>0.10693311599999999</c:v>
                </c:pt>
                <c:pt idx="1003">
                  <c:v>0.10693311599999999</c:v>
                </c:pt>
                <c:pt idx="1004">
                  <c:v>0.10693311599999999</c:v>
                </c:pt>
                <c:pt idx="1005">
                  <c:v>0.10693311599999999</c:v>
                </c:pt>
                <c:pt idx="1006">
                  <c:v>0.10693311599999999</c:v>
                </c:pt>
                <c:pt idx="1007">
                  <c:v>0.10693311599999999</c:v>
                </c:pt>
                <c:pt idx="1008">
                  <c:v>0.10693311599999999</c:v>
                </c:pt>
                <c:pt idx="1009">
                  <c:v>0.10693311599999999</c:v>
                </c:pt>
                <c:pt idx="1010">
                  <c:v>0.10693311599999999</c:v>
                </c:pt>
                <c:pt idx="1011">
                  <c:v>0.10693311599999999</c:v>
                </c:pt>
                <c:pt idx="1012">
                  <c:v>0.10693311599999999</c:v>
                </c:pt>
                <c:pt idx="1013">
                  <c:v>0.10693311599999999</c:v>
                </c:pt>
                <c:pt idx="1014">
                  <c:v>0.10693311599999999</c:v>
                </c:pt>
                <c:pt idx="1015">
                  <c:v>0.10693311599999999</c:v>
                </c:pt>
                <c:pt idx="1016">
                  <c:v>0.10693311599999999</c:v>
                </c:pt>
                <c:pt idx="1017">
                  <c:v>0.10693311599999999</c:v>
                </c:pt>
                <c:pt idx="1018">
                  <c:v>0.10693311599999999</c:v>
                </c:pt>
                <c:pt idx="1019">
                  <c:v>0.10693311599999999</c:v>
                </c:pt>
                <c:pt idx="1020">
                  <c:v>0.10693311599999999</c:v>
                </c:pt>
                <c:pt idx="1021">
                  <c:v>0.10693311599999999</c:v>
                </c:pt>
                <c:pt idx="1022">
                  <c:v>0.10693311599999999</c:v>
                </c:pt>
                <c:pt idx="1023">
                  <c:v>0.10693311599999999</c:v>
                </c:pt>
                <c:pt idx="1024">
                  <c:v>0.108079816</c:v>
                </c:pt>
                <c:pt idx="1025">
                  <c:v>0.108079816</c:v>
                </c:pt>
                <c:pt idx="1026">
                  <c:v>0.108079816</c:v>
                </c:pt>
                <c:pt idx="1027">
                  <c:v>0.108079816</c:v>
                </c:pt>
                <c:pt idx="1028">
                  <c:v>0.108079816</c:v>
                </c:pt>
                <c:pt idx="1029">
                  <c:v>0.108079816</c:v>
                </c:pt>
                <c:pt idx="1030">
                  <c:v>0.108079816</c:v>
                </c:pt>
                <c:pt idx="1031">
                  <c:v>0.108079816</c:v>
                </c:pt>
                <c:pt idx="1032">
                  <c:v>0.108079816</c:v>
                </c:pt>
                <c:pt idx="1033">
                  <c:v>0.108079816</c:v>
                </c:pt>
                <c:pt idx="1034">
                  <c:v>0.108079816</c:v>
                </c:pt>
                <c:pt idx="1035">
                  <c:v>0.108079816</c:v>
                </c:pt>
                <c:pt idx="1036">
                  <c:v>0.108079816</c:v>
                </c:pt>
                <c:pt idx="1037">
                  <c:v>0.108079816</c:v>
                </c:pt>
                <c:pt idx="1038">
                  <c:v>0.108079816</c:v>
                </c:pt>
                <c:pt idx="1039">
                  <c:v>0.108079816</c:v>
                </c:pt>
                <c:pt idx="1040">
                  <c:v>0.108079816</c:v>
                </c:pt>
                <c:pt idx="1041">
                  <c:v>0.108079816</c:v>
                </c:pt>
                <c:pt idx="1042">
                  <c:v>0.108079816</c:v>
                </c:pt>
                <c:pt idx="1043">
                  <c:v>0.108079816</c:v>
                </c:pt>
                <c:pt idx="1044">
                  <c:v>0.108079816</c:v>
                </c:pt>
                <c:pt idx="1045">
                  <c:v>0.108079816</c:v>
                </c:pt>
                <c:pt idx="1046">
                  <c:v>0.108079816</c:v>
                </c:pt>
                <c:pt idx="1047">
                  <c:v>0.108079816</c:v>
                </c:pt>
                <c:pt idx="1048">
                  <c:v>0.108079816</c:v>
                </c:pt>
                <c:pt idx="1049">
                  <c:v>0.108079816</c:v>
                </c:pt>
                <c:pt idx="1050">
                  <c:v>0.108079816</c:v>
                </c:pt>
                <c:pt idx="1051">
                  <c:v>0.108079816</c:v>
                </c:pt>
                <c:pt idx="1052">
                  <c:v>0.108079816</c:v>
                </c:pt>
                <c:pt idx="1053">
                  <c:v>0.108079816</c:v>
                </c:pt>
                <c:pt idx="1054">
                  <c:v>0.108079816</c:v>
                </c:pt>
                <c:pt idx="1055">
                  <c:v>0.108079816</c:v>
                </c:pt>
                <c:pt idx="1056">
                  <c:v>0.108079816</c:v>
                </c:pt>
                <c:pt idx="1057">
                  <c:v>0.108079816</c:v>
                </c:pt>
                <c:pt idx="1058">
                  <c:v>0.108079816</c:v>
                </c:pt>
                <c:pt idx="1059">
                  <c:v>0.108079816</c:v>
                </c:pt>
                <c:pt idx="1060">
                  <c:v>0.108079816</c:v>
                </c:pt>
                <c:pt idx="1061">
                  <c:v>0.108079816</c:v>
                </c:pt>
                <c:pt idx="1062">
                  <c:v>0.108079816</c:v>
                </c:pt>
                <c:pt idx="1063">
                  <c:v>0.108079816</c:v>
                </c:pt>
                <c:pt idx="1064">
                  <c:v>0.108079816</c:v>
                </c:pt>
                <c:pt idx="1065">
                  <c:v>0.108079816</c:v>
                </c:pt>
                <c:pt idx="1066">
                  <c:v>0.108079816</c:v>
                </c:pt>
                <c:pt idx="1067">
                  <c:v>0.108079816</c:v>
                </c:pt>
                <c:pt idx="1068">
                  <c:v>0.108079816</c:v>
                </c:pt>
                <c:pt idx="1069">
                  <c:v>0.108079816</c:v>
                </c:pt>
                <c:pt idx="1070">
                  <c:v>0.108079816</c:v>
                </c:pt>
                <c:pt idx="1071">
                  <c:v>0.108079816</c:v>
                </c:pt>
                <c:pt idx="1072">
                  <c:v>0.108079816</c:v>
                </c:pt>
                <c:pt idx="1073">
                  <c:v>0.108079816</c:v>
                </c:pt>
                <c:pt idx="1074">
                  <c:v>0.108079816</c:v>
                </c:pt>
                <c:pt idx="1075">
                  <c:v>0.108079816</c:v>
                </c:pt>
                <c:pt idx="1076">
                  <c:v>0.108079816</c:v>
                </c:pt>
                <c:pt idx="1077">
                  <c:v>0.108079816</c:v>
                </c:pt>
                <c:pt idx="1078">
                  <c:v>0.108079816</c:v>
                </c:pt>
                <c:pt idx="1079">
                  <c:v>0.108079816</c:v>
                </c:pt>
                <c:pt idx="1080">
                  <c:v>0.108079816</c:v>
                </c:pt>
                <c:pt idx="1081">
                  <c:v>0.108079816</c:v>
                </c:pt>
                <c:pt idx="1082">
                  <c:v>0.108079816</c:v>
                </c:pt>
                <c:pt idx="1083">
                  <c:v>0.108079816</c:v>
                </c:pt>
                <c:pt idx="1084">
                  <c:v>0.108079816</c:v>
                </c:pt>
                <c:pt idx="1085">
                  <c:v>0.108079816</c:v>
                </c:pt>
                <c:pt idx="1086">
                  <c:v>0.108079816</c:v>
                </c:pt>
                <c:pt idx="1087">
                  <c:v>0.108079816</c:v>
                </c:pt>
                <c:pt idx="1088">
                  <c:v>0.108079816</c:v>
                </c:pt>
                <c:pt idx="1089">
                  <c:v>0.108079816</c:v>
                </c:pt>
                <c:pt idx="1090">
                  <c:v>0.108079816</c:v>
                </c:pt>
                <c:pt idx="1091">
                  <c:v>0.108079816</c:v>
                </c:pt>
                <c:pt idx="1092">
                  <c:v>0.108079816</c:v>
                </c:pt>
                <c:pt idx="1093">
                  <c:v>0.108079816</c:v>
                </c:pt>
                <c:pt idx="1094">
                  <c:v>0.108079816</c:v>
                </c:pt>
                <c:pt idx="1095">
                  <c:v>0.108079816</c:v>
                </c:pt>
                <c:pt idx="1096">
                  <c:v>0.108079816</c:v>
                </c:pt>
                <c:pt idx="1097">
                  <c:v>0.108079816</c:v>
                </c:pt>
                <c:pt idx="1098">
                  <c:v>0.108079816</c:v>
                </c:pt>
                <c:pt idx="1099">
                  <c:v>0.108079816</c:v>
                </c:pt>
                <c:pt idx="1100">
                  <c:v>0.108079816</c:v>
                </c:pt>
                <c:pt idx="1101">
                  <c:v>0.108079816</c:v>
                </c:pt>
                <c:pt idx="1102">
                  <c:v>0.108079816</c:v>
                </c:pt>
                <c:pt idx="1103">
                  <c:v>0.108079816</c:v>
                </c:pt>
                <c:pt idx="1104">
                  <c:v>0.108079816</c:v>
                </c:pt>
                <c:pt idx="1105">
                  <c:v>0.108079816</c:v>
                </c:pt>
                <c:pt idx="1106">
                  <c:v>0.108079816</c:v>
                </c:pt>
                <c:pt idx="1107">
                  <c:v>0.108079816</c:v>
                </c:pt>
                <c:pt idx="1108">
                  <c:v>0.108079816</c:v>
                </c:pt>
                <c:pt idx="1109">
                  <c:v>0.108079816</c:v>
                </c:pt>
                <c:pt idx="1110">
                  <c:v>0.108079816</c:v>
                </c:pt>
                <c:pt idx="1111">
                  <c:v>0.108079816</c:v>
                </c:pt>
                <c:pt idx="1112">
                  <c:v>0.108079816</c:v>
                </c:pt>
                <c:pt idx="1113">
                  <c:v>0.108079816</c:v>
                </c:pt>
                <c:pt idx="1114">
                  <c:v>0.108079816</c:v>
                </c:pt>
                <c:pt idx="1115">
                  <c:v>0.108079816</c:v>
                </c:pt>
                <c:pt idx="1116">
                  <c:v>0.108079816</c:v>
                </c:pt>
                <c:pt idx="1117">
                  <c:v>0.108079816</c:v>
                </c:pt>
                <c:pt idx="1118">
                  <c:v>0.108079816</c:v>
                </c:pt>
                <c:pt idx="1119">
                  <c:v>0.108079816</c:v>
                </c:pt>
                <c:pt idx="1120">
                  <c:v>0.108079816</c:v>
                </c:pt>
                <c:pt idx="1121">
                  <c:v>0.108079816</c:v>
                </c:pt>
                <c:pt idx="1122">
                  <c:v>0.108079816</c:v>
                </c:pt>
                <c:pt idx="1123">
                  <c:v>0.108079816</c:v>
                </c:pt>
                <c:pt idx="1124">
                  <c:v>0.108079816</c:v>
                </c:pt>
                <c:pt idx="1125">
                  <c:v>0.108079816</c:v>
                </c:pt>
                <c:pt idx="1126">
                  <c:v>0.108079816</c:v>
                </c:pt>
                <c:pt idx="1127">
                  <c:v>0.108079816</c:v>
                </c:pt>
                <c:pt idx="1128">
                  <c:v>0.108079816</c:v>
                </c:pt>
                <c:pt idx="1129">
                  <c:v>0.108079816</c:v>
                </c:pt>
                <c:pt idx="1130">
                  <c:v>0.108079816</c:v>
                </c:pt>
                <c:pt idx="1131">
                  <c:v>0.108079816</c:v>
                </c:pt>
                <c:pt idx="1132">
                  <c:v>0.108079816</c:v>
                </c:pt>
                <c:pt idx="1133">
                  <c:v>0.108079816</c:v>
                </c:pt>
                <c:pt idx="1134">
                  <c:v>0.108079816</c:v>
                </c:pt>
                <c:pt idx="1135">
                  <c:v>0.108079816</c:v>
                </c:pt>
                <c:pt idx="1136">
                  <c:v>0.108079816</c:v>
                </c:pt>
                <c:pt idx="1137">
                  <c:v>0.108079816</c:v>
                </c:pt>
                <c:pt idx="1138">
                  <c:v>0.108079816</c:v>
                </c:pt>
                <c:pt idx="1139">
                  <c:v>0.108079816</c:v>
                </c:pt>
                <c:pt idx="1140">
                  <c:v>0.108079816</c:v>
                </c:pt>
                <c:pt idx="1141">
                  <c:v>0.108079816</c:v>
                </c:pt>
                <c:pt idx="1142">
                  <c:v>0.108079816</c:v>
                </c:pt>
                <c:pt idx="1143">
                  <c:v>0.10880442920000002</c:v>
                </c:pt>
                <c:pt idx="1144">
                  <c:v>0.10880442920000002</c:v>
                </c:pt>
                <c:pt idx="1145">
                  <c:v>0.10880442920000002</c:v>
                </c:pt>
                <c:pt idx="1146">
                  <c:v>0.10880442920000002</c:v>
                </c:pt>
                <c:pt idx="1147">
                  <c:v>0.10880442920000002</c:v>
                </c:pt>
                <c:pt idx="1148">
                  <c:v>0.10880442920000002</c:v>
                </c:pt>
                <c:pt idx="1149">
                  <c:v>0.10880442920000002</c:v>
                </c:pt>
                <c:pt idx="1150">
                  <c:v>0.10880442920000002</c:v>
                </c:pt>
                <c:pt idx="1151">
                  <c:v>0.10880442920000002</c:v>
                </c:pt>
                <c:pt idx="1152">
                  <c:v>0.10880442920000002</c:v>
                </c:pt>
                <c:pt idx="1153">
                  <c:v>0.10880442920000002</c:v>
                </c:pt>
                <c:pt idx="1154">
                  <c:v>0.10880442920000002</c:v>
                </c:pt>
                <c:pt idx="1155">
                  <c:v>0.10880442920000002</c:v>
                </c:pt>
                <c:pt idx="1156">
                  <c:v>0.10880442920000002</c:v>
                </c:pt>
                <c:pt idx="1157">
                  <c:v>0.10880442920000002</c:v>
                </c:pt>
                <c:pt idx="1158">
                  <c:v>0.10880442920000002</c:v>
                </c:pt>
                <c:pt idx="1159">
                  <c:v>0.10880442920000002</c:v>
                </c:pt>
                <c:pt idx="1160">
                  <c:v>0.10880442920000002</c:v>
                </c:pt>
                <c:pt idx="1161">
                  <c:v>0.10880442920000002</c:v>
                </c:pt>
                <c:pt idx="1162">
                  <c:v>0.10880442920000002</c:v>
                </c:pt>
                <c:pt idx="1163">
                  <c:v>0.10880442920000002</c:v>
                </c:pt>
                <c:pt idx="1164">
                  <c:v>0.10880442920000002</c:v>
                </c:pt>
                <c:pt idx="1165">
                  <c:v>0.10880442920000002</c:v>
                </c:pt>
                <c:pt idx="1166">
                  <c:v>0.10880442920000002</c:v>
                </c:pt>
                <c:pt idx="1167">
                  <c:v>0.10880442920000002</c:v>
                </c:pt>
                <c:pt idx="1168">
                  <c:v>0.10880442920000002</c:v>
                </c:pt>
                <c:pt idx="1169">
                  <c:v>0.10880442920000002</c:v>
                </c:pt>
                <c:pt idx="1170">
                  <c:v>0.10880442920000002</c:v>
                </c:pt>
                <c:pt idx="1171">
                  <c:v>0.10880442920000002</c:v>
                </c:pt>
                <c:pt idx="1172">
                  <c:v>0.10880442920000002</c:v>
                </c:pt>
                <c:pt idx="1173">
                  <c:v>0.10880442920000002</c:v>
                </c:pt>
                <c:pt idx="1174">
                  <c:v>0.10880442920000002</c:v>
                </c:pt>
                <c:pt idx="1175">
                  <c:v>0.10880442920000002</c:v>
                </c:pt>
                <c:pt idx="1176">
                  <c:v>0.10880442920000002</c:v>
                </c:pt>
                <c:pt idx="1177">
                  <c:v>0.10880442920000002</c:v>
                </c:pt>
                <c:pt idx="1178">
                  <c:v>0.10880442920000002</c:v>
                </c:pt>
                <c:pt idx="1179">
                  <c:v>0.1103143990399946</c:v>
                </c:pt>
                <c:pt idx="1180">
                  <c:v>0.1103143990399946</c:v>
                </c:pt>
                <c:pt idx="1181">
                  <c:v>0.1103143990399946</c:v>
                </c:pt>
                <c:pt idx="1182">
                  <c:v>0.1103143990399946</c:v>
                </c:pt>
                <c:pt idx="1183">
                  <c:v>0.1103143990399946</c:v>
                </c:pt>
                <c:pt idx="1184">
                  <c:v>0.1103143990399946</c:v>
                </c:pt>
                <c:pt idx="1185">
                  <c:v>0.1103143990399946</c:v>
                </c:pt>
                <c:pt idx="1186">
                  <c:v>0.1103143990399946</c:v>
                </c:pt>
                <c:pt idx="1187">
                  <c:v>0.1103143990399946</c:v>
                </c:pt>
                <c:pt idx="1188">
                  <c:v>0.1103143990399946</c:v>
                </c:pt>
                <c:pt idx="1189">
                  <c:v>0.1103143990399946</c:v>
                </c:pt>
                <c:pt idx="1190">
                  <c:v>0.1103143990399946</c:v>
                </c:pt>
                <c:pt idx="1191">
                  <c:v>0.1103143990399946</c:v>
                </c:pt>
                <c:pt idx="1192">
                  <c:v>0.1103143990399946</c:v>
                </c:pt>
                <c:pt idx="1193">
                  <c:v>0.1103143990399946</c:v>
                </c:pt>
                <c:pt idx="1194">
                  <c:v>0.1103143990399946</c:v>
                </c:pt>
                <c:pt idx="1195">
                  <c:v>0.1103143990399946</c:v>
                </c:pt>
                <c:pt idx="1196">
                  <c:v>0.1103143990399946</c:v>
                </c:pt>
                <c:pt idx="1197">
                  <c:v>0.1103143990399946</c:v>
                </c:pt>
                <c:pt idx="1198">
                  <c:v>0.1103143990399946</c:v>
                </c:pt>
                <c:pt idx="1199">
                  <c:v>0.1103143990399946</c:v>
                </c:pt>
                <c:pt idx="1200">
                  <c:v>0.1103143990399946</c:v>
                </c:pt>
                <c:pt idx="1201">
                  <c:v>0.1103143990399946</c:v>
                </c:pt>
                <c:pt idx="1202">
                  <c:v>0.1103143990399946</c:v>
                </c:pt>
                <c:pt idx="1203">
                  <c:v>0.1103143990399946</c:v>
                </c:pt>
                <c:pt idx="1204">
                  <c:v>0.1103143990399946</c:v>
                </c:pt>
                <c:pt idx="1205">
                  <c:v>0.1103143990399946</c:v>
                </c:pt>
                <c:pt idx="1206">
                  <c:v>0.11426183194800367</c:v>
                </c:pt>
                <c:pt idx="1207">
                  <c:v>0.11426183194800367</c:v>
                </c:pt>
                <c:pt idx="1208">
                  <c:v>0.11426183194800367</c:v>
                </c:pt>
                <c:pt idx="1209">
                  <c:v>0.11426183194800367</c:v>
                </c:pt>
                <c:pt idx="1210">
                  <c:v>0.11426183194800367</c:v>
                </c:pt>
                <c:pt idx="1211">
                  <c:v>0.11426183194800367</c:v>
                </c:pt>
                <c:pt idx="1212">
                  <c:v>0.11426183194800367</c:v>
                </c:pt>
                <c:pt idx="1213">
                  <c:v>0.11426183194800367</c:v>
                </c:pt>
                <c:pt idx="1214">
                  <c:v>0.11426183194800367</c:v>
                </c:pt>
                <c:pt idx="1215">
                  <c:v>0.11426183194800367</c:v>
                </c:pt>
                <c:pt idx="1216">
                  <c:v>0.11426183194800367</c:v>
                </c:pt>
                <c:pt idx="1217">
                  <c:v>0.11426183194800367</c:v>
                </c:pt>
                <c:pt idx="1218">
                  <c:v>0.11426183194800367</c:v>
                </c:pt>
                <c:pt idx="1219">
                  <c:v>0.11426183194800367</c:v>
                </c:pt>
                <c:pt idx="1220">
                  <c:v>0.11426183194800367</c:v>
                </c:pt>
                <c:pt idx="1221">
                  <c:v>0.11426183194800367</c:v>
                </c:pt>
                <c:pt idx="1222">
                  <c:v>0.11426183194800367</c:v>
                </c:pt>
                <c:pt idx="1223">
                  <c:v>0.11426183194800367</c:v>
                </c:pt>
                <c:pt idx="1224">
                  <c:v>0.11426183194800367</c:v>
                </c:pt>
                <c:pt idx="1225">
                  <c:v>0.11426183194800367</c:v>
                </c:pt>
                <c:pt idx="1226">
                  <c:v>0.11426183194800367</c:v>
                </c:pt>
                <c:pt idx="1227">
                  <c:v>0.11550222818800022</c:v>
                </c:pt>
                <c:pt idx="1228">
                  <c:v>0.11550222818800022</c:v>
                </c:pt>
                <c:pt idx="1229">
                  <c:v>0.11550222818800022</c:v>
                </c:pt>
                <c:pt idx="1230">
                  <c:v>0.11550222818800022</c:v>
                </c:pt>
                <c:pt idx="1231">
                  <c:v>0.11550222818800022</c:v>
                </c:pt>
                <c:pt idx="1232">
                  <c:v>0.11550222818800022</c:v>
                </c:pt>
                <c:pt idx="1233">
                  <c:v>0.11550222818800022</c:v>
                </c:pt>
                <c:pt idx="1234">
                  <c:v>0.11550222818800022</c:v>
                </c:pt>
                <c:pt idx="1235">
                  <c:v>0.11550222818800022</c:v>
                </c:pt>
                <c:pt idx="1236">
                  <c:v>0.11550222818800022</c:v>
                </c:pt>
                <c:pt idx="1237">
                  <c:v>0.11550222818800022</c:v>
                </c:pt>
                <c:pt idx="1238">
                  <c:v>0.11550222818800022</c:v>
                </c:pt>
                <c:pt idx="1239">
                  <c:v>0.11550222818800022</c:v>
                </c:pt>
                <c:pt idx="1240">
                  <c:v>0.11550222818800022</c:v>
                </c:pt>
                <c:pt idx="1241">
                  <c:v>0.11550222818800022</c:v>
                </c:pt>
                <c:pt idx="1242">
                  <c:v>0.11550222818800022</c:v>
                </c:pt>
                <c:pt idx="1243">
                  <c:v>0.11550222818800022</c:v>
                </c:pt>
                <c:pt idx="1244">
                  <c:v>0.11550222818800022</c:v>
                </c:pt>
                <c:pt idx="1245">
                  <c:v>0.11550222818800022</c:v>
                </c:pt>
                <c:pt idx="1246">
                  <c:v>0.11550222818800022</c:v>
                </c:pt>
                <c:pt idx="1247">
                  <c:v>0.11550222818800022</c:v>
                </c:pt>
                <c:pt idx="1248">
                  <c:v>0.11550222818800022</c:v>
                </c:pt>
                <c:pt idx="1249">
                  <c:v>0.11971332485600022</c:v>
                </c:pt>
                <c:pt idx="1250">
                  <c:v>0.11971332485600022</c:v>
                </c:pt>
                <c:pt idx="1251">
                  <c:v>0.11971332485600022</c:v>
                </c:pt>
                <c:pt idx="1252">
                  <c:v>0.11971332485600022</c:v>
                </c:pt>
                <c:pt idx="1253">
                  <c:v>0.11971332485600022</c:v>
                </c:pt>
                <c:pt idx="1254">
                  <c:v>0.11971332485600022</c:v>
                </c:pt>
                <c:pt idx="1255">
                  <c:v>0.11971332485600022</c:v>
                </c:pt>
                <c:pt idx="1256">
                  <c:v>0.11971332485600022</c:v>
                </c:pt>
                <c:pt idx="1257">
                  <c:v>0.11971332485600022</c:v>
                </c:pt>
                <c:pt idx="1258">
                  <c:v>0.11971332485600022</c:v>
                </c:pt>
                <c:pt idx="1259">
                  <c:v>0.11971332485600022</c:v>
                </c:pt>
                <c:pt idx="1260">
                  <c:v>0.11971332485600022</c:v>
                </c:pt>
                <c:pt idx="1261">
                  <c:v>0.11971332485600022</c:v>
                </c:pt>
                <c:pt idx="1262">
                  <c:v>0.11971332485600022</c:v>
                </c:pt>
                <c:pt idx="1263">
                  <c:v>0.11971332485600022</c:v>
                </c:pt>
                <c:pt idx="1264">
                  <c:v>0.11971332485600022</c:v>
                </c:pt>
                <c:pt idx="1265">
                  <c:v>0.11971332485600022</c:v>
                </c:pt>
                <c:pt idx="1266">
                  <c:v>0.11971332485600022</c:v>
                </c:pt>
                <c:pt idx="1267">
                  <c:v>0.11971332485600022</c:v>
                </c:pt>
                <c:pt idx="1268">
                  <c:v>0.11971332485600022</c:v>
                </c:pt>
                <c:pt idx="1269">
                  <c:v>0.12031281985599998</c:v>
                </c:pt>
                <c:pt idx="1270">
                  <c:v>0.12031281985599998</c:v>
                </c:pt>
                <c:pt idx="1271">
                  <c:v>0.12031281985599998</c:v>
                </c:pt>
                <c:pt idx="1272">
                  <c:v>0.12031281985599998</c:v>
                </c:pt>
                <c:pt idx="1273">
                  <c:v>0.12031281985599998</c:v>
                </c:pt>
                <c:pt idx="1274">
                  <c:v>0.12031281985599998</c:v>
                </c:pt>
                <c:pt idx="1275">
                  <c:v>0.12031281985599998</c:v>
                </c:pt>
                <c:pt idx="1276">
                  <c:v>0.12031281985599998</c:v>
                </c:pt>
                <c:pt idx="1277">
                  <c:v>0.12031281985599998</c:v>
                </c:pt>
                <c:pt idx="1278">
                  <c:v>0.12031281985599998</c:v>
                </c:pt>
                <c:pt idx="1279">
                  <c:v>0.12031281985599998</c:v>
                </c:pt>
                <c:pt idx="1280">
                  <c:v>0.12031281985599998</c:v>
                </c:pt>
                <c:pt idx="1281">
                  <c:v>0.12031281985599998</c:v>
                </c:pt>
                <c:pt idx="1282">
                  <c:v>0.12031281985599998</c:v>
                </c:pt>
                <c:pt idx="1283">
                  <c:v>0.12031281985599998</c:v>
                </c:pt>
                <c:pt idx="1284">
                  <c:v>0.12031281985599998</c:v>
                </c:pt>
                <c:pt idx="1285">
                  <c:v>0.12031281985599998</c:v>
                </c:pt>
                <c:pt idx="1286">
                  <c:v>0.12031281985599998</c:v>
                </c:pt>
                <c:pt idx="1287">
                  <c:v>0.12031281985599998</c:v>
                </c:pt>
                <c:pt idx="1288">
                  <c:v>0.12031281985599998</c:v>
                </c:pt>
                <c:pt idx="1289">
                  <c:v>0.12031281985599998</c:v>
                </c:pt>
                <c:pt idx="1290">
                  <c:v>0.12031281985599998</c:v>
                </c:pt>
                <c:pt idx="1291">
                  <c:v>0.12064043509599999</c:v>
                </c:pt>
                <c:pt idx="1292">
                  <c:v>0.12064043509599999</c:v>
                </c:pt>
                <c:pt idx="1293">
                  <c:v>0.12064043509599999</c:v>
                </c:pt>
                <c:pt idx="1294">
                  <c:v>0.12064043509599999</c:v>
                </c:pt>
                <c:pt idx="1295">
                  <c:v>0.12064043509599999</c:v>
                </c:pt>
                <c:pt idx="1296">
                  <c:v>0.12064043509599999</c:v>
                </c:pt>
                <c:pt idx="1297">
                  <c:v>0.12064043509599999</c:v>
                </c:pt>
                <c:pt idx="1298">
                  <c:v>0.12064043509599999</c:v>
                </c:pt>
                <c:pt idx="1299">
                  <c:v>0.12064043509599999</c:v>
                </c:pt>
                <c:pt idx="1300">
                  <c:v>0.12064043509599999</c:v>
                </c:pt>
                <c:pt idx="1301">
                  <c:v>0.12064043509599999</c:v>
                </c:pt>
                <c:pt idx="1302">
                  <c:v>0.12064043509599999</c:v>
                </c:pt>
                <c:pt idx="1303">
                  <c:v>0.12064043509599999</c:v>
                </c:pt>
                <c:pt idx="1304">
                  <c:v>0.12064043509599999</c:v>
                </c:pt>
                <c:pt idx="1305">
                  <c:v>0.12064043509599999</c:v>
                </c:pt>
                <c:pt idx="1306">
                  <c:v>0.12064043509599999</c:v>
                </c:pt>
                <c:pt idx="1307">
                  <c:v>0.12064043509599999</c:v>
                </c:pt>
                <c:pt idx="1308">
                  <c:v>0.12064043509599999</c:v>
                </c:pt>
                <c:pt idx="1309">
                  <c:v>0.12064043509599999</c:v>
                </c:pt>
                <c:pt idx="1310">
                  <c:v>0.12064043509599999</c:v>
                </c:pt>
                <c:pt idx="1311">
                  <c:v>0.12325168941600438</c:v>
                </c:pt>
                <c:pt idx="1312">
                  <c:v>0.12325168941600438</c:v>
                </c:pt>
                <c:pt idx="1313">
                  <c:v>0.12325168941600438</c:v>
                </c:pt>
                <c:pt idx="1314">
                  <c:v>0.12325168941600438</c:v>
                </c:pt>
                <c:pt idx="1315">
                  <c:v>0.12325168941600438</c:v>
                </c:pt>
                <c:pt idx="1316">
                  <c:v>0.12325168941600438</c:v>
                </c:pt>
                <c:pt idx="1317">
                  <c:v>0.12325168941600438</c:v>
                </c:pt>
                <c:pt idx="1318">
                  <c:v>0.12325168941600438</c:v>
                </c:pt>
                <c:pt idx="1319">
                  <c:v>0.12325168941600438</c:v>
                </c:pt>
                <c:pt idx="1320">
                  <c:v>0.12325168941600438</c:v>
                </c:pt>
                <c:pt idx="1321">
                  <c:v>0.12325168941600438</c:v>
                </c:pt>
                <c:pt idx="1322">
                  <c:v>0.12325168941600438</c:v>
                </c:pt>
                <c:pt idx="1323">
                  <c:v>0.12325168941600438</c:v>
                </c:pt>
                <c:pt idx="1324">
                  <c:v>0.12325168941600438</c:v>
                </c:pt>
                <c:pt idx="1325">
                  <c:v>0.12325168941600438</c:v>
                </c:pt>
                <c:pt idx="1326">
                  <c:v>0.12325168941600438</c:v>
                </c:pt>
                <c:pt idx="1327">
                  <c:v>0.12325168941600438</c:v>
                </c:pt>
                <c:pt idx="1328">
                  <c:v>0.12325168941600438</c:v>
                </c:pt>
                <c:pt idx="1329">
                  <c:v>0.12325168941600438</c:v>
                </c:pt>
                <c:pt idx="1330">
                  <c:v>0.12325168941600438</c:v>
                </c:pt>
                <c:pt idx="1331">
                  <c:v>0.12325168941600438</c:v>
                </c:pt>
                <c:pt idx="1332">
                  <c:v>0.12325168941600438</c:v>
                </c:pt>
                <c:pt idx="1333">
                  <c:v>0.12325168941600438</c:v>
                </c:pt>
                <c:pt idx="1334">
                  <c:v>0.12325168941600438</c:v>
                </c:pt>
                <c:pt idx="1335">
                  <c:v>0.12325168941600438</c:v>
                </c:pt>
                <c:pt idx="1336">
                  <c:v>0.12325168941600438</c:v>
                </c:pt>
                <c:pt idx="1337">
                  <c:v>0.12325168941600438</c:v>
                </c:pt>
                <c:pt idx="1338">
                  <c:v>0.12325168941600438</c:v>
                </c:pt>
                <c:pt idx="1339">
                  <c:v>0.12325168941600438</c:v>
                </c:pt>
                <c:pt idx="1340">
                  <c:v>0.12325168941600438</c:v>
                </c:pt>
                <c:pt idx="1341">
                  <c:v>0.12325168941600438</c:v>
                </c:pt>
                <c:pt idx="1342">
                  <c:v>0.12325168941600438</c:v>
                </c:pt>
                <c:pt idx="1343">
                  <c:v>0.12325168941600438</c:v>
                </c:pt>
                <c:pt idx="1344">
                  <c:v>0.12325168941600438</c:v>
                </c:pt>
                <c:pt idx="1345">
                  <c:v>0.12325168941600438</c:v>
                </c:pt>
                <c:pt idx="1346">
                  <c:v>0.12325168941600438</c:v>
                </c:pt>
                <c:pt idx="1347">
                  <c:v>0.12325168941600438</c:v>
                </c:pt>
                <c:pt idx="1348">
                  <c:v>0.12325168941600438</c:v>
                </c:pt>
                <c:pt idx="1349">
                  <c:v>0.12325168941600438</c:v>
                </c:pt>
                <c:pt idx="1350">
                  <c:v>0.12325168941600438</c:v>
                </c:pt>
                <c:pt idx="1351">
                  <c:v>0.12325168941600438</c:v>
                </c:pt>
                <c:pt idx="1352">
                  <c:v>0.12325168941600438</c:v>
                </c:pt>
                <c:pt idx="1353">
                  <c:v>0.12325168941600438</c:v>
                </c:pt>
                <c:pt idx="1354">
                  <c:v>0.12325168941600438</c:v>
                </c:pt>
                <c:pt idx="1355">
                  <c:v>0.12325168941600438</c:v>
                </c:pt>
                <c:pt idx="1356">
                  <c:v>0.12325168941600438</c:v>
                </c:pt>
                <c:pt idx="1357">
                  <c:v>0.12325168941600438</c:v>
                </c:pt>
                <c:pt idx="1358">
                  <c:v>0.12325168941600438</c:v>
                </c:pt>
                <c:pt idx="1359">
                  <c:v>0.12325168941600438</c:v>
                </c:pt>
                <c:pt idx="1360">
                  <c:v>0.12325168941600438</c:v>
                </c:pt>
                <c:pt idx="1361">
                  <c:v>0.12325168941600438</c:v>
                </c:pt>
                <c:pt idx="1362">
                  <c:v>0.12325168941600438</c:v>
                </c:pt>
                <c:pt idx="1363">
                  <c:v>0.12325168941600438</c:v>
                </c:pt>
                <c:pt idx="1364">
                  <c:v>0.12325168941600438</c:v>
                </c:pt>
                <c:pt idx="1365">
                  <c:v>0.12325168941600438</c:v>
                </c:pt>
                <c:pt idx="1366">
                  <c:v>0.12371680517600279</c:v>
                </c:pt>
                <c:pt idx="1367">
                  <c:v>0.12371680517600279</c:v>
                </c:pt>
                <c:pt idx="1368">
                  <c:v>0.12371680517600279</c:v>
                </c:pt>
                <c:pt idx="1369">
                  <c:v>0.12371680517600279</c:v>
                </c:pt>
                <c:pt idx="1370">
                  <c:v>0.12371680517600279</c:v>
                </c:pt>
                <c:pt idx="1371">
                  <c:v>0.12371680517600279</c:v>
                </c:pt>
                <c:pt idx="1372">
                  <c:v>0.12371680517600279</c:v>
                </c:pt>
                <c:pt idx="1373">
                  <c:v>0.12371680517600279</c:v>
                </c:pt>
                <c:pt idx="1374">
                  <c:v>0.12371680517600279</c:v>
                </c:pt>
                <c:pt idx="1375">
                  <c:v>0.12371680517600279</c:v>
                </c:pt>
                <c:pt idx="1376">
                  <c:v>0.12371680517600279</c:v>
                </c:pt>
                <c:pt idx="1377">
                  <c:v>0.12371680517600279</c:v>
                </c:pt>
                <c:pt idx="1378">
                  <c:v>0.12371680517600279</c:v>
                </c:pt>
                <c:pt idx="1379">
                  <c:v>0.12371680517600279</c:v>
                </c:pt>
                <c:pt idx="1380">
                  <c:v>0.12371680517600279</c:v>
                </c:pt>
                <c:pt idx="1381">
                  <c:v>0.12371680517600279</c:v>
                </c:pt>
                <c:pt idx="1382">
                  <c:v>0.12371680517600279</c:v>
                </c:pt>
                <c:pt idx="1383">
                  <c:v>0.12371680517600279</c:v>
                </c:pt>
                <c:pt idx="1384">
                  <c:v>0.12371680517600279</c:v>
                </c:pt>
                <c:pt idx="1385">
                  <c:v>0.12371680517600279</c:v>
                </c:pt>
                <c:pt idx="1386">
                  <c:v>0.12371680517600279</c:v>
                </c:pt>
                <c:pt idx="1387">
                  <c:v>0.12371680517600279</c:v>
                </c:pt>
                <c:pt idx="1388">
                  <c:v>0.12371680517600279</c:v>
                </c:pt>
                <c:pt idx="1389">
                  <c:v>0.12371680517600279</c:v>
                </c:pt>
                <c:pt idx="1390">
                  <c:v>0.12371680517600279</c:v>
                </c:pt>
                <c:pt idx="1391">
                  <c:v>0.12371680517600279</c:v>
                </c:pt>
                <c:pt idx="1392">
                  <c:v>0.12371680517600279</c:v>
                </c:pt>
                <c:pt idx="1393">
                  <c:v>0.12371680517600279</c:v>
                </c:pt>
                <c:pt idx="1394">
                  <c:v>0.12371680517600279</c:v>
                </c:pt>
                <c:pt idx="1395">
                  <c:v>0.12371680517600279</c:v>
                </c:pt>
                <c:pt idx="1396">
                  <c:v>0.12371680517600279</c:v>
                </c:pt>
                <c:pt idx="1397">
                  <c:v>0.12371680517600279</c:v>
                </c:pt>
                <c:pt idx="1398">
                  <c:v>0.12371680517600279</c:v>
                </c:pt>
                <c:pt idx="1399">
                  <c:v>0.12371680517600279</c:v>
                </c:pt>
                <c:pt idx="1400">
                  <c:v>0.12371680517600279</c:v>
                </c:pt>
                <c:pt idx="1401">
                  <c:v>0.12371680517600279</c:v>
                </c:pt>
                <c:pt idx="1402">
                  <c:v>0.12371680517600279</c:v>
                </c:pt>
                <c:pt idx="1403">
                  <c:v>0.12371680517600279</c:v>
                </c:pt>
                <c:pt idx="1404">
                  <c:v>0.12371680517600279</c:v>
                </c:pt>
                <c:pt idx="1405">
                  <c:v>0.12371680517600279</c:v>
                </c:pt>
                <c:pt idx="1406">
                  <c:v>0.12371680517600279</c:v>
                </c:pt>
                <c:pt idx="1407">
                  <c:v>0.12371680517600279</c:v>
                </c:pt>
                <c:pt idx="1408">
                  <c:v>0.12371680517600279</c:v>
                </c:pt>
                <c:pt idx="1409">
                  <c:v>0.12371680517600279</c:v>
                </c:pt>
                <c:pt idx="1410">
                  <c:v>0.12371680517600279</c:v>
                </c:pt>
                <c:pt idx="1411">
                  <c:v>0.12371680517600279</c:v>
                </c:pt>
                <c:pt idx="1412">
                  <c:v>0.12371680517600279</c:v>
                </c:pt>
                <c:pt idx="1413">
                  <c:v>0.12371680517600279</c:v>
                </c:pt>
                <c:pt idx="1414">
                  <c:v>0.12371680517600279</c:v>
                </c:pt>
                <c:pt idx="1415">
                  <c:v>0.12371680517600279</c:v>
                </c:pt>
                <c:pt idx="1416">
                  <c:v>0.12371680517600279</c:v>
                </c:pt>
                <c:pt idx="1417">
                  <c:v>0.12371680517600279</c:v>
                </c:pt>
                <c:pt idx="1418">
                  <c:v>0.12371680517600279</c:v>
                </c:pt>
                <c:pt idx="1419">
                  <c:v>0.12371680517600279</c:v>
                </c:pt>
                <c:pt idx="1420">
                  <c:v>0.12371680517600279</c:v>
                </c:pt>
                <c:pt idx="1421">
                  <c:v>0.12371680517600279</c:v>
                </c:pt>
                <c:pt idx="1422">
                  <c:v>0.12371680517600279</c:v>
                </c:pt>
                <c:pt idx="1423">
                  <c:v>0.12371680517600279</c:v>
                </c:pt>
                <c:pt idx="1424">
                  <c:v>0.12371680517600279</c:v>
                </c:pt>
                <c:pt idx="1425">
                  <c:v>0.12371680517600279</c:v>
                </c:pt>
                <c:pt idx="1426">
                  <c:v>0.12371680517600279</c:v>
                </c:pt>
                <c:pt idx="1427">
                  <c:v>0.12371680517600279</c:v>
                </c:pt>
                <c:pt idx="1428">
                  <c:v>0.12371680517600279</c:v>
                </c:pt>
                <c:pt idx="1429">
                  <c:v>0.12371680517600279</c:v>
                </c:pt>
                <c:pt idx="1430">
                  <c:v>0.12371680517600279</c:v>
                </c:pt>
                <c:pt idx="1431">
                  <c:v>0.12371680517600279</c:v>
                </c:pt>
                <c:pt idx="1432">
                  <c:v>0.12371680517600279</c:v>
                </c:pt>
                <c:pt idx="1433">
                  <c:v>0.12371680517600279</c:v>
                </c:pt>
                <c:pt idx="1434">
                  <c:v>0.12371680517600279</c:v>
                </c:pt>
                <c:pt idx="1435">
                  <c:v>0.12371680517600279</c:v>
                </c:pt>
                <c:pt idx="1436">
                  <c:v>0.12371680517600279</c:v>
                </c:pt>
                <c:pt idx="1437">
                  <c:v>0.12371680517600279</c:v>
                </c:pt>
                <c:pt idx="1438">
                  <c:v>0.12371680517600279</c:v>
                </c:pt>
                <c:pt idx="1439">
                  <c:v>0.12371680517600279</c:v>
                </c:pt>
                <c:pt idx="1440">
                  <c:v>0.12371680517600279</c:v>
                </c:pt>
                <c:pt idx="1441">
                  <c:v>0.12371680517600279</c:v>
                </c:pt>
                <c:pt idx="1442">
                  <c:v>0.12371680517600279</c:v>
                </c:pt>
                <c:pt idx="1443">
                  <c:v>0.12371680517600279</c:v>
                </c:pt>
                <c:pt idx="1444">
                  <c:v>0.12371680517600279</c:v>
                </c:pt>
                <c:pt idx="1445">
                  <c:v>0.12371680517600279</c:v>
                </c:pt>
                <c:pt idx="1446">
                  <c:v>0.12371680517600279</c:v>
                </c:pt>
                <c:pt idx="1447">
                  <c:v>0.12371680517600279</c:v>
                </c:pt>
                <c:pt idx="1448">
                  <c:v>0.12371680517600279</c:v>
                </c:pt>
                <c:pt idx="1449">
                  <c:v>0.12371680517600279</c:v>
                </c:pt>
                <c:pt idx="1450">
                  <c:v>0.12371680517600279</c:v>
                </c:pt>
                <c:pt idx="1451">
                  <c:v>0.12371680517600279</c:v>
                </c:pt>
                <c:pt idx="1452">
                  <c:v>0.12371680517600279</c:v>
                </c:pt>
                <c:pt idx="1453">
                  <c:v>0.12371680517600279</c:v>
                </c:pt>
                <c:pt idx="1454">
                  <c:v>0.12371680517600279</c:v>
                </c:pt>
                <c:pt idx="1455">
                  <c:v>0.12371680517600279</c:v>
                </c:pt>
                <c:pt idx="1456">
                  <c:v>0.12371680517600279</c:v>
                </c:pt>
                <c:pt idx="1457">
                  <c:v>0.12371680517600279</c:v>
                </c:pt>
                <c:pt idx="1458">
                  <c:v>0.12371680517600279</c:v>
                </c:pt>
                <c:pt idx="1459">
                  <c:v>0.12371680517600279</c:v>
                </c:pt>
              </c:numCache>
            </c:numRef>
          </c:val>
        </c:ser>
        <c:marker val="1"/>
        <c:axId val="185246080"/>
        <c:axId val="185248000"/>
      </c:lineChart>
      <c:dateAx>
        <c:axId val="185246080"/>
        <c:scaling>
          <c:orientation val="minMax"/>
        </c:scaling>
        <c:axPos val="b"/>
        <c:title>
          <c:tx>
            <c:rich>
              <a:bodyPr/>
              <a:lstStyle/>
              <a:p>
                <a:pPr>
                  <a:defRPr/>
                </a:pPr>
                <a:r>
                  <a:rPr lang="en-AU"/>
                  <a:t>Date</a:t>
                </a:r>
              </a:p>
            </c:rich>
          </c:tx>
        </c:title>
        <c:numFmt formatCode="d/mm/yyyy" sourceLinked="1"/>
        <c:tickLblPos val="nextTo"/>
        <c:txPr>
          <a:bodyPr rot="-5400000" vert="horz"/>
          <a:lstStyle/>
          <a:p>
            <a:pPr>
              <a:defRPr/>
            </a:pPr>
            <a:endParaRPr lang="en-US"/>
          </a:p>
        </c:txPr>
        <c:crossAx val="185248000"/>
        <c:crosses val="autoZero"/>
        <c:auto val="1"/>
        <c:lblOffset val="100"/>
      </c:dateAx>
      <c:valAx>
        <c:axId val="185248000"/>
        <c:scaling>
          <c:orientation val="minMax"/>
        </c:scaling>
        <c:axPos val="l"/>
        <c:title>
          <c:tx>
            <c:rich>
              <a:bodyPr rot="-5400000" vert="horz"/>
              <a:lstStyle/>
              <a:p>
                <a:pPr>
                  <a:defRPr/>
                </a:pPr>
                <a:r>
                  <a:rPr lang="en-US"/>
                  <a:t>Sediment yield (m</a:t>
                </a:r>
                <a:r>
                  <a:rPr lang="en-US" baseline="30000"/>
                  <a:t>3</a:t>
                </a:r>
                <a:r>
                  <a:rPr lang="en-US"/>
                  <a:t>)</a:t>
                </a:r>
              </a:p>
            </c:rich>
          </c:tx>
          <c:layout>
            <c:manualLayout>
              <c:xMode val="edge"/>
              <c:yMode val="edge"/>
              <c:x val="0"/>
              <c:y val="0.24371898602275263"/>
            </c:manualLayout>
          </c:layout>
        </c:title>
        <c:numFmt formatCode="General" sourceLinked="1"/>
        <c:tickLblPos val="nextTo"/>
        <c:crossAx val="185246080"/>
        <c:crosses val="autoZero"/>
        <c:crossBetween val="between"/>
      </c:valAx>
    </c:plotArea>
    <c:legend>
      <c:legendPos val="r"/>
      <c:layout>
        <c:manualLayout>
          <c:xMode val="edge"/>
          <c:yMode val="edge"/>
          <c:x val="0.5698919636388996"/>
          <c:y val="0.45502896223718864"/>
          <c:w val="0.387503009872394"/>
          <c:h val="0.22214510179461555"/>
        </c:manualLayout>
      </c:layout>
    </c:legend>
    <c:plotVisOnly val="1"/>
  </c:chart>
  <c:spPr>
    <a:ln>
      <a:noFill/>
    </a:ln>
  </c:spPr>
  <c:externalData r:id="rId2"/>
</c:chartSpace>
</file>

<file path=word/charts/chart12.xml><?xml version="1.0" encoding="utf-8"?>
<c:chartSpace xmlns:c="http://schemas.openxmlformats.org/drawingml/2006/chart" xmlns:a="http://schemas.openxmlformats.org/drawingml/2006/main" xmlns:r="http://schemas.openxmlformats.org/officeDocument/2006/relationships">
  <c:date1904 val="1"/>
  <c:lang val="en-AU"/>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1991481327991897"/>
          <c:y val="2.3172142418240452E-2"/>
          <c:w val="0.74076046415250763"/>
          <c:h val="0.83126988559913162"/>
        </c:manualLayout>
      </c:layout>
      <c:barChart>
        <c:barDir val="col"/>
        <c:grouping val="clustered"/>
        <c:ser>
          <c:idx val="0"/>
          <c:order val="0"/>
          <c:tx>
            <c:strRef>
              <c:f>'[plot2-part1&amp;2-PSD6-10yrs-xrain-yr4.xlsx]plot2-prt1'!$Q$1</c:f>
              <c:strCache>
                <c:ptCount val="1"/>
                <c:pt idx="0">
                  <c:v>Discharge</c:v>
                </c:pt>
              </c:strCache>
            </c:strRef>
          </c:tx>
          <c:spPr>
            <a:solidFill>
              <a:prstClr val="white">
                <a:lumMod val="75000"/>
              </a:prstClr>
            </a:solidFill>
          </c:spPr>
          <c:cat>
            <c:strRef>
              <c:f>'[plot2-part1&amp;2-PSD6-10yrs-xrain-yr4.xlsx]plot2-prt1'!$P$2:$P$11</c:f>
              <c:strCache>
                <c:ptCount val="10"/>
                <c:pt idx="0">
                  <c:v>2009-10</c:v>
                </c:pt>
                <c:pt idx="1">
                  <c:v>2010-11</c:v>
                </c:pt>
                <c:pt idx="2">
                  <c:v>2011-12</c:v>
                </c:pt>
                <c:pt idx="3">
                  <c:v>2012-13</c:v>
                </c:pt>
                <c:pt idx="4">
                  <c:v>2013-14</c:v>
                </c:pt>
                <c:pt idx="5">
                  <c:v>2014-15</c:v>
                </c:pt>
                <c:pt idx="6">
                  <c:v>2015-16</c:v>
                </c:pt>
                <c:pt idx="7">
                  <c:v>2016-17</c:v>
                </c:pt>
                <c:pt idx="8">
                  <c:v>2017-18</c:v>
                </c:pt>
                <c:pt idx="9">
                  <c:v>2018-19</c:v>
                </c:pt>
              </c:strCache>
            </c:strRef>
          </c:cat>
          <c:val>
            <c:numRef>
              <c:f>'[plot2-part1&amp;2-PSD6-10yrs-xrain-yr4.xlsx]plot2-prt1'!$Q$2:$Q$11</c:f>
              <c:numCache>
                <c:formatCode>General</c:formatCode>
                <c:ptCount val="10"/>
                <c:pt idx="0">
                  <c:v>1.9272000000000001E-2</c:v>
                </c:pt>
                <c:pt idx="1">
                  <c:v>2.1599999999999998E-2</c:v>
                </c:pt>
                <c:pt idx="2">
                  <c:v>2.6739000000000016E-2</c:v>
                </c:pt>
                <c:pt idx="3">
                  <c:v>1.3752999999999996E-2</c:v>
                </c:pt>
                <c:pt idx="4">
                  <c:v>1.9680000000000794E-2</c:v>
                </c:pt>
                <c:pt idx="5">
                  <c:v>2.1044000000000011E-2</c:v>
                </c:pt>
                <c:pt idx="6">
                  <c:v>1.3133999999999996E-2</c:v>
                </c:pt>
                <c:pt idx="7">
                  <c:v>1.1970999999999997E-2</c:v>
                </c:pt>
                <c:pt idx="8">
                  <c:v>1.2218E-2</c:v>
                </c:pt>
                <c:pt idx="9">
                  <c:v>1.1784000000000181E-2</c:v>
                </c:pt>
              </c:numCache>
            </c:numRef>
          </c:val>
        </c:ser>
        <c:axId val="184985856"/>
        <c:axId val="184983936"/>
      </c:barChart>
      <c:scatterChart>
        <c:scatterStyle val="smoothMarker"/>
        <c:ser>
          <c:idx val="1"/>
          <c:order val="1"/>
          <c:tx>
            <c:strRef>
              <c:f>'[plot2-part1&amp;2-PSD6-10yrs-xrain-yr4.xlsx]plot2-prt1'!$R$1</c:f>
              <c:strCache>
                <c:ptCount val="1"/>
                <c:pt idx="0">
                  <c:v>TotalLoad</c:v>
                </c:pt>
              </c:strCache>
            </c:strRef>
          </c:tx>
          <c:spPr>
            <a:ln w="31750">
              <a:solidFill>
                <a:srgbClr val="002060"/>
              </a:solidFill>
            </a:ln>
          </c:spPr>
          <c:marker>
            <c:symbol val="none"/>
          </c:marker>
          <c:xVal>
            <c:strRef>
              <c:f>'[plot2-part1&amp;2-PSD6-10yrs-xrain-yr4.xlsx]plot2-prt1'!$P$2:$P$11</c:f>
              <c:strCache>
                <c:ptCount val="10"/>
                <c:pt idx="0">
                  <c:v>2009-10</c:v>
                </c:pt>
                <c:pt idx="1">
                  <c:v>2010-11</c:v>
                </c:pt>
                <c:pt idx="2">
                  <c:v>2011-12</c:v>
                </c:pt>
                <c:pt idx="3">
                  <c:v>2012-13</c:v>
                </c:pt>
                <c:pt idx="4">
                  <c:v>2013-14</c:v>
                </c:pt>
                <c:pt idx="5">
                  <c:v>2014-15</c:v>
                </c:pt>
                <c:pt idx="6">
                  <c:v>2015-16</c:v>
                </c:pt>
                <c:pt idx="7">
                  <c:v>2016-17</c:v>
                </c:pt>
                <c:pt idx="8">
                  <c:v>2017-18</c:v>
                </c:pt>
                <c:pt idx="9">
                  <c:v>2018-19</c:v>
                </c:pt>
              </c:strCache>
            </c:strRef>
          </c:xVal>
          <c:yVal>
            <c:numRef>
              <c:f>'[plot2-part1&amp;2-PSD6-10yrs-xrain-yr4.xlsx]plot2-prt1'!$R$2:$R$11</c:f>
              <c:numCache>
                <c:formatCode>General</c:formatCode>
                <c:ptCount val="10"/>
                <c:pt idx="0">
                  <c:v>5.2777832699999985E-2</c:v>
                </c:pt>
                <c:pt idx="1">
                  <c:v>4.7714669100002854E-2</c:v>
                </c:pt>
                <c:pt idx="2">
                  <c:v>0.30900182930001452</c:v>
                </c:pt>
                <c:pt idx="3">
                  <c:v>4.1303418000000003E-3</c:v>
                </c:pt>
                <c:pt idx="4">
                  <c:v>2.0000000000002201E-10</c:v>
                </c:pt>
                <c:pt idx="5">
                  <c:v>8.8000000000009176E-9</c:v>
                </c:pt>
                <c:pt idx="6">
                  <c:v>0</c:v>
                </c:pt>
                <c:pt idx="7">
                  <c:v>0</c:v>
                </c:pt>
                <c:pt idx="8">
                  <c:v>2.0000000000002201E-10</c:v>
                </c:pt>
                <c:pt idx="9">
                  <c:v>0</c:v>
                </c:pt>
              </c:numCache>
            </c:numRef>
          </c:yVal>
          <c:smooth val="1"/>
        </c:ser>
        <c:ser>
          <c:idx val="2"/>
          <c:order val="2"/>
          <c:tx>
            <c:strRef>
              <c:f>'[plot2-part1&amp;2-PSD6-10yrs-xrain-yr4.xlsx]plot2-prt1'!$S$1</c:f>
              <c:strCache>
                <c:ptCount val="1"/>
                <c:pt idx="0">
                  <c:v>SuspendedSediment</c:v>
                </c:pt>
              </c:strCache>
            </c:strRef>
          </c:tx>
          <c:spPr>
            <a:ln>
              <a:solidFill>
                <a:srgbClr val="002060"/>
              </a:solidFill>
              <a:prstDash val="sysDot"/>
            </a:ln>
          </c:spPr>
          <c:marker>
            <c:symbol val="none"/>
          </c:marker>
          <c:xVal>
            <c:strRef>
              <c:f>'[plot2-part1&amp;2-PSD6-10yrs-xrain-yr4.xlsx]plot2-prt1'!$P$2:$P$11</c:f>
              <c:strCache>
                <c:ptCount val="10"/>
                <c:pt idx="0">
                  <c:v>2009-10</c:v>
                </c:pt>
                <c:pt idx="1">
                  <c:v>2010-11</c:v>
                </c:pt>
                <c:pt idx="2">
                  <c:v>2011-12</c:v>
                </c:pt>
                <c:pt idx="3">
                  <c:v>2012-13</c:v>
                </c:pt>
                <c:pt idx="4">
                  <c:v>2013-14</c:v>
                </c:pt>
                <c:pt idx="5">
                  <c:v>2014-15</c:v>
                </c:pt>
                <c:pt idx="6">
                  <c:v>2015-16</c:v>
                </c:pt>
                <c:pt idx="7">
                  <c:v>2016-17</c:v>
                </c:pt>
                <c:pt idx="8">
                  <c:v>2017-18</c:v>
                </c:pt>
                <c:pt idx="9">
                  <c:v>2018-19</c:v>
                </c:pt>
              </c:strCache>
            </c:strRef>
          </c:xVal>
          <c:yVal>
            <c:numRef>
              <c:f>'[plot2-part1&amp;2-PSD6-10yrs-xrain-yr4.xlsx]plot2-prt1'!$S$2:$S$11</c:f>
              <c:numCache>
                <c:formatCode>General</c:formatCode>
                <c:ptCount val="10"/>
                <c:pt idx="0">
                  <c:v>1.6799414300000003E-2</c:v>
                </c:pt>
                <c:pt idx="1">
                  <c:v>2.971505260000001E-2</c:v>
                </c:pt>
                <c:pt idx="2">
                  <c:v>0.18909988790000698</c:v>
                </c:pt>
                <c:pt idx="3">
                  <c:v>6.6808740000000083E-4</c:v>
                </c:pt>
                <c:pt idx="4">
                  <c:v>1.0000000000001069E-10</c:v>
                </c:pt>
                <c:pt idx="5">
                  <c:v>6.3000000000005651E-9</c:v>
                </c:pt>
                <c:pt idx="6">
                  <c:v>0</c:v>
                </c:pt>
                <c:pt idx="7">
                  <c:v>0</c:v>
                </c:pt>
                <c:pt idx="8">
                  <c:v>1.0000000000001069E-10</c:v>
                </c:pt>
                <c:pt idx="9">
                  <c:v>0</c:v>
                </c:pt>
              </c:numCache>
            </c:numRef>
          </c:yVal>
          <c:smooth val="1"/>
        </c:ser>
        <c:ser>
          <c:idx val="3"/>
          <c:order val="3"/>
          <c:tx>
            <c:strRef>
              <c:f>'[plot2-part1&amp;2-PSD6-10yrs-xrain-yr4.xlsx]plot2-prt1'!$T$1</c:f>
              <c:strCache>
                <c:ptCount val="1"/>
                <c:pt idx="0">
                  <c:v>Bedload</c:v>
                </c:pt>
              </c:strCache>
            </c:strRef>
          </c:tx>
          <c:spPr>
            <a:ln>
              <a:solidFill>
                <a:srgbClr val="002060"/>
              </a:solidFill>
              <a:prstDash val="sysDash"/>
            </a:ln>
          </c:spPr>
          <c:marker>
            <c:symbol val="none"/>
          </c:marker>
          <c:xVal>
            <c:strRef>
              <c:f>'[plot2-part1&amp;2-PSD6-10yrs-xrain-yr4.xlsx]plot2-prt1'!$P$2:$P$11</c:f>
              <c:strCache>
                <c:ptCount val="10"/>
                <c:pt idx="0">
                  <c:v>2009-10</c:v>
                </c:pt>
                <c:pt idx="1">
                  <c:v>2010-11</c:v>
                </c:pt>
                <c:pt idx="2">
                  <c:v>2011-12</c:v>
                </c:pt>
                <c:pt idx="3">
                  <c:v>2012-13</c:v>
                </c:pt>
                <c:pt idx="4">
                  <c:v>2013-14</c:v>
                </c:pt>
                <c:pt idx="5">
                  <c:v>2014-15</c:v>
                </c:pt>
                <c:pt idx="6">
                  <c:v>2015-16</c:v>
                </c:pt>
                <c:pt idx="7">
                  <c:v>2016-17</c:v>
                </c:pt>
                <c:pt idx="8">
                  <c:v>2017-18</c:v>
                </c:pt>
                <c:pt idx="9">
                  <c:v>2018-19</c:v>
                </c:pt>
              </c:strCache>
            </c:strRef>
          </c:xVal>
          <c:yVal>
            <c:numRef>
              <c:f>'[plot2-part1&amp;2-PSD6-10yrs-xrain-yr4.xlsx]plot2-prt1'!$T$2:$T$11</c:f>
              <c:numCache>
                <c:formatCode>General</c:formatCode>
                <c:ptCount val="10"/>
                <c:pt idx="0">
                  <c:v>3.597841840000001E-2</c:v>
                </c:pt>
                <c:pt idx="1">
                  <c:v>1.7999616499999996E-2</c:v>
                </c:pt>
                <c:pt idx="2">
                  <c:v>0.11990194140000029</c:v>
                </c:pt>
                <c:pt idx="3">
                  <c:v>3.4622544000000011E-3</c:v>
                </c:pt>
                <c:pt idx="4">
                  <c:v>1.0000000000001069E-10</c:v>
                </c:pt>
                <c:pt idx="5">
                  <c:v>2.5000000000002437E-9</c:v>
                </c:pt>
                <c:pt idx="6">
                  <c:v>0</c:v>
                </c:pt>
                <c:pt idx="7">
                  <c:v>0</c:v>
                </c:pt>
                <c:pt idx="8">
                  <c:v>1.0000000000001069E-10</c:v>
                </c:pt>
                <c:pt idx="9">
                  <c:v>0</c:v>
                </c:pt>
              </c:numCache>
            </c:numRef>
          </c:yVal>
          <c:smooth val="1"/>
        </c:ser>
        <c:axId val="184971648"/>
        <c:axId val="184973568"/>
      </c:scatterChart>
      <c:valAx>
        <c:axId val="184971648"/>
        <c:scaling>
          <c:orientation val="minMax"/>
          <c:max val="10"/>
        </c:scaling>
        <c:axPos val="b"/>
        <c:title>
          <c:tx>
            <c:rich>
              <a:bodyPr/>
              <a:lstStyle/>
              <a:p>
                <a:pPr>
                  <a:defRPr/>
                </a:pPr>
                <a:r>
                  <a:rPr lang="en-US"/>
                  <a:t>Time (Years)</a:t>
                </a:r>
              </a:p>
            </c:rich>
          </c:tx>
          <c:layout>
            <c:manualLayout>
              <c:xMode val="edge"/>
              <c:yMode val="edge"/>
              <c:x val="0.39833770778652688"/>
              <c:y val="0.92987122502735542"/>
            </c:manualLayout>
          </c:layout>
        </c:title>
        <c:tickLblPos val="nextTo"/>
        <c:crossAx val="184973568"/>
        <c:crosses val="autoZero"/>
        <c:crossBetween val="midCat"/>
      </c:valAx>
      <c:valAx>
        <c:axId val="184973568"/>
        <c:scaling>
          <c:orientation val="minMax"/>
          <c:min val="0"/>
        </c:scaling>
        <c:axPos val="l"/>
        <c:title>
          <c:tx>
            <c:rich>
              <a:bodyPr rot="-5400000" vert="horz"/>
              <a:lstStyle/>
              <a:p>
                <a:pPr>
                  <a:defRPr/>
                </a:pPr>
                <a:r>
                  <a:rPr lang="en-US"/>
                  <a:t>Sediment load (m</a:t>
                </a:r>
                <a:r>
                  <a:rPr lang="en-US" baseline="30000"/>
                  <a:t>3</a:t>
                </a:r>
                <a:r>
                  <a:rPr lang="en-US"/>
                  <a:t>)</a:t>
                </a:r>
              </a:p>
            </c:rich>
          </c:tx>
          <c:layout>
            <c:manualLayout>
              <c:xMode val="edge"/>
              <c:yMode val="edge"/>
              <c:x val="0"/>
              <c:y val="0.26778976911006713"/>
            </c:manualLayout>
          </c:layout>
        </c:title>
        <c:numFmt formatCode="General" sourceLinked="1"/>
        <c:tickLblPos val="nextTo"/>
        <c:crossAx val="184971648"/>
        <c:crosses val="autoZero"/>
        <c:crossBetween val="midCat"/>
      </c:valAx>
      <c:valAx>
        <c:axId val="184983936"/>
        <c:scaling>
          <c:orientation val="minMax"/>
        </c:scaling>
        <c:axPos val="r"/>
        <c:title>
          <c:tx>
            <c:rich>
              <a:bodyPr rot="-5400000" vert="horz"/>
              <a:lstStyle/>
              <a:p>
                <a:pPr>
                  <a:defRPr/>
                </a:pPr>
                <a:r>
                  <a:rPr lang="en-US"/>
                  <a:t>Discharge (cubic metres per second)</a:t>
                </a:r>
              </a:p>
            </c:rich>
          </c:tx>
        </c:title>
        <c:numFmt formatCode="General" sourceLinked="1"/>
        <c:tickLblPos val="nextTo"/>
        <c:crossAx val="184985856"/>
        <c:crosses val="max"/>
        <c:crossBetween val="between"/>
      </c:valAx>
      <c:catAx>
        <c:axId val="184985856"/>
        <c:scaling>
          <c:orientation val="minMax"/>
        </c:scaling>
        <c:delete val="1"/>
        <c:axPos val="b"/>
        <c:tickLblPos val="none"/>
        <c:crossAx val="184983936"/>
        <c:crosses val="autoZero"/>
        <c:auto val="1"/>
        <c:lblAlgn val="ctr"/>
        <c:lblOffset val="100"/>
      </c:catAx>
    </c:plotArea>
    <c:legend>
      <c:legendPos val="r"/>
      <c:layout>
        <c:manualLayout>
          <c:xMode val="edge"/>
          <c:yMode val="edge"/>
          <c:x val="0.54617270775924431"/>
          <c:y val="7.805828089135558E-2"/>
          <c:w val="0.32916744130227366"/>
          <c:h val="0.2309944892384253"/>
        </c:manualLayout>
      </c:layout>
    </c:legend>
    <c:plotVisOnly val="1"/>
    <c:dispBlanksAs val="gap"/>
  </c:chart>
  <c:spPr>
    <a:ln>
      <a:noFill/>
    </a:ln>
  </c:spPr>
  <c:externalData r:id="rId2"/>
</c:chartSpace>
</file>

<file path=word/charts/chart13.xml><?xml version="1.0" encoding="utf-8"?>
<c:chartSpace xmlns:c="http://schemas.openxmlformats.org/drawingml/2006/chart" xmlns:a="http://schemas.openxmlformats.org/drawingml/2006/main" xmlns:r="http://schemas.openxmlformats.org/officeDocument/2006/relationships">
  <c:date1904 val="1"/>
  <c:lang val="en-AU"/>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3705125900358317"/>
          <c:y val="2.3172142418240452E-2"/>
          <c:w val="0.72173947434654628"/>
          <c:h val="0.8069341172069816"/>
        </c:manualLayout>
      </c:layout>
      <c:barChart>
        <c:barDir val="col"/>
        <c:grouping val="clustered"/>
        <c:ser>
          <c:idx val="0"/>
          <c:order val="0"/>
          <c:tx>
            <c:strRef>
              <c:f>'[plot2-part1&amp;2-PSD6-10yrs-xrain-end.xlsx]plot2-prt1'!$Q$1</c:f>
              <c:strCache>
                <c:ptCount val="1"/>
                <c:pt idx="0">
                  <c:v>Discharge</c:v>
                </c:pt>
              </c:strCache>
            </c:strRef>
          </c:tx>
          <c:spPr>
            <a:solidFill>
              <a:prstClr val="white">
                <a:lumMod val="75000"/>
              </a:prstClr>
            </a:solidFill>
          </c:spPr>
          <c:cat>
            <c:strRef>
              <c:f>'[plot2-part1&amp;2-PSD6-10yrs-xrain-end.xlsx]plot2-prt1'!$P$2:$P$11</c:f>
              <c:strCache>
                <c:ptCount val="10"/>
                <c:pt idx="0">
                  <c:v>2009-10</c:v>
                </c:pt>
                <c:pt idx="1">
                  <c:v>2010-11</c:v>
                </c:pt>
                <c:pt idx="2">
                  <c:v>2011-12</c:v>
                </c:pt>
                <c:pt idx="3">
                  <c:v>2012-13</c:v>
                </c:pt>
                <c:pt idx="4">
                  <c:v>2013-14</c:v>
                </c:pt>
                <c:pt idx="5">
                  <c:v>2014-15</c:v>
                </c:pt>
                <c:pt idx="6">
                  <c:v>2015-16</c:v>
                </c:pt>
                <c:pt idx="7">
                  <c:v>2016-17</c:v>
                </c:pt>
                <c:pt idx="8">
                  <c:v>2017-18</c:v>
                </c:pt>
                <c:pt idx="9">
                  <c:v>2018-19</c:v>
                </c:pt>
              </c:strCache>
            </c:strRef>
          </c:cat>
          <c:val>
            <c:numRef>
              <c:f>'[plot2-part1&amp;2-PSD6-10yrs-xrain-end.xlsx]plot2-prt1'!$Q$2:$Q$11</c:f>
              <c:numCache>
                <c:formatCode>General</c:formatCode>
                <c:ptCount val="10"/>
                <c:pt idx="0">
                  <c:v>1.9272000000000001E-2</c:v>
                </c:pt>
                <c:pt idx="1">
                  <c:v>2.1599999999999998E-2</c:v>
                </c:pt>
                <c:pt idx="2">
                  <c:v>1.6178999999999999E-2</c:v>
                </c:pt>
                <c:pt idx="3">
                  <c:v>1.2770999999999998E-2</c:v>
                </c:pt>
                <c:pt idx="4">
                  <c:v>1.8428000000000003E-2</c:v>
                </c:pt>
                <c:pt idx="5">
                  <c:v>2.0806999999999999E-2</c:v>
                </c:pt>
                <c:pt idx="6">
                  <c:v>1.4114E-2</c:v>
                </c:pt>
                <c:pt idx="7">
                  <c:v>1.2855E-2</c:v>
                </c:pt>
                <c:pt idx="8">
                  <c:v>2.4109000000000002E-2</c:v>
                </c:pt>
                <c:pt idx="9">
                  <c:v>1.2558999999999996E-2</c:v>
                </c:pt>
              </c:numCache>
            </c:numRef>
          </c:val>
        </c:ser>
        <c:axId val="185048064"/>
        <c:axId val="185046144"/>
      </c:barChart>
      <c:scatterChart>
        <c:scatterStyle val="smoothMarker"/>
        <c:ser>
          <c:idx val="1"/>
          <c:order val="1"/>
          <c:tx>
            <c:strRef>
              <c:f>'[plot2-part1&amp;2-PSD6-10yrs-xrain-end.xlsx]plot2-prt1'!$R$1</c:f>
              <c:strCache>
                <c:ptCount val="1"/>
                <c:pt idx="0">
                  <c:v>TotalLoad</c:v>
                </c:pt>
              </c:strCache>
            </c:strRef>
          </c:tx>
          <c:spPr>
            <a:ln w="31750">
              <a:solidFill>
                <a:srgbClr val="002060"/>
              </a:solidFill>
            </a:ln>
          </c:spPr>
          <c:marker>
            <c:symbol val="none"/>
          </c:marker>
          <c:xVal>
            <c:strRef>
              <c:f>'[plot2-part1&amp;2-PSD6-10yrs-xrain-end.xlsx]plot2-prt1'!$P$2:$P$11</c:f>
              <c:strCache>
                <c:ptCount val="10"/>
                <c:pt idx="0">
                  <c:v>2009-10</c:v>
                </c:pt>
                <c:pt idx="1">
                  <c:v>2010-11</c:v>
                </c:pt>
                <c:pt idx="2">
                  <c:v>2011-12</c:v>
                </c:pt>
                <c:pt idx="3">
                  <c:v>2012-13</c:v>
                </c:pt>
                <c:pt idx="4">
                  <c:v>2013-14</c:v>
                </c:pt>
                <c:pt idx="5">
                  <c:v>2014-15</c:v>
                </c:pt>
                <c:pt idx="6">
                  <c:v>2015-16</c:v>
                </c:pt>
                <c:pt idx="7">
                  <c:v>2016-17</c:v>
                </c:pt>
                <c:pt idx="8">
                  <c:v>2017-18</c:v>
                </c:pt>
                <c:pt idx="9">
                  <c:v>2018-19</c:v>
                </c:pt>
              </c:strCache>
            </c:strRef>
          </c:xVal>
          <c:yVal>
            <c:numRef>
              <c:f>'[plot2-part1&amp;2-PSD6-10yrs-xrain-end.xlsx]plot2-prt1'!$R$2:$R$11</c:f>
              <c:numCache>
                <c:formatCode>General</c:formatCode>
                <c:ptCount val="10"/>
                <c:pt idx="0">
                  <c:v>5.2777832699999985E-2</c:v>
                </c:pt>
                <c:pt idx="1">
                  <c:v>4.7714669100002854E-2</c:v>
                </c:pt>
                <c:pt idx="2">
                  <c:v>0.12160246140000019</c:v>
                </c:pt>
                <c:pt idx="3">
                  <c:v>1.5362055100000101E-2</c:v>
                </c:pt>
                <c:pt idx="4">
                  <c:v>4.0000000000004339E-10</c:v>
                </c:pt>
                <c:pt idx="5">
                  <c:v>1.140000000000123E-8</c:v>
                </c:pt>
                <c:pt idx="6">
                  <c:v>0</c:v>
                </c:pt>
                <c:pt idx="7">
                  <c:v>0</c:v>
                </c:pt>
                <c:pt idx="8">
                  <c:v>4.0000000000004339E-10</c:v>
                </c:pt>
                <c:pt idx="9">
                  <c:v>0</c:v>
                </c:pt>
              </c:numCache>
            </c:numRef>
          </c:yVal>
          <c:smooth val="1"/>
        </c:ser>
        <c:ser>
          <c:idx val="2"/>
          <c:order val="2"/>
          <c:tx>
            <c:strRef>
              <c:f>'[plot2-part1&amp;2-PSD6-10yrs-xrain-end.xlsx]plot2-prt1'!$S$1</c:f>
              <c:strCache>
                <c:ptCount val="1"/>
                <c:pt idx="0">
                  <c:v>SuspendedSediment</c:v>
                </c:pt>
              </c:strCache>
            </c:strRef>
          </c:tx>
          <c:spPr>
            <a:ln>
              <a:solidFill>
                <a:srgbClr val="002060"/>
              </a:solidFill>
              <a:prstDash val="sysDot"/>
            </a:ln>
          </c:spPr>
          <c:marker>
            <c:symbol val="none"/>
          </c:marker>
          <c:xVal>
            <c:strRef>
              <c:f>'[plot2-part1&amp;2-PSD6-10yrs-xrain-end.xlsx]plot2-prt1'!$P$2:$P$11</c:f>
              <c:strCache>
                <c:ptCount val="10"/>
                <c:pt idx="0">
                  <c:v>2009-10</c:v>
                </c:pt>
                <c:pt idx="1">
                  <c:v>2010-11</c:v>
                </c:pt>
                <c:pt idx="2">
                  <c:v>2011-12</c:v>
                </c:pt>
                <c:pt idx="3">
                  <c:v>2012-13</c:v>
                </c:pt>
                <c:pt idx="4">
                  <c:v>2013-14</c:v>
                </c:pt>
                <c:pt idx="5">
                  <c:v>2014-15</c:v>
                </c:pt>
                <c:pt idx="6">
                  <c:v>2015-16</c:v>
                </c:pt>
                <c:pt idx="7">
                  <c:v>2016-17</c:v>
                </c:pt>
                <c:pt idx="8">
                  <c:v>2017-18</c:v>
                </c:pt>
                <c:pt idx="9">
                  <c:v>2018-19</c:v>
                </c:pt>
              </c:strCache>
            </c:strRef>
          </c:xVal>
          <c:yVal>
            <c:numRef>
              <c:f>'[plot2-part1&amp;2-PSD6-10yrs-xrain-end.xlsx]plot2-prt1'!$S$2:$S$11</c:f>
              <c:numCache>
                <c:formatCode>General</c:formatCode>
                <c:ptCount val="10"/>
                <c:pt idx="0">
                  <c:v>1.6799414300000003E-2</c:v>
                </c:pt>
                <c:pt idx="1">
                  <c:v>2.971505260000001E-2</c:v>
                </c:pt>
                <c:pt idx="2">
                  <c:v>7.4841303999999984E-2</c:v>
                </c:pt>
                <c:pt idx="3">
                  <c:v>3.2422971000001092E-3</c:v>
                </c:pt>
                <c:pt idx="4">
                  <c:v>2.0000000000002201E-10</c:v>
                </c:pt>
                <c:pt idx="5">
                  <c:v>8.7000000000006404E-9</c:v>
                </c:pt>
                <c:pt idx="6">
                  <c:v>0</c:v>
                </c:pt>
                <c:pt idx="7">
                  <c:v>0</c:v>
                </c:pt>
                <c:pt idx="8">
                  <c:v>2.0000000000002201E-10</c:v>
                </c:pt>
                <c:pt idx="9">
                  <c:v>0</c:v>
                </c:pt>
              </c:numCache>
            </c:numRef>
          </c:yVal>
          <c:smooth val="1"/>
        </c:ser>
        <c:ser>
          <c:idx val="3"/>
          <c:order val="3"/>
          <c:tx>
            <c:strRef>
              <c:f>'[plot2-part1&amp;2-PSD6-10yrs-xrain-end.xlsx]plot2-prt1'!$T$1</c:f>
              <c:strCache>
                <c:ptCount val="1"/>
                <c:pt idx="0">
                  <c:v>Bedload</c:v>
                </c:pt>
              </c:strCache>
            </c:strRef>
          </c:tx>
          <c:spPr>
            <a:ln>
              <a:solidFill>
                <a:srgbClr val="002060"/>
              </a:solidFill>
              <a:prstDash val="sysDash"/>
            </a:ln>
          </c:spPr>
          <c:marker>
            <c:symbol val="none"/>
          </c:marker>
          <c:xVal>
            <c:strRef>
              <c:f>'[plot2-part1&amp;2-PSD6-10yrs-xrain-end.xlsx]plot2-prt1'!$P$2:$P$11</c:f>
              <c:strCache>
                <c:ptCount val="10"/>
                <c:pt idx="0">
                  <c:v>2009-10</c:v>
                </c:pt>
                <c:pt idx="1">
                  <c:v>2010-11</c:v>
                </c:pt>
                <c:pt idx="2">
                  <c:v>2011-12</c:v>
                </c:pt>
                <c:pt idx="3">
                  <c:v>2012-13</c:v>
                </c:pt>
                <c:pt idx="4">
                  <c:v>2013-14</c:v>
                </c:pt>
                <c:pt idx="5">
                  <c:v>2014-15</c:v>
                </c:pt>
                <c:pt idx="6">
                  <c:v>2015-16</c:v>
                </c:pt>
                <c:pt idx="7">
                  <c:v>2016-17</c:v>
                </c:pt>
                <c:pt idx="8">
                  <c:v>2017-18</c:v>
                </c:pt>
                <c:pt idx="9">
                  <c:v>2018-19</c:v>
                </c:pt>
              </c:strCache>
            </c:strRef>
          </c:xVal>
          <c:yVal>
            <c:numRef>
              <c:f>'[plot2-part1&amp;2-PSD6-10yrs-xrain-end.xlsx]plot2-prt1'!$T$2:$T$11</c:f>
              <c:numCache>
                <c:formatCode>General</c:formatCode>
                <c:ptCount val="10"/>
                <c:pt idx="0">
                  <c:v>3.597841840000001E-2</c:v>
                </c:pt>
                <c:pt idx="1">
                  <c:v>1.7999616499999996E-2</c:v>
                </c:pt>
                <c:pt idx="2">
                  <c:v>4.6761157399999947E-2</c:v>
                </c:pt>
                <c:pt idx="3">
                  <c:v>1.2119758E-2</c:v>
                </c:pt>
                <c:pt idx="4">
                  <c:v>2.0000000000002201E-10</c:v>
                </c:pt>
                <c:pt idx="5">
                  <c:v>2.7000000000002951E-9</c:v>
                </c:pt>
                <c:pt idx="6">
                  <c:v>0</c:v>
                </c:pt>
                <c:pt idx="7">
                  <c:v>0</c:v>
                </c:pt>
                <c:pt idx="8">
                  <c:v>2.0000000000002201E-10</c:v>
                </c:pt>
                <c:pt idx="9">
                  <c:v>0</c:v>
                </c:pt>
              </c:numCache>
            </c:numRef>
          </c:yVal>
          <c:smooth val="1"/>
        </c:ser>
        <c:axId val="185037952"/>
        <c:axId val="185039872"/>
      </c:scatterChart>
      <c:valAx>
        <c:axId val="185037952"/>
        <c:scaling>
          <c:orientation val="minMax"/>
          <c:max val="10"/>
        </c:scaling>
        <c:axPos val="b"/>
        <c:title>
          <c:tx>
            <c:rich>
              <a:bodyPr/>
              <a:lstStyle/>
              <a:p>
                <a:pPr>
                  <a:defRPr/>
                </a:pPr>
                <a:r>
                  <a:rPr lang="en-US"/>
                  <a:t>Time (Years)</a:t>
                </a:r>
              </a:p>
            </c:rich>
          </c:tx>
        </c:title>
        <c:tickLblPos val="nextTo"/>
        <c:crossAx val="185039872"/>
        <c:crosses val="autoZero"/>
        <c:crossBetween val="midCat"/>
      </c:valAx>
      <c:valAx>
        <c:axId val="185039872"/>
        <c:scaling>
          <c:orientation val="minMax"/>
          <c:max val="0.35000000000000031"/>
          <c:min val="0"/>
        </c:scaling>
        <c:axPos val="l"/>
        <c:title>
          <c:tx>
            <c:rich>
              <a:bodyPr rot="-5400000" vert="horz"/>
              <a:lstStyle/>
              <a:p>
                <a:pPr>
                  <a:defRPr/>
                </a:pPr>
                <a:r>
                  <a:rPr lang="en-US"/>
                  <a:t>Sediment load (m</a:t>
                </a:r>
                <a:r>
                  <a:rPr lang="en-US" baseline="30000"/>
                  <a:t>3</a:t>
                </a:r>
                <a:r>
                  <a:rPr lang="en-US"/>
                  <a:t>)</a:t>
                </a:r>
              </a:p>
            </c:rich>
          </c:tx>
        </c:title>
        <c:numFmt formatCode="General" sourceLinked="1"/>
        <c:tickLblPos val="nextTo"/>
        <c:crossAx val="185037952"/>
        <c:crosses val="autoZero"/>
        <c:crossBetween val="midCat"/>
        <c:majorUnit val="0.05"/>
      </c:valAx>
      <c:valAx>
        <c:axId val="185046144"/>
        <c:scaling>
          <c:orientation val="minMax"/>
        </c:scaling>
        <c:axPos val="r"/>
        <c:title>
          <c:tx>
            <c:rich>
              <a:bodyPr rot="-5400000" vert="horz"/>
              <a:lstStyle/>
              <a:p>
                <a:pPr>
                  <a:defRPr/>
                </a:pPr>
                <a:r>
                  <a:rPr lang="en-US"/>
                  <a:t>Discharge (cubic metres per second)</a:t>
                </a:r>
              </a:p>
            </c:rich>
          </c:tx>
        </c:title>
        <c:numFmt formatCode="General" sourceLinked="1"/>
        <c:tickLblPos val="nextTo"/>
        <c:crossAx val="185048064"/>
        <c:crosses val="max"/>
        <c:crossBetween val="between"/>
      </c:valAx>
      <c:catAx>
        <c:axId val="185048064"/>
        <c:scaling>
          <c:orientation val="minMax"/>
        </c:scaling>
        <c:delete val="1"/>
        <c:axPos val="b"/>
        <c:tickLblPos val="none"/>
        <c:crossAx val="185046144"/>
        <c:crosses val="autoZero"/>
        <c:auto val="1"/>
        <c:lblAlgn val="ctr"/>
        <c:lblOffset val="100"/>
      </c:catAx>
    </c:plotArea>
    <c:legend>
      <c:legendPos val="r"/>
      <c:layout>
        <c:manualLayout>
          <c:xMode val="edge"/>
          <c:yMode val="edge"/>
          <c:x val="0.17445319335083476"/>
          <c:y val="4.6858827853373974E-2"/>
          <c:w val="0.3769408699906005"/>
          <c:h val="0.17673827559304342"/>
        </c:manualLayout>
      </c:layout>
    </c:legend>
    <c:plotVisOnly val="1"/>
    <c:dispBlanksAs val="gap"/>
  </c:chart>
  <c:spPr>
    <a:ln>
      <a:noFill/>
    </a:ln>
  </c:spPr>
  <c:externalData r:id="rId2"/>
</c:chartSpace>
</file>

<file path=word/charts/chart14.xml><?xml version="1.0" encoding="utf-8"?>
<c:chartSpace xmlns:c="http://schemas.openxmlformats.org/drawingml/2006/chart" xmlns:a="http://schemas.openxmlformats.org/drawingml/2006/main" xmlns:r="http://schemas.openxmlformats.org/officeDocument/2006/relationships">
  <c:date1904 val="1"/>
  <c:lang val="en-AU"/>
  <c:chart>
    <c:plotArea>
      <c:layout/>
      <c:barChart>
        <c:barDir val="col"/>
        <c:grouping val="clustered"/>
        <c:ser>
          <c:idx val="0"/>
          <c:order val="0"/>
          <c:cat>
            <c:numRef>
              <c:f>IDCJAC0001_014198_Data12!$C$38:$C$42</c:f>
              <c:numCache>
                <c:formatCode>General</c:formatCode>
                <c:ptCount val="5"/>
                <c:pt idx="0">
                  <c:v>2009</c:v>
                </c:pt>
                <c:pt idx="1">
                  <c:v>2010</c:v>
                </c:pt>
                <c:pt idx="2">
                  <c:v>2011</c:v>
                </c:pt>
                <c:pt idx="3">
                  <c:v>2012</c:v>
                </c:pt>
                <c:pt idx="4">
                  <c:v>2013</c:v>
                </c:pt>
              </c:numCache>
            </c:numRef>
          </c:cat>
          <c:val>
            <c:numRef>
              <c:f>IDCJAC0001_014198_Data12!$P$38:$P$42</c:f>
              <c:numCache>
                <c:formatCode>General</c:formatCode>
                <c:ptCount val="5"/>
                <c:pt idx="0">
                  <c:v>1056.2</c:v>
                </c:pt>
                <c:pt idx="1">
                  <c:v>1968.6</c:v>
                </c:pt>
                <c:pt idx="2">
                  <c:v>2463.6</c:v>
                </c:pt>
                <c:pt idx="3">
                  <c:v>1356.4</c:v>
                </c:pt>
                <c:pt idx="4">
                  <c:v>1250</c:v>
                </c:pt>
              </c:numCache>
            </c:numRef>
          </c:val>
        </c:ser>
        <c:axId val="185653504"/>
        <c:axId val="185659776"/>
      </c:barChart>
      <c:catAx>
        <c:axId val="185653504"/>
        <c:scaling>
          <c:orientation val="minMax"/>
        </c:scaling>
        <c:axPos val="b"/>
        <c:title>
          <c:tx>
            <c:rich>
              <a:bodyPr/>
              <a:lstStyle/>
              <a:p>
                <a:pPr>
                  <a:defRPr/>
                </a:pPr>
                <a:r>
                  <a:rPr lang="en-AU"/>
                  <a:t>Year</a:t>
                </a:r>
              </a:p>
            </c:rich>
          </c:tx>
        </c:title>
        <c:numFmt formatCode="General" sourceLinked="1"/>
        <c:tickLblPos val="nextTo"/>
        <c:crossAx val="185659776"/>
        <c:crosses val="autoZero"/>
        <c:auto val="1"/>
        <c:lblAlgn val="ctr"/>
        <c:lblOffset val="100"/>
      </c:catAx>
      <c:valAx>
        <c:axId val="185659776"/>
        <c:scaling>
          <c:orientation val="minMax"/>
        </c:scaling>
        <c:axPos val="l"/>
        <c:title>
          <c:tx>
            <c:rich>
              <a:bodyPr rot="-5400000" vert="horz"/>
              <a:lstStyle/>
              <a:p>
                <a:pPr>
                  <a:defRPr/>
                </a:pPr>
                <a:r>
                  <a:rPr lang="en-AU"/>
                  <a:t>Rainfall (mm)</a:t>
                </a:r>
              </a:p>
            </c:rich>
          </c:tx>
        </c:title>
        <c:numFmt formatCode="General" sourceLinked="1"/>
        <c:tickLblPos val="nextTo"/>
        <c:crossAx val="185653504"/>
        <c:crosses val="autoZero"/>
        <c:crossBetween val="between"/>
      </c:valAx>
    </c:plotArea>
    <c:plotVisOnly val="1"/>
  </c:chart>
  <c:spPr>
    <a:ln>
      <a:noFill/>
    </a:ln>
  </c:spPr>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en-AU"/>
  <c:chart>
    <c:plotArea>
      <c:layout>
        <c:manualLayout>
          <c:layoutTarget val="inner"/>
          <c:xMode val="edge"/>
          <c:yMode val="edge"/>
          <c:x val="0.11312987760292408"/>
          <c:y val="3.8696922224426694E-2"/>
          <c:w val="0.85174669547056403"/>
          <c:h val="0.80627184851241984"/>
        </c:manualLayout>
      </c:layout>
      <c:scatterChart>
        <c:scatterStyle val="lineMarker"/>
        <c:ser>
          <c:idx val="0"/>
          <c:order val="0"/>
          <c:tx>
            <c:v>IC50 (95% CL)</c:v>
          </c:tx>
          <c:spPr>
            <a:ln w="28575">
              <a:noFill/>
            </a:ln>
          </c:spPr>
          <c:marker>
            <c:symbol val="diamond"/>
            <c:size val="5"/>
            <c:spPr>
              <a:solidFill>
                <a:srgbClr val="000000"/>
              </a:solidFill>
              <a:ln>
                <a:solidFill>
                  <a:srgbClr val="000000"/>
                </a:solidFill>
                <a:prstDash val="solid"/>
              </a:ln>
            </c:spPr>
          </c:marker>
          <c:dPt>
            <c:idx val="29"/>
            <c:marker>
              <c:spPr>
                <a:solidFill>
                  <a:srgbClr val="FF0000"/>
                </a:solidFill>
                <a:ln>
                  <a:solidFill>
                    <a:srgbClr val="000000"/>
                  </a:solidFill>
                  <a:prstDash val="solid"/>
                </a:ln>
              </c:spPr>
            </c:marker>
          </c:dPt>
          <c:dPt>
            <c:idx val="30"/>
            <c:marker>
              <c:spPr>
                <a:solidFill>
                  <a:srgbClr val="FF0000"/>
                </a:solidFill>
                <a:ln>
                  <a:solidFill>
                    <a:srgbClr val="000000"/>
                  </a:solidFill>
                  <a:prstDash val="solid"/>
                </a:ln>
              </c:spPr>
            </c:marker>
          </c:dPt>
          <c:dPt>
            <c:idx val="31"/>
            <c:marker>
              <c:spPr>
                <a:solidFill>
                  <a:srgbClr val="FF0000"/>
                </a:solidFill>
                <a:ln>
                  <a:solidFill>
                    <a:srgbClr val="000000"/>
                  </a:solidFill>
                  <a:prstDash val="solid"/>
                </a:ln>
              </c:spPr>
            </c:marker>
          </c:dPt>
          <c:errBars>
            <c:errDir val="y"/>
            <c:errBarType val="both"/>
            <c:errValType val="cust"/>
            <c:plus>
              <c:numRef>
                <c:f>'Chlorella U'!$H$4:$H$40</c:f>
                <c:numCache>
                  <c:formatCode>General</c:formatCode>
                  <c:ptCount val="37"/>
                  <c:pt idx="0">
                    <c:v>20</c:v>
                  </c:pt>
                  <c:pt idx="1">
                    <c:v>17</c:v>
                  </c:pt>
                  <c:pt idx="2">
                    <c:v>11</c:v>
                  </c:pt>
                  <c:pt idx="3">
                    <c:v>29</c:v>
                  </c:pt>
                  <c:pt idx="4">
                    <c:v>15</c:v>
                  </c:pt>
                  <c:pt idx="5">
                    <c:v>23.4</c:v>
                  </c:pt>
                  <c:pt idx="6">
                    <c:v>2.5999999999999943</c:v>
                  </c:pt>
                  <c:pt idx="7">
                    <c:v>6.3999999999999986</c:v>
                  </c:pt>
                  <c:pt idx="8">
                    <c:v>17.100000000000001</c:v>
                  </c:pt>
                  <c:pt idx="9">
                    <c:v>11.400000000000002</c:v>
                  </c:pt>
                  <c:pt idx="10">
                    <c:v>4.6000000000000005</c:v>
                  </c:pt>
                  <c:pt idx="11">
                    <c:v>36.100000000000009</c:v>
                  </c:pt>
                  <c:pt idx="12">
                    <c:v>10.3</c:v>
                  </c:pt>
                  <c:pt idx="13">
                    <c:v>8.5940000000000012</c:v>
                  </c:pt>
                  <c:pt idx="14">
                    <c:v>7</c:v>
                  </c:pt>
                  <c:pt idx="15">
                    <c:v>3.1579999999999995</c:v>
                  </c:pt>
                  <c:pt idx="16">
                    <c:v>1.9800000000000177</c:v>
                  </c:pt>
                  <c:pt idx="17">
                    <c:v>8.09</c:v>
                  </c:pt>
                  <c:pt idx="18">
                    <c:v>4.8639999999999946</c:v>
                  </c:pt>
                  <c:pt idx="19">
                    <c:v>5.9550000000000018</c:v>
                  </c:pt>
                  <c:pt idx="20">
                    <c:v>4</c:v>
                  </c:pt>
                  <c:pt idx="21">
                    <c:v>5.18</c:v>
                  </c:pt>
                  <c:pt idx="22">
                    <c:v>2.6699999999999982</c:v>
                  </c:pt>
                  <c:pt idx="23">
                    <c:v>14.5</c:v>
                  </c:pt>
                  <c:pt idx="24">
                    <c:v>13.780000000000001</c:v>
                  </c:pt>
                  <c:pt idx="25">
                    <c:v>12.420000000000002</c:v>
                  </c:pt>
                  <c:pt idx="26">
                    <c:v>7.7899999999999991</c:v>
                  </c:pt>
                  <c:pt idx="27">
                    <c:v>9.39</c:v>
                  </c:pt>
                  <c:pt idx="28">
                    <c:v>12.990000000000002</c:v>
                  </c:pt>
                  <c:pt idx="29">
                    <c:v>1.5899999999999728</c:v>
                  </c:pt>
                  <c:pt idx="30">
                    <c:v>15.180000000000007</c:v>
                  </c:pt>
                  <c:pt idx="31">
                    <c:v>4.1599999999999966</c:v>
                  </c:pt>
                  <c:pt idx="32">
                    <c:v>6.0100000000000051</c:v>
                  </c:pt>
                  <c:pt idx="33">
                    <c:v>0</c:v>
                  </c:pt>
                  <c:pt idx="34">
                    <c:v>0</c:v>
                  </c:pt>
                  <c:pt idx="35">
                    <c:v>0</c:v>
                  </c:pt>
                  <c:pt idx="36">
                    <c:v>0</c:v>
                  </c:pt>
                </c:numCache>
              </c:numRef>
            </c:plus>
            <c:minus>
              <c:numRef>
                <c:f>'Chlorella U'!$F$4:$F$40</c:f>
                <c:numCache>
                  <c:formatCode>General</c:formatCode>
                  <c:ptCount val="37"/>
                  <c:pt idx="0">
                    <c:v>13</c:v>
                  </c:pt>
                  <c:pt idx="1">
                    <c:v>13</c:v>
                  </c:pt>
                  <c:pt idx="2">
                    <c:v>19</c:v>
                  </c:pt>
                  <c:pt idx="3">
                    <c:v>26</c:v>
                  </c:pt>
                  <c:pt idx="4">
                    <c:v>13</c:v>
                  </c:pt>
                  <c:pt idx="5">
                    <c:v>13.3</c:v>
                  </c:pt>
                  <c:pt idx="6">
                    <c:v>3.5</c:v>
                  </c:pt>
                  <c:pt idx="7">
                    <c:v>9.1000000000000014</c:v>
                  </c:pt>
                  <c:pt idx="8">
                    <c:v>31.3</c:v>
                  </c:pt>
                  <c:pt idx="9">
                    <c:v>11.8</c:v>
                  </c:pt>
                  <c:pt idx="10">
                    <c:v>5.6999999999999957</c:v>
                  </c:pt>
                  <c:pt idx="11">
                    <c:v>11.700000000000001</c:v>
                  </c:pt>
                  <c:pt idx="12">
                    <c:v>10.400000000000002</c:v>
                  </c:pt>
                  <c:pt idx="13">
                    <c:v>8.1750000000000007</c:v>
                  </c:pt>
                  <c:pt idx="14">
                    <c:v>10</c:v>
                  </c:pt>
                  <c:pt idx="15">
                    <c:v>3.3419999999999987</c:v>
                  </c:pt>
                  <c:pt idx="16">
                    <c:v>3.8200000000000003</c:v>
                  </c:pt>
                  <c:pt idx="17">
                    <c:v>3.629999999999999</c:v>
                  </c:pt>
                  <c:pt idx="18">
                    <c:v>6.0299999999999976</c:v>
                  </c:pt>
                  <c:pt idx="19">
                    <c:v>4.734</c:v>
                  </c:pt>
                  <c:pt idx="20">
                    <c:v>5</c:v>
                  </c:pt>
                  <c:pt idx="21">
                    <c:v>5.4400000000000013</c:v>
                  </c:pt>
                  <c:pt idx="22">
                    <c:v>2.6700000000000017</c:v>
                  </c:pt>
                  <c:pt idx="23">
                    <c:v>33.5</c:v>
                  </c:pt>
                  <c:pt idx="24">
                    <c:v>16.39</c:v>
                  </c:pt>
                  <c:pt idx="25">
                    <c:v>12.600000000000001</c:v>
                  </c:pt>
                  <c:pt idx="26">
                    <c:v>7.68</c:v>
                  </c:pt>
                  <c:pt idx="27">
                    <c:v>6.6499999999999986</c:v>
                  </c:pt>
                  <c:pt idx="28">
                    <c:v>10.810000000000002</c:v>
                  </c:pt>
                  <c:pt idx="29">
                    <c:v>1.6600000000000041</c:v>
                  </c:pt>
                  <c:pt idx="30">
                    <c:v>14.66</c:v>
                  </c:pt>
                  <c:pt idx="31">
                    <c:v>4.509999999999998</c:v>
                  </c:pt>
                  <c:pt idx="33">
                    <c:v>0</c:v>
                  </c:pt>
                  <c:pt idx="34">
                    <c:v>0</c:v>
                  </c:pt>
                  <c:pt idx="35">
                    <c:v>0</c:v>
                  </c:pt>
                  <c:pt idx="36">
                    <c:v>0</c:v>
                  </c:pt>
                </c:numCache>
              </c:numRef>
            </c:minus>
            <c:spPr>
              <a:ln w="12700">
                <a:solidFill>
                  <a:srgbClr val="000000"/>
                </a:solidFill>
                <a:prstDash val="solid"/>
              </a:ln>
            </c:spPr>
          </c:errBars>
          <c:xVal>
            <c:strRef>
              <c:f>'Chlorella U'!$C$4:$C$40</c:f>
              <c:strCache>
                <c:ptCount val="32"/>
                <c:pt idx="0">
                  <c:v>Franklin 1</c:v>
                </c:pt>
                <c:pt idx="1">
                  <c:v>Franklin 2</c:v>
                </c:pt>
                <c:pt idx="2">
                  <c:v>Franklin 3</c:v>
                </c:pt>
                <c:pt idx="3">
                  <c:v>564G Alg_U 8 (SSW)</c:v>
                </c:pt>
                <c:pt idx="4">
                  <c:v>684G RefTox 01</c:v>
                </c:pt>
                <c:pt idx="5">
                  <c:v>696G RefTox 02</c:v>
                </c:pt>
                <c:pt idx="6">
                  <c:v>774G RefTox 06</c:v>
                </c:pt>
                <c:pt idx="7">
                  <c:v>839G RefTox07</c:v>
                </c:pt>
                <c:pt idx="8">
                  <c:v>893G</c:v>
                </c:pt>
                <c:pt idx="9">
                  <c:v>899G</c:v>
                </c:pt>
                <c:pt idx="10">
                  <c:v>905G</c:v>
                </c:pt>
                <c:pt idx="11">
                  <c:v>924G</c:v>
                </c:pt>
                <c:pt idx="12">
                  <c:v>941G</c:v>
                </c:pt>
                <c:pt idx="13">
                  <c:v>965G</c:v>
                </c:pt>
                <c:pt idx="14">
                  <c:v>993G NB: Control GR %CV=20.34</c:v>
                </c:pt>
                <c:pt idx="15">
                  <c:v>1064G</c:v>
                </c:pt>
                <c:pt idx="16">
                  <c:v>1080G</c:v>
                </c:pt>
                <c:pt idx="17">
                  <c:v>1091G</c:v>
                </c:pt>
                <c:pt idx="18">
                  <c:v>1106G</c:v>
                </c:pt>
                <c:pt idx="19">
                  <c:v>1144G</c:v>
                </c:pt>
                <c:pt idx="20">
                  <c:v>1163G</c:v>
                </c:pt>
                <c:pt idx="21">
                  <c:v>1178G</c:v>
                </c:pt>
                <c:pt idx="22">
                  <c:v>1238G</c:v>
                </c:pt>
                <c:pt idx="23">
                  <c:v>1269G</c:v>
                </c:pt>
                <c:pt idx="24">
                  <c:v>1286G</c:v>
                </c:pt>
                <c:pt idx="25">
                  <c:v>1296G</c:v>
                </c:pt>
                <c:pt idx="26">
                  <c:v>1313G</c:v>
                </c:pt>
                <c:pt idx="27">
                  <c:v>1328G</c:v>
                </c:pt>
                <c:pt idx="28">
                  <c:v>1339G</c:v>
                </c:pt>
                <c:pt idx="29">
                  <c:v>1365G</c:v>
                </c:pt>
                <c:pt idx="30">
                  <c:v>1384G</c:v>
                </c:pt>
                <c:pt idx="31">
                  <c:v>1388G</c:v>
                </c:pt>
              </c:strCache>
            </c:strRef>
          </c:xVal>
          <c:yVal>
            <c:numRef>
              <c:f>'Chlorella U'!$D$4:$D$40</c:f>
              <c:numCache>
                <c:formatCode>General</c:formatCode>
                <c:ptCount val="37"/>
                <c:pt idx="0">
                  <c:v>54</c:v>
                </c:pt>
                <c:pt idx="1">
                  <c:v>63</c:v>
                </c:pt>
                <c:pt idx="2">
                  <c:v>67</c:v>
                </c:pt>
                <c:pt idx="3">
                  <c:v>74</c:v>
                </c:pt>
                <c:pt idx="4">
                  <c:v>37</c:v>
                </c:pt>
                <c:pt idx="5">
                  <c:v>30</c:v>
                </c:pt>
                <c:pt idx="6">
                  <c:v>38.700000000000003</c:v>
                </c:pt>
                <c:pt idx="7">
                  <c:v>52.7</c:v>
                </c:pt>
                <c:pt idx="8">
                  <c:v>60.6</c:v>
                </c:pt>
                <c:pt idx="9">
                  <c:v>37.9</c:v>
                </c:pt>
                <c:pt idx="10">
                  <c:v>37.300000000000004</c:v>
                </c:pt>
                <c:pt idx="11">
                  <c:v>33.800000000000004</c:v>
                </c:pt>
                <c:pt idx="12">
                  <c:v>34.700000000000003</c:v>
                </c:pt>
                <c:pt idx="13">
                  <c:v>15.225</c:v>
                </c:pt>
                <c:pt idx="14">
                  <c:v>43</c:v>
                </c:pt>
                <c:pt idx="15">
                  <c:v>10.117999999999999</c:v>
                </c:pt>
                <c:pt idx="16">
                  <c:v>14.52</c:v>
                </c:pt>
                <c:pt idx="17">
                  <c:v>29.979999999999986</c:v>
                </c:pt>
                <c:pt idx="18">
                  <c:v>32.056000000000004</c:v>
                </c:pt>
                <c:pt idx="19">
                  <c:v>20.215</c:v>
                </c:pt>
                <c:pt idx="20">
                  <c:v>33</c:v>
                </c:pt>
                <c:pt idx="21">
                  <c:v>22.8</c:v>
                </c:pt>
                <c:pt idx="22">
                  <c:v>19.32</c:v>
                </c:pt>
                <c:pt idx="23">
                  <c:v>43.5</c:v>
                </c:pt>
                <c:pt idx="24">
                  <c:v>51.07</c:v>
                </c:pt>
                <c:pt idx="25">
                  <c:v>47.14</c:v>
                </c:pt>
                <c:pt idx="26">
                  <c:v>46.61</c:v>
                </c:pt>
                <c:pt idx="27">
                  <c:v>45.8</c:v>
                </c:pt>
                <c:pt idx="28">
                  <c:v>62.260000000000012</c:v>
                </c:pt>
                <c:pt idx="29">
                  <c:v>57.809999999999995</c:v>
                </c:pt>
                <c:pt idx="30">
                  <c:v>74.910000000000025</c:v>
                </c:pt>
                <c:pt idx="31">
                  <c:v>46.1</c:v>
                </c:pt>
              </c:numCache>
            </c:numRef>
          </c:yVal>
        </c:ser>
        <c:ser>
          <c:idx val="1"/>
          <c:order val="1"/>
          <c:tx>
            <c:v>Upper 99% confidence limit</c:v>
          </c:tx>
          <c:spPr>
            <a:ln w="25400">
              <a:solidFill>
                <a:srgbClr val="000000"/>
              </a:solidFill>
              <a:prstDash val="lgDash"/>
            </a:ln>
          </c:spPr>
          <c:marker>
            <c:symbol val="none"/>
          </c:marker>
          <c:xVal>
            <c:strRef>
              <c:f>'Chlorella U'!$C$4:$C$40</c:f>
              <c:strCache>
                <c:ptCount val="32"/>
                <c:pt idx="0">
                  <c:v>Franklin 1</c:v>
                </c:pt>
                <c:pt idx="1">
                  <c:v>Franklin 2</c:v>
                </c:pt>
                <c:pt idx="2">
                  <c:v>Franklin 3</c:v>
                </c:pt>
                <c:pt idx="3">
                  <c:v>564G Alg_U 8 (SSW)</c:v>
                </c:pt>
                <c:pt idx="4">
                  <c:v>684G RefTox 01</c:v>
                </c:pt>
                <c:pt idx="5">
                  <c:v>696G RefTox 02</c:v>
                </c:pt>
                <c:pt idx="6">
                  <c:v>774G RefTox 06</c:v>
                </c:pt>
                <c:pt idx="7">
                  <c:v>839G RefTox07</c:v>
                </c:pt>
                <c:pt idx="8">
                  <c:v>893G</c:v>
                </c:pt>
                <c:pt idx="9">
                  <c:v>899G</c:v>
                </c:pt>
                <c:pt idx="10">
                  <c:v>905G</c:v>
                </c:pt>
                <c:pt idx="11">
                  <c:v>924G</c:v>
                </c:pt>
                <c:pt idx="12">
                  <c:v>941G</c:v>
                </c:pt>
                <c:pt idx="13">
                  <c:v>965G</c:v>
                </c:pt>
                <c:pt idx="14">
                  <c:v>993G NB: Control GR %CV=20.34</c:v>
                </c:pt>
                <c:pt idx="15">
                  <c:v>1064G</c:v>
                </c:pt>
                <c:pt idx="16">
                  <c:v>1080G</c:v>
                </c:pt>
                <c:pt idx="17">
                  <c:v>1091G</c:v>
                </c:pt>
                <c:pt idx="18">
                  <c:v>1106G</c:v>
                </c:pt>
                <c:pt idx="19">
                  <c:v>1144G</c:v>
                </c:pt>
                <c:pt idx="20">
                  <c:v>1163G</c:v>
                </c:pt>
                <c:pt idx="21">
                  <c:v>1178G</c:v>
                </c:pt>
                <c:pt idx="22">
                  <c:v>1238G</c:v>
                </c:pt>
                <c:pt idx="23">
                  <c:v>1269G</c:v>
                </c:pt>
                <c:pt idx="24">
                  <c:v>1286G</c:v>
                </c:pt>
                <c:pt idx="25">
                  <c:v>1296G</c:v>
                </c:pt>
                <c:pt idx="26">
                  <c:v>1313G</c:v>
                </c:pt>
                <c:pt idx="27">
                  <c:v>1328G</c:v>
                </c:pt>
                <c:pt idx="28">
                  <c:v>1339G</c:v>
                </c:pt>
                <c:pt idx="29">
                  <c:v>1365G</c:v>
                </c:pt>
                <c:pt idx="30">
                  <c:v>1384G</c:v>
                </c:pt>
                <c:pt idx="31">
                  <c:v>1388G</c:v>
                </c:pt>
              </c:strCache>
            </c:strRef>
          </c:xVal>
          <c:yVal>
            <c:numRef>
              <c:f>'Chlorella U'!$K$4:$K$40</c:f>
              <c:numCache>
                <c:formatCode>General</c:formatCode>
                <c:ptCount val="37"/>
                <c:pt idx="0">
                  <c:v>93.182888392396421</c:v>
                </c:pt>
                <c:pt idx="1">
                  <c:v>93.182888392396421</c:v>
                </c:pt>
                <c:pt idx="2">
                  <c:v>93.182888392396421</c:v>
                </c:pt>
                <c:pt idx="3">
                  <c:v>93.182888392396421</c:v>
                </c:pt>
                <c:pt idx="4">
                  <c:v>93.182888392396421</c:v>
                </c:pt>
                <c:pt idx="5">
                  <c:v>93.182888392396421</c:v>
                </c:pt>
                <c:pt idx="6">
                  <c:v>93.182888392396421</c:v>
                </c:pt>
                <c:pt idx="7">
                  <c:v>93.182888392396421</c:v>
                </c:pt>
                <c:pt idx="8">
                  <c:v>93.182888392396421</c:v>
                </c:pt>
                <c:pt idx="9">
                  <c:v>93.182888392396421</c:v>
                </c:pt>
                <c:pt idx="10">
                  <c:v>93.182888392396421</c:v>
                </c:pt>
                <c:pt idx="11">
                  <c:v>93.182888392396421</c:v>
                </c:pt>
                <c:pt idx="12">
                  <c:v>93.182888392396421</c:v>
                </c:pt>
                <c:pt idx="13">
                  <c:v>93.182888392396421</c:v>
                </c:pt>
                <c:pt idx="14">
                  <c:v>93.182888392396421</c:v>
                </c:pt>
                <c:pt idx="15">
                  <c:v>93.182888392396421</c:v>
                </c:pt>
                <c:pt idx="16">
                  <c:v>93.182888392396421</c:v>
                </c:pt>
                <c:pt idx="17">
                  <c:v>93.182888392396421</c:v>
                </c:pt>
                <c:pt idx="18">
                  <c:v>93.182888392396421</c:v>
                </c:pt>
                <c:pt idx="19">
                  <c:v>93.182888392396421</c:v>
                </c:pt>
                <c:pt idx="20">
                  <c:v>93.182888392396421</c:v>
                </c:pt>
                <c:pt idx="21">
                  <c:v>93.182888392396421</c:v>
                </c:pt>
                <c:pt idx="22">
                  <c:v>93.182888392396421</c:v>
                </c:pt>
                <c:pt idx="23">
                  <c:v>93.182888392396421</c:v>
                </c:pt>
                <c:pt idx="24">
                  <c:v>93.182888392396421</c:v>
                </c:pt>
                <c:pt idx="25">
                  <c:v>93.182888392396421</c:v>
                </c:pt>
                <c:pt idx="26">
                  <c:v>93.182888392396421</c:v>
                </c:pt>
                <c:pt idx="27">
                  <c:v>93.182888392396421</c:v>
                </c:pt>
                <c:pt idx="28">
                  <c:v>93.182888392396421</c:v>
                </c:pt>
                <c:pt idx="29">
                  <c:v>93.182888392396421</c:v>
                </c:pt>
                <c:pt idx="30">
                  <c:v>93.182888392396421</c:v>
                </c:pt>
                <c:pt idx="31">
                  <c:v>93.182888392396421</c:v>
                </c:pt>
                <c:pt idx="32">
                  <c:v>93.182888392396421</c:v>
                </c:pt>
                <c:pt idx="33">
                  <c:v>93.182888392396421</c:v>
                </c:pt>
                <c:pt idx="34">
                  <c:v>93.182888392396421</c:v>
                </c:pt>
                <c:pt idx="35">
                  <c:v>93.182888392396421</c:v>
                </c:pt>
                <c:pt idx="36">
                  <c:v>93.182888392396421</c:v>
                </c:pt>
              </c:numCache>
            </c:numRef>
          </c:yVal>
        </c:ser>
        <c:ser>
          <c:idx val="2"/>
          <c:order val="2"/>
          <c:tx>
            <c:v>Lower 99% confidence limit</c:v>
          </c:tx>
          <c:spPr>
            <a:ln w="25400">
              <a:solidFill>
                <a:srgbClr val="000000"/>
              </a:solidFill>
              <a:prstDash val="lgDash"/>
            </a:ln>
          </c:spPr>
          <c:marker>
            <c:symbol val="none"/>
          </c:marker>
          <c:xVal>
            <c:strRef>
              <c:f>'Chlorella U'!$C$4:$C$40</c:f>
              <c:strCache>
                <c:ptCount val="32"/>
                <c:pt idx="0">
                  <c:v>Franklin 1</c:v>
                </c:pt>
                <c:pt idx="1">
                  <c:v>Franklin 2</c:v>
                </c:pt>
                <c:pt idx="2">
                  <c:v>Franklin 3</c:v>
                </c:pt>
                <c:pt idx="3">
                  <c:v>564G Alg_U 8 (SSW)</c:v>
                </c:pt>
                <c:pt idx="4">
                  <c:v>684G RefTox 01</c:v>
                </c:pt>
                <c:pt idx="5">
                  <c:v>696G RefTox 02</c:v>
                </c:pt>
                <c:pt idx="6">
                  <c:v>774G RefTox 06</c:v>
                </c:pt>
                <c:pt idx="7">
                  <c:v>839G RefTox07</c:v>
                </c:pt>
                <c:pt idx="8">
                  <c:v>893G</c:v>
                </c:pt>
                <c:pt idx="9">
                  <c:v>899G</c:v>
                </c:pt>
                <c:pt idx="10">
                  <c:v>905G</c:v>
                </c:pt>
                <c:pt idx="11">
                  <c:v>924G</c:v>
                </c:pt>
                <c:pt idx="12">
                  <c:v>941G</c:v>
                </c:pt>
                <c:pt idx="13">
                  <c:v>965G</c:v>
                </c:pt>
                <c:pt idx="14">
                  <c:v>993G NB: Control GR %CV=20.34</c:v>
                </c:pt>
                <c:pt idx="15">
                  <c:v>1064G</c:v>
                </c:pt>
                <c:pt idx="16">
                  <c:v>1080G</c:v>
                </c:pt>
                <c:pt idx="17">
                  <c:v>1091G</c:v>
                </c:pt>
                <c:pt idx="18">
                  <c:v>1106G</c:v>
                </c:pt>
                <c:pt idx="19">
                  <c:v>1144G</c:v>
                </c:pt>
                <c:pt idx="20">
                  <c:v>1163G</c:v>
                </c:pt>
                <c:pt idx="21">
                  <c:v>1178G</c:v>
                </c:pt>
                <c:pt idx="22">
                  <c:v>1238G</c:v>
                </c:pt>
                <c:pt idx="23">
                  <c:v>1269G</c:v>
                </c:pt>
                <c:pt idx="24">
                  <c:v>1286G</c:v>
                </c:pt>
                <c:pt idx="25">
                  <c:v>1296G</c:v>
                </c:pt>
                <c:pt idx="26">
                  <c:v>1313G</c:v>
                </c:pt>
                <c:pt idx="27">
                  <c:v>1328G</c:v>
                </c:pt>
                <c:pt idx="28">
                  <c:v>1339G</c:v>
                </c:pt>
                <c:pt idx="29">
                  <c:v>1365G</c:v>
                </c:pt>
                <c:pt idx="30">
                  <c:v>1384G</c:v>
                </c:pt>
                <c:pt idx="31">
                  <c:v>1388G</c:v>
                </c:pt>
              </c:strCache>
            </c:strRef>
          </c:xVal>
          <c:yVal>
            <c:numRef>
              <c:f>'Chlorella U'!$O$4:$O$40</c:f>
              <c:numCache>
                <c:formatCode>General</c:formatCode>
                <c:ptCount val="37"/>
                <c:pt idx="0">
                  <c:v>-9.674513392398957</c:v>
                </c:pt>
                <c:pt idx="1">
                  <c:v>-9.674513392398957</c:v>
                </c:pt>
                <c:pt idx="2">
                  <c:v>-9.674513392398957</c:v>
                </c:pt>
                <c:pt idx="3">
                  <c:v>-9.674513392398957</c:v>
                </c:pt>
                <c:pt idx="4">
                  <c:v>-9.674513392398957</c:v>
                </c:pt>
                <c:pt idx="5">
                  <c:v>-9.674513392398957</c:v>
                </c:pt>
                <c:pt idx="6">
                  <c:v>-9.674513392398957</c:v>
                </c:pt>
                <c:pt idx="7">
                  <c:v>-9.674513392398957</c:v>
                </c:pt>
                <c:pt idx="8">
                  <c:v>-9.674513392398957</c:v>
                </c:pt>
                <c:pt idx="9">
                  <c:v>-9.674513392398957</c:v>
                </c:pt>
                <c:pt idx="10">
                  <c:v>-9.674513392398957</c:v>
                </c:pt>
                <c:pt idx="11">
                  <c:v>-9.674513392398957</c:v>
                </c:pt>
                <c:pt idx="12">
                  <c:v>-9.674513392398957</c:v>
                </c:pt>
                <c:pt idx="13">
                  <c:v>-9.674513392398957</c:v>
                </c:pt>
                <c:pt idx="14">
                  <c:v>-9.674513392398957</c:v>
                </c:pt>
                <c:pt idx="15">
                  <c:v>-9.674513392398957</c:v>
                </c:pt>
                <c:pt idx="16">
                  <c:v>-9.674513392398957</c:v>
                </c:pt>
                <c:pt idx="17">
                  <c:v>-9.674513392398957</c:v>
                </c:pt>
                <c:pt idx="18">
                  <c:v>-9.674513392398957</c:v>
                </c:pt>
                <c:pt idx="19">
                  <c:v>-9.674513392398957</c:v>
                </c:pt>
                <c:pt idx="20">
                  <c:v>-9.674513392398957</c:v>
                </c:pt>
                <c:pt idx="21">
                  <c:v>-9.674513392398957</c:v>
                </c:pt>
                <c:pt idx="22">
                  <c:v>-9.674513392398957</c:v>
                </c:pt>
                <c:pt idx="23">
                  <c:v>-9.674513392398957</c:v>
                </c:pt>
                <c:pt idx="24">
                  <c:v>-9.674513392398957</c:v>
                </c:pt>
                <c:pt idx="25">
                  <c:v>-9.674513392398957</c:v>
                </c:pt>
                <c:pt idx="26">
                  <c:v>-9.674513392398957</c:v>
                </c:pt>
                <c:pt idx="27">
                  <c:v>-9.674513392398957</c:v>
                </c:pt>
                <c:pt idx="28">
                  <c:v>-9.674513392398957</c:v>
                </c:pt>
                <c:pt idx="29">
                  <c:v>-9.674513392398957</c:v>
                </c:pt>
                <c:pt idx="30">
                  <c:v>-9.674513392398957</c:v>
                </c:pt>
                <c:pt idx="31">
                  <c:v>-9.674513392398957</c:v>
                </c:pt>
                <c:pt idx="32">
                  <c:v>-9.674513392398957</c:v>
                </c:pt>
                <c:pt idx="33">
                  <c:v>-9.674513392398957</c:v>
                </c:pt>
                <c:pt idx="34">
                  <c:v>-9.674513392398957</c:v>
                </c:pt>
                <c:pt idx="35">
                  <c:v>-9.674513392398957</c:v>
                </c:pt>
                <c:pt idx="36">
                  <c:v>-9.674513392398957</c:v>
                </c:pt>
              </c:numCache>
            </c:numRef>
          </c:yVal>
        </c:ser>
        <c:ser>
          <c:idx val="3"/>
          <c:order val="3"/>
          <c:tx>
            <c:v>Upper warning limit</c:v>
          </c:tx>
          <c:spPr>
            <a:ln w="25400">
              <a:solidFill>
                <a:srgbClr val="000000"/>
              </a:solidFill>
              <a:prstDash val="sysDash"/>
            </a:ln>
          </c:spPr>
          <c:marker>
            <c:symbol val="none"/>
          </c:marker>
          <c:xVal>
            <c:strRef>
              <c:f>'Chlorella U'!$C$4:$C$40</c:f>
              <c:strCache>
                <c:ptCount val="32"/>
                <c:pt idx="0">
                  <c:v>Franklin 1</c:v>
                </c:pt>
                <c:pt idx="1">
                  <c:v>Franklin 2</c:v>
                </c:pt>
                <c:pt idx="2">
                  <c:v>Franklin 3</c:v>
                </c:pt>
                <c:pt idx="3">
                  <c:v>564G Alg_U 8 (SSW)</c:v>
                </c:pt>
                <c:pt idx="4">
                  <c:v>684G RefTox 01</c:v>
                </c:pt>
                <c:pt idx="5">
                  <c:v>696G RefTox 02</c:v>
                </c:pt>
                <c:pt idx="6">
                  <c:v>774G RefTox 06</c:v>
                </c:pt>
                <c:pt idx="7">
                  <c:v>839G RefTox07</c:v>
                </c:pt>
                <c:pt idx="8">
                  <c:v>893G</c:v>
                </c:pt>
                <c:pt idx="9">
                  <c:v>899G</c:v>
                </c:pt>
                <c:pt idx="10">
                  <c:v>905G</c:v>
                </c:pt>
                <c:pt idx="11">
                  <c:v>924G</c:v>
                </c:pt>
                <c:pt idx="12">
                  <c:v>941G</c:v>
                </c:pt>
                <c:pt idx="13">
                  <c:v>965G</c:v>
                </c:pt>
                <c:pt idx="14">
                  <c:v>993G NB: Control GR %CV=20.34</c:v>
                </c:pt>
                <c:pt idx="15">
                  <c:v>1064G</c:v>
                </c:pt>
                <c:pt idx="16">
                  <c:v>1080G</c:v>
                </c:pt>
                <c:pt idx="17">
                  <c:v>1091G</c:v>
                </c:pt>
                <c:pt idx="18">
                  <c:v>1106G</c:v>
                </c:pt>
                <c:pt idx="19">
                  <c:v>1144G</c:v>
                </c:pt>
                <c:pt idx="20">
                  <c:v>1163G</c:v>
                </c:pt>
                <c:pt idx="21">
                  <c:v>1178G</c:v>
                </c:pt>
                <c:pt idx="22">
                  <c:v>1238G</c:v>
                </c:pt>
                <c:pt idx="23">
                  <c:v>1269G</c:v>
                </c:pt>
                <c:pt idx="24">
                  <c:v>1286G</c:v>
                </c:pt>
                <c:pt idx="25">
                  <c:v>1296G</c:v>
                </c:pt>
                <c:pt idx="26">
                  <c:v>1313G</c:v>
                </c:pt>
                <c:pt idx="27">
                  <c:v>1328G</c:v>
                </c:pt>
                <c:pt idx="28">
                  <c:v>1339G</c:v>
                </c:pt>
                <c:pt idx="29">
                  <c:v>1365G</c:v>
                </c:pt>
                <c:pt idx="30">
                  <c:v>1384G</c:v>
                </c:pt>
                <c:pt idx="31">
                  <c:v>1388G</c:v>
                </c:pt>
              </c:strCache>
            </c:strRef>
          </c:xVal>
          <c:yVal>
            <c:numRef>
              <c:f>'Chlorella U'!$L$4:$L$40</c:f>
              <c:numCache>
                <c:formatCode>General</c:formatCode>
                <c:ptCount val="37"/>
                <c:pt idx="0">
                  <c:v>76.039988094932639</c:v>
                </c:pt>
                <c:pt idx="1">
                  <c:v>76.039988094932639</c:v>
                </c:pt>
                <c:pt idx="2">
                  <c:v>76.039988094932639</c:v>
                </c:pt>
                <c:pt idx="3">
                  <c:v>76.039988094932639</c:v>
                </c:pt>
                <c:pt idx="4">
                  <c:v>76.039988094932639</c:v>
                </c:pt>
                <c:pt idx="5">
                  <c:v>76.039988094932639</c:v>
                </c:pt>
                <c:pt idx="6">
                  <c:v>76.039988094932639</c:v>
                </c:pt>
                <c:pt idx="7">
                  <c:v>76.039988094932639</c:v>
                </c:pt>
                <c:pt idx="8">
                  <c:v>76.039988094932639</c:v>
                </c:pt>
                <c:pt idx="9">
                  <c:v>76.039988094932639</c:v>
                </c:pt>
                <c:pt idx="10">
                  <c:v>76.039988094932639</c:v>
                </c:pt>
                <c:pt idx="11">
                  <c:v>76.039988094932639</c:v>
                </c:pt>
                <c:pt idx="12">
                  <c:v>76.039988094932639</c:v>
                </c:pt>
                <c:pt idx="13">
                  <c:v>76.039988094932639</c:v>
                </c:pt>
                <c:pt idx="14">
                  <c:v>76.039988094932639</c:v>
                </c:pt>
                <c:pt idx="15">
                  <c:v>76.039988094932639</c:v>
                </c:pt>
                <c:pt idx="16">
                  <c:v>76.039988094932639</c:v>
                </c:pt>
                <c:pt idx="17">
                  <c:v>76.039988094932639</c:v>
                </c:pt>
                <c:pt idx="18">
                  <c:v>76.039988094932639</c:v>
                </c:pt>
                <c:pt idx="19">
                  <c:v>76.039988094932639</c:v>
                </c:pt>
                <c:pt idx="20">
                  <c:v>76.039988094932639</c:v>
                </c:pt>
                <c:pt idx="21">
                  <c:v>76.039988094932639</c:v>
                </c:pt>
                <c:pt idx="22">
                  <c:v>76.039988094932639</c:v>
                </c:pt>
                <c:pt idx="23">
                  <c:v>76.039988094932639</c:v>
                </c:pt>
                <c:pt idx="24">
                  <c:v>76.039988094932639</c:v>
                </c:pt>
                <c:pt idx="25">
                  <c:v>76.039988094932639</c:v>
                </c:pt>
                <c:pt idx="26">
                  <c:v>76.039988094932639</c:v>
                </c:pt>
                <c:pt idx="27">
                  <c:v>76.039988094932639</c:v>
                </c:pt>
                <c:pt idx="28">
                  <c:v>76.039988094932639</c:v>
                </c:pt>
                <c:pt idx="29">
                  <c:v>76.039988094932639</c:v>
                </c:pt>
                <c:pt idx="30">
                  <c:v>76.039988094932639</c:v>
                </c:pt>
                <c:pt idx="31">
                  <c:v>76.039988094932639</c:v>
                </c:pt>
                <c:pt idx="32">
                  <c:v>76.039988094932639</c:v>
                </c:pt>
                <c:pt idx="33">
                  <c:v>76.039988094932639</c:v>
                </c:pt>
                <c:pt idx="34">
                  <c:v>76.039988094932639</c:v>
                </c:pt>
                <c:pt idx="35">
                  <c:v>76.039988094932639</c:v>
                </c:pt>
                <c:pt idx="36">
                  <c:v>76.039988094932639</c:v>
                </c:pt>
              </c:numCache>
            </c:numRef>
          </c:yVal>
        </c:ser>
        <c:ser>
          <c:idx val="4"/>
          <c:order val="4"/>
          <c:tx>
            <c:v>Lower warning limit</c:v>
          </c:tx>
          <c:spPr>
            <a:ln w="25400">
              <a:solidFill>
                <a:srgbClr val="000000"/>
              </a:solidFill>
              <a:prstDash val="sysDash"/>
            </a:ln>
          </c:spPr>
          <c:marker>
            <c:symbol val="none"/>
          </c:marker>
          <c:xVal>
            <c:strRef>
              <c:f>'Chlorella U'!$C$4:$C$40</c:f>
              <c:strCache>
                <c:ptCount val="32"/>
                <c:pt idx="0">
                  <c:v>Franklin 1</c:v>
                </c:pt>
                <c:pt idx="1">
                  <c:v>Franklin 2</c:v>
                </c:pt>
                <c:pt idx="2">
                  <c:v>Franklin 3</c:v>
                </c:pt>
                <c:pt idx="3">
                  <c:v>564G Alg_U 8 (SSW)</c:v>
                </c:pt>
                <c:pt idx="4">
                  <c:v>684G RefTox 01</c:v>
                </c:pt>
                <c:pt idx="5">
                  <c:v>696G RefTox 02</c:v>
                </c:pt>
                <c:pt idx="6">
                  <c:v>774G RefTox 06</c:v>
                </c:pt>
                <c:pt idx="7">
                  <c:v>839G RefTox07</c:v>
                </c:pt>
                <c:pt idx="8">
                  <c:v>893G</c:v>
                </c:pt>
                <c:pt idx="9">
                  <c:v>899G</c:v>
                </c:pt>
                <c:pt idx="10">
                  <c:v>905G</c:v>
                </c:pt>
                <c:pt idx="11">
                  <c:v>924G</c:v>
                </c:pt>
                <c:pt idx="12">
                  <c:v>941G</c:v>
                </c:pt>
                <c:pt idx="13">
                  <c:v>965G</c:v>
                </c:pt>
                <c:pt idx="14">
                  <c:v>993G NB: Control GR %CV=20.34</c:v>
                </c:pt>
                <c:pt idx="15">
                  <c:v>1064G</c:v>
                </c:pt>
                <c:pt idx="16">
                  <c:v>1080G</c:v>
                </c:pt>
                <c:pt idx="17">
                  <c:v>1091G</c:v>
                </c:pt>
                <c:pt idx="18">
                  <c:v>1106G</c:v>
                </c:pt>
                <c:pt idx="19">
                  <c:v>1144G</c:v>
                </c:pt>
                <c:pt idx="20">
                  <c:v>1163G</c:v>
                </c:pt>
                <c:pt idx="21">
                  <c:v>1178G</c:v>
                </c:pt>
                <c:pt idx="22">
                  <c:v>1238G</c:v>
                </c:pt>
                <c:pt idx="23">
                  <c:v>1269G</c:v>
                </c:pt>
                <c:pt idx="24">
                  <c:v>1286G</c:v>
                </c:pt>
                <c:pt idx="25">
                  <c:v>1296G</c:v>
                </c:pt>
                <c:pt idx="26">
                  <c:v>1313G</c:v>
                </c:pt>
                <c:pt idx="27">
                  <c:v>1328G</c:v>
                </c:pt>
                <c:pt idx="28">
                  <c:v>1339G</c:v>
                </c:pt>
                <c:pt idx="29">
                  <c:v>1365G</c:v>
                </c:pt>
                <c:pt idx="30">
                  <c:v>1384G</c:v>
                </c:pt>
                <c:pt idx="31">
                  <c:v>1388G</c:v>
                </c:pt>
              </c:strCache>
            </c:strRef>
          </c:xVal>
          <c:yVal>
            <c:numRef>
              <c:f>'Chlorella U'!$N$4:$N$40</c:f>
              <c:numCache>
                <c:formatCode>General</c:formatCode>
                <c:ptCount val="37"/>
                <c:pt idx="0">
                  <c:v>7.4683869050673621</c:v>
                </c:pt>
                <c:pt idx="1">
                  <c:v>7.4683869050673621</c:v>
                </c:pt>
                <c:pt idx="2">
                  <c:v>7.4683869050673621</c:v>
                </c:pt>
                <c:pt idx="3">
                  <c:v>7.4683869050673621</c:v>
                </c:pt>
                <c:pt idx="4">
                  <c:v>7.4683869050673621</c:v>
                </c:pt>
                <c:pt idx="5">
                  <c:v>7.4683869050673621</c:v>
                </c:pt>
                <c:pt idx="6">
                  <c:v>7.4683869050673621</c:v>
                </c:pt>
                <c:pt idx="7">
                  <c:v>7.4683869050673621</c:v>
                </c:pt>
                <c:pt idx="8">
                  <c:v>7.4683869050673621</c:v>
                </c:pt>
                <c:pt idx="9">
                  <c:v>7.4683869050673621</c:v>
                </c:pt>
                <c:pt idx="10">
                  <c:v>7.4683869050673621</c:v>
                </c:pt>
                <c:pt idx="11">
                  <c:v>7.4683869050673621</c:v>
                </c:pt>
                <c:pt idx="12">
                  <c:v>7.4683869050673621</c:v>
                </c:pt>
                <c:pt idx="13">
                  <c:v>7.4683869050673621</c:v>
                </c:pt>
                <c:pt idx="14">
                  <c:v>7.4683869050673621</c:v>
                </c:pt>
                <c:pt idx="15">
                  <c:v>7.4683869050673621</c:v>
                </c:pt>
                <c:pt idx="16">
                  <c:v>7.4683869050673621</c:v>
                </c:pt>
                <c:pt idx="17">
                  <c:v>7.4683869050673621</c:v>
                </c:pt>
                <c:pt idx="18">
                  <c:v>7.4683869050673621</c:v>
                </c:pt>
                <c:pt idx="19">
                  <c:v>7.4683869050673621</c:v>
                </c:pt>
                <c:pt idx="20">
                  <c:v>7.4683869050673621</c:v>
                </c:pt>
                <c:pt idx="21">
                  <c:v>7.4683869050673621</c:v>
                </c:pt>
                <c:pt idx="22">
                  <c:v>7.4683869050673621</c:v>
                </c:pt>
                <c:pt idx="23">
                  <c:v>7.4683869050673621</c:v>
                </c:pt>
                <c:pt idx="24">
                  <c:v>7.4683869050673621</c:v>
                </c:pt>
                <c:pt idx="25">
                  <c:v>7.4683869050673621</c:v>
                </c:pt>
                <c:pt idx="26">
                  <c:v>7.4683869050673621</c:v>
                </c:pt>
                <c:pt idx="27">
                  <c:v>7.4683869050673621</c:v>
                </c:pt>
                <c:pt idx="28">
                  <c:v>7.4683869050673621</c:v>
                </c:pt>
                <c:pt idx="29">
                  <c:v>7.4683869050673621</c:v>
                </c:pt>
                <c:pt idx="30">
                  <c:v>7.4683869050673621</c:v>
                </c:pt>
                <c:pt idx="31">
                  <c:v>7.4683869050673621</c:v>
                </c:pt>
                <c:pt idx="32">
                  <c:v>7.4683869050673621</c:v>
                </c:pt>
                <c:pt idx="33">
                  <c:v>7.4683869050673621</c:v>
                </c:pt>
                <c:pt idx="34">
                  <c:v>7.4683869050673621</c:v>
                </c:pt>
                <c:pt idx="35">
                  <c:v>7.4683869050673621</c:v>
                </c:pt>
                <c:pt idx="36">
                  <c:v>7.4683869050673621</c:v>
                </c:pt>
              </c:numCache>
            </c:numRef>
          </c:yVal>
        </c:ser>
        <c:ser>
          <c:idx val="5"/>
          <c:order val="5"/>
          <c:tx>
            <c:v>Mean IC50</c:v>
          </c:tx>
          <c:spPr>
            <a:ln w="12700">
              <a:solidFill>
                <a:srgbClr val="000000"/>
              </a:solidFill>
              <a:prstDash val="solid"/>
            </a:ln>
          </c:spPr>
          <c:marker>
            <c:symbol val="none"/>
          </c:marker>
          <c:xVal>
            <c:strRef>
              <c:f>'Chlorella U'!$C$4:$C$40</c:f>
              <c:strCache>
                <c:ptCount val="32"/>
                <c:pt idx="0">
                  <c:v>Franklin 1</c:v>
                </c:pt>
                <c:pt idx="1">
                  <c:v>Franklin 2</c:v>
                </c:pt>
                <c:pt idx="2">
                  <c:v>Franklin 3</c:v>
                </c:pt>
                <c:pt idx="3">
                  <c:v>564G Alg_U 8 (SSW)</c:v>
                </c:pt>
                <c:pt idx="4">
                  <c:v>684G RefTox 01</c:v>
                </c:pt>
                <c:pt idx="5">
                  <c:v>696G RefTox 02</c:v>
                </c:pt>
                <c:pt idx="6">
                  <c:v>774G RefTox 06</c:v>
                </c:pt>
                <c:pt idx="7">
                  <c:v>839G RefTox07</c:v>
                </c:pt>
                <c:pt idx="8">
                  <c:v>893G</c:v>
                </c:pt>
                <c:pt idx="9">
                  <c:v>899G</c:v>
                </c:pt>
                <c:pt idx="10">
                  <c:v>905G</c:v>
                </c:pt>
                <c:pt idx="11">
                  <c:v>924G</c:v>
                </c:pt>
                <c:pt idx="12">
                  <c:v>941G</c:v>
                </c:pt>
                <c:pt idx="13">
                  <c:v>965G</c:v>
                </c:pt>
                <c:pt idx="14">
                  <c:v>993G NB: Control GR %CV=20.34</c:v>
                </c:pt>
                <c:pt idx="15">
                  <c:v>1064G</c:v>
                </c:pt>
                <c:pt idx="16">
                  <c:v>1080G</c:v>
                </c:pt>
                <c:pt idx="17">
                  <c:v>1091G</c:v>
                </c:pt>
                <c:pt idx="18">
                  <c:v>1106G</c:v>
                </c:pt>
                <c:pt idx="19">
                  <c:v>1144G</c:v>
                </c:pt>
                <c:pt idx="20">
                  <c:v>1163G</c:v>
                </c:pt>
                <c:pt idx="21">
                  <c:v>1178G</c:v>
                </c:pt>
                <c:pt idx="22">
                  <c:v>1238G</c:v>
                </c:pt>
                <c:pt idx="23">
                  <c:v>1269G</c:v>
                </c:pt>
                <c:pt idx="24">
                  <c:v>1286G</c:v>
                </c:pt>
                <c:pt idx="25">
                  <c:v>1296G</c:v>
                </c:pt>
                <c:pt idx="26">
                  <c:v>1313G</c:v>
                </c:pt>
                <c:pt idx="27">
                  <c:v>1328G</c:v>
                </c:pt>
                <c:pt idx="28">
                  <c:v>1339G</c:v>
                </c:pt>
                <c:pt idx="29">
                  <c:v>1365G</c:v>
                </c:pt>
                <c:pt idx="30">
                  <c:v>1384G</c:v>
                </c:pt>
                <c:pt idx="31">
                  <c:v>1388G</c:v>
                </c:pt>
              </c:strCache>
            </c:strRef>
          </c:xVal>
          <c:yVal>
            <c:numRef>
              <c:f>'Chlorella U'!$M$4:$M$40</c:f>
              <c:numCache>
                <c:formatCode>General</c:formatCode>
                <c:ptCount val="37"/>
                <c:pt idx="0">
                  <c:v>41.754187499999944</c:v>
                </c:pt>
                <c:pt idx="1">
                  <c:v>41.754187499999944</c:v>
                </c:pt>
                <c:pt idx="2">
                  <c:v>41.754187499999944</c:v>
                </c:pt>
                <c:pt idx="3">
                  <c:v>41.754187499999944</c:v>
                </c:pt>
                <c:pt idx="4">
                  <c:v>41.754187499999944</c:v>
                </c:pt>
                <c:pt idx="5">
                  <c:v>41.754187499999944</c:v>
                </c:pt>
                <c:pt idx="6">
                  <c:v>41.754187499999944</c:v>
                </c:pt>
                <c:pt idx="7">
                  <c:v>41.754187499999944</c:v>
                </c:pt>
                <c:pt idx="8">
                  <c:v>41.754187499999944</c:v>
                </c:pt>
                <c:pt idx="9">
                  <c:v>41.754187499999944</c:v>
                </c:pt>
                <c:pt idx="10">
                  <c:v>41.754187499999944</c:v>
                </c:pt>
                <c:pt idx="11">
                  <c:v>41.754187499999944</c:v>
                </c:pt>
                <c:pt idx="12">
                  <c:v>41.754187499999944</c:v>
                </c:pt>
                <c:pt idx="13">
                  <c:v>41.754187499999944</c:v>
                </c:pt>
                <c:pt idx="14">
                  <c:v>41.754187499999944</c:v>
                </c:pt>
                <c:pt idx="15">
                  <c:v>41.754187499999944</c:v>
                </c:pt>
                <c:pt idx="16">
                  <c:v>41.754187499999944</c:v>
                </c:pt>
                <c:pt idx="17">
                  <c:v>41.754187499999944</c:v>
                </c:pt>
                <c:pt idx="18">
                  <c:v>41.754187499999944</c:v>
                </c:pt>
                <c:pt idx="19">
                  <c:v>41.754187499999944</c:v>
                </c:pt>
                <c:pt idx="20">
                  <c:v>41.754187499999944</c:v>
                </c:pt>
                <c:pt idx="21">
                  <c:v>41.754187499999944</c:v>
                </c:pt>
                <c:pt idx="22">
                  <c:v>41.754187499999944</c:v>
                </c:pt>
                <c:pt idx="23">
                  <c:v>41.754187499999944</c:v>
                </c:pt>
                <c:pt idx="24">
                  <c:v>41.754187499999944</c:v>
                </c:pt>
                <c:pt idx="25">
                  <c:v>41.754187499999944</c:v>
                </c:pt>
                <c:pt idx="26">
                  <c:v>41.754187499999944</c:v>
                </c:pt>
                <c:pt idx="27">
                  <c:v>41.754187499999944</c:v>
                </c:pt>
                <c:pt idx="28">
                  <c:v>41.754187499999944</c:v>
                </c:pt>
                <c:pt idx="29">
                  <c:v>41.754187499999944</c:v>
                </c:pt>
                <c:pt idx="30">
                  <c:v>41.754187499999944</c:v>
                </c:pt>
                <c:pt idx="31">
                  <c:v>41.754187499999944</c:v>
                </c:pt>
                <c:pt idx="32">
                  <c:v>41.754187499999944</c:v>
                </c:pt>
                <c:pt idx="33">
                  <c:v>41.754187499999944</c:v>
                </c:pt>
                <c:pt idx="34">
                  <c:v>41.754187499999944</c:v>
                </c:pt>
                <c:pt idx="35">
                  <c:v>41.754187499999944</c:v>
                </c:pt>
                <c:pt idx="36">
                  <c:v>41.754187499999944</c:v>
                </c:pt>
              </c:numCache>
            </c:numRef>
          </c:yVal>
        </c:ser>
        <c:ser>
          <c:idx val="6"/>
          <c:order val="6"/>
          <c:tx>
            <c:v>Running mean IC50</c:v>
          </c:tx>
          <c:spPr>
            <a:ln w="12700">
              <a:solidFill>
                <a:srgbClr val="000000"/>
              </a:solidFill>
              <a:prstDash val="solid"/>
            </a:ln>
          </c:spPr>
          <c:marker>
            <c:symbol val="none"/>
          </c:marker>
          <c:xVal>
            <c:strRef>
              <c:f>'Chlorella U'!$C$4:$C$40</c:f>
              <c:strCache>
                <c:ptCount val="32"/>
                <c:pt idx="0">
                  <c:v>Franklin 1</c:v>
                </c:pt>
                <c:pt idx="1">
                  <c:v>Franklin 2</c:v>
                </c:pt>
                <c:pt idx="2">
                  <c:v>Franklin 3</c:v>
                </c:pt>
                <c:pt idx="3">
                  <c:v>564G Alg_U 8 (SSW)</c:v>
                </c:pt>
                <c:pt idx="4">
                  <c:v>684G RefTox 01</c:v>
                </c:pt>
                <c:pt idx="5">
                  <c:v>696G RefTox 02</c:v>
                </c:pt>
                <c:pt idx="6">
                  <c:v>774G RefTox 06</c:v>
                </c:pt>
                <c:pt idx="7">
                  <c:v>839G RefTox07</c:v>
                </c:pt>
                <c:pt idx="8">
                  <c:v>893G</c:v>
                </c:pt>
                <c:pt idx="9">
                  <c:v>899G</c:v>
                </c:pt>
                <c:pt idx="10">
                  <c:v>905G</c:v>
                </c:pt>
                <c:pt idx="11">
                  <c:v>924G</c:v>
                </c:pt>
                <c:pt idx="12">
                  <c:v>941G</c:v>
                </c:pt>
                <c:pt idx="13">
                  <c:v>965G</c:v>
                </c:pt>
                <c:pt idx="14">
                  <c:v>993G NB: Control GR %CV=20.34</c:v>
                </c:pt>
                <c:pt idx="15">
                  <c:v>1064G</c:v>
                </c:pt>
                <c:pt idx="16">
                  <c:v>1080G</c:v>
                </c:pt>
                <c:pt idx="17">
                  <c:v>1091G</c:v>
                </c:pt>
                <c:pt idx="18">
                  <c:v>1106G</c:v>
                </c:pt>
                <c:pt idx="19">
                  <c:v>1144G</c:v>
                </c:pt>
                <c:pt idx="20">
                  <c:v>1163G</c:v>
                </c:pt>
                <c:pt idx="21">
                  <c:v>1178G</c:v>
                </c:pt>
                <c:pt idx="22">
                  <c:v>1238G</c:v>
                </c:pt>
                <c:pt idx="23">
                  <c:v>1269G</c:v>
                </c:pt>
                <c:pt idx="24">
                  <c:v>1286G</c:v>
                </c:pt>
                <c:pt idx="25">
                  <c:v>1296G</c:v>
                </c:pt>
                <c:pt idx="26">
                  <c:v>1313G</c:v>
                </c:pt>
                <c:pt idx="27">
                  <c:v>1328G</c:v>
                </c:pt>
                <c:pt idx="28">
                  <c:v>1339G</c:v>
                </c:pt>
                <c:pt idx="29">
                  <c:v>1365G</c:v>
                </c:pt>
                <c:pt idx="30">
                  <c:v>1384G</c:v>
                </c:pt>
                <c:pt idx="31">
                  <c:v>1388G</c:v>
                </c:pt>
              </c:strCache>
            </c:strRef>
          </c:xVal>
          <c:yVal>
            <c:numRef>
              <c:f>'Chlorella U'!$P$4:$P$40</c:f>
              <c:numCache>
                <c:formatCode>General</c:formatCode>
                <c:ptCount val="37"/>
                <c:pt idx="1">
                  <c:v>58.5</c:v>
                </c:pt>
                <c:pt idx="2">
                  <c:v>61.333333333333336</c:v>
                </c:pt>
                <c:pt idx="3">
                  <c:v>64.5</c:v>
                </c:pt>
                <c:pt idx="4">
                  <c:v>59</c:v>
                </c:pt>
                <c:pt idx="5">
                  <c:v>54.166666666665975</c:v>
                </c:pt>
                <c:pt idx="6">
                  <c:v>51.957142857141974</c:v>
                </c:pt>
                <c:pt idx="7">
                  <c:v>52.05</c:v>
                </c:pt>
                <c:pt idx="8">
                  <c:v>53</c:v>
                </c:pt>
                <c:pt idx="9">
                  <c:v>51.49</c:v>
                </c:pt>
                <c:pt idx="10">
                  <c:v>50.20000000000001</c:v>
                </c:pt>
                <c:pt idx="11">
                  <c:v>48.833333333333321</c:v>
                </c:pt>
                <c:pt idx="12">
                  <c:v>47.746153846155082</c:v>
                </c:pt>
                <c:pt idx="13">
                  <c:v>45.423214285714245</c:v>
                </c:pt>
                <c:pt idx="14">
                  <c:v>45.261666666665974</c:v>
                </c:pt>
                <c:pt idx="15">
                  <c:v>43.0651875</c:v>
                </c:pt>
                <c:pt idx="16">
                  <c:v>41.38605882352941</c:v>
                </c:pt>
                <c:pt idx="17">
                  <c:v>40.752388888889413</c:v>
                </c:pt>
                <c:pt idx="18">
                  <c:v>40.29468421052632</c:v>
                </c:pt>
                <c:pt idx="19">
                  <c:v>39.290700000000363</c:v>
                </c:pt>
                <c:pt idx="20">
                  <c:v>38.991142857142854</c:v>
                </c:pt>
                <c:pt idx="21">
                  <c:v>38.25518181818201</c:v>
                </c:pt>
                <c:pt idx="22">
                  <c:v>37.431913043478268</c:v>
                </c:pt>
                <c:pt idx="23">
                  <c:v>37.684750000000001</c:v>
                </c:pt>
                <c:pt idx="24">
                  <c:v>38.220160000000163</c:v>
                </c:pt>
                <c:pt idx="25">
                  <c:v>38.563230769230771</c:v>
                </c:pt>
                <c:pt idx="26">
                  <c:v>38.861259259258944</c:v>
                </c:pt>
                <c:pt idx="27">
                  <c:v>39.109071428571433</c:v>
                </c:pt>
                <c:pt idx="28">
                  <c:v>39.90737931034483</c:v>
                </c:pt>
                <c:pt idx="29">
                  <c:v>40.504133333333336</c:v>
                </c:pt>
                <c:pt idx="30">
                  <c:v>41.614000000000004</c:v>
                </c:pt>
                <c:pt idx="31">
                  <c:v>38.889769230769225</c:v>
                </c:pt>
                <c:pt idx="32">
                  <c:v>41.754187499999944</c:v>
                </c:pt>
                <c:pt idx="33">
                  <c:v>41.754187499999944</c:v>
                </c:pt>
                <c:pt idx="34">
                  <c:v>41.359161290321993</c:v>
                </c:pt>
                <c:pt idx="35">
                  <c:v>40.637800000000006</c:v>
                </c:pt>
                <c:pt idx="36">
                  <c:v>39.728758620690456</c:v>
                </c:pt>
              </c:numCache>
            </c:numRef>
          </c:yVal>
        </c:ser>
        <c:axId val="186142720"/>
        <c:axId val="186144640"/>
      </c:scatterChart>
      <c:valAx>
        <c:axId val="186142720"/>
        <c:scaling>
          <c:orientation val="minMax"/>
          <c:min val="0"/>
        </c:scaling>
        <c:axPos val="b"/>
        <c:title>
          <c:tx>
            <c:rich>
              <a:bodyPr/>
              <a:lstStyle/>
              <a:p>
                <a:pPr>
                  <a:defRPr sz="1050" b="1" i="0" u="none" strike="noStrike" baseline="0">
                    <a:solidFill>
                      <a:srgbClr val="000000"/>
                    </a:solidFill>
                    <a:latin typeface="Arial"/>
                    <a:ea typeface="Arial"/>
                    <a:cs typeface="Arial"/>
                  </a:defRPr>
                </a:pPr>
                <a:r>
                  <a:rPr lang="en-AU"/>
                  <a:t>Test number</a:t>
                </a:r>
              </a:p>
            </c:rich>
          </c:tx>
          <c:layout>
            <c:manualLayout>
              <c:xMode val="edge"/>
              <c:yMode val="edge"/>
              <c:x val="0.44163891415210627"/>
              <c:y val="0.93193760936132986"/>
            </c:manualLayout>
          </c:layout>
          <c:spPr>
            <a:noFill/>
            <a:ln w="25400">
              <a:noFill/>
            </a:ln>
          </c:spPr>
        </c:title>
        <c:numFmt formatCode="General" sourceLinked="1"/>
        <c:tickLblPos val="nextTo"/>
        <c:spPr>
          <a:ln w="3175">
            <a:solidFill>
              <a:srgbClr val="000000"/>
            </a:solidFill>
            <a:prstDash val="solid"/>
          </a:ln>
        </c:spPr>
        <c:txPr>
          <a:bodyPr rot="0" vert="horz"/>
          <a:lstStyle/>
          <a:p>
            <a:pPr>
              <a:defRPr sz="1200" b="0" i="0" u="none" strike="noStrike" baseline="0">
                <a:solidFill>
                  <a:srgbClr val="000000"/>
                </a:solidFill>
                <a:latin typeface="Arial"/>
                <a:ea typeface="Arial"/>
                <a:cs typeface="Arial"/>
              </a:defRPr>
            </a:pPr>
            <a:endParaRPr lang="en-US"/>
          </a:p>
        </c:txPr>
        <c:crossAx val="186144640"/>
        <c:crossesAt val="-20"/>
        <c:crossBetween val="midCat"/>
        <c:majorUnit val="2"/>
      </c:valAx>
      <c:valAx>
        <c:axId val="186144640"/>
        <c:scaling>
          <c:orientation val="minMax"/>
          <c:max val="100"/>
        </c:scaling>
        <c:axPos val="l"/>
        <c:title>
          <c:tx>
            <c:rich>
              <a:bodyPr/>
              <a:lstStyle/>
              <a:p>
                <a:pPr>
                  <a:defRPr sz="1050" b="1" i="0" u="none" strike="noStrike" baseline="0">
                    <a:solidFill>
                      <a:srgbClr val="000000"/>
                    </a:solidFill>
                    <a:latin typeface="Arial"/>
                    <a:ea typeface="Arial"/>
                    <a:cs typeface="Arial"/>
                  </a:defRPr>
                </a:pPr>
                <a:r>
                  <a:rPr lang="en-AU"/>
                  <a:t>EC50</a:t>
                </a:r>
              </a:p>
            </c:rich>
          </c:tx>
          <c:layout>
            <c:manualLayout>
              <c:xMode val="edge"/>
              <c:yMode val="edge"/>
              <c:x val="7.8470664458823846E-3"/>
              <c:y val="0.39451142825897284"/>
            </c:manualLayout>
          </c:layout>
          <c:spPr>
            <a:noFill/>
            <a:ln w="25400">
              <a:noFill/>
            </a:ln>
          </c:spPr>
        </c:title>
        <c:numFmt formatCode="General" sourceLinked="1"/>
        <c:tickLblPos val="nextTo"/>
        <c:spPr>
          <a:ln w="3175">
            <a:solidFill>
              <a:srgbClr val="000000"/>
            </a:solidFill>
            <a:prstDash val="solid"/>
          </a:ln>
        </c:spPr>
        <c:txPr>
          <a:bodyPr rot="0" vert="horz"/>
          <a:lstStyle/>
          <a:p>
            <a:pPr>
              <a:defRPr sz="1200" b="0" i="0" u="none" strike="noStrike" baseline="0">
                <a:solidFill>
                  <a:srgbClr val="000000"/>
                </a:solidFill>
                <a:latin typeface="Arial"/>
                <a:ea typeface="Arial"/>
                <a:cs typeface="Arial"/>
              </a:defRPr>
            </a:pPr>
            <a:endParaRPr lang="en-US"/>
          </a:p>
        </c:txPr>
        <c:crossAx val="186142720"/>
        <c:crossesAt val="-20"/>
        <c:crossBetween val="midCat"/>
      </c:valAx>
      <c:spPr>
        <a:noFill/>
        <a:ln w="12700">
          <a:solidFill>
            <a:srgbClr val="000000"/>
          </a:solidFill>
          <a:prstDash val="solid"/>
        </a:ln>
      </c:spPr>
    </c:plotArea>
    <c:plotVisOnly val="1"/>
    <c:dispBlanksAs val="gap"/>
  </c:chart>
  <c:spPr>
    <a:noFill/>
    <a:ln w="3175">
      <a:noFill/>
      <a:prstDash val="solid"/>
    </a:ln>
  </c:spPr>
  <c:txPr>
    <a:bodyPr/>
    <a:lstStyle/>
    <a:p>
      <a:pPr>
        <a:defRPr sz="1850" b="0" i="0" u="none" strike="noStrike" baseline="0">
          <a:solidFill>
            <a:srgbClr val="000000"/>
          </a:solidFill>
          <a:latin typeface="Arial"/>
          <a:ea typeface="Arial"/>
          <a:cs typeface="Arial"/>
        </a:defRPr>
      </a:pPr>
      <a:endParaRPr lang="en-US"/>
    </a:p>
  </c:txPr>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en-AU"/>
  <c:chart>
    <c:plotArea>
      <c:layout>
        <c:manualLayout>
          <c:layoutTarget val="inner"/>
          <c:xMode val="edge"/>
          <c:yMode val="edge"/>
          <c:x val="0.11502896797347922"/>
          <c:y val="4.2563925982757704E-2"/>
          <c:w val="0.83371196717537865"/>
          <c:h val="0.78096425672133107"/>
        </c:manualLayout>
      </c:layout>
      <c:scatterChart>
        <c:scatterStyle val="lineMarker"/>
        <c:ser>
          <c:idx val="0"/>
          <c:order val="0"/>
          <c:tx>
            <c:v>IC50</c:v>
          </c:tx>
          <c:spPr>
            <a:ln w="28575">
              <a:noFill/>
            </a:ln>
          </c:spPr>
          <c:marker>
            <c:spPr>
              <a:solidFill>
                <a:srgbClr val="FF0000"/>
              </a:solidFill>
            </c:spPr>
          </c:marker>
          <c:errBars>
            <c:errDir val="y"/>
            <c:errBarType val="both"/>
            <c:errValType val="cust"/>
            <c:plus>
              <c:numRef>
                <c:f>'Chorella U_new method'!$H$4:$H$12</c:f>
                <c:numCache>
                  <c:formatCode>General</c:formatCode>
                  <c:ptCount val="9"/>
                  <c:pt idx="0">
                    <c:v>5.2100000000000009</c:v>
                  </c:pt>
                  <c:pt idx="1">
                    <c:v>3.75</c:v>
                  </c:pt>
                  <c:pt idx="2">
                    <c:v>1.7100000000000009</c:v>
                  </c:pt>
                  <c:pt idx="3">
                    <c:v>6.0100000000000051</c:v>
                  </c:pt>
                  <c:pt idx="4">
                    <c:v>0</c:v>
                  </c:pt>
                  <c:pt idx="5">
                    <c:v>0</c:v>
                  </c:pt>
                  <c:pt idx="6">
                    <c:v>0</c:v>
                  </c:pt>
                  <c:pt idx="7">
                    <c:v>0</c:v>
                  </c:pt>
                  <c:pt idx="8">
                    <c:v>0</c:v>
                  </c:pt>
                </c:numCache>
              </c:numRef>
            </c:plus>
            <c:minus>
              <c:numRef>
                <c:f>'Chorella U_new method'!$F$4:$F$9</c:f>
                <c:numCache>
                  <c:formatCode>General</c:formatCode>
                  <c:ptCount val="6"/>
                  <c:pt idx="0">
                    <c:v>4.740000000000002</c:v>
                  </c:pt>
                  <c:pt idx="1">
                    <c:v>4.490000000000002</c:v>
                  </c:pt>
                  <c:pt idx="2">
                    <c:v>1.4499999999999607</c:v>
                  </c:pt>
                  <c:pt idx="3">
                    <c:v>3.75</c:v>
                  </c:pt>
                  <c:pt idx="4">
                    <c:v>0</c:v>
                  </c:pt>
                  <c:pt idx="5">
                    <c:v>0</c:v>
                  </c:pt>
                </c:numCache>
              </c:numRef>
            </c:minus>
            <c:spPr>
              <a:ln w="12700">
                <a:solidFill>
                  <a:srgbClr val="000000"/>
                </a:solidFill>
                <a:prstDash val="solid"/>
              </a:ln>
            </c:spPr>
          </c:errBars>
          <c:xVal>
            <c:numRef>
              <c:f>'Chorella U_new method'!$A$4:$A$8</c:f>
              <c:numCache>
                <c:formatCode>General</c:formatCode>
                <c:ptCount val="5"/>
                <c:pt idx="0">
                  <c:v>1</c:v>
                </c:pt>
                <c:pt idx="1">
                  <c:v>2</c:v>
                </c:pt>
                <c:pt idx="2">
                  <c:v>3</c:v>
                </c:pt>
                <c:pt idx="3">
                  <c:v>4</c:v>
                </c:pt>
                <c:pt idx="4">
                  <c:v>5</c:v>
                </c:pt>
              </c:numCache>
            </c:numRef>
          </c:xVal>
          <c:yVal>
            <c:numRef>
              <c:f>'Chorella U_new method'!$D$4:$D$8</c:f>
              <c:numCache>
                <c:formatCode>General</c:formatCode>
                <c:ptCount val="5"/>
                <c:pt idx="0">
                  <c:v>39.879999999999995</c:v>
                </c:pt>
                <c:pt idx="1">
                  <c:v>41.13</c:v>
                </c:pt>
                <c:pt idx="2">
                  <c:v>38.58</c:v>
                </c:pt>
                <c:pt idx="3">
                  <c:v>49.33</c:v>
                </c:pt>
              </c:numCache>
            </c:numRef>
          </c:yVal>
        </c:ser>
        <c:axId val="185925632"/>
        <c:axId val="185927552"/>
      </c:scatterChart>
      <c:lineChart>
        <c:grouping val="standard"/>
        <c:ser>
          <c:idx val="2"/>
          <c:order val="1"/>
          <c:tx>
            <c:v>Upper warning limit</c:v>
          </c:tx>
          <c:spPr>
            <a:ln>
              <a:solidFill>
                <a:schemeClr val="tx1"/>
              </a:solidFill>
              <a:prstDash val="sysDash"/>
            </a:ln>
          </c:spPr>
          <c:marker>
            <c:symbol val="none"/>
          </c:marker>
          <c:cat>
            <c:numRef>
              <c:f>'Chorella U_new method'!$A$4:$A$9</c:f>
              <c:numCache>
                <c:formatCode>General</c:formatCode>
                <c:ptCount val="6"/>
                <c:pt idx="0">
                  <c:v>1</c:v>
                </c:pt>
                <c:pt idx="1">
                  <c:v>2</c:v>
                </c:pt>
                <c:pt idx="2">
                  <c:v>3</c:v>
                </c:pt>
                <c:pt idx="3">
                  <c:v>4</c:v>
                </c:pt>
                <c:pt idx="4">
                  <c:v>5</c:v>
                </c:pt>
                <c:pt idx="5">
                  <c:v>6</c:v>
                </c:pt>
              </c:numCache>
            </c:numRef>
          </c:cat>
          <c:val>
            <c:numRef>
              <c:f>'Chorella U_new method'!$L$4:$L$9</c:f>
              <c:numCache>
                <c:formatCode>General</c:formatCode>
                <c:ptCount val="6"/>
                <c:pt idx="0">
                  <c:v>51.922952766486162</c:v>
                </c:pt>
                <c:pt idx="1">
                  <c:v>51.922952766486162</c:v>
                </c:pt>
                <c:pt idx="2">
                  <c:v>51.922952766486162</c:v>
                </c:pt>
                <c:pt idx="3">
                  <c:v>51.922952766486162</c:v>
                </c:pt>
                <c:pt idx="4">
                  <c:v>51.922952766486162</c:v>
                </c:pt>
                <c:pt idx="5">
                  <c:v>51.922952766486162</c:v>
                </c:pt>
              </c:numCache>
            </c:numRef>
          </c:val>
        </c:ser>
        <c:ser>
          <c:idx val="3"/>
          <c:order val="2"/>
          <c:tx>
            <c:v>Mean IC50</c:v>
          </c:tx>
          <c:spPr>
            <a:ln w="12700" cmpd="sng">
              <a:solidFill>
                <a:schemeClr val="tx1"/>
              </a:solidFill>
              <a:prstDash val="solid"/>
            </a:ln>
          </c:spPr>
          <c:marker>
            <c:symbol val="none"/>
          </c:marker>
          <c:cat>
            <c:numRef>
              <c:f>'Chorella U_new method'!$A$4:$A$9</c:f>
              <c:numCache>
                <c:formatCode>General</c:formatCode>
                <c:ptCount val="6"/>
                <c:pt idx="0">
                  <c:v>1</c:v>
                </c:pt>
                <c:pt idx="1">
                  <c:v>2</c:v>
                </c:pt>
                <c:pt idx="2">
                  <c:v>3</c:v>
                </c:pt>
                <c:pt idx="3">
                  <c:v>4</c:v>
                </c:pt>
                <c:pt idx="4">
                  <c:v>5</c:v>
                </c:pt>
                <c:pt idx="5">
                  <c:v>6</c:v>
                </c:pt>
              </c:numCache>
            </c:numRef>
          </c:cat>
          <c:val>
            <c:numRef>
              <c:f>'Chorella U_new method'!$M$4:$M$9</c:f>
              <c:numCache>
                <c:formatCode>General</c:formatCode>
                <c:ptCount val="6"/>
                <c:pt idx="0">
                  <c:v>42.230000000000011</c:v>
                </c:pt>
                <c:pt idx="1">
                  <c:v>42.230000000000011</c:v>
                </c:pt>
                <c:pt idx="2">
                  <c:v>42.230000000000011</c:v>
                </c:pt>
                <c:pt idx="3">
                  <c:v>42.230000000000011</c:v>
                </c:pt>
                <c:pt idx="4">
                  <c:v>42.230000000000011</c:v>
                </c:pt>
                <c:pt idx="5">
                  <c:v>42.230000000000011</c:v>
                </c:pt>
              </c:numCache>
            </c:numRef>
          </c:val>
        </c:ser>
        <c:ser>
          <c:idx val="4"/>
          <c:order val="3"/>
          <c:tx>
            <c:v>lower warning limit </c:v>
          </c:tx>
          <c:spPr>
            <a:ln>
              <a:solidFill>
                <a:schemeClr val="tx1"/>
              </a:solidFill>
              <a:prstDash val="sysDash"/>
            </a:ln>
          </c:spPr>
          <c:marker>
            <c:symbol val="none"/>
          </c:marker>
          <c:cat>
            <c:numRef>
              <c:f>'Chorella U_new method'!$A$4:$A$9</c:f>
              <c:numCache>
                <c:formatCode>General</c:formatCode>
                <c:ptCount val="6"/>
                <c:pt idx="0">
                  <c:v>1</c:v>
                </c:pt>
                <c:pt idx="1">
                  <c:v>2</c:v>
                </c:pt>
                <c:pt idx="2">
                  <c:v>3</c:v>
                </c:pt>
                <c:pt idx="3">
                  <c:v>4</c:v>
                </c:pt>
                <c:pt idx="4">
                  <c:v>5</c:v>
                </c:pt>
                <c:pt idx="5">
                  <c:v>6</c:v>
                </c:pt>
              </c:numCache>
            </c:numRef>
          </c:cat>
          <c:val>
            <c:numRef>
              <c:f>'Chorella U_new method'!$N$4:$N$9</c:f>
              <c:numCache>
                <c:formatCode>General</c:formatCode>
                <c:ptCount val="6"/>
                <c:pt idx="0">
                  <c:v>32.537047233513874</c:v>
                </c:pt>
                <c:pt idx="1">
                  <c:v>32.537047233513874</c:v>
                </c:pt>
                <c:pt idx="2">
                  <c:v>32.537047233513874</c:v>
                </c:pt>
                <c:pt idx="3">
                  <c:v>32.537047233513874</c:v>
                </c:pt>
                <c:pt idx="4">
                  <c:v>32.537047233513874</c:v>
                </c:pt>
                <c:pt idx="5">
                  <c:v>32.537047233513874</c:v>
                </c:pt>
              </c:numCache>
            </c:numRef>
          </c:val>
        </c:ser>
        <c:ser>
          <c:idx val="5"/>
          <c:order val="4"/>
          <c:tx>
            <c:v>lower condience limit </c:v>
          </c:tx>
          <c:spPr>
            <a:ln>
              <a:solidFill>
                <a:schemeClr val="tx1"/>
              </a:solidFill>
              <a:prstDash val="dash"/>
            </a:ln>
          </c:spPr>
          <c:marker>
            <c:symbol val="none"/>
          </c:marker>
          <c:cat>
            <c:numRef>
              <c:f>'Chorella U_new method'!$A$4:$A$9</c:f>
              <c:numCache>
                <c:formatCode>General</c:formatCode>
                <c:ptCount val="6"/>
                <c:pt idx="0">
                  <c:v>1</c:v>
                </c:pt>
                <c:pt idx="1">
                  <c:v>2</c:v>
                </c:pt>
                <c:pt idx="2">
                  <c:v>3</c:v>
                </c:pt>
                <c:pt idx="3">
                  <c:v>4</c:v>
                </c:pt>
                <c:pt idx="4">
                  <c:v>5</c:v>
                </c:pt>
                <c:pt idx="5">
                  <c:v>6</c:v>
                </c:pt>
              </c:numCache>
            </c:numRef>
          </c:cat>
          <c:val>
            <c:numRef>
              <c:f>'Chorella U_new method'!$O$4:$O$9</c:f>
              <c:numCache>
                <c:formatCode>General</c:formatCode>
                <c:ptCount val="6"/>
                <c:pt idx="0">
                  <c:v>27.690570850270809</c:v>
                </c:pt>
                <c:pt idx="1">
                  <c:v>27.690570850270809</c:v>
                </c:pt>
                <c:pt idx="2">
                  <c:v>27.690570850270809</c:v>
                </c:pt>
                <c:pt idx="3">
                  <c:v>27.690570850270809</c:v>
                </c:pt>
                <c:pt idx="4">
                  <c:v>27.690570850270809</c:v>
                </c:pt>
                <c:pt idx="5">
                  <c:v>27.690570850270809</c:v>
                </c:pt>
              </c:numCache>
            </c:numRef>
          </c:val>
        </c:ser>
        <c:ser>
          <c:idx val="1"/>
          <c:order val="5"/>
          <c:tx>
            <c:v>upper confidence limit </c:v>
          </c:tx>
          <c:spPr>
            <a:ln>
              <a:solidFill>
                <a:schemeClr val="tx1"/>
              </a:solidFill>
              <a:prstDash val="dash"/>
            </a:ln>
          </c:spPr>
          <c:marker>
            <c:symbol val="none"/>
          </c:marker>
          <c:cat>
            <c:numRef>
              <c:f>'Chorella U_new method'!$A$4:$A$9</c:f>
              <c:numCache>
                <c:formatCode>General</c:formatCode>
                <c:ptCount val="6"/>
                <c:pt idx="0">
                  <c:v>1</c:v>
                </c:pt>
                <c:pt idx="1">
                  <c:v>2</c:v>
                </c:pt>
                <c:pt idx="2">
                  <c:v>3</c:v>
                </c:pt>
                <c:pt idx="3">
                  <c:v>4</c:v>
                </c:pt>
                <c:pt idx="4">
                  <c:v>5</c:v>
                </c:pt>
                <c:pt idx="5">
                  <c:v>6</c:v>
                </c:pt>
              </c:numCache>
            </c:numRef>
          </c:cat>
          <c:val>
            <c:numRef>
              <c:f>'Chorella U_new method'!$K$4:$K$9</c:f>
              <c:numCache>
                <c:formatCode>General</c:formatCode>
                <c:ptCount val="6"/>
                <c:pt idx="0">
                  <c:v>56.769429149729213</c:v>
                </c:pt>
                <c:pt idx="1">
                  <c:v>56.769429149729213</c:v>
                </c:pt>
                <c:pt idx="2">
                  <c:v>56.769429149729213</c:v>
                </c:pt>
                <c:pt idx="3">
                  <c:v>56.769429149729213</c:v>
                </c:pt>
                <c:pt idx="4">
                  <c:v>56.769429149729213</c:v>
                </c:pt>
                <c:pt idx="5">
                  <c:v>56.769429149729213</c:v>
                </c:pt>
              </c:numCache>
            </c:numRef>
          </c:val>
        </c:ser>
        <c:ser>
          <c:idx val="6"/>
          <c:order val="6"/>
          <c:tx>
            <c:v>running average</c:v>
          </c:tx>
          <c:spPr>
            <a:ln w="12700">
              <a:solidFill>
                <a:schemeClr val="tx1"/>
              </a:solidFill>
            </a:ln>
          </c:spPr>
          <c:marker>
            <c:symbol val="none"/>
          </c:marker>
          <c:cat>
            <c:numRef>
              <c:f>'Chorella U_new method'!$A$4:$A$9</c:f>
              <c:numCache>
                <c:formatCode>General</c:formatCode>
                <c:ptCount val="6"/>
                <c:pt idx="0">
                  <c:v>1</c:v>
                </c:pt>
                <c:pt idx="1">
                  <c:v>2</c:v>
                </c:pt>
                <c:pt idx="2">
                  <c:v>3</c:v>
                </c:pt>
                <c:pt idx="3">
                  <c:v>4</c:v>
                </c:pt>
                <c:pt idx="4">
                  <c:v>5</c:v>
                </c:pt>
                <c:pt idx="5">
                  <c:v>6</c:v>
                </c:pt>
              </c:numCache>
            </c:numRef>
          </c:cat>
          <c:val>
            <c:numRef>
              <c:f>'Chorella U_new method'!$P$5:$P$9</c:f>
              <c:numCache>
                <c:formatCode>General</c:formatCode>
                <c:ptCount val="5"/>
                <c:pt idx="0">
                  <c:v>40.505000000000003</c:v>
                </c:pt>
                <c:pt idx="1">
                  <c:v>39.863333333333337</c:v>
                </c:pt>
                <c:pt idx="2">
                  <c:v>42.230000000000011</c:v>
                </c:pt>
                <c:pt idx="3">
                  <c:v>42.230000000000011</c:v>
                </c:pt>
                <c:pt idx="4">
                  <c:v>42.230000000000011</c:v>
                </c:pt>
              </c:numCache>
            </c:numRef>
          </c:val>
        </c:ser>
        <c:marker val="1"/>
        <c:axId val="185925632"/>
        <c:axId val="185927552"/>
      </c:lineChart>
      <c:catAx>
        <c:axId val="185925632"/>
        <c:scaling>
          <c:orientation val="minMax"/>
        </c:scaling>
        <c:axPos val="b"/>
        <c:title>
          <c:tx>
            <c:rich>
              <a:bodyPr/>
              <a:lstStyle/>
              <a:p>
                <a:pPr>
                  <a:defRPr sz="1050">
                    <a:latin typeface="Arial" pitchFamily="34" charset="0"/>
                    <a:cs typeface="Arial" pitchFamily="34" charset="0"/>
                  </a:defRPr>
                </a:pPr>
                <a:r>
                  <a:rPr lang="en-AU" sz="1050" b="1">
                    <a:latin typeface="Arial" pitchFamily="34" charset="0"/>
                    <a:cs typeface="Arial" pitchFamily="34" charset="0"/>
                  </a:rPr>
                  <a:t>Test number</a:t>
                </a:r>
              </a:p>
            </c:rich>
          </c:tx>
          <c:layout>
            <c:manualLayout>
              <c:xMode val="edge"/>
              <c:yMode val="edge"/>
              <c:x val="0.47616351059589956"/>
              <c:y val="0.91502251751885322"/>
            </c:manualLayout>
          </c:layout>
        </c:title>
        <c:numFmt formatCode="General" sourceLinked="1"/>
        <c:tickLblPos val="nextTo"/>
        <c:spPr>
          <a:ln>
            <a:solidFill>
              <a:prstClr val="black"/>
            </a:solidFill>
          </a:ln>
        </c:spPr>
        <c:txPr>
          <a:bodyPr rot="0" vert="horz"/>
          <a:lstStyle/>
          <a:p>
            <a:pPr>
              <a:defRPr sz="1200">
                <a:latin typeface="Arial" pitchFamily="34" charset="0"/>
                <a:cs typeface="Arial" pitchFamily="34" charset="0"/>
              </a:defRPr>
            </a:pPr>
            <a:endParaRPr lang="en-US"/>
          </a:p>
        </c:txPr>
        <c:crossAx val="185927552"/>
        <c:crosses val="autoZero"/>
        <c:auto val="1"/>
        <c:lblAlgn val="ctr"/>
        <c:lblOffset val="100"/>
        <c:tickLblSkip val="1"/>
        <c:tickMarkSkip val="1"/>
      </c:catAx>
      <c:valAx>
        <c:axId val="185927552"/>
        <c:scaling>
          <c:orientation val="minMax"/>
          <c:min val="20"/>
        </c:scaling>
        <c:axPos val="l"/>
        <c:title>
          <c:tx>
            <c:rich>
              <a:bodyPr/>
              <a:lstStyle/>
              <a:p>
                <a:pPr>
                  <a:defRPr sz="1050" b="1" i="0" u="none" strike="noStrike" baseline="0">
                    <a:solidFill>
                      <a:srgbClr val="000000"/>
                    </a:solidFill>
                    <a:latin typeface="Arial" pitchFamily="34" charset="0"/>
                    <a:ea typeface="Calibri"/>
                    <a:cs typeface="Calibri"/>
                  </a:defRPr>
                </a:pPr>
                <a:r>
                  <a:rPr lang="en-AU" sz="1050" baseline="0">
                    <a:latin typeface="Arial" pitchFamily="34" charset="0"/>
                  </a:rPr>
                  <a:t>EC50 </a:t>
                </a:r>
              </a:p>
            </c:rich>
          </c:tx>
          <c:layout>
            <c:manualLayout>
              <c:xMode val="edge"/>
              <c:yMode val="edge"/>
              <c:x val="4.2917018646389908E-3"/>
              <c:y val="0.37509464612227938"/>
            </c:manualLayout>
          </c:layout>
        </c:title>
        <c:numFmt formatCode="General" sourceLinked="1"/>
        <c:tickLblPos val="nextTo"/>
        <c:spPr>
          <a:ln>
            <a:solidFill>
              <a:prstClr val="black"/>
            </a:solidFill>
          </a:ln>
        </c:spPr>
        <c:txPr>
          <a:bodyPr rot="0" vert="horz"/>
          <a:lstStyle/>
          <a:p>
            <a:pPr>
              <a:defRPr sz="1200" b="0" i="0" u="none" strike="noStrike" baseline="0">
                <a:solidFill>
                  <a:srgbClr val="000000"/>
                </a:solidFill>
                <a:latin typeface="Arial" pitchFamily="34" charset="0"/>
                <a:ea typeface="Calibri"/>
                <a:cs typeface="Arial" pitchFamily="34" charset="0"/>
              </a:defRPr>
            </a:pPr>
            <a:endParaRPr lang="en-US"/>
          </a:p>
        </c:txPr>
        <c:crossAx val="185925632"/>
        <c:crosses val="autoZero"/>
        <c:crossBetween val="midCat"/>
      </c:valAx>
      <c:spPr>
        <a:ln>
          <a:solidFill>
            <a:prstClr val="black"/>
          </a:solidFill>
        </a:ln>
      </c:spPr>
    </c:plotArea>
    <c:plotVisOnly val="1"/>
    <c:dispBlanksAs val="gap"/>
  </c:chart>
  <c:spPr>
    <a:noFill/>
    <a:ln>
      <a:noFill/>
    </a:ln>
  </c:spPr>
  <c:txPr>
    <a:bodyPr/>
    <a:lstStyle/>
    <a:p>
      <a:pPr>
        <a:defRPr sz="1000" b="0" i="0" u="none" strike="noStrike" baseline="0">
          <a:solidFill>
            <a:srgbClr val="000000"/>
          </a:solidFill>
          <a:latin typeface="Calibri"/>
          <a:ea typeface="Calibri"/>
          <a:cs typeface="Calibri"/>
        </a:defRPr>
      </a:pPr>
      <a:endParaRPr lang="en-US"/>
    </a:p>
  </c:txPr>
  <c:externalData r:id="rId1"/>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en-AU"/>
  <c:chart>
    <c:plotArea>
      <c:layout>
        <c:manualLayout>
          <c:layoutTarget val="inner"/>
          <c:xMode val="edge"/>
          <c:yMode val="edge"/>
          <c:x val="0.1206477874068108"/>
          <c:y val="5.2334230499265513E-2"/>
          <c:w val="0.85093422152277565"/>
          <c:h val="0.75818062155251864"/>
        </c:manualLayout>
      </c:layout>
      <c:scatterChart>
        <c:scatterStyle val="lineMarker"/>
        <c:ser>
          <c:idx val="0"/>
          <c:order val="0"/>
          <c:tx>
            <c:v>IC50 (95% CL)</c:v>
          </c:tx>
          <c:spPr>
            <a:ln w="28575">
              <a:noFill/>
            </a:ln>
          </c:spPr>
          <c:marker>
            <c:symbol val="diamond"/>
            <c:size val="5"/>
            <c:spPr>
              <a:solidFill>
                <a:srgbClr val="000000"/>
              </a:solidFill>
              <a:ln>
                <a:solidFill>
                  <a:srgbClr val="000000"/>
                </a:solidFill>
                <a:prstDash val="solid"/>
              </a:ln>
            </c:spPr>
          </c:marker>
          <c:dPt>
            <c:idx val="33"/>
            <c:marker>
              <c:spPr>
                <a:solidFill>
                  <a:srgbClr val="FF0000"/>
                </a:solidFill>
                <a:ln>
                  <a:solidFill>
                    <a:srgbClr val="000000"/>
                  </a:solidFill>
                  <a:prstDash val="solid"/>
                </a:ln>
              </c:spPr>
            </c:marker>
          </c:dPt>
          <c:dPt>
            <c:idx val="34"/>
            <c:marker>
              <c:spPr>
                <a:solidFill>
                  <a:srgbClr val="FF0000"/>
                </a:solidFill>
                <a:ln>
                  <a:solidFill>
                    <a:srgbClr val="000000"/>
                  </a:solidFill>
                  <a:prstDash val="solid"/>
                </a:ln>
              </c:spPr>
            </c:marker>
          </c:dPt>
          <c:dPt>
            <c:idx val="35"/>
            <c:marker>
              <c:spPr>
                <a:solidFill>
                  <a:srgbClr val="FF0000"/>
                </a:solidFill>
                <a:ln>
                  <a:solidFill>
                    <a:srgbClr val="000000"/>
                  </a:solidFill>
                  <a:prstDash val="solid"/>
                </a:ln>
              </c:spPr>
            </c:marker>
          </c:dPt>
          <c:dPt>
            <c:idx val="36"/>
            <c:marker>
              <c:spPr>
                <a:solidFill>
                  <a:srgbClr val="FF0000"/>
                </a:solidFill>
                <a:ln>
                  <a:solidFill>
                    <a:srgbClr val="000000"/>
                  </a:solidFill>
                  <a:prstDash val="solid"/>
                </a:ln>
              </c:spPr>
            </c:marker>
          </c:dPt>
          <c:errBars>
            <c:errDir val="y"/>
            <c:errBarType val="both"/>
            <c:errValType val="cust"/>
            <c:plus>
              <c:numRef>
                <c:f>'Hydra U'!$H$4:$H$46</c:f>
                <c:numCache>
                  <c:formatCode>General</c:formatCode>
                  <c:ptCount val="43"/>
                  <c:pt idx="0">
                    <c:v>26</c:v>
                  </c:pt>
                  <c:pt idx="1">
                    <c:v>34</c:v>
                  </c:pt>
                  <c:pt idx="3">
                    <c:v>8</c:v>
                  </c:pt>
                  <c:pt idx="4">
                    <c:v>14</c:v>
                  </c:pt>
                  <c:pt idx="5">
                    <c:v>44.760000000000012</c:v>
                  </c:pt>
                  <c:pt idx="6">
                    <c:v>19</c:v>
                  </c:pt>
                  <c:pt idx="7">
                    <c:v>22</c:v>
                  </c:pt>
                  <c:pt idx="8">
                    <c:v>9</c:v>
                  </c:pt>
                  <c:pt idx="9">
                    <c:v>5</c:v>
                  </c:pt>
                  <c:pt idx="10">
                    <c:v>20.003</c:v>
                  </c:pt>
                  <c:pt idx="11">
                    <c:v>32</c:v>
                  </c:pt>
                  <c:pt idx="12">
                    <c:v>8</c:v>
                  </c:pt>
                  <c:pt idx="13">
                    <c:v>23.64</c:v>
                  </c:pt>
                  <c:pt idx="14">
                    <c:v>11.878</c:v>
                  </c:pt>
                  <c:pt idx="15">
                    <c:v>19.400000000000006</c:v>
                  </c:pt>
                  <c:pt idx="16">
                    <c:v>5.1200000000000045</c:v>
                  </c:pt>
                  <c:pt idx="17">
                    <c:v>13</c:v>
                  </c:pt>
                  <c:pt idx="18">
                    <c:v>24</c:v>
                  </c:pt>
                  <c:pt idx="19">
                    <c:v>35</c:v>
                  </c:pt>
                  <c:pt idx="20">
                    <c:v>36</c:v>
                  </c:pt>
                  <c:pt idx="21">
                    <c:v>29.299999999999986</c:v>
                  </c:pt>
                  <c:pt idx="22">
                    <c:v>3.2199999999999989</c:v>
                  </c:pt>
                  <c:pt idx="23">
                    <c:v>13.870000000000006</c:v>
                  </c:pt>
                  <c:pt idx="24">
                    <c:v>4.5649999999999755</c:v>
                  </c:pt>
                  <c:pt idx="25">
                    <c:v>11</c:v>
                  </c:pt>
                  <c:pt idx="26">
                    <c:v>14</c:v>
                  </c:pt>
                  <c:pt idx="27">
                    <c:v>6.2000000000000028</c:v>
                  </c:pt>
                  <c:pt idx="28">
                    <c:v>15.200000000000003</c:v>
                  </c:pt>
                  <c:pt idx="29">
                    <c:v>4.960000000000008</c:v>
                  </c:pt>
                  <c:pt idx="30">
                    <c:v>6.2999999999999972</c:v>
                  </c:pt>
                  <c:pt idx="31">
                    <c:v>7.8599999999999985</c:v>
                  </c:pt>
                  <c:pt idx="32">
                    <c:v>15.200000000000001</c:v>
                  </c:pt>
                  <c:pt idx="33">
                    <c:v>8.6000000000000014</c:v>
                  </c:pt>
                  <c:pt idx="34">
                    <c:v>12.680000000000001</c:v>
                  </c:pt>
                  <c:pt idx="35">
                    <c:v>8.02</c:v>
                  </c:pt>
                  <c:pt idx="36">
                    <c:v>63.010000000000005</c:v>
                  </c:pt>
                  <c:pt idx="37">
                    <c:v>0</c:v>
                  </c:pt>
                  <c:pt idx="38">
                    <c:v>0</c:v>
                  </c:pt>
                  <c:pt idx="39">
                    <c:v>0</c:v>
                  </c:pt>
                  <c:pt idx="40">
                    <c:v>0</c:v>
                  </c:pt>
                  <c:pt idx="41">
                    <c:v>0</c:v>
                  </c:pt>
                  <c:pt idx="42">
                    <c:v>0</c:v>
                  </c:pt>
                </c:numCache>
              </c:numRef>
            </c:plus>
            <c:minus>
              <c:numRef>
                <c:f>'Hydra U'!$F$4:$F$46</c:f>
                <c:numCache>
                  <c:formatCode>General</c:formatCode>
                  <c:ptCount val="43"/>
                  <c:pt idx="0">
                    <c:v>33</c:v>
                  </c:pt>
                  <c:pt idx="1">
                    <c:v>8</c:v>
                  </c:pt>
                  <c:pt idx="3">
                    <c:v>17</c:v>
                  </c:pt>
                  <c:pt idx="4">
                    <c:v>13</c:v>
                  </c:pt>
                  <c:pt idx="5">
                    <c:v>26.14</c:v>
                  </c:pt>
                  <c:pt idx="6">
                    <c:v>16</c:v>
                  </c:pt>
                  <c:pt idx="7">
                    <c:v>10</c:v>
                  </c:pt>
                  <c:pt idx="8">
                    <c:v>10</c:v>
                  </c:pt>
                  <c:pt idx="9">
                    <c:v>7</c:v>
                  </c:pt>
                  <c:pt idx="10">
                    <c:v>25.962999999999628</c:v>
                  </c:pt>
                  <c:pt idx="11">
                    <c:v>17</c:v>
                  </c:pt>
                  <c:pt idx="12">
                    <c:v>11</c:v>
                  </c:pt>
                  <c:pt idx="13">
                    <c:v>28.631000000000135</c:v>
                  </c:pt>
                  <c:pt idx="14">
                    <c:v>10.678000000000001</c:v>
                  </c:pt>
                  <c:pt idx="15">
                    <c:v>57.5</c:v>
                  </c:pt>
                  <c:pt idx="16">
                    <c:v>8.8000000000000025</c:v>
                  </c:pt>
                  <c:pt idx="17">
                    <c:v>15</c:v>
                  </c:pt>
                  <c:pt idx="18">
                    <c:v>36</c:v>
                  </c:pt>
                  <c:pt idx="19">
                    <c:v>15</c:v>
                  </c:pt>
                  <c:pt idx="20">
                    <c:v>22</c:v>
                  </c:pt>
                  <c:pt idx="21">
                    <c:v>17.200000000000003</c:v>
                  </c:pt>
                  <c:pt idx="22">
                    <c:v>3.0100000000000047</c:v>
                  </c:pt>
                  <c:pt idx="23">
                    <c:v>12.970000000000002</c:v>
                  </c:pt>
                  <c:pt idx="24">
                    <c:v>5.2469999999999999</c:v>
                  </c:pt>
                  <c:pt idx="25">
                    <c:v>12</c:v>
                  </c:pt>
                  <c:pt idx="26">
                    <c:v>21</c:v>
                  </c:pt>
                  <c:pt idx="27">
                    <c:v>7.1700000000000017</c:v>
                  </c:pt>
                  <c:pt idx="28">
                    <c:v>6.7999999999999972</c:v>
                  </c:pt>
                  <c:pt idx="29">
                    <c:v>6.0499999999999972</c:v>
                  </c:pt>
                  <c:pt idx="30">
                    <c:v>7.5300000000000011</c:v>
                  </c:pt>
                  <c:pt idx="31">
                    <c:v>10.650000000000006</c:v>
                  </c:pt>
                  <c:pt idx="32">
                    <c:v>10.860000000000024</c:v>
                  </c:pt>
                  <c:pt idx="33">
                    <c:v>5.7399999999999984</c:v>
                  </c:pt>
                  <c:pt idx="34">
                    <c:v>10.090000000000003</c:v>
                  </c:pt>
                  <c:pt idx="35">
                    <c:v>15.05</c:v>
                  </c:pt>
                  <c:pt idx="36">
                    <c:v>24.36</c:v>
                  </c:pt>
                  <c:pt idx="37">
                    <c:v>0</c:v>
                  </c:pt>
                  <c:pt idx="38">
                    <c:v>0</c:v>
                  </c:pt>
                  <c:pt idx="39">
                    <c:v>0</c:v>
                  </c:pt>
                  <c:pt idx="40">
                    <c:v>0</c:v>
                  </c:pt>
                  <c:pt idx="41">
                    <c:v>0</c:v>
                  </c:pt>
                  <c:pt idx="42">
                    <c:v>0</c:v>
                  </c:pt>
                </c:numCache>
              </c:numRef>
            </c:minus>
            <c:spPr>
              <a:ln w="12700">
                <a:solidFill>
                  <a:srgbClr val="000000"/>
                </a:solidFill>
                <a:prstDash val="solid"/>
              </a:ln>
            </c:spPr>
          </c:errBars>
          <c:xVal>
            <c:strRef>
              <c:f>'Hydra U'!$C$4:$C$49</c:f>
              <c:strCache>
                <c:ptCount val="37"/>
                <c:pt idx="0">
                  <c:v>365B</c:v>
                </c:pt>
                <c:pt idx="1">
                  <c:v>379B</c:v>
                </c:pt>
                <c:pt idx="2">
                  <c:v>382B</c:v>
                </c:pt>
                <c:pt idx="3">
                  <c:v>685B</c:v>
                </c:pt>
                <c:pt idx="4">
                  <c:v>687B</c:v>
                </c:pt>
                <c:pt idx="5">
                  <c:v>698B</c:v>
                </c:pt>
                <c:pt idx="6">
                  <c:v>699B</c:v>
                </c:pt>
                <c:pt idx="7">
                  <c:v>707B</c:v>
                </c:pt>
                <c:pt idx="8">
                  <c:v>719B</c:v>
                </c:pt>
                <c:pt idx="9">
                  <c:v>725B</c:v>
                </c:pt>
                <c:pt idx="10">
                  <c:v>760B</c:v>
                </c:pt>
                <c:pt idx="11">
                  <c:v>771B</c:v>
                </c:pt>
                <c:pt idx="12">
                  <c:v>796B</c:v>
                </c:pt>
                <c:pt idx="13">
                  <c:v>830B</c:v>
                </c:pt>
                <c:pt idx="14">
                  <c:v>843B</c:v>
                </c:pt>
                <c:pt idx="15">
                  <c:v>879B</c:v>
                </c:pt>
                <c:pt idx="16">
                  <c:v>886B</c:v>
                </c:pt>
                <c:pt idx="17">
                  <c:v>962B</c:v>
                </c:pt>
                <c:pt idx="18">
                  <c:v>963B</c:v>
                </c:pt>
                <c:pt idx="19">
                  <c:v>969B</c:v>
                </c:pt>
                <c:pt idx="20">
                  <c:v>989B</c:v>
                </c:pt>
                <c:pt idx="21">
                  <c:v>1015B</c:v>
                </c:pt>
                <c:pt idx="22">
                  <c:v>1029B</c:v>
                </c:pt>
                <c:pt idx="23">
                  <c:v>1077B</c:v>
                </c:pt>
                <c:pt idx="24">
                  <c:v>1099B</c:v>
                </c:pt>
                <c:pt idx="25">
                  <c:v>1136B</c:v>
                </c:pt>
                <c:pt idx="26">
                  <c:v>1164B</c:v>
                </c:pt>
                <c:pt idx="27">
                  <c:v>1198B</c:v>
                </c:pt>
                <c:pt idx="28">
                  <c:v>1258B</c:v>
                </c:pt>
                <c:pt idx="29">
                  <c:v>1288B</c:v>
                </c:pt>
                <c:pt idx="30">
                  <c:v>1311B</c:v>
                </c:pt>
                <c:pt idx="31">
                  <c:v>1327B</c:v>
                </c:pt>
                <c:pt idx="32">
                  <c:v>1351B</c:v>
                </c:pt>
                <c:pt idx="33">
                  <c:v>1370B</c:v>
                </c:pt>
                <c:pt idx="34">
                  <c:v>1390B</c:v>
                </c:pt>
                <c:pt idx="35">
                  <c:v>1408B</c:v>
                </c:pt>
                <c:pt idx="36">
                  <c:v>1417B</c:v>
                </c:pt>
              </c:strCache>
            </c:strRef>
          </c:xVal>
          <c:yVal>
            <c:numRef>
              <c:f>'Hydra U'!$D$4:$D$49</c:f>
              <c:numCache>
                <c:formatCode>General</c:formatCode>
                <c:ptCount val="46"/>
                <c:pt idx="0">
                  <c:v>132</c:v>
                </c:pt>
                <c:pt idx="1">
                  <c:v>108</c:v>
                </c:pt>
                <c:pt idx="2">
                  <c:v>117</c:v>
                </c:pt>
                <c:pt idx="3">
                  <c:v>85</c:v>
                </c:pt>
                <c:pt idx="4">
                  <c:v>80</c:v>
                </c:pt>
                <c:pt idx="5">
                  <c:v>101.64</c:v>
                </c:pt>
                <c:pt idx="6">
                  <c:v>94</c:v>
                </c:pt>
                <c:pt idx="7">
                  <c:v>75</c:v>
                </c:pt>
                <c:pt idx="8">
                  <c:v>79</c:v>
                </c:pt>
                <c:pt idx="9">
                  <c:v>83</c:v>
                </c:pt>
                <c:pt idx="10" formatCode="0">
                  <c:v>78.464000000000027</c:v>
                </c:pt>
                <c:pt idx="11">
                  <c:v>106</c:v>
                </c:pt>
                <c:pt idx="12">
                  <c:v>77</c:v>
                </c:pt>
                <c:pt idx="13">
                  <c:v>98</c:v>
                </c:pt>
                <c:pt idx="14">
                  <c:v>84</c:v>
                </c:pt>
                <c:pt idx="15">
                  <c:v>65.599999999999994</c:v>
                </c:pt>
                <c:pt idx="16">
                  <c:v>65</c:v>
                </c:pt>
                <c:pt idx="17">
                  <c:v>86</c:v>
                </c:pt>
                <c:pt idx="18">
                  <c:v>54</c:v>
                </c:pt>
                <c:pt idx="19">
                  <c:v>46</c:v>
                </c:pt>
                <c:pt idx="20">
                  <c:v>69</c:v>
                </c:pt>
                <c:pt idx="21">
                  <c:v>52.7</c:v>
                </c:pt>
                <c:pt idx="22">
                  <c:v>67.760000000000005</c:v>
                </c:pt>
                <c:pt idx="23">
                  <c:v>44.63</c:v>
                </c:pt>
                <c:pt idx="24">
                  <c:v>76.8</c:v>
                </c:pt>
                <c:pt idx="25">
                  <c:v>96</c:v>
                </c:pt>
                <c:pt idx="26">
                  <c:v>93</c:v>
                </c:pt>
                <c:pt idx="27">
                  <c:v>102.7</c:v>
                </c:pt>
                <c:pt idx="28">
                  <c:v>81.8</c:v>
                </c:pt>
                <c:pt idx="29">
                  <c:v>91.07</c:v>
                </c:pt>
                <c:pt idx="30">
                  <c:v>100.5</c:v>
                </c:pt>
                <c:pt idx="31">
                  <c:v>99.34</c:v>
                </c:pt>
                <c:pt idx="32">
                  <c:v>84.36999999999999</c:v>
                </c:pt>
                <c:pt idx="33">
                  <c:v>77.22</c:v>
                </c:pt>
                <c:pt idx="34">
                  <c:v>98.11999999999999</c:v>
                </c:pt>
                <c:pt idx="35">
                  <c:v>85.7</c:v>
                </c:pt>
                <c:pt idx="36">
                  <c:v>99.29</c:v>
                </c:pt>
              </c:numCache>
            </c:numRef>
          </c:yVal>
        </c:ser>
        <c:ser>
          <c:idx val="1"/>
          <c:order val="1"/>
          <c:tx>
            <c:v>Upper 99% confidence limit</c:v>
          </c:tx>
          <c:spPr>
            <a:ln w="25400">
              <a:solidFill>
                <a:srgbClr val="000000"/>
              </a:solidFill>
              <a:prstDash val="lgDash"/>
            </a:ln>
          </c:spPr>
          <c:marker>
            <c:symbol val="none"/>
          </c:marker>
          <c:xVal>
            <c:strRef>
              <c:f>'Hydra U'!$C$4:$C$48</c:f>
              <c:strCache>
                <c:ptCount val="37"/>
                <c:pt idx="0">
                  <c:v>365B</c:v>
                </c:pt>
                <c:pt idx="1">
                  <c:v>379B</c:v>
                </c:pt>
                <c:pt idx="2">
                  <c:v>382B</c:v>
                </c:pt>
                <c:pt idx="3">
                  <c:v>685B</c:v>
                </c:pt>
                <c:pt idx="4">
                  <c:v>687B</c:v>
                </c:pt>
                <c:pt idx="5">
                  <c:v>698B</c:v>
                </c:pt>
                <c:pt idx="6">
                  <c:v>699B</c:v>
                </c:pt>
                <c:pt idx="7">
                  <c:v>707B</c:v>
                </c:pt>
                <c:pt idx="8">
                  <c:v>719B</c:v>
                </c:pt>
                <c:pt idx="9">
                  <c:v>725B</c:v>
                </c:pt>
                <c:pt idx="10">
                  <c:v>760B</c:v>
                </c:pt>
                <c:pt idx="11">
                  <c:v>771B</c:v>
                </c:pt>
                <c:pt idx="12">
                  <c:v>796B</c:v>
                </c:pt>
                <c:pt idx="13">
                  <c:v>830B</c:v>
                </c:pt>
                <c:pt idx="14">
                  <c:v>843B</c:v>
                </c:pt>
                <c:pt idx="15">
                  <c:v>879B</c:v>
                </c:pt>
                <c:pt idx="16">
                  <c:v>886B</c:v>
                </c:pt>
                <c:pt idx="17">
                  <c:v>962B</c:v>
                </c:pt>
                <c:pt idx="18">
                  <c:v>963B</c:v>
                </c:pt>
                <c:pt idx="19">
                  <c:v>969B</c:v>
                </c:pt>
                <c:pt idx="20">
                  <c:v>989B</c:v>
                </c:pt>
                <c:pt idx="21">
                  <c:v>1015B</c:v>
                </c:pt>
                <c:pt idx="22">
                  <c:v>1029B</c:v>
                </c:pt>
                <c:pt idx="23">
                  <c:v>1077B</c:v>
                </c:pt>
                <c:pt idx="24">
                  <c:v>1099B</c:v>
                </c:pt>
                <c:pt idx="25">
                  <c:v>1136B</c:v>
                </c:pt>
                <c:pt idx="26">
                  <c:v>1164B</c:v>
                </c:pt>
                <c:pt idx="27">
                  <c:v>1198B</c:v>
                </c:pt>
                <c:pt idx="28">
                  <c:v>1258B</c:v>
                </c:pt>
                <c:pt idx="29">
                  <c:v>1288B</c:v>
                </c:pt>
                <c:pt idx="30">
                  <c:v>1311B</c:v>
                </c:pt>
                <c:pt idx="31">
                  <c:v>1327B</c:v>
                </c:pt>
                <c:pt idx="32">
                  <c:v>1351B</c:v>
                </c:pt>
                <c:pt idx="33">
                  <c:v>1370B</c:v>
                </c:pt>
                <c:pt idx="34">
                  <c:v>1390B</c:v>
                </c:pt>
                <c:pt idx="35">
                  <c:v>1408B</c:v>
                </c:pt>
                <c:pt idx="36">
                  <c:v>1417B</c:v>
                </c:pt>
              </c:strCache>
            </c:strRef>
          </c:xVal>
          <c:yVal>
            <c:numRef>
              <c:f>'Hydra U'!$K$4:$K$48</c:f>
              <c:numCache>
                <c:formatCode>General</c:formatCode>
                <c:ptCount val="45"/>
                <c:pt idx="0">
                  <c:v>141.69014779030383</c:v>
                </c:pt>
                <c:pt idx="1">
                  <c:v>141.69014779030383</c:v>
                </c:pt>
                <c:pt idx="2">
                  <c:v>141.69014779030383</c:v>
                </c:pt>
                <c:pt idx="3">
                  <c:v>141.69014779030383</c:v>
                </c:pt>
                <c:pt idx="4">
                  <c:v>141.69014779030383</c:v>
                </c:pt>
                <c:pt idx="5">
                  <c:v>141.69014779030383</c:v>
                </c:pt>
                <c:pt idx="6">
                  <c:v>141.69014779030383</c:v>
                </c:pt>
                <c:pt idx="7">
                  <c:v>141.69014779030383</c:v>
                </c:pt>
                <c:pt idx="8">
                  <c:v>141.69014779030383</c:v>
                </c:pt>
                <c:pt idx="9">
                  <c:v>141.69014779030383</c:v>
                </c:pt>
                <c:pt idx="10">
                  <c:v>141.69014779030383</c:v>
                </c:pt>
                <c:pt idx="11">
                  <c:v>141.69014779030383</c:v>
                </c:pt>
                <c:pt idx="12">
                  <c:v>141.69014779030383</c:v>
                </c:pt>
                <c:pt idx="13">
                  <c:v>141.69014779030383</c:v>
                </c:pt>
                <c:pt idx="14">
                  <c:v>141.69014779030383</c:v>
                </c:pt>
                <c:pt idx="15">
                  <c:v>141.69014779030383</c:v>
                </c:pt>
                <c:pt idx="16">
                  <c:v>141.69014779030383</c:v>
                </c:pt>
                <c:pt idx="17">
                  <c:v>141.69014779030383</c:v>
                </c:pt>
                <c:pt idx="18">
                  <c:v>141.69014779030383</c:v>
                </c:pt>
                <c:pt idx="19">
                  <c:v>141.69014779030383</c:v>
                </c:pt>
                <c:pt idx="20">
                  <c:v>141.69014779030383</c:v>
                </c:pt>
                <c:pt idx="21">
                  <c:v>141.69014779030383</c:v>
                </c:pt>
                <c:pt idx="22">
                  <c:v>141.69014779030383</c:v>
                </c:pt>
                <c:pt idx="23">
                  <c:v>141.69014779030383</c:v>
                </c:pt>
                <c:pt idx="24">
                  <c:v>141.69014779030383</c:v>
                </c:pt>
                <c:pt idx="25">
                  <c:v>141.69014779030383</c:v>
                </c:pt>
                <c:pt idx="26">
                  <c:v>141.69014779030383</c:v>
                </c:pt>
                <c:pt idx="27">
                  <c:v>141.69014779030383</c:v>
                </c:pt>
                <c:pt idx="28">
                  <c:v>141.69014779030383</c:v>
                </c:pt>
                <c:pt idx="29">
                  <c:v>141.69014779030383</c:v>
                </c:pt>
                <c:pt idx="30">
                  <c:v>141.69014779030383</c:v>
                </c:pt>
                <c:pt idx="31">
                  <c:v>141.69014779030383</c:v>
                </c:pt>
                <c:pt idx="32">
                  <c:v>141.69014779030383</c:v>
                </c:pt>
                <c:pt idx="33">
                  <c:v>141.69014779030383</c:v>
                </c:pt>
                <c:pt idx="34">
                  <c:v>141.69014779030383</c:v>
                </c:pt>
                <c:pt idx="35">
                  <c:v>141.69014779030383</c:v>
                </c:pt>
                <c:pt idx="36">
                  <c:v>141.69014779030383</c:v>
                </c:pt>
                <c:pt idx="37">
                  <c:v>141.69014779030383</c:v>
                </c:pt>
                <c:pt idx="38">
                  <c:v>141.69014779030383</c:v>
                </c:pt>
                <c:pt idx="39">
                  <c:v>141.69014779030383</c:v>
                </c:pt>
                <c:pt idx="40">
                  <c:v>141.69014779030383</c:v>
                </c:pt>
                <c:pt idx="41">
                  <c:v>141.69014779030383</c:v>
                </c:pt>
                <c:pt idx="42">
                  <c:v>141.69014779030383</c:v>
                </c:pt>
                <c:pt idx="43">
                  <c:v>141.69014779030383</c:v>
                </c:pt>
                <c:pt idx="44">
                  <c:v>141.69014779030383</c:v>
                </c:pt>
              </c:numCache>
            </c:numRef>
          </c:yVal>
        </c:ser>
        <c:ser>
          <c:idx val="2"/>
          <c:order val="2"/>
          <c:tx>
            <c:v>Lower 99% confidence limit</c:v>
          </c:tx>
          <c:spPr>
            <a:ln w="25400">
              <a:solidFill>
                <a:srgbClr val="000000"/>
              </a:solidFill>
              <a:prstDash val="lgDash"/>
            </a:ln>
          </c:spPr>
          <c:marker>
            <c:symbol val="none"/>
          </c:marker>
          <c:xVal>
            <c:strRef>
              <c:f>'Hydra U'!$C$4:$C$48</c:f>
              <c:strCache>
                <c:ptCount val="37"/>
                <c:pt idx="0">
                  <c:v>365B</c:v>
                </c:pt>
                <c:pt idx="1">
                  <c:v>379B</c:v>
                </c:pt>
                <c:pt idx="2">
                  <c:v>382B</c:v>
                </c:pt>
                <c:pt idx="3">
                  <c:v>685B</c:v>
                </c:pt>
                <c:pt idx="4">
                  <c:v>687B</c:v>
                </c:pt>
                <c:pt idx="5">
                  <c:v>698B</c:v>
                </c:pt>
                <c:pt idx="6">
                  <c:v>699B</c:v>
                </c:pt>
                <c:pt idx="7">
                  <c:v>707B</c:v>
                </c:pt>
                <c:pt idx="8">
                  <c:v>719B</c:v>
                </c:pt>
                <c:pt idx="9">
                  <c:v>725B</c:v>
                </c:pt>
                <c:pt idx="10">
                  <c:v>760B</c:v>
                </c:pt>
                <c:pt idx="11">
                  <c:v>771B</c:v>
                </c:pt>
                <c:pt idx="12">
                  <c:v>796B</c:v>
                </c:pt>
                <c:pt idx="13">
                  <c:v>830B</c:v>
                </c:pt>
                <c:pt idx="14">
                  <c:v>843B</c:v>
                </c:pt>
                <c:pt idx="15">
                  <c:v>879B</c:v>
                </c:pt>
                <c:pt idx="16">
                  <c:v>886B</c:v>
                </c:pt>
                <c:pt idx="17">
                  <c:v>962B</c:v>
                </c:pt>
                <c:pt idx="18">
                  <c:v>963B</c:v>
                </c:pt>
                <c:pt idx="19">
                  <c:v>969B</c:v>
                </c:pt>
                <c:pt idx="20">
                  <c:v>989B</c:v>
                </c:pt>
                <c:pt idx="21">
                  <c:v>1015B</c:v>
                </c:pt>
                <c:pt idx="22">
                  <c:v>1029B</c:v>
                </c:pt>
                <c:pt idx="23">
                  <c:v>1077B</c:v>
                </c:pt>
                <c:pt idx="24">
                  <c:v>1099B</c:v>
                </c:pt>
                <c:pt idx="25">
                  <c:v>1136B</c:v>
                </c:pt>
                <c:pt idx="26">
                  <c:v>1164B</c:v>
                </c:pt>
                <c:pt idx="27">
                  <c:v>1198B</c:v>
                </c:pt>
                <c:pt idx="28">
                  <c:v>1258B</c:v>
                </c:pt>
                <c:pt idx="29">
                  <c:v>1288B</c:v>
                </c:pt>
                <c:pt idx="30">
                  <c:v>1311B</c:v>
                </c:pt>
                <c:pt idx="31">
                  <c:v>1327B</c:v>
                </c:pt>
                <c:pt idx="32">
                  <c:v>1351B</c:v>
                </c:pt>
                <c:pt idx="33">
                  <c:v>1370B</c:v>
                </c:pt>
                <c:pt idx="34">
                  <c:v>1390B</c:v>
                </c:pt>
                <c:pt idx="35">
                  <c:v>1408B</c:v>
                </c:pt>
                <c:pt idx="36">
                  <c:v>1417B</c:v>
                </c:pt>
              </c:strCache>
            </c:strRef>
          </c:xVal>
          <c:yVal>
            <c:numRef>
              <c:f>'Hydra U'!$O$4:$O$48</c:f>
              <c:numCache>
                <c:formatCode>General</c:formatCode>
                <c:ptCount val="45"/>
                <c:pt idx="0">
                  <c:v>27.753311669155607</c:v>
                </c:pt>
                <c:pt idx="1">
                  <c:v>27.753311669155607</c:v>
                </c:pt>
                <c:pt idx="2">
                  <c:v>27.753311669155607</c:v>
                </c:pt>
                <c:pt idx="3">
                  <c:v>27.753311669155607</c:v>
                </c:pt>
                <c:pt idx="4">
                  <c:v>27.753311669155607</c:v>
                </c:pt>
                <c:pt idx="5">
                  <c:v>27.753311669155607</c:v>
                </c:pt>
                <c:pt idx="6">
                  <c:v>27.753311669155607</c:v>
                </c:pt>
                <c:pt idx="7">
                  <c:v>27.753311669155607</c:v>
                </c:pt>
                <c:pt idx="8">
                  <c:v>27.753311669155607</c:v>
                </c:pt>
                <c:pt idx="9">
                  <c:v>27.753311669155607</c:v>
                </c:pt>
                <c:pt idx="10">
                  <c:v>27.753311669155607</c:v>
                </c:pt>
                <c:pt idx="11">
                  <c:v>27.753311669155607</c:v>
                </c:pt>
                <c:pt idx="12">
                  <c:v>27.753311669155607</c:v>
                </c:pt>
                <c:pt idx="13">
                  <c:v>27.753311669155607</c:v>
                </c:pt>
                <c:pt idx="14">
                  <c:v>27.753311669155607</c:v>
                </c:pt>
                <c:pt idx="15">
                  <c:v>27.753311669155607</c:v>
                </c:pt>
                <c:pt idx="16">
                  <c:v>27.753311669155607</c:v>
                </c:pt>
                <c:pt idx="17">
                  <c:v>27.753311669155607</c:v>
                </c:pt>
                <c:pt idx="18">
                  <c:v>27.753311669155607</c:v>
                </c:pt>
                <c:pt idx="19">
                  <c:v>27.753311669155607</c:v>
                </c:pt>
                <c:pt idx="20">
                  <c:v>27.753311669155607</c:v>
                </c:pt>
                <c:pt idx="21">
                  <c:v>27.753311669155607</c:v>
                </c:pt>
                <c:pt idx="22">
                  <c:v>27.753311669155607</c:v>
                </c:pt>
                <c:pt idx="23">
                  <c:v>27.753311669155607</c:v>
                </c:pt>
                <c:pt idx="24">
                  <c:v>27.753311669155607</c:v>
                </c:pt>
                <c:pt idx="25">
                  <c:v>27.753311669155607</c:v>
                </c:pt>
                <c:pt idx="26">
                  <c:v>27.753311669155607</c:v>
                </c:pt>
                <c:pt idx="27">
                  <c:v>27.753311669155607</c:v>
                </c:pt>
                <c:pt idx="28">
                  <c:v>27.753311669155607</c:v>
                </c:pt>
                <c:pt idx="29">
                  <c:v>27.753311669155607</c:v>
                </c:pt>
                <c:pt idx="30">
                  <c:v>27.753311669155607</c:v>
                </c:pt>
                <c:pt idx="31">
                  <c:v>27.753311669155607</c:v>
                </c:pt>
                <c:pt idx="32">
                  <c:v>27.753311669155607</c:v>
                </c:pt>
                <c:pt idx="33">
                  <c:v>27.753311669155607</c:v>
                </c:pt>
                <c:pt idx="34">
                  <c:v>27.753311669155607</c:v>
                </c:pt>
                <c:pt idx="35">
                  <c:v>27.753311669155607</c:v>
                </c:pt>
                <c:pt idx="36">
                  <c:v>27.753311669155607</c:v>
                </c:pt>
                <c:pt idx="37">
                  <c:v>27.753311669155607</c:v>
                </c:pt>
                <c:pt idx="38">
                  <c:v>27.753311669155607</c:v>
                </c:pt>
                <c:pt idx="39">
                  <c:v>27.753311669155607</c:v>
                </c:pt>
                <c:pt idx="40">
                  <c:v>27.753311669155607</c:v>
                </c:pt>
                <c:pt idx="41">
                  <c:v>27.753311669155607</c:v>
                </c:pt>
                <c:pt idx="42">
                  <c:v>27.753311669155607</c:v>
                </c:pt>
                <c:pt idx="43">
                  <c:v>27.753311669155607</c:v>
                </c:pt>
                <c:pt idx="44">
                  <c:v>27.753311669155607</c:v>
                </c:pt>
              </c:numCache>
            </c:numRef>
          </c:yVal>
        </c:ser>
        <c:ser>
          <c:idx val="3"/>
          <c:order val="3"/>
          <c:tx>
            <c:v>Upper warning limit</c:v>
          </c:tx>
          <c:spPr>
            <a:ln w="25400">
              <a:solidFill>
                <a:srgbClr val="000000"/>
              </a:solidFill>
              <a:prstDash val="sysDash"/>
            </a:ln>
          </c:spPr>
          <c:marker>
            <c:symbol val="none"/>
          </c:marker>
          <c:xVal>
            <c:strRef>
              <c:f>'Hydra U'!$C$4:$C$48</c:f>
              <c:strCache>
                <c:ptCount val="37"/>
                <c:pt idx="0">
                  <c:v>365B</c:v>
                </c:pt>
                <c:pt idx="1">
                  <c:v>379B</c:v>
                </c:pt>
                <c:pt idx="2">
                  <c:v>382B</c:v>
                </c:pt>
                <c:pt idx="3">
                  <c:v>685B</c:v>
                </c:pt>
                <c:pt idx="4">
                  <c:v>687B</c:v>
                </c:pt>
                <c:pt idx="5">
                  <c:v>698B</c:v>
                </c:pt>
                <c:pt idx="6">
                  <c:v>699B</c:v>
                </c:pt>
                <c:pt idx="7">
                  <c:v>707B</c:v>
                </c:pt>
                <c:pt idx="8">
                  <c:v>719B</c:v>
                </c:pt>
                <c:pt idx="9">
                  <c:v>725B</c:v>
                </c:pt>
                <c:pt idx="10">
                  <c:v>760B</c:v>
                </c:pt>
                <c:pt idx="11">
                  <c:v>771B</c:v>
                </c:pt>
                <c:pt idx="12">
                  <c:v>796B</c:v>
                </c:pt>
                <c:pt idx="13">
                  <c:v>830B</c:v>
                </c:pt>
                <c:pt idx="14">
                  <c:v>843B</c:v>
                </c:pt>
                <c:pt idx="15">
                  <c:v>879B</c:v>
                </c:pt>
                <c:pt idx="16">
                  <c:v>886B</c:v>
                </c:pt>
                <c:pt idx="17">
                  <c:v>962B</c:v>
                </c:pt>
                <c:pt idx="18">
                  <c:v>963B</c:v>
                </c:pt>
                <c:pt idx="19">
                  <c:v>969B</c:v>
                </c:pt>
                <c:pt idx="20">
                  <c:v>989B</c:v>
                </c:pt>
                <c:pt idx="21">
                  <c:v>1015B</c:v>
                </c:pt>
                <c:pt idx="22">
                  <c:v>1029B</c:v>
                </c:pt>
                <c:pt idx="23">
                  <c:v>1077B</c:v>
                </c:pt>
                <c:pt idx="24">
                  <c:v>1099B</c:v>
                </c:pt>
                <c:pt idx="25">
                  <c:v>1136B</c:v>
                </c:pt>
                <c:pt idx="26">
                  <c:v>1164B</c:v>
                </c:pt>
                <c:pt idx="27">
                  <c:v>1198B</c:v>
                </c:pt>
                <c:pt idx="28">
                  <c:v>1258B</c:v>
                </c:pt>
                <c:pt idx="29">
                  <c:v>1288B</c:v>
                </c:pt>
                <c:pt idx="30">
                  <c:v>1311B</c:v>
                </c:pt>
                <c:pt idx="31">
                  <c:v>1327B</c:v>
                </c:pt>
                <c:pt idx="32">
                  <c:v>1351B</c:v>
                </c:pt>
                <c:pt idx="33">
                  <c:v>1370B</c:v>
                </c:pt>
                <c:pt idx="34">
                  <c:v>1390B</c:v>
                </c:pt>
                <c:pt idx="35">
                  <c:v>1408B</c:v>
                </c:pt>
                <c:pt idx="36">
                  <c:v>1417B</c:v>
                </c:pt>
              </c:strCache>
            </c:strRef>
          </c:xVal>
          <c:yVal>
            <c:numRef>
              <c:f>'Hydra U'!$L$4:$L$48</c:f>
              <c:numCache>
                <c:formatCode>General</c:formatCode>
                <c:ptCount val="45"/>
                <c:pt idx="0">
                  <c:v>122.70067510344575</c:v>
                </c:pt>
                <c:pt idx="1">
                  <c:v>122.70067510344575</c:v>
                </c:pt>
                <c:pt idx="2">
                  <c:v>122.70067510344575</c:v>
                </c:pt>
                <c:pt idx="3">
                  <c:v>122.70067510344575</c:v>
                </c:pt>
                <c:pt idx="4">
                  <c:v>122.70067510344575</c:v>
                </c:pt>
                <c:pt idx="5">
                  <c:v>122.70067510344575</c:v>
                </c:pt>
                <c:pt idx="6">
                  <c:v>122.70067510344575</c:v>
                </c:pt>
                <c:pt idx="7">
                  <c:v>122.70067510344575</c:v>
                </c:pt>
                <c:pt idx="8">
                  <c:v>122.70067510344575</c:v>
                </c:pt>
                <c:pt idx="9">
                  <c:v>122.70067510344575</c:v>
                </c:pt>
                <c:pt idx="10">
                  <c:v>122.70067510344575</c:v>
                </c:pt>
                <c:pt idx="11">
                  <c:v>122.70067510344575</c:v>
                </c:pt>
                <c:pt idx="12">
                  <c:v>122.70067510344575</c:v>
                </c:pt>
                <c:pt idx="13">
                  <c:v>122.70067510344575</c:v>
                </c:pt>
                <c:pt idx="14">
                  <c:v>122.70067510344575</c:v>
                </c:pt>
                <c:pt idx="15">
                  <c:v>122.70067510344575</c:v>
                </c:pt>
                <c:pt idx="16">
                  <c:v>122.70067510344575</c:v>
                </c:pt>
                <c:pt idx="17">
                  <c:v>122.70067510344575</c:v>
                </c:pt>
                <c:pt idx="18">
                  <c:v>122.70067510344575</c:v>
                </c:pt>
                <c:pt idx="19">
                  <c:v>122.70067510344575</c:v>
                </c:pt>
                <c:pt idx="20">
                  <c:v>122.70067510344575</c:v>
                </c:pt>
                <c:pt idx="21">
                  <c:v>122.70067510344575</c:v>
                </c:pt>
                <c:pt idx="22">
                  <c:v>122.70067510344575</c:v>
                </c:pt>
                <c:pt idx="23">
                  <c:v>122.70067510344575</c:v>
                </c:pt>
                <c:pt idx="24">
                  <c:v>122.70067510344575</c:v>
                </c:pt>
                <c:pt idx="25">
                  <c:v>122.70067510344575</c:v>
                </c:pt>
                <c:pt idx="26">
                  <c:v>122.70067510344575</c:v>
                </c:pt>
                <c:pt idx="27">
                  <c:v>122.70067510344575</c:v>
                </c:pt>
                <c:pt idx="28">
                  <c:v>122.70067510344575</c:v>
                </c:pt>
                <c:pt idx="29">
                  <c:v>122.70067510344575</c:v>
                </c:pt>
                <c:pt idx="30">
                  <c:v>122.70067510344575</c:v>
                </c:pt>
                <c:pt idx="31">
                  <c:v>122.70067510344575</c:v>
                </c:pt>
                <c:pt idx="32">
                  <c:v>122.70067510344575</c:v>
                </c:pt>
                <c:pt idx="33">
                  <c:v>122.70067510344575</c:v>
                </c:pt>
                <c:pt idx="34">
                  <c:v>122.70067510344575</c:v>
                </c:pt>
                <c:pt idx="35">
                  <c:v>122.70067510344575</c:v>
                </c:pt>
                <c:pt idx="36">
                  <c:v>122.70067510344575</c:v>
                </c:pt>
                <c:pt idx="37">
                  <c:v>122.70067510344575</c:v>
                </c:pt>
                <c:pt idx="38">
                  <c:v>122.70067510344575</c:v>
                </c:pt>
                <c:pt idx="39">
                  <c:v>122.70067510344575</c:v>
                </c:pt>
                <c:pt idx="40">
                  <c:v>122.70067510344575</c:v>
                </c:pt>
                <c:pt idx="41">
                  <c:v>122.70067510344575</c:v>
                </c:pt>
                <c:pt idx="42">
                  <c:v>122.70067510344575</c:v>
                </c:pt>
                <c:pt idx="43">
                  <c:v>122.70067510344575</c:v>
                </c:pt>
                <c:pt idx="44">
                  <c:v>122.70067510344575</c:v>
                </c:pt>
              </c:numCache>
            </c:numRef>
          </c:yVal>
        </c:ser>
        <c:ser>
          <c:idx val="4"/>
          <c:order val="4"/>
          <c:tx>
            <c:v>Lower warning limit</c:v>
          </c:tx>
          <c:spPr>
            <a:ln w="25400">
              <a:solidFill>
                <a:srgbClr val="000000"/>
              </a:solidFill>
              <a:prstDash val="sysDash"/>
            </a:ln>
          </c:spPr>
          <c:marker>
            <c:symbol val="none"/>
          </c:marker>
          <c:xVal>
            <c:strRef>
              <c:f>'Hydra U'!$C$4:$C$48</c:f>
              <c:strCache>
                <c:ptCount val="37"/>
                <c:pt idx="0">
                  <c:v>365B</c:v>
                </c:pt>
                <c:pt idx="1">
                  <c:v>379B</c:v>
                </c:pt>
                <c:pt idx="2">
                  <c:v>382B</c:v>
                </c:pt>
                <c:pt idx="3">
                  <c:v>685B</c:v>
                </c:pt>
                <c:pt idx="4">
                  <c:v>687B</c:v>
                </c:pt>
                <c:pt idx="5">
                  <c:v>698B</c:v>
                </c:pt>
                <c:pt idx="6">
                  <c:v>699B</c:v>
                </c:pt>
                <c:pt idx="7">
                  <c:v>707B</c:v>
                </c:pt>
                <c:pt idx="8">
                  <c:v>719B</c:v>
                </c:pt>
                <c:pt idx="9">
                  <c:v>725B</c:v>
                </c:pt>
                <c:pt idx="10">
                  <c:v>760B</c:v>
                </c:pt>
                <c:pt idx="11">
                  <c:v>771B</c:v>
                </c:pt>
                <c:pt idx="12">
                  <c:v>796B</c:v>
                </c:pt>
                <c:pt idx="13">
                  <c:v>830B</c:v>
                </c:pt>
                <c:pt idx="14">
                  <c:v>843B</c:v>
                </c:pt>
                <c:pt idx="15">
                  <c:v>879B</c:v>
                </c:pt>
                <c:pt idx="16">
                  <c:v>886B</c:v>
                </c:pt>
                <c:pt idx="17">
                  <c:v>962B</c:v>
                </c:pt>
                <c:pt idx="18">
                  <c:v>963B</c:v>
                </c:pt>
                <c:pt idx="19">
                  <c:v>969B</c:v>
                </c:pt>
                <c:pt idx="20">
                  <c:v>989B</c:v>
                </c:pt>
                <c:pt idx="21">
                  <c:v>1015B</c:v>
                </c:pt>
                <c:pt idx="22">
                  <c:v>1029B</c:v>
                </c:pt>
                <c:pt idx="23">
                  <c:v>1077B</c:v>
                </c:pt>
                <c:pt idx="24">
                  <c:v>1099B</c:v>
                </c:pt>
                <c:pt idx="25">
                  <c:v>1136B</c:v>
                </c:pt>
                <c:pt idx="26">
                  <c:v>1164B</c:v>
                </c:pt>
                <c:pt idx="27">
                  <c:v>1198B</c:v>
                </c:pt>
                <c:pt idx="28">
                  <c:v>1258B</c:v>
                </c:pt>
                <c:pt idx="29">
                  <c:v>1288B</c:v>
                </c:pt>
                <c:pt idx="30">
                  <c:v>1311B</c:v>
                </c:pt>
                <c:pt idx="31">
                  <c:v>1327B</c:v>
                </c:pt>
                <c:pt idx="32">
                  <c:v>1351B</c:v>
                </c:pt>
                <c:pt idx="33">
                  <c:v>1370B</c:v>
                </c:pt>
                <c:pt idx="34">
                  <c:v>1390B</c:v>
                </c:pt>
                <c:pt idx="35">
                  <c:v>1408B</c:v>
                </c:pt>
                <c:pt idx="36">
                  <c:v>1417B</c:v>
                </c:pt>
              </c:strCache>
            </c:strRef>
          </c:xVal>
          <c:yVal>
            <c:numRef>
              <c:f>'Hydra U'!$N$4:$N$48</c:f>
              <c:numCache>
                <c:formatCode>General</c:formatCode>
                <c:ptCount val="45"/>
                <c:pt idx="0" formatCode="0">
                  <c:v>46.742784356013644</c:v>
                </c:pt>
                <c:pt idx="1">
                  <c:v>46.742784356013644</c:v>
                </c:pt>
                <c:pt idx="2">
                  <c:v>46.742784356013644</c:v>
                </c:pt>
                <c:pt idx="3">
                  <c:v>46.742784356013644</c:v>
                </c:pt>
                <c:pt idx="4">
                  <c:v>46.742784356013644</c:v>
                </c:pt>
                <c:pt idx="5">
                  <c:v>46.742784356013644</c:v>
                </c:pt>
                <c:pt idx="6">
                  <c:v>46.742784356013644</c:v>
                </c:pt>
                <c:pt idx="7">
                  <c:v>46.742784356013644</c:v>
                </c:pt>
                <c:pt idx="8">
                  <c:v>46.742784356013644</c:v>
                </c:pt>
                <c:pt idx="9">
                  <c:v>46.742784356013644</c:v>
                </c:pt>
                <c:pt idx="10">
                  <c:v>46.742784356013644</c:v>
                </c:pt>
                <c:pt idx="11">
                  <c:v>46.742784356013644</c:v>
                </c:pt>
                <c:pt idx="12">
                  <c:v>46.742784356013644</c:v>
                </c:pt>
                <c:pt idx="13">
                  <c:v>46.742784356013644</c:v>
                </c:pt>
                <c:pt idx="14">
                  <c:v>46.742784356013644</c:v>
                </c:pt>
                <c:pt idx="15">
                  <c:v>46.742784356013644</c:v>
                </c:pt>
                <c:pt idx="16">
                  <c:v>46.742784356013644</c:v>
                </c:pt>
                <c:pt idx="17">
                  <c:v>46.742784356013644</c:v>
                </c:pt>
                <c:pt idx="18">
                  <c:v>46.742784356013644</c:v>
                </c:pt>
                <c:pt idx="19">
                  <c:v>46.742784356013644</c:v>
                </c:pt>
                <c:pt idx="20">
                  <c:v>46.742784356013644</c:v>
                </c:pt>
                <c:pt idx="21">
                  <c:v>46.742784356013644</c:v>
                </c:pt>
                <c:pt idx="22">
                  <c:v>46.742784356013644</c:v>
                </c:pt>
                <c:pt idx="23">
                  <c:v>46.742784356013644</c:v>
                </c:pt>
                <c:pt idx="24">
                  <c:v>46.742784356013644</c:v>
                </c:pt>
                <c:pt idx="25">
                  <c:v>46.742784356013644</c:v>
                </c:pt>
                <c:pt idx="26">
                  <c:v>46.742784356013644</c:v>
                </c:pt>
                <c:pt idx="27">
                  <c:v>46.742784356013644</c:v>
                </c:pt>
                <c:pt idx="28">
                  <c:v>46.742784356013644</c:v>
                </c:pt>
                <c:pt idx="29">
                  <c:v>46.742784356013644</c:v>
                </c:pt>
                <c:pt idx="30">
                  <c:v>46.742784356013644</c:v>
                </c:pt>
                <c:pt idx="31">
                  <c:v>46.742784356013644</c:v>
                </c:pt>
                <c:pt idx="32">
                  <c:v>46.742784356013644</c:v>
                </c:pt>
                <c:pt idx="33">
                  <c:v>46.742784356013644</c:v>
                </c:pt>
                <c:pt idx="34">
                  <c:v>46.742784356013644</c:v>
                </c:pt>
                <c:pt idx="35">
                  <c:v>46.742784356013644</c:v>
                </c:pt>
                <c:pt idx="36">
                  <c:v>46.742784356013644</c:v>
                </c:pt>
                <c:pt idx="37">
                  <c:v>46.742784356013644</c:v>
                </c:pt>
                <c:pt idx="38">
                  <c:v>46.742784356013644</c:v>
                </c:pt>
                <c:pt idx="39">
                  <c:v>46.742784356013644</c:v>
                </c:pt>
                <c:pt idx="40">
                  <c:v>46.742784356013644</c:v>
                </c:pt>
                <c:pt idx="41">
                  <c:v>46.742784356013644</c:v>
                </c:pt>
                <c:pt idx="42">
                  <c:v>46.742784356013644</c:v>
                </c:pt>
                <c:pt idx="43">
                  <c:v>46.742784356013644</c:v>
                </c:pt>
                <c:pt idx="44">
                  <c:v>46.742784356013644</c:v>
                </c:pt>
              </c:numCache>
            </c:numRef>
          </c:yVal>
        </c:ser>
        <c:ser>
          <c:idx val="5"/>
          <c:order val="5"/>
          <c:tx>
            <c:v>Mean IC50</c:v>
          </c:tx>
          <c:spPr>
            <a:ln w="12700">
              <a:solidFill>
                <a:srgbClr val="000000"/>
              </a:solidFill>
              <a:prstDash val="solid"/>
            </a:ln>
          </c:spPr>
          <c:marker>
            <c:symbol val="none"/>
          </c:marker>
          <c:xVal>
            <c:strRef>
              <c:f>'Hydra U'!$C$4:$C$48</c:f>
              <c:strCache>
                <c:ptCount val="37"/>
                <c:pt idx="0">
                  <c:v>365B</c:v>
                </c:pt>
                <c:pt idx="1">
                  <c:v>379B</c:v>
                </c:pt>
                <c:pt idx="2">
                  <c:v>382B</c:v>
                </c:pt>
                <c:pt idx="3">
                  <c:v>685B</c:v>
                </c:pt>
                <c:pt idx="4">
                  <c:v>687B</c:v>
                </c:pt>
                <c:pt idx="5">
                  <c:v>698B</c:v>
                </c:pt>
                <c:pt idx="6">
                  <c:v>699B</c:v>
                </c:pt>
                <c:pt idx="7">
                  <c:v>707B</c:v>
                </c:pt>
                <c:pt idx="8">
                  <c:v>719B</c:v>
                </c:pt>
                <c:pt idx="9">
                  <c:v>725B</c:v>
                </c:pt>
                <c:pt idx="10">
                  <c:v>760B</c:v>
                </c:pt>
                <c:pt idx="11">
                  <c:v>771B</c:v>
                </c:pt>
                <c:pt idx="12">
                  <c:v>796B</c:v>
                </c:pt>
                <c:pt idx="13">
                  <c:v>830B</c:v>
                </c:pt>
                <c:pt idx="14">
                  <c:v>843B</c:v>
                </c:pt>
                <c:pt idx="15">
                  <c:v>879B</c:v>
                </c:pt>
                <c:pt idx="16">
                  <c:v>886B</c:v>
                </c:pt>
                <c:pt idx="17">
                  <c:v>962B</c:v>
                </c:pt>
                <c:pt idx="18">
                  <c:v>963B</c:v>
                </c:pt>
                <c:pt idx="19">
                  <c:v>969B</c:v>
                </c:pt>
                <c:pt idx="20">
                  <c:v>989B</c:v>
                </c:pt>
                <c:pt idx="21">
                  <c:v>1015B</c:v>
                </c:pt>
                <c:pt idx="22">
                  <c:v>1029B</c:v>
                </c:pt>
                <c:pt idx="23">
                  <c:v>1077B</c:v>
                </c:pt>
                <c:pt idx="24">
                  <c:v>1099B</c:v>
                </c:pt>
                <c:pt idx="25">
                  <c:v>1136B</c:v>
                </c:pt>
                <c:pt idx="26">
                  <c:v>1164B</c:v>
                </c:pt>
                <c:pt idx="27">
                  <c:v>1198B</c:v>
                </c:pt>
                <c:pt idx="28">
                  <c:v>1258B</c:v>
                </c:pt>
                <c:pt idx="29">
                  <c:v>1288B</c:v>
                </c:pt>
                <c:pt idx="30">
                  <c:v>1311B</c:v>
                </c:pt>
                <c:pt idx="31">
                  <c:v>1327B</c:v>
                </c:pt>
                <c:pt idx="32">
                  <c:v>1351B</c:v>
                </c:pt>
                <c:pt idx="33">
                  <c:v>1370B</c:v>
                </c:pt>
                <c:pt idx="34">
                  <c:v>1390B</c:v>
                </c:pt>
                <c:pt idx="35">
                  <c:v>1408B</c:v>
                </c:pt>
                <c:pt idx="36">
                  <c:v>1417B</c:v>
                </c:pt>
              </c:strCache>
            </c:strRef>
          </c:xVal>
          <c:yVal>
            <c:numRef>
              <c:f>'Hydra U'!$M$4:$M$48</c:f>
              <c:numCache>
                <c:formatCode>General</c:formatCode>
                <c:ptCount val="45"/>
                <c:pt idx="0">
                  <c:v>84.721729729729716</c:v>
                </c:pt>
                <c:pt idx="1">
                  <c:v>84.721729729729716</c:v>
                </c:pt>
                <c:pt idx="2">
                  <c:v>84.721729729729716</c:v>
                </c:pt>
                <c:pt idx="3">
                  <c:v>84.721729729729716</c:v>
                </c:pt>
                <c:pt idx="4">
                  <c:v>84.721729729729716</c:v>
                </c:pt>
                <c:pt idx="5">
                  <c:v>84.721729729729716</c:v>
                </c:pt>
                <c:pt idx="6">
                  <c:v>84.721729729729716</c:v>
                </c:pt>
                <c:pt idx="7">
                  <c:v>84.721729729729716</c:v>
                </c:pt>
                <c:pt idx="8">
                  <c:v>84.721729729729716</c:v>
                </c:pt>
                <c:pt idx="9">
                  <c:v>84.721729729729716</c:v>
                </c:pt>
                <c:pt idx="10">
                  <c:v>84.721729729729716</c:v>
                </c:pt>
                <c:pt idx="11">
                  <c:v>84.721729729729716</c:v>
                </c:pt>
                <c:pt idx="12">
                  <c:v>84.721729729729716</c:v>
                </c:pt>
                <c:pt idx="13">
                  <c:v>84.721729729729716</c:v>
                </c:pt>
                <c:pt idx="14">
                  <c:v>84.721729729729716</c:v>
                </c:pt>
                <c:pt idx="15">
                  <c:v>84.721729729729716</c:v>
                </c:pt>
                <c:pt idx="16">
                  <c:v>84.721729729729716</c:v>
                </c:pt>
                <c:pt idx="17">
                  <c:v>84.721729729729716</c:v>
                </c:pt>
                <c:pt idx="18">
                  <c:v>84.721729729729716</c:v>
                </c:pt>
                <c:pt idx="19">
                  <c:v>84.721729729729716</c:v>
                </c:pt>
                <c:pt idx="20">
                  <c:v>84.721729729729716</c:v>
                </c:pt>
                <c:pt idx="21">
                  <c:v>84.721729729729716</c:v>
                </c:pt>
                <c:pt idx="22">
                  <c:v>84.721729729729716</c:v>
                </c:pt>
                <c:pt idx="23">
                  <c:v>84.721729729729716</c:v>
                </c:pt>
                <c:pt idx="24">
                  <c:v>84.721729729729716</c:v>
                </c:pt>
                <c:pt idx="25">
                  <c:v>84.721729729729716</c:v>
                </c:pt>
                <c:pt idx="26">
                  <c:v>84.721729729729716</c:v>
                </c:pt>
                <c:pt idx="27">
                  <c:v>84.721729729729716</c:v>
                </c:pt>
                <c:pt idx="28">
                  <c:v>84.721729729729716</c:v>
                </c:pt>
                <c:pt idx="29">
                  <c:v>84.721729729729716</c:v>
                </c:pt>
                <c:pt idx="30">
                  <c:v>84.721729729729716</c:v>
                </c:pt>
                <c:pt idx="31">
                  <c:v>84.721729729729716</c:v>
                </c:pt>
                <c:pt idx="32">
                  <c:v>84.721729729729716</c:v>
                </c:pt>
                <c:pt idx="33">
                  <c:v>84.721729729729716</c:v>
                </c:pt>
                <c:pt idx="34">
                  <c:v>84.721729729729716</c:v>
                </c:pt>
                <c:pt idx="35">
                  <c:v>84.721729729729716</c:v>
                </c:pt>
                <c:pt idx="36">
                  <c:v>84.721729729729716</c:v>
                </c:pt>
                <c:pt idx="37">
                  <c:v>84.721729729729716</c:v>
                </c:pt>
                <c:pt idx="38">
                  <c:v>84.721729729729716</c:v>
                </c:pt>
                <c:pt idx="39">
                  <c:v>84.721729729729716</c:v>
                </c:pt>
                <c:pt idx="40">
                  <c:v>84.721729729729716</c:v>
                </c:pt>
                <c:pt idx="41">
                  <c:v>84.721729729729716</c:v>
                </c:pt>
                <c:pt idx="42">
                  <c:v>84.721729729729716</c:v>
                </c:pt>
                <c:pt idx="43">
                  <c:v>84.721729729729716</c:v>
                </c:pt>
                <c:pt idx="44">
                  <c:v>84.721729729729716</c:v>
                </c:pt>
              </c:numCache>
            </c:numRef>
          </c:yVal>
        </c:ser>
        <c:ser>
          <c:idx val="6"/>
          <c:order val="6"/>
          <c:tx>
            <c:v>Running mean IC50</c:v>
          </c:tx>
          <c:spPr>
            <a:ln w="12700">
              <a:solidFill>
                <a:srgbClr val="000000"/>
              </a:solidFill>
              <a:prstDash val="solid"/>
            </a:ln>
          </c:spPr>
          <c:marker>
            <c:symbol val="none"/>
          </c:marker>
          <c:xVal>
            <c:strRef>
              <c:f>'Hydra U'!$C$4:$C$48</c:f>
              <c:strCache>
                <c:ptCount val="37"/>
                <c:pt idx="0">
                  <c:v>365B</c:v>
                </c:pt>
                <c:pt idx="1">
                  <c:v>379B</c:v>
                </c:pt>
                <c:pt idx="2">
                  <c:v>382B</c:v>
                </c:pt>
                <c:pt idx="3">
                  <c:v>685B</c:v>
                </c:pt>
                <c:pt idx="4">
                  <c:v>687B</c:v>
                </c:pt>
                <c:pt idx="5">
                  <c:v>698B</c:v>
                </c:pt>
                <c:pt idx="6">
                  <c:v>699B</c:v>
                </c:pt>
                <c:pt idx="7">
                  <c:v>707B</c:v>
                </c:pt>
                <c:pt idx="8">
                  <c:v>719B</c:v>
                </c:pt>
                <c:pt idx="9">
                  <c:v>725B</c:v>
                </c:pt>
                <c:pt idx="10">
                  <c:v>760B</c:v>
                </c:pt>
                <c:pt idx="11">
                  <c:v>771B</c:v>
                </c:pt>
                <c:pt idx="12">
                  <c:v>796B</c:v>
                </c:pt>
                <c:pt idx="13">
                  <c:v>830B</c:v>
                </c:pt>
                <c:pt idx="14">
                  <c:v>843B</c:v>
                </c:pt>
                <c:pt idx="15">
                  <c:v>879B</c:v>
                </c:pt>
                <c:pt idx="16">
                  <c:v>886B</c:v>
                </c:pt>
                <c:pt idx="17">
                  <c:v>962B</c:v>
                </c:pt>
                <c:pt idx="18">
                  <c:v>963B</c:v>
                </c:pt>
                <c:pt idx="19">
                  <c:v>969B</c:v>
                </c:pt>
                <c:pt idx="20">
                  <c:v>989B</c:v>
                </c:pt>
                <c:pt idx="21">
                  <c:v>1015B</c:v>
                </c:pt>
                <c:pt idx="22">
                  <c:v>1029B</c:v>
                </c:pt>
                <c:pt idx="23">
                  <c:v>1077B</c:v>
                </c:pt>
                <c:pt idx="24">
                  <c:v>1099B</c:v>
                </c:pt>
                <c:pt idx="25">
                  <c:v>1136B</c:v>
                </c:pt>
                <c:pt idx="26">
                  <c:v>1164B</c:v>
                </c:pt>
                <c:pt idx="27">
                  <c:v>1198B</c:v>
                </c:pt>
                <c:pt idx="28">
                  <c:v>1258B</c:v>
                </c:pt>
                <c:pt idx="29">
                  <c:v>1288B</c:v>
                </c:pt>
                <c:pt idx="30">
                  <c:v>1311B</c:v>
                </c:pt>
                <c:pt idx="31">
                  <c:v>1327B</c:v>
                </c:pt>
                <c:pt idx="32">
                  <c:v>1351B</c:v>
                </c:pt>
                <c:pt idx="33">
                  <c:v>1370B</c:v>
                </c:pt>
                <c:pt idx="34">
                  <c:v>1390B</c:v>
                </c:pt>
                <c:pt idx="35">
                  <c:v>1408B</c:v>
                </c:pt>
                <c:pt idx="36">
                  <c:v>1417B</c:v>
                </c:pt>
              </c:strCache>
            </c:strRef>
          </c:xVal>
          <c:yVal>
            <c:numRef>
              <c:f>'Hydra U'!$P$4:$P$48</c:f>
              <c:numCache>
                <c:formatCode>General</c:formatCode>
                <c:ptCount val="45"/>
                <c:pt idx="1">
                  <c:v>120</c:v>
                </c:pt>
                <c:pt idx="2">
                  <c:v>119</c:v>
                </c:pt>
                <c:pt idx="3">
                  <c:v>110.5</c:v>
                </c:pt>
                <c:pt idx="4">
                  <c:v>104.4</c:v>
                </c:pt>
                <c:pt idx="5">
                  <c:v>103.94000000000032</c:v>
                </c:pt>
                <c:pt idx="6">
                  <c:v>102.52</c:v>
                </c:pt>
                <c:pt idx="7">
                  <c:v>99.08</c:v>
                </c:pt>
                <c:pt idx="8">
                  <c:v>96.848888888887558</c:v>
                </c:pt>
                <c:pt idx="9">
                  <c:v>95.464000000000027</c:v>
                </c:pt>
                <c:pt idx="10">
                  <c:v>93.918545454545466</c:v>
                </c:pt>
                <c:pt idx="11">
                  <c:v>94.925333333332958</c:v>
                </c:pt>
                <c:pt idx="12">
                  <c:v>93.546461538461458</c:v>
                </c:pt>
                <c:pt idx="13">
                  <c:v>93.864571428571438</c:v>
                </c:pt>
                <c:pt idx="14">
                  <c:v>93.206933333333339</c:v>
                </c:pt>
                <c:pt idx="15">
                  <c:v>91.481499999999997</c:v>
                </c:pt>
                <c:pt idx="16">
                  <c:v>89.923764705882363</c:v>
                </c:pt>
                <c:pt idx="17">
                  <c:v>89.705777777777158</c:v>
                </c:pt>
                <c:pt idx="18">
                  <c:v>87.826526315788158</c:v>
                </c:pt>
                <c:pt idx="19">
                  <c:v>85.735199999999992</c:v>
                </c:pt>
                <c:pt idx="20">
                  <c:v>84.938285714285712</c:v>
                </c:pt>
                <c:pt idx="21">
                  <c:v>83.472909090909084</c:v>
                </c:pt>
                <c:pt idx="22">
                  <c:v>82.789739130432565</c:v>
                </c:pt>
                <c:pt idx="23">
                  <c:v>81.199750000000009</c:v>
                </c:pt>
                <c:pt idx="24">
                  <c:v>81.023759999999982</c:v>
                </c:pt>
                <c:pt idx="25">
                  <c:v>83.005466666666678</c:v>
                </c:pt>
                <c:pt idx="26">
                  <c:v>82.760499999999993</c:v>
                </c:pt>
                <c:pt idx="27">
                  <c:v>82.760499999999993</c:v>
                </c:pt>
                <c:pt idx="28">
                  <c:v>82.727379310344759</c:v>
                </c:pt>
                <c:pt idx="29">
                  <c:v>83.005466666666678</c:v>
                </c:pt>
                <c:pt idx="30">
                  <c:v>83.569806451612905</c:v>
                </c:pt>
                <c:pt idx="31">
                  <c:v>84.062625000000025</c:v>
                </c:pt>
                <c:pt idx="32">
                  <c:v>84.071939393939388</c:v>
                </c:pt>
                <c:pt idx="33">
                  <c:v>83.870411764705878</c:v>
                </c:pt>
                <c:pt idx="34">
                  <c:v>84.277542857142848</c:v>
                </c:pt>
                <c:pt idx="35">
                  <c:v>84.317055555555555</c:v>
                </c:pt>
                <c:pt idx="36">
                  <c:v>84.721729729729716</c:v>
                </c:pt>
                <c:pt idx="37">
                  <c:v>84.721729729729716</c:v>
                </c:pt>
                <c:pt idx="38">
                  <c:v>84.721729729729716</c:v>
                </c:pt>
                <c:pt idx="39">
                  <c:v>84.721729729729716</c:v>
                </c:pt>
                <c:pt idx="40">
                  <c:v>84.721729729729716</c:v>
                </c:pt>
                <c:pt idx="41">
                  <c:v>84.721729729729716</c:v>
                </c:pt>
                <c:pt idx="42">
                  <c:v>84.721729729729716</c:v>
                </c:pt>
                <c:pt idx="43">
                  <c:v>84.721729729729716</c:v>
                </c:pt>
                <c:pt idx="44">
                  <c:v>84.721729729729716</c:v>
                </c:pt>
              </c:numCache>
            </c:numRef>
          </c:yVal>
        </c:ser>
        <c:axId val="183979392"/>
        <c:axId val="183989760"/>
      </c:scatterChart>
      <c:valAx>
        <c:axId val="183979392"/>
        <c:scaling>
          <c:orientation val="minMax"/>
          <c:max val="40"/>
          <c:min val="0"/>
        </c:scaling>
        <c:axPos val="b"/>
        <c:title>
          <c:tx>
            <c:rich>
              <a:bodyPr/>
              <a:lstStyle/>
              <a:p>
                <a:pPr>
                  <a:defRPr sz="1050" b="1" i="0" u="none" strike="noStrike" baseline="0">
                    <a:solidFill>
                      <a:srgbClr val="000000"/>
                    </a:solidFill>
                    <a:latin typeface="Arial"/>
                    <a:ea typeface="Arial"/>
                    <a:cs typeface="Arial"/>
                  </a:defRPr>
                </a:pPr>
                <a:r>
                  <a:rPr lang="en-AU" sz="1050"/>
                  <a:t>Test number</a:t>
                </a:r>
              </a:p>
            </c:rich>
          </c:tx>
          <c:layout>
            <c:manualLayout>
              <c:xMode val="edge"/>
              <c:yMode val="edge"/>
              <c:x val="0.45746897414469473"/>
              <c:y val="0.91831245276412954"/>
            </c:manualLayout>
          </c:layout>
          <c:spPr>
            <a:noFill/>
            <a:ln w="25400">
              <a:noFill/>
            </a:ln>
          </c:spPr>
        </c:title>
        <c:numFmt formatCode="General" sourceLinked="1"/>
        <c:tickLblPos val="nextTo"/>
        <c:spPr>
          <a:ln w="3175">
            <a:solidFill>
              <a:srgbClr val="000000"/>
            </a:solidFill>
            <a:prstDash val="solid"/>
          </a:ln>
        </c:spPr>
        <c:txPr>
          <a:bodyPr rot="0" vert="horz"/>
          <a:lstStyle/>
          <a:p>
            <a:pPr>
              <a:defRPr sz="1200" b="0" i="0" u="none" strike="noStrike" baseline="0">
                <a:solidFill>
                  <a:srgbClr val="000000"/>
                </a:solidFill>
                <a:latin typeface="Arial"/>
                <a:ea typeface="Arial"/>
                <a:cs typeface="Arial"/>
              </a:defRPr>
            </a:pPr>
            <a:endParaRPr lang="en-US"/>
          </a:p>
        </c:txPr>
        <c:crossAx val="183989760"/>
        <c:crossesAt val="-50"/>
        <c:crossBetween val="midCat"/>
        <c:majorUnit val="2"/>
      </c:valAx>
      <c:valAx>
        <c:axId val="183989760"/>
        <c:scaling>
          <c:orientation val="minMax"/>
          <c:max val="165"/>
          <c:min val="5"/>
        </c:scaling>
        <c:axPos val="l"/>
        <c:title>
          <c:tx>
            <c:rich>
              <a:bodyPr/>
              <a:lstStyle/>
              <a:p>
                <a:pPr>
                  <a:defRPr sz="1050" b="1" i="0" u="none" strike="noStrike" baseline="0">
                    <a:solidFill>
                      <a:srgbClr val="000000"/>
                    </a:solidFill>
                    <a:latin typeface="Arial"/>
                    <a:ea typeface="Arial"/>
                    <a:cs typeface="Arial"/>
                  </a:defRPr>
                </a:pPr>
                <a:r>
                  <a:rPr lang="en-AU" sz="1050" baseline="0"/>
                  <a:t>EC50</a:t>
                </a:r>
              </a:p>
            </c:rich>
          </c:tx>
          <c:layout>
            <c:manualLayout>
              <c:xMode val="edge"/>
              <c:yMode val="edge"/>
              <c:x val="1.6293201587097135E-2"/>
              <c:y val="0.39698690473699544"/>
            </c:manualLayout>
          </c:layout>
          <c:spPr>
            <a:noFill/>
            <a:ln w="25400">
              <a:noFill/>
            </a:ln>
          </c:spPr>
        </c:title>
        <c:numFmt formatCode="General" sourceLinked="1"/>
        <c:tickLblPos val="nextTo"/>
        <c:spPr>
          <a:ln w="3175">
            <a:solidFill>
              <a:srgbClr val="000000"/>
            </a:solidFill>
            <a:prstDash val="solid"/>
          </a:ln>
        </c:spPr>
        <c:txPr>
          <a:bodyPr rot="0" vert="horz"/>
          <a:lstStyle/>
          <a:p>
            <a:pPr>
              <a:defRPr sz="1200" b="0" i="0" u="none" strike="noStrike" baseline="0">
                <a:solidFill>
                  <a:srgbClr val="000000"/>
                </a:solidFill>
                <a:latin typeface="Arial"/>
                <a:ea typeface="Arial"/>
                <a:cs typeface="Arial"/>
              </a:defRPr>
            </a:pPr>
            <a:endParaRPr lang="en-US"/>
          </a:p>
        </c:txPr>
        <c:crossAx val="183979392"/>
        <c:crosses val="autoZero"/>
        <c:crossBetween val="midCat"/>
        <c:majorUnit val="40"/>
      </c:valAx>
      <c:spPr>
        <a:noFill/>
        <a:ln w="12700">
          <a:solidFill>
            <a:srgbClr val="000000"/>
          </a:solidFill>
          <a:prstDash val="solid"/>
        </a:ln>
      </c:spPr>
    </c:plotArea>
    <c:plotVisOnly val="1"/>
    <c:dispBlanksAs val="gap"/>
  </c:chart>
  <c:spPr>
    <a:noFill/>
    <a:ln w="3175">
      <a:noFill/>
      <a:prstDash val="solid"/>
    </a:ln>
  </c:spPr>
  <c:txPr>
    <a:bodyPr/>
    <a:lstStyle/>
    <a:p>
      <a:pPr>
        <a:defRPr sz="1825" b="0" i="0" u="none" strike="noStrike" baseline="0">
          <a:solidFill>
            <a:srgbClr val="000000"/>
          </a:solidFill>
          <a:latin typeface="Arial"/>
          <a:ea typeface="Arial"/>
          <a:cs typeface="Arial"/>
        </a:defRPr>
      </a:pPr>
      <a:endParaRPr lang="en-US"/>
    </a:p>
  </c:txPr>
  <c:externalData r:id="rId1"/>
</c:chartSpace>
</file>

<file path=word/charts/chart5.xml><?xml version="1.0" encoding="utf-8"?>
<c:chartSpace xmlns:c="http://schemas.openxmlformats.org/drawingml/2006/chart" xmlns:a="http://schemas.openxmlformats.org/drawingml/2006/main" xmlns:r="http://schemas.openxmlformats.org/officeDocument/2006/relationships">
  <c:lang val="en-AU"/>
  <c:chart>
    <c:plotArea>
      <c:layout>
        <c:manualLayout>
          <c:layoutTarget val="inner"/>
          <c:xMode val="edge"/>
          <c:yMode val="edge"/>
          <c:x val="0.12815366282183918"/>
          <c:y val="3.6753983893296926E-2"/>
          <c:w val="0.83034784899616332"/>
          <c:h val="0.76553598603304462"/>
        </c:manualLayout>
      </c:layout>
      <c:scatterChart>
        <c:scatterStyle val="lineMarker"/>
        <c:ser>
          <c:idx val="0"/>
          <c:order val="0"/>
          <c:tx>
            <c:v>IC50</c:v>
          </c:tx>
          <c:spPr>
            <a:ln w="28575">
              <a:noFill/>
            </a:ln>
          </c:spPr>
          <c:marker>
            <c:symbol val="diamond"/>
            <c:size val="5"/>
            <c:spPr>
              <a:solidFill>
                <a:srgbClr val="000000"/>
              </a:solidFill>
              <a:ln>
                <a:solidFill>
                  <a:srgbClr val="000000"/>
                </a:solidFill>
                <a:prstDash val="solid"/>
              </a:ln>
            </c:spPr>
          </c:marker>
          <c:dPt>
            <c:idx val="28"/>
            <c:marker>
              <c:spPr>
                <a:solidFill>
                  <a:srgbClr val="FF0000"/>
                </a:solidFill>
                <a:ln>
                  <a:solidFill>
                    <a:srgbClr val="000000"/>
                  </a:solidFill>
                  <a:prstDash val="solid"/>
                </a:ln>
              </c:spPr>
            </c:marker>
          </c:dPt>
          <c:dPt>
            <c:idx val="29"/>
            <c:marker>
              <c:spPr>
                <a:solidFill>
                  <a:srgbClr val="FF0000"/>
                </a:solidFill>
                <a:ln>
                  <a:solidFill>
                    <a:srgbClr val="000000"/>
                  </a:solidFill>
                  <a:prstDash val="solid"/>
                </a:ln>
              </c:spPr>
            </c:marker>
          </c:dPt>
          <c:dPt>
            <c:idx val="30"/>
            <c:marker>
              <c:spPr>
                <a:solidFill>
                  <a:srgbClr val="FF0000"/>
                </a:solidFill>
                <a:ln>
                  <a:solidFill>
                    <a:srgbClr val="000000"/>
                  </a:solidFill>
                  <a:prstDash val="solid"/>
                </a:ln>
              </c:spPr>
            </c:marker>
          </c:dPt>
          <c:dPt>
            <c:idx val="31"/>
            <c:marker>
              <c:spPr>
                <a:solidFill>
                  <a:srgbClr val="FF0000"/>
                </a:solidFill>
                <a:ln>
                  <a:solidFill>
                    <a:srgbClr val="000000"/>
                  </a:solidFill>
                  <a:prstDash val="solid"/>
                </a:ln>
              </c:spPr>
            </c:marker>
          </c:dPt>
          <c:errBars>
            <c:errDir val="y"/>
            <c:errBarType val="both"/>
            <c:errValType val="cust"/>
            <c:plus>
              <c:numRef>
                <c:f>'Flea 48h U'!$H$4:$H$38</c:f>
                <c:numCache>
                  <c:formatCode>General</c:formatCode>
                  <c:ptCount val="35"/>
                  <c:pt idx="0">
                    <c:v>29.5</c:v>
                  </c:pt>
                  <c:pt idx="1">
                    <c:v>194</c:v>
                  </c:pt>
                  <c:pt idx="2">
                    <c:v>19</c:v>
                  </c:pt>
                  <c:pt idx="3">
                    <c:v>11.650000000000006</c:v>
                  </c:pt>
                  <c:pt idx="4">
                    <c:v>7.1000000000000005</c:v>
                  </c:pt>
                  <c:pt idx="5">
                    <c:v>5.7000000000000028</c:v>
                  </c:pt>
                  <c:pt idx="6">
                    <c:v>4</c:v>
                  </c:pt>
                  <c:pt idx="7">
                    <c:v>3</c:v>
                  </c:pt>
                  <c:pt idx="8">
                    <c:v>12.3</c:v>
                  </c:pt>
                  <c:pt idx="9">
                    <c:v>12</c:v>
                  </c:pt>
                  <c:pt idx="10">
                    <c:v>2</c:v>
                  </c:pt>
                  <c:pt idx="11">
                    <c:v>1</c:v>
                  </c:pt>
                  <c:pt idx="12">
                    <c:v>2.6999999999999993</c:v>
                  </c:pt>
                  <c:pt idx="13">
                    <c:v>14.700000000000001</c:v>
                  </c:pt>
                  <c:pt idx="14">
                    <c:v>5</c:v>
                  </c:pt>
                  <c:pt idx="15">
                    <c:v>2.7999999999999972</c:v>
                  </c:pt>
                  <c:pt idx="16">
                    <c:v>3.5999999999999988</c:v>
                  </c:pt>
                  <c:pt idx="17">
                    <c:v>9</c:v>
                  </c:pt>
                  <c:pt idx="18">
                    <c:v>85.59</c:v>
                  </c:pt>
                  <c:pt idx="19">
                    <c:v>30.909999999999989</c:v>
                  </c:pt>
                  <c:pt idx="20">
                    <c:v>2.5</c:v>
                  </c:pt>
                  <c:pt idx="21">
                    <c:v>22</c:v>
                  </c:pt>
                  <c:pt idx="22">
                    <c:v>130</c:v>
                  </c:pt>
                  <c:pt idx="23">
                    <c:v>17</c:v>
                  </c:pt>
                  <c:pt idx="24">
                    <c:v>1.800000000000012</c:v>
                  </c:pt>
                  <c:pt idx="25">
                    <c:v>13</c:v>
                  </c:pt>
                  <c:pt idx="27">
                    <c:v>20.699999999999996</c:v>
                  </c:pt>
                  <c:pt idx="28">
                    <c:v>0</c:v>
                  </c:pt>
                  <c:pt idx="29">
                    <c:v>18.100000000000001</c:v>
                  </c:pt>
                  <c:pt idx="30">
                    <c:v>22.400000000000006</c:v>
                  </c:pt>
                  <c:pt idx="31">
                    <c:v>18.400000000000002</c:v>
                  </c:pt>
                  <c:pt idx="32">
                    <c:v>0</c:v>
                  </c:pt>
                  <c:pt idx="33">
                    <c:v>0</c:v>
                  </c:pt>
                  <c:pt idx="34">
                    <c:v>0</c:v>
                  </c:pt>
                </c:numCache>
              </c:numRef>
            </c:plus>
            <c:minus>
              <c:numRef>
                <c:f>'Flea 48h U'!$F$4:$F$38</c:f>
                <c:numCache>
                  <c:formatCode>General</c:formatCode>
                  <c:ptCount val="35"/>
                  <c:pt idx="0">
                    <c:v>23.799999999999986</c:v>
                  </c:pt>
                  <c:pt idx="1">
                    <c:v>55</c:v>
                  </c:pt>
                  <c:pt idx="2">
                    <c:v>24</c:v>
                  </c:pt>
                  <c:pt idx="3">
                    <c:v>12.25</c:v>
                  </c:pt>
                  <c:pt idx="4">
                    <c:v>7.0999999999999943</c:v>
                  </c:pt>
                  <c:pt idx="5">
                    <c:v>5.6999999999999957</c:v>
                  </c:pt>
                  <c:pt idx="6">
                    <c:v>7</c:v>
                  </c:pt>
                  <c:pt idx="7">
                    <c:v>2</c:v>
                  </c:pt>
                  <c:pt idx="8">
                    <c:v>4.1099999999999985</c:v>
                  </c:pt>
                  <c:pt idx="9">
                    <c:v>9</c:v>
                  </c:pt>
                  <c:pt idx="10">
                    <c:v>2</c:v>
                  </c:pt>
                  <c:pt idx="11">
                    <c:v>0.69999999999999962</c:v>
                  </c:pt>
                  <c:pt idx="12">
                    <c:v>2.3000000000000007</c:v>
                  </c:pt>
                  <c:pt idx="13">
                    <c:v>14.30000000000002</c:v>
                  </c:pt>
                  <c:pt idx="14">
                    <c:v>5</c:v>
                  </c:pt>
                  <c:pt idx="15">
                    <c:v>2.7000000000000042</c:v>
                  </c:pt>
                  <c:pt idx="16">
                    <c:v>2.9000000000000004</c:v>
                  </c:pt>
                  <c:pt idx="17">
                    <c:v>8</c:v>
                  </c:pt>
                  <c:pt idx="18">
                    <c:v>0</c:v>
                  </c:pt>
                  <c:pt idx="19">
                    <c:v>51.17</c:v>
                  </c:pt>
                  <c:pt idx="20">
                    <c:v>10.3</c:v>
                  </c:pt>
                  <c:pt idx="21">
                    <c:v>16</c:v>
                  </c:pt>
                  <c:pt idx="22">
                    <c:v>39</c:v>
                  </c:pt>
                  <c:pt idx="23">
                    <c:v>20</c:v>
                  </c:pt>
                  <c:pt idx="24">
                    <c:v>3.5</c:v>
                  </c:pt>
                  <c:pt idx="25">
                    <c:v>15</c:v>
                  </c:pt>
                  <c:pt idx="26">
                    <c:v>113.4</c:v>
                  </c:pt>
                  <c:pt idx="27">
                    <c:v>14.980000000000004</c:v>
                  </c:pt>
                  <c:pt idx="28">
                    <c:v>0</c:v>
                  </c:pt>
                  <c:pt idx="29">
                    <c:v>3.3499999999999988</c:v>
                  </c:pt>
                  <c:pt idx="30">
                    <c:v>19.799999999999983</c:v>
                  </c:pt>
                  <c:pt idx="31">
                    <c:v>9.4500000000000028</c:v>
                  </c:pt>
                  <c:pt idx="32">
                    <c:v>0</c:v>
                  </c:pt>
                  <c:pt idx="33">
                    <c:v>0</c:v>
                  </c:pt>
                  <c:pt idx="34">
                    <c:v>0</c:v>
                  </c:pt>
                </c:numCache>
              </c:numRef>
            </c:minus>
            <c:spPr>
              <a:ln w="12700">
                <a:solidFill>
                  <a:srgbClr val="000000"/>
                </a:solidFill>
                <a:prstDash val="solid"/>
              </a:ln>
            </c:spPr>
          </c:errBars>
          <c:xVal>
            <c:numRef>
              <c:f>'Flea 48h U'!$A$4:$A$38</c:f>
              <c:numCache>
                <c:formatCode>General</c:formatCode>
                <c:ptCount val="35"/>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pt idx="25">
                  <c:v>26</c:v>
                </c:pt>
                <c:pt idx="26">
                  <c:v>27</c:v>
                </c:pt>
                <c:pt idx="27">
                  <c:v>28</c:v>
                </c:pt>
                <c:pt idx="28">
                  <c:v>29</c:v>
                </c:pt>
                <c:pt idx="29">
                  <c:v>30</c:v>
                </c:pt>
                <c:pt idx="30">
                  <c:v>31</c:v>
                </c:pt>
                <c:pt idx="31">
                  <c:v>32</c:v>
                </c:pt>
                <c:pt idx="32">
                  <c:v>33</c:v>
                </c:pt>
                <c:pt idx="33">
                  <c:v>34</c:v>
                </c:pt>
                <c:pt idx="34">
                  <c:v>35</c:v>
                </c:pt>
              </c:numCache>
            </c:numRef>
          </c:xVal>
          <c:yVal>
            <c:numRef>
              <c:f>'Flea 48h U'!$D$4:$D$38</c:f>
              <c:numCache>
                <c:formatCode>General</c:formatCode>
                <c:ptCount val="35"/>
                <c:pt idx="0">
                  <c:v>122</c:v>
                </c:pt>
                <c:pt idx="1">
                  <c:v>194</c:v>
                </c:pt>
                <c:pt idx="2">
                  <c:v>56</c:v>
                </c:pt>
                <c:pt idx="3">
                  <c:v>75.75</c:v>
                </c:pt>
                <c:pt idx="4">
                  <c:v>49.8</c:v>
                </c:pt>
                <c:pt idx="5">
                  <c:v>46.8</c:v>
                </c:pt>
                <c:pt idx="6">
                  <c:v>48</c:v>
                </c:pt>
                <c:pt idx="7">
                  <c:v>32</c:v>
                </c:pt>
                <c:pt idx="8">
                  <c:v>22.1</c:v>
                </c:pt>
                <c:pt idx="9">
                  <c:v>50</c:v>
                </c:pt>
                <c:pt idx="10">
                  <c:v>14</c:v>
                </c:pt>
                <c:pt idx="11">
                  <c:v>9</c:v>
                </c:pt>
                <c:pt idx="12">
                  <c:v>16.3</c:v>
                </c:pt>
                <c:pt idx="13">
                  <c:v>238.3</c:v>
                </c:pt>
                <c:pt idx="14">
                  <c:v>36</c:v>
                </c:pt>
                <c:pt idx="15">
                  <c:v>95.2</c:v>
                </c:pt>
                <c:pt idx="16">
                  <c:v>13.6</c:v>
                </c:pt>
                <c:pt idx="17">
                  <c:v>55</c:v>
                </c:pt>
                <c:pt idx="18">
                  <c:v>47.4</c:v>
                </c:pt>
                <c:pt idx="19">
                  <c:v>80.790000000000006</c:v>
                </c:pt>
                <c:pt idx="20">
                  <c:v>16.899999999999999</c:v>
                </c:pt>
                <c:pt idx="21">
                  <c:v>234</c:v>
                </c:pt>
                <c:pt idx="22">
                  <c:v>133</c:v>
                </c:pt>
                <c:pt idx="23">
                  <c:v>204</c:v>
                </c:pt>
                <c:pt idx="24">
                  <c:v>200.7</c:v>
                </c:pt>
                <c:pt idx="25">
                  <c:v>171</c:v>
                </c:pt>
                <c:pt idx="26">
                  <c:v>266</c:v>
                </c:pt>
                <c:pt idx="27">
                  <c:v>32.379999999999995</c:v>
                </c:pt>
                <c:pt idx="28">
                  <c:v>270</c:v>
                </c:pt>
                <c:pt idx="29">
                  <c:v>22.43</c:v>
                </c:pt>
                <c:pt idx="30">
                  <c:v>186.6</c:v>
                </c:pt>
                <c:pt idx="31">
                  <c:v>30.59</c:v>
                </c:pt>
              </c:numCache>
            </c:numRef>
          </c:yVal>
        </c:ser>
        <c:ser>
          <c:idx val="1"/>
          <c:order val="1"/>
          <c:tx>
            <c:v>Mean IC50</c:v>
          </c:tx>
          <c:spPr>
            <a:ln w="12700">
              <a:solidFill>
                <a:srgbClr val="000000"/>
              </a:solidFill>
              <a:prstDash val="solid"/>
            </a:ln>
          </c:spPr>
          <c:marker>
            <c:symbol val="none"/>
          </c:marker>
          <c:xVal>
            <c:numRef>
              <c:f>'Flea 48h U'!$A$4:$A$38</c:f>
              <c:numCache>
                <c:formatCode>General</c:formatCode>
                <c:ptCount val="35"/>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pt idx="25">
                  <c:v>26</c:v>
                </c:pt>
                <c:pt idx="26">
                  <c:v>27</c:v>
                </c:pt>
                <c:pt idx="27">
                  <c:v>28</c:v>
                </c:pt>
                <c:pt idx="28">
                  <c:v>29</c:v>
                </c:pt>
                <c:pt idx="29">
                  <c:v>30</c:v>
                </c:pt>
                <c:pt idx="30">
                  <c:v>31</c:v>
                </c:pt>
                <c:pt idx="31">
                  <c:v>32</c:v>
                </c:pt>
                <c:pt idx="32">
                  <c:v>33</c:v>
                </c:pt>
                <c:pt idx="33">
                  <c:v>34</c:v>
                </c:pt>
                <c:pt idx="34">
                  <c:v>35</c:v>
                </c:pt>
              </c:numCache>
            </c:numRef>
          </c:xVal>
          <c:yVal>
            <c:numRef>
              <c:f>'Flea 48h U'!$M$4:$M$38</c:f>
              <c:numCache>
                <c:formatCode>General</c:formatCode>
                <c:ptCount val="35"/>
                <c:pt idx="0">
                  <c:v>95.926249999999996</c:v>
                </c:pt>
                <c:pt idx="1">
                  <c:v>95.926249999999996</c:v>
                </c:pt>
                <c:pt idx="2">
                  <c:v>95.926249999999996</c:v>
                </c:pt>
                <c:pt idx="3">
                  <c:v>95.926249999999996</c:v>
                </c:pt>
                <c:pt idx="4">
                  <c:v>95.926249999999996</c:v>
                </c:pt>
                <c:pt idx="5">
                  <c:v>95.926249999999996</c:v>
                </c:pt>
                <c:pt idx="6">
                  <c:v>95.926249999999996</c:v>
                </c:pt>
                <c:pt idx="7">
                  <c:v>95.926249999999996</c:v>
                </c:pt>
                <c:pt idx="8">
                  <c:v>95.926249999999996</c:v>
                </c:pt>
                <c:pt idx="9">
                  <c:v>95.926249999999996</c:v>
                </c:pt>
                <c:pt idx="10">
                  <c:v>95.926249999999996</c:v>
                </c:pt>
                <c:pt idx="11">
                  <c:v>95.926249999999996</c:v>
                </c:pt>
                <c:pt idx="12">
                  <c:v>95.926249999999996</c:v>
                </c:pt>
                <c:pt idx="13">
                  <c:v>95.926249999999996</c:v>
                </c:pt>
                <c:pt idx="14">
                  <c:v>95.926249999999996</c:v>
                </c:pt>
                <c:pt idx="15">
                  <c:v>95.926249999999996</c:v>
                </c:pt>
                <c:pt idx="16">
                  <c:v>95.926249999999996</c:v>
                </c:pt>
                <c:pt idx="17">
                  <c:v>95.926249999999996</c:v>
                </c:pt>
                <c:pt idx="18">
                  <c:v>95.926249999999996</c:v>
                </c:pt>
                <c:pt idx="19">
                  <c:v>95.926249999999996</c:v>
                </c:pt>
                <c:pt idx="20">
                  <c:v>95.926249999999996</c:v>
                </c:pt>
                <c:pt idx="21">
                  <c:v>95.926249999999996</c:v>
                </c:pt>
                <c:pt idx="22">
                  <c:v>95.926249999999996</c:v>
                </c:pt>
                <c:pt idx="23">
                  <c:v>95.926249999999996</c:v>
                </c:pt>
                <c:pt idx="24">
                  <c:v>95.926249999999996</c:v>
                </c:pt>
                <c:pt idx="25">
                  <c:v>95.926249999999996</c:v>
                </c:pt>
                <c:pt idx="26">
                  <c:v>95.926249999999996</c:v>
                </c:pt>
                <c:pt idx="27">
                  <c:v>95.926249999999996</c:v>
                </c:pt>
                <c:pt idx="28">
                  <c:v>95.926249999999996</c:v>
                </c:pt>
                <c:pt idx="29">
                  <c:v>95.926249999999996</c:v>
                </c:pt>
                <c:pt idx="30">
                  <c:v>95.926249999999996</c:v>
                </c:pt>
                <c:pt idx="31">
                  <c:v>95.926249999999996</c:v>
                </c:pt>
                <c:pt idx="32">
                  <c:v>95.926249999999996</c:v>
                </c:pt>
                <c:pt idx="33">
                  <c:v>95.926249999999996</c:v>
                </c:pt>
                <c:pt idx="34">
                  <c:v>95.926249999999996</c:v>
                </c:pt>
              </c:numCache>
            </c:numRef>
          </c:yVal>
        </c:ser>
        <c:ser>
          <c:idx val="2"/>
          <c:order val="2"/>
          <c:tx>
            <c:v>Running Mean</c:v>
          </c:tx>
          <c:spPr>
            <a:ln w="12700">
              <a:solidFill>
                <a:srgbClr val="000000"/>
              </a:solidFill>
              <a:prstDash val="solid"/>
            </a:ln>
          </c:spPr>
          <c:marker>
            <c:symbol val="none"/>
          </c:marker>
          <c:xVal>
            <c:numRef>
              <c:f>'Flea 48h U'!$A$4:$A$38</c:f>
              <c:numCache>
                <c:formatCode>General</c:formatCode>
                <c:ptCount val="35"/>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pt idx="25">
                  <c:v>26</c:v>
                </c:pt>
                <c:pt idx="26">
                  <c:v>27</c:v>
                </c:pt>
                <c:pt idx="27">
                  <c:v>28</c:v>
                </c:pt>
                <c:pt idx="28">
                  <c:v>29</c:v>
                </c:pt>
                <c:pt idx="29">
                  <c:v>30</c:v>
                </c:pt>
                <c:pt idx="30">
                  <c:v>31</c:v>
                </c:pt>
                <c:pt idx="31">
                  <c:v>32</c:v>
                </c:pt>
                <c:pt idx="32">
                  <c:v>33</c:v>
                </c:pt>
                <c:pt idx="33">
                  <c:v>34</c:v>
                </c:pt>
                <c:pt idx="34">
                  <c:v>35</c:v>
                </c:pt>
              </c:numCache>
            </c:numRef>
          </c:xVal>
          <c:yVal>
            <c:numRef>
              <c:f>'Flea 48h U'!$P$4:$P$37</c:f>
              <c:numCache>
                <c:formatCode>General</c:formatCode>
                <c:ptCount val="34"/>
                <c:pt idx="1">
                  <c:v>158</c:v>
                </c:pt>
                <c:pt idx="2">
                  <c:v>124</c:v>
                </c:pt>
                <c:pt idx="3">
                  <c:v>111.93750000000072</c:v>
                </c:pt>
                <c:pt idx="4">
                  <c:v>99.51</c:v>
                </c:pt>
                <c:pt idx="5">
                  <c:v>90.725000000000009</c:v>
                </c:pt>
                <c:pt idx="6">
                  <c:v>84.621428571427558</c:v>
                </c:pt>
                <c:pt idx="7">
                  <c:v>78.043750000000003</c:v>
                </c:pt>
                <c:pt idx="8">
                  <c:v>71.827777777777158</c:v>
                </c:pt>
                <c:pt idx="9">
                  <c:v>69.64500000000001</c:v>
                </c:pt>
                <c:pt idx="10">
                  <c:v>64.586363636363643</c:v>
                </c:pt>
                <c:pt idx="11">
                  <c:v>59.954166666665543</c:v>
                </c:pt>
                <c:pt idx="12">
                  <c:v>51.145833333333336</c:v>
                </c:pt>
                <c:pt idx="13">
                  <c:v>69.574999999999989</c:v>
                </c:pt>
                <c:pt idx="14">
                  <c:v>63.432142857142857</c:v>
                </c:pt>
                <c:pt idx="15">
                  <c:v>69.078125</c:v>
                </c:pt>
                <c:pt idx="16">
                  <c:v>65.814705882352939</c:v>
                </c:pt>
                <c:pt idx="17">
                  <c:v>65.213888888888889</c:v>
                </c:pt>
                <c:pt idx="18">
                  <c:v>64.276315789473685</c:v>
                </c:pt>
                <c:pt idx="19">
                  <c:v>65.10199999999999</c:v>
                </c:pt>
                <c:pt idx="20">
                  <c:v>62.80666666666545</c:v>
                </c:pt>
                <c:pt idx="21">
                  <c:v>70.588181818179507</c:v>
                </c:pt>
                <c:pt idx="22">
                  <c:v>73.301739130432594</c:v>
                </c:pt>
                <c:pt idx="23">
                  <c:v>78.747500000000727</c:v>
                </c:pt>
                <c:pt idx="24">
                  <c:v>83.625599999999949</c:v>
                </c:pt>
                <c:pt idx="25">
                  <c:v>86.98615384615384</c:v>
                </c:pt>
                <c:pt idx="26">
                  <c:v>93.616296296296298</c:v>
                </c:pt>
                <c:pt idx="27">
                  <c:v>91.429285714285712</c:v>
                </c:pt>
                <c:pt idx="28">
                  <c:v>97.586896551723058</c:v>
                </c:pt>
                <c:pt idx="29">
                  <c:v>95.081666666666663</c:v>
                </c:pt>
                <c:pt idx="30">
                  <c:v>98.033870967741919</c:v>
                </c:pt>
                <c:pt idx="31">
                  <c:v>95.926249999999996</c:v>
                </c:pt>
                <c:pt idx="32">
                  <c:v>95.926249999999996</c:v>
                </c:pt>
                <c:pt idx="33">
                  <c:v>95.926249999999996</c:v>
                </c:pt>
              </c:numCache>
            </c:numRef>
          </c:yVal>
        </c:ser>
        <c:ser>
          <c:idx val="3"/>
          <c:order val="3"/>
          <c:tx>
            <c:v>Lower Warning Limit</c:v>
          </c:tx>
          <c:spPr>
            <a:ln w="25400">
              <a:solidFill>
                <a:srgbClr val="000000"/>
              </a:solidFill>
              <a:prstDash val="sysDash"/>
            </a:ln>
          </c:spPr>
          <c:marker>
            <c:symbol val="none"/>
          </c:marker>
          <c:xVal>
            <c:strRef>
              <c:f>'Flea 48h U'!$C$4:$C$38</c:f>
              <c:strCache>
                <c:ptCount val="33"/>
                <c:pt idx="0">
                  <c:v>762I RefTox 01</c:v>
                </c:pt>
                <c:pt idx="1">
                  <c:v>763I RefTox 02</c:v>
                </c:pt>
                <c:pt idx="2">
                  <c:v>776I RefTox 03</c:v>
                </c:pt>
                <c:pt idx="3">
                  <c:v>788I RefTox 04</c:v>
                </c:pt>
                <c:pt idx="4">
                  <c:v>797I RefTox 05</c:v>
                </c:pt>
                <c:pt idx="5">
                  <c:v>801I RefTox 06</c:v>
                </c:pt>
                <c:pt idx="6">
                  <c:v>827I Reftox 07</c:v>
                </c:pt>
                <c:pt idx="7">
                  <c:v>832I Reftox 08</c:v>
                </c:pt>
                <c:pt idx="8">
                  <c:v>837I reftox09</c:v>
                </c:pt>
                <c:pt idx="9">
                  <c:v>855I Reftox10</c:v>
                </c:pt>
                <c:pt idx="10">
                  <c:v>870I Reftox11</c:v>
                </c:pt>
                <c:pt idx="11">
                  <c:v>912I Reftox 12</c:v>
                </c:pt>
                <c:pt idx="12">
                  <c:v>929I reftox 13</c:v>
                </c:pt>
                <c:pt idx="13">
                  <c:v>991I</c:v>
                </c:pt>
                <c:pt idx="14">
                  <c:v>1001I  Reftox18</c:v>
                </c:pt>
                <c:pt idx="15">
                  <c:v>1023I</c:v>
                </c:pt>
                <c:pt idx="16">
                  <c:v>1103I</c:v>
                </c:pt>
                <c:pt idx="17">
                  <c:v>1129I</c:v>
                </c:pt>
                <c:pt idx="18">
                  <c:v>1156I</c:v>
                </c:pt>
                <c:pt idx="19">
                  <c:v>1190I</c:v>
                </c:pt>
                <c:pt idx="20">
                  <c:v>1249I</c:v>
                </c:pt>
                <c:pt idx="21">
                  <c:v>1263I</c:v>
                </c:pt>
                <c:pt idx="22">
                  <c:v>1267I</c:v>
                </c:pt>
                <c:pt idx="23">
                  <c:v>1289I</c:v>
                </c:pt>
                <c:pt idx="24">
                  <c:v>1309I</c:v>
                </c:pt>
                <c:pt idx="25">
                  <c:v>1314I</c:v>
                </c:pt>
                <c:pt idx="26">
                  <c:v>1329I</c:v>
                </c:pt>
                <c:pt idx="27">
                  <c:v>1346I</c:v>
                </c:pt>
                <c:pt idx="28">
                  <c:v>1369I</c:v>
                </c:pt>
                <c:pt idx="29">
                  <c:v>1371I</c:v>
                </c:pt>
                <c:pt idx="30">
                  <c:v>1396I</c:v>
                </c:pt>
                <c:pt idx="31">
                  <c:v>1407I</c:v>
                </c:pt>
                <c:pt idx="32">
                  <c:v>1423I</c:v>
                </c:pt>
              </c:strCache>
            </c:strRef>
          </c:xVal>
          <c:yVal>
            <c:numRef>
              <c:f>'Flea 48h U'!$O$4:$O$38</c:f>
              <c:numCache>
                <c:formatCode>General</c:formatCode>
                <c:ptCount val="35"/>
                <c:pt idx="0">
                  <c:v>-73.484508674998906</c:v>
                </c:pt>
                <c:pt idx="1">
                  <c:v>-73.484508674998906</c:v>
                </c:pt>
                <c:pt idx="2">
                  <c:v>-73.484508674998906</c:v>
                </c:pt>
                <c:pt idx="3">
                  <c:v>-73.484508674998906</c:v>
                </c:pt>
                <c:pt idx="4">
                  <c:v>-73.484508674998906</c:v>
                </c:pt>
                <c:pt idx="5">
                  <c:v>-73.484508674998906</c:v>
                </c:pt>
                <c:pt idx="6">
                  <c:v>-73.484508674998906</c:v>
                </c:pt>
                <c:pt idx="7">
                  <c:v>-73.484508674998906</c:v>
                </c:pt>
                <c:pt idx="8">
                  <c:v>-73.484508674998906</c:v>
                </c:pt>
                <c:pt idx="9">
                  <c:v>-73.484508674998906</c:v>
                </c:pt>
                <c:pt idx="10">
                  <c:v>-73.484508674998906</c:v>
                </c:pt>
                <c:pt idx="11">
                  <c:v>-73.484508674998906</c:v>
                </c:pt>
                <c:pt idx="12">
                  <c:v>-73.484508674998906</c:v>
                </c:pt>
                <c:pt idx="13">
                  <c:v>-73.484508674998906</c:v>
                </c:pt>
                <c:pt idx="14">
                  <c:v>-73.484508674998906</c:v>
                </c:pt>
                <c:pt idx="15">
                  <c:v>-73.484508674998906</c:v>
                </c:pt>
                <c:pt idx="16">
                  <c:v>-73.484508674998906</c:v>
                </c:pt>
                <c:pt idx="17">
                  <c:v>-73.484508674998906</c:v>
                </c:pt>
                <c:pt idx="18">
                  <c:v>-73.484508674998906</c:v>
                </c:pt>
                <c:pt idx="19">
                  <c:v>-73.484508674998906</c:v>
                </c:pt>
                <c:pt idx="20">
                  <c:v>-73.484508674998906</c:v>
                </c:pt>
                <c:pt idx="21">
                  <c:v>-73.484508674998906</c:v>
                </c:pt>
                <c:pt idx="22">
                  <c:v>-73.484508674998906</c:v>
                </c:pt>
                <c:pt idx="23">
                  <c:v>-73.484508674998906</c:v>
                </c:pt>
                <c:pt idx="24">
                  <c:v>-73.484508674998906</c:v>
                </c:pt>
                <c:pt idx="25">
                  <c:v>-73.484508674998906</c:v>
                </c:pt>
                <c:pt idx="26">
                  <c:v>-73.484508674998906</c:v>
                </c:pt>
                <c:pt idx="27">
                  <c:v>-73.484508674998906</c:v>
                </c:pt>
                <c:pt idx="28">
                  <c:v>-73.484508674998906</c:v>
                </c:pt>
                <c:pt idx="29">
                  <c:v>-73.484508674998906</c:v>
                </c:pt>
                <c:pt idx="30">
                  <c:v>-73.484508674998906</c:v>
                </c:pt>
                <c:pt idx="31">
                  <c:v>-73.484508674998906</c:v>
                </c:pt>
                <c:pt idx="32">
                  <c:v>-73.484508674998906</c:v>
                </c:pt>
                <c:pt idx="33">
                  <c:v>-73.484508674998906</c:v>
                </c:pt>
                <c:pt idx="34">
                  <c:v>-73.484508674998906</c:v>
                </c:pt>
              </c:numCache>
            </c:numRef>
          </c:yVal>
        </c:ser>
        <c:ser>
          <c:idx val="4"/>
          <c:order val="4"/>
          <c:tx>
            <c:v>Upper Warning limit</c:v>
          </c:tx>
          <c:spPr>
            <a:ln w="25400">
              <a:solidFill>
                <a:srgbClr val="000000"/>
              </a:solidFill>
              <a:prstDash val="sysDash"/>
            </a:ln>
          </c:spPr>
          <c:marker>
            <c:symbol val="none"/>
          </c:marker>
          <c:xVal>
            <c:strRef>
              <c:f>'Flea 48h U'!$C$4:$C$38</c:f>
              <c:strCache>
                <c:ptCount val="33"/>
                <c:pt idx="0">
                  <c:v>762I RefTox 01</c:v>
                </c:pt>
                <c:pt idx="1">
                  <c:v>763I RefTox 02</c:v>
                </c:pt>
                <c:pt idx="2">
                  <c:v>776I RefTox 03</c:v>
                </c:pt>
                <c:pt idx="3">
                  <c:v>788I RefTox 04</c:v>
                </c:pt>
                <c:pt idx="4">
                  <c:v>797I RefTox 05</c:v>
                </c:pt>
                <c:pt idx="5">
                  <c:v>801I RefTox 06</c:v>
                </c:pt>
                <c:pt idx="6">
                  <c:v>827I Reftox 07</c:v>
                </c:pt>
                <c:pt idx="7">
                  <c:v>832I Reftox 08</c:v>
                </c:pt>
                <c:pt idx="8">
                  <c:v>837I reftox09</c:v>
                </c:pt>
                <c:pt idx="9">
                  <c:v>855I Reftox10</c:v>
                </c:pt>
                <c:pt idx="10">
                  <c:v>870I Reftox11</c:v>
                </c:pt>
                <c:pt idx="11">
                  <c:v>912I Reftox 12</c:v>
                </c:pt>
                <c:pt idx="12">
                  <c:v>929I reftox 13</c:v>
                </c:pt>
                <c:pt idx="13">
                  <c:v>991I</c:v>
                </c:pt>
                <c:pt idx="14">
                  <c:v>1001I  Reftox18</c:v>
                </c:pt>
                <c:pt idx="15">
                  <c:v>1023I</c:v>
                </c:pt>
                <c:pt idx="16">
                  <c:v>1103I</c:v>
                </c:pt>
                <c:pt idx="17">
                  <c:v>1129I</c:v>
                </c:pt>
                <c:pt idx="18">
                  <c:v>1156I</c:v>
                </c:pt>
                <c:pt idx="19">
                  <c:v>1190I</c:v>
                </c:pt>
                <c:pt idx="20">
                  <c:v>1249I</c:v>
                </c:pt>
                <c:pt idx="21">
                  <c:v>1263I</c:v>
                </c:pt>
                <c:pt idx="22">
                  <c:v>1267I</c:v>
                </c:pt>
                <c:pt idx="23">
                  <c:v>1289I</c:v>
                </c:pt>
                <c:pt idx="24">
                  <c:v>1309I</c:v>
                </c:pt>
                <c:pt idx="25">
                  <c:v>1314I</c:v>
                </c:pt>
                <c:pt idx="26">
                  <c:v>1329I</c:v>
                </c:pt>
                <c:pt idx="27">
                  <c:v>1346I</c:v>
                </c:pt>
                <c:pt idx="28">
                  <c:v>1369I</c:v>
                </c:pt>
                <c:pt idx="29">
                  <c:v>1371I</c:v>
                </c:pt>
                <c:pt idx="30">
                  <c:v>1396I</c:v>
                </c:pt>
                <c:pt idx="31">
                  <c:v>1407I</c:v>
                </c:pt>
                <c:pt idx="32">
                  <c:v>1423I</c:v>
                </c:pt>
              </c:strCache>
            </c:strRef>
          </c:xVal>
          <c:yVal>
            <c:numRef>
              <c:f>'Flea 48h U'!$L$4:$L$38</c:f>
              <c:numCache>
                <c:formatCode>General</c:formatCode>
                <c:ptCount val="35"/>
                <c:pt idx="0">
                  <c:v>265.33700867499891</c:v>
                </c:pt>
                <c:pt idx="1">
                  <c:v>265.33700867499891</c:v>
                </c:pt>
                <c:pt idx="2">
                  <c:v>265.33700867499891</c:v>
                </c:pt>
                <c:pt idx="3">
                  <c:v>265.33700867499891</c:v>
                </c:pt>
                <c:pt idx="4">
                  <c:v>265.33700867499891</c:v>
                </c:pt>
                <c:pt idx="5">
                  <c:v>265.33700867499891</c:v>
                </c:pt>
                <c:pt idx="6">
                  <c:v>265.33700867499891</c:v>
                </c:pt>
                <c:pt idx="7">
                  <c:v>265.33700867499891</c:v>
                </c:pt>
                <c:pt idx="8">
                  <c:v>265.33700867499891</c:v>
                </c:pt>
                <c:pt idx="9">
                  <c:v>265.33700867499891</c:v>
                </c:pt>
                <c:pt idx="10">
                  <c:v>265.33700867499891</c:v>
                </c:pt>
                <c:pt idx="11">
                  <c:v>265.33700867499891</c:v>
                </c:pt>
                <c:pt idx="12">
                  <c:v>265.33700867499891</c:v>
                </c:pt>
                <c:pt idx="13">
                  <c:v>265.33700867499891</c:v>
                </c:pt>
                <c:pt idx="14">
                  <c:v>265.33700867499891</c:v>
                </c:pt>
                <c:pt idx="15">
                  <c:v>265.33700867499891</c:v>
                </c:pt>
                <c:pt idx="16">
                  <c:v>265.33700867499891</c:v>
                </c:pt>
                <c:pt idx="17">
                  <c:v>265.33700867499891</c:v>
                </c:pt>
                <c:pt idx="18">
                  <c:v>265.33700867499891</c:v>
                </c:pt>
                <c:pt idx="19">
                  <c:v>265.33700867499891</c:v>
                </c:pt>
                <c:pt idx="20">
                  <c:v>265.33700867499891</c:v>
                </c:pt>
                <c:pt idx="21">
                  <c:v>265.33700867499891</c:v>
                </c:pt>
                <c:pt idx="22">
                  <c:v>265.33700867499891</c:v>
                </c:pt>
                <c:pt idx="23">
                  <c:v>265.33700867499891</c:v>
                </c:pt>
                <c:pt idx="24">
                  <c:v>265.33700867499891</c:v>
                </c:pt>
                <c:pt idx="25">
                  <c:v>265.33700867499891</c:v>
                </c:pt>
                <c:pt idx="26">
                  <c:v>265.33700867499891</c:v>
                </c:pt>
                <c:pt idx="27">
                  <c:v>265.33700867499891</c:v>
                </c:pt>
                <c:pt idx="28">
                  <c:v>265.33700867499891</c:v>
                </c:pt>
                <c:pt idx="29">
                  <c:v>265.33700867499891</c:v>
                </c:pt>
                <c:pt idx="30">
                  <c:v>265.33700867499891</c:v>
                </c:pt>
                <c:pt idx="31">
                  <c:v>265.33700867499891</c:v>
                </c:pt>
                <c:pt idx="32">
                  <c:v>265.33700867499891</c:v>
                </c:pt>
                <c:pt idx="33">
                  <c:v>265.33700867499891</c:v>
                </c:pt>
                <c:pt idx="34">
                  <c:v>265.33700867499891</c:v>
                </c:pt>
              </c:numCache>
            </c:numRef>
          </c:yVal>
        </c:ser>
        <c:ser>
          <c:idx val="5"/>
          <c:order val="5"/>
          <c:tx>
            <c:v>Lower Confidence limit</c:v>
          </c:tx>
          <c:spPr>
            <a:ln w="25400">
              <a:solidFill>
                <a:srgbClr val="000000"/>
              </a:solidFill>
              <a:prstDash val="lgDash"/>
            </a:ln>
          </c:spPr>
          <c:marker>
            <c:symbol val="none"/>
          </c:marker>
          <c:xVal>
            <c:strRef>
              <c:f>'Flea 48h U'!$C$4:$C$36</c:f>
              <c:strCache>
                <c:ptCount val="33"/>
                <c:pt idx="0">
                  <c:v>762I RefTox 01</c:v>
                </c:pt>
                <c:pt idx="1">
                  <c:v>763I RefTox 02</c:v>
                </c:pt>
                <c:pt idx="2">
                  <c:v>776I RefTox 03</c:v>
                </c:pt>
                <c:pt idx="3">
                  <c:v>788I RefTox 04</c:v>
                </c:pt>
                <c:pt idx="4">
                  <c:v>797I RefTox 05</c:v>
                </c:pt>
                <c:pt idx="5">
                  <c:v>801I RefTox 06</c:v>
                </c:pt>
                <c:pt idx="6">
                  <c:v>827I Reftox 07</c:v>
                </c:pt>
                <c:pt idx="7">
                  <c:v>832I Reftox 08</c:v>
                </c:pt>
                <c:pt idx="8">
                  <c:v>837I reftox09</c:v>
                </c:pt>
                <c:pt idx="9">
                  <c:v>855I Reftox10</c:v>
                </c:pt>
                <c:pt idx="10">
                  <c:v>870I Reftox11</c:v>
                </c:pt>
                <c:pt idx="11">
                  <c:v>912I Reftox 12</c:v>
                </c:pt>
                <c:pt idx="12">
                  <c:v>929I reftox 13</c:v>
                </c:pt>
                <c:pt idx="13">
                  <c:v>991I</c:v>
                </c:pt>
                <c:pt idx="14">
                  <c:v>1001I  Reftox18</c:v>
                </c:pt>
                <c:pt idx="15">
                  <c:v>1023I</c:v>
                </c:pt>
                <c:pt idx="16">
                  <c:v>1103I</c:v>
                </c:pt>
                <c:pt idx="17">
                  <c:v>1129I</c:v>
                </c:pt>
                <c:pt idx="18">
                  <c:v>1156I</c:v>
                </c:pt>
                <c:pt idx="19">
                  <c:v>1190I</c:v>
                </c:pt>
                <c:pt idx="20">
                  <c:v>1249I</c:v>
                </c:pt>
                <c:pt idx="21">
                  <c:v>1263I</c:v>
                </c:pt>
                <c:pt idx="22">
                  <c:v>1267I</c:v>
                </c:pt>
                <c:pt idx="23">
                  <c:v>1289I</c:v>
                </c:pt>
                <c:pt idx="24">
                  <c:v>1309I</c:v>
                </c:pt>
                <c:pt idx="25">
                  <c:v>1314I</c:v>
                </c:pt>
                <c:pt idx="26">
                  <c:v>1329I</c:v>
                </c:pt>
                <c:pt idx="27">
                  <c:v>1346I</c:v>
                </c:pt>
                <c:pt idx="28">
                  <c:v>1369I</c:v>
                </c:pt>
                <c:pt idx="29">
                  <c:v>1371I</c:v>
                </c:pt>
                <c:pt idx="30">
                  <c:v>1396I</c:v>
                </c:pt>
                <c:pt idx="31">
                  <c:v>1407I</c:v>
                </c:pt>
                <c:pt idx="32">
                  <c:v>1423I</c:v>
                </c:pt>
              </c:strCache>
            </c:strRef>
          </c:xVal>
          <c:yVal>
            <c:numRef>
              <c:f>'Flea 48h U'!$N$4:$N$38</c:f>
              <c:numCache>
                <c:formatCode>General</c:formatCode>
                <c:ptCount val="35"/>
                <c:pt idx="0">
                  <c:v>-158.18988801249841</c:v>
                </c:pt>
                <c:pt idx="1">
                  <c:v>-158.18988801249841</c:v>
                </c:pt>
                <c:pt idx="2">
                  <c:v>-158.18988801249841</c:v>
                </c:pt>
                <c:pt idx="3">
                  <c:v>-158.18988801249841</c:v>
                </c:pt>
                <c:pt idx="4">
                  <c:v>-158.18988801249841</c:v>
                </c:pt>
                <c:pt idx="5">
                  <c:v>-158.18988801249841</c:v>
                </c:pt>
                <c:pt idx="6">
                  <c:v>-158.18988801249841</c:v>
                </c:pt>
                <c:pt idx="7">
                  <c:v>-158.18988801249841</c:v>
                </c:pt>
                <c:pt idx="8">
                  <c:v>-158.18988801249841</c:v>
                </c:pt>
                <c:pt idx="9">
                  <c:v>-158.18988801249841</c:v>
                </c:pt>
                <c:pt idx="10">
                  <c:v>-158.18988801249841</c:v>
                </c:pt>
                <c:pt idx="11">
                  <c:v>-158.18988801249841</c:v>
                </c:pt>
                <c:pt idx="12">
                  <c:v>-158.18988801249841</c:v>
                </c:pt>
                <c:pt idx="13">
                  <c:v>-158.18988801249841</c:v>
                </c:pt>
                <c:pt idx="14">
                  <c:v>-158.18988801249841</c:v>
                </c:pt>
                <c:pt idx="15">
                  <c:v>-158.18988801249841</c:v>
                </c:pt>
                <c:pt idx="16">
                  <c:v>-158.18988801249841</c:v>
                </c:pt>
                <c:pt idx="17">
                  <c:v>-158.18988801249841</c:v>
                </c:pt>
                <c:pt idx="18">
                  <c:v>-158.18988801249841</c:v>
                </c:pt>
                <c:pt idx="19">
                  <c:v>-158.18988801249841</c:v>
                </c:pt>
                <c:pt idx="20">
                  <c:v>-158.18988801249841</c:v>
                </c:pt>
                <c:pt idx="21">
                  <c:v>-158.18988801249841</c:v>
                </c:pt>
                <c:pt idx="22">
                  <c:v>-158.18988801249841</c:v>
                </c:pt>
                <c:pt idx="23">
                  <c:v>-158.18988801249841</c:v>
                </c:pt>
                <c:pt idx="24">
                  <c:v>-158.18988801249841</c:v>
                </c:pt>
                <c:pt idx="25">
                  <c:v>-158.18988801249841</c:v>
                </c:pt>
                <c:pt idx="26">
                  <c:v>-158.18988801249841</c:v>
                </c:pt>
                <c:pt idx="27">
                  <c:v>-158.18988801249841</c:v>
                </c:pt>
                <c:pt idx="28">
                  <c:v>-158.18988801249841</c:v>
                </c:pt>
                <c:pt idx="29">
                  <c:v>-158.18988801249841</c:v>
                </c:pt>
                <c:pt idx="30">
                  <c:v>-158.18988801249841</c:v>
                </c:pt>
                <c:pt idx="31">
                  <c:v>-158.18988801249841</c:v>
                </c:pt>
                <c:pt idx="32">
                  <c:v>-158.18988801249841</c:v>
                </c:pt>
                <c:pt idx="33">
                  <c:v>-158.18988801249841</c:v>
                </c:pt>
                <c:pt idx="34">
                  <c:v>-158.18988801249841</c:v>
                </c:pt>
              </c:numCache>
            </c:numRef>
          </c:yVal>
        </c:ser>
        <c:ser>
          <c:idx val="6"/>
          <c:order val="6"/>
          <c:tx>
            <c:v>Upper Confidence limit</c:v>
          </c:tx>
          <c:spPr>
            <a:ln w="25400">
              <a:solidFill>
                <a:srgbClr val="000000"/>
              </a:solidFill>
              <a:prstDash val="lgDash"/>
            </a:ln>
          </c:spPr>
          <c:marker>
            <c:symbol val="none"/>
          </c:marker>
          <c:xVal>
            <c:strRef>
              <c:f>'Flea 48h U'!$C$4:$C$38</c:f>
              <c:strCache>
                <c:ptCount val="33"/>
                <c:pt idx="0">
                  <c:v>762I RefTox 01</c:v>
                </c:pt>
                <c:pt idx="1">
                  <c:v>763I RefTox 02</c:v>
                </c:pt>
                <c:pt idx="2">
                  <c:v>776I RefTox 03</c:v>
                </c:pt>
                <c:pt idx="3">
                  <c:v>788I RefTox 04</c:v>
                </c:pt>
                <c:pt idx="4">
                  <c:v>797I RefTox 05</c:v>
                </c:pt>
                <c:pt idx="5">
                  <c:v>801I RefTox 06</c:v>
                </c:pt>
                <c:pt idx="6">
                  <c:v>827I Reftox 07</c:v>
                </c:pt>
                <c:pt idx="7">
                  <c:v>832I Reftox 08</c:v>
                </c:pt>
                <c:pt idx="8">
                  <c:v>837I reftox09</c:v>
                </c:pt>
                <c:pt idx="9">
                  <c:v>855I Reftox10</c:v>
                </c:pt>
                <c:pt idx="10">
                  <c:v>870I Reftox11</c:v>
                </c:pt>
                <c:pt idx="11">
                  <c:v>912I Reftox 12</c:v>
                </c:pt>
                <c:pt idx="12">
                  <c:v>929I reftox 13</c:v>
                </c:pt>
                <c:pt idx="13">
                  <c:v>991I</c:v>
                </c:pt>
                <c:pt idx="14">
                  <c:v>1001I  Reftox18</c:v>
                </c:pt>
                <c:pt idx="15">
                  <c:v>1023I</c:v>
                </c:pt>
                <c:pt idx="16">
                  <c:v>1103I</c:v>
                </c:pt>
                <c:pt idx="17">
                  <c:v>1129I</c:v>
                </c:pt>
                <c:pt idx="18">
                  <c:v>1156I</c:v>
                </c:pt>
                <c:pt idx="19">
                  <c:v>1190I</c:v>
                </c:pt>
                <c:pt idx="20">
                  <c:v>1249I</c:v>
                </c:pt>
                <c:pt idx="21">
                  <c:v>1263I</c:v>
                </c:pt>
                <c:pt idx="22">
                  <c:v>1267I</c:v>
                </c:pt>
                <c:pt idx="23">
                  <c:v>1289I</c:v>
                </c:pt>
                <c:pt idx="24">
                  <c:v>1309I</c:v>
                </c:pt>
                <c:pt idx="25">
                  <c:v>1314I</c:v>
                </c:pt>
                <c:pt idx="26">
                  <c:v>1329I</c:v>
                </c:pt>
                <c:pt idx="27">
                  <c:v>1346I</c:v>
                </c:pt>
                <c:pt idx="28">
                  <c:v>1369I</c:v>
                </c:pt>
                <c:pt idx="29">
                  <c:v>1371I</c:v>
                </c:pt>
                <c:pt idx="30">
                  <c:v>1396I</c:v>
                </c:pt>
                <c:pt idx="31">
                  <c:v>1407I</c:v>
                </c:pt>
                <c:pt idx="32">
                  <c:v>1423I</c:v>
                </c:pt>
              </c:strCache>
            </c:strRef>
          </c:xVal>
          <c:yVal>
            <c:numRef>
              <c:f>'Flea 48h U'!$K$4:$K$38</c:f>
              <c:numCache>
                <c:formatCode>General</c:formatCode>
                <c:ptCount val="35"/>
                <c:pt idx="0">
                  <c:v>350.04238801249835</c:v>
                </c:pt>
                <c:pt idx="1">
                  <c:v>350.04238801249835</c:v>
                </c:pt>
                <c:pt idx="2">
                  <c:v>350.04238801249835</c:v>
                </c:pt>
                <c:pt idx="3">
                  <c:v>350.04238801249835</c:v>
                </c:pt>
                <c:pt idx="4">
                  <c:v>350.04238801249835</c:v>
                </c:pt>
                <c:pt idx="5">
                  <c:v>350.04238801249835</c:v>
                </c:pt>
                <c:pt idx="6">
                  <c:v>350.04238801249835</c:v>
                </c:pt>
                <c:pt idx="7">
                  <c:v>350.04238801249835</c:v>
                </c:pt>
                <c:pt idx="8">
                  <c:v>350.04238801249835</c:v>
                </c:pt>
                <c:pt idx="9">
                  <c:v>350.04238801249835</c:v>
                </c:pt>
                <c:pt idx="10">
                  <c:v>350.04238801249835</c:v>
                </c:pt>
                <c:pt idx="11">
                  <c:v>350.04238801249835</c:v>
                </c:pt>
                <c:pt idx="12">
                  <c:v>350.04238801249835</c:v>
                </c:pt>
                <c:pt idx="13">
                  <c:v>350.04238801249835</c:v>
                </c:pt>
                <c:pt idx="14">
                  <c:v>350.04238801249835</c:v>
                </c:pt>
                <c:pt idx="15">
                  <c:v>350.04238801249835</c:v>
                </c:pt>
                <c:pt idx="16">
                  <c:v>350.04238801249835</c:v>
                </c:pt>
                <c:pt idx="17">
                  <c:v>350.04238801249835</c:v>
                </c:pt>
                <c:pt idx="18">
                  <c:v>350.04238801249835</c:v>
                </c:pt>
                <c:pt idx="19">
                  <c:v>350.04238801249835</c:v>
                </c:pt>
                <c:pt idx="20">
                  <c:v>350.04238801249835</c:v>
                </c:pt>
                <c:pt idx="21">
                  <c:v>350.04238801249835</c:v>
                </c:pt>
                <c:pt idx="22">
                  <c:v>350.04238801249835</c:v>
                </c:pt>
                <c:pt idx="23">
                  <c:v>350.04238801249835</c:v>
                </c:pt>
                <c:pt idx="24">
                  <c:v>350.04238801249835</c:v>
                </c:pt>
                <c:pt idx="25">
                  <c:v>350.04238801249835</c:v>
                </c:pt>
                <c:pt idx="26">
                  <c:v>350.04238801249835</c:v>
                </c:pt>
                <c:pt idx="27">
                  <c:v>350.04238801249835</c:v>
                </c:pt>
                <c:pt idx="28">
                  <c:v>350.04238801249835</c:v>
                </c:pt>
                <c:pt idx="29">
                  <c:v>350.04238801249835</c:v>
                </c:pt>
                <c:pt idx="30">
                  <c:v>350.04238801249835</c:v>
                </c:pt>
                <c:pt idx="31">
                  <c:v>350.04238801249835</c:v>
                </c:pt>
                <c:pt idx="32">
                  <c:v>350.04238801249835</c:v>
                </c:pt>
                <c:pt idx="33">
                  <c:v>350.04238801249835</c:v>
                </c:pt>
                <c:pt idx="34">
                  <c:v>350.04238801249835</c:v>
                </c:pt>
              </c:numCache>
            </c:numRef>
          </c:yVal>
        </c:ser>
        <c:ser>
          <c:idx val="7"/>
          <c:order val="7"/>
          <c:tx>
            <c:v>lower confidence limit 'Flea 48h U'!$N$4:$N$38</c:v>
          </c:tx>
          <c:spPr>
            <a:ln w="28575">
              <a:noFill/>
            </a:ln>
          </c:spPr>
          <c:xVal>
            <c:numRef>
              <c:f>'Flea 48h U'!$N$4:$N$38</c:f>
              <c:numCache>
                <c:formatCode>General</c:formatCode>
                <c:ptCount val="35"/>
                <c:pt idx="0">
                  <c:v>-158.18988801249841</c:v>
                </c:pt>
                <c:pt idx="1">
                  <c:v>-158.18988801249841</c:v>
                </c:pt>
                <c:pt idx="2">
                  <c:v>-158.18988801249841</c:v>
                </c:pt>
                <c:pt idx="3">
                  <c:v>-158.18988801249841</c:v>
                </c:pt>
                <c:pt idx="4">
                  <c:v>-158.18988801249841</c:v>
                </c:pt>
                <c:pt idx="5">
                  <c:v>-158.18988801249841</c:v>
                </c:pt>
                <c:pt idx="6">
                  <c:v>-158.18988801249841</c:v>
                </c:pt>
                <c:pt idx="7">
                  <c:v>-158.18988801249841</c:v>
                </c:pt>
                <c:pt idx="8">
                  <c:v>-158.18988801249841</c:v>
                </c:pt>
                <c:pt idx="9">
                  <c:v>-158.18988801249841</c:v>
                </c:pt>
                <c:pt idx="10">
                  <c:v>-158.18988801249841</c:v>
                </c:pt>
                <c:pt idx="11">
                  <c:v>-158.18988801249841</c:v>
                </c:pt>
                <c:pt idx="12">
                  <c:v>-158.18988801249841</c:v>
                </c:pt>
                <c:pt idx="13">
                  <c:v>-158.18988801249841</c:v>
                </c:pt>
                <c:pt idx="14">
                  <c:v>-158.18988801249841</c:v>
                </c:pt>
                <c:pt idx="15">
                  <c:v>-158.18988801249841</c:v>
                </c:pt>
                <c:pt idx="16">
                  <c:v>-158.18988801249841</c:v>
                </c:pt>
                <c:pt idx="17">
                  <c:v>-158.18988801249841</c:v>
                </c:pt>
                <c:pt idx="18">
                  <c:v>-158.18988801249841</c:v>
                </c:pt>
                <c:pt idx="19">
                  <c:v>-158.18988801249841</c:v>
                </c:pt>
                <c:pt idx="20">
                  <c:v>-158.18988801249841</c:v>
                </c:pt>
                <c:pt idx="21">
                  <c:v>-158.18988801249841</c:v>
                </c:pt>
                <c:pt idx="22">
                  <c:v>-158.18988801249841</c:v>
                </c:pt>
                <c:pt idx="23">
                  <c:v>-158.18988801249841</c:v>
                </c:pt>
                <c:pt idx="24">
                  <c:v>-158.18988801249841</c:v>
                </c:pt>
                <c:pt idx="25">
                  <c:v>-158.18988801249841</c:v>
                </c:pt>
                <c:pt idx="26">
                  <c:v>-158.18988801249841</c:v>
                </c:pt>
                <c:pt idx="27">
                  <c:v>-158.18988801249841</c:v>
                </c:pt>
                <c:pt idx="28">
                  <c:v>-158.18988801249841</c:v>
                </c:pt>
                <c:pt idx="29">
                  <c:v>-158.18988801249841</c:v>
                </c:pt>
                <c:pt idx="30">
                  <c:v>-158.18988801249841</c:v>
                </c:pt>
                <c:pt idx="31">
                  <c:v>-158.18988801249841</c:v>
                </c:pt>
                <c:pt idx="32">
                  <c:v>-158.18988801249841</c:v>
                </c:pt>
                <c:pt idx="33">
                  <c:v>-158.18988801249841</c:v>
                </c:pt>
                <c:pt idx="34">
                  <c:v>-158.18988801249841</c:v>
                </c:pt>
              </c:numCache>
            </c:numRef>
          </c:xVal>
          <c:yVal>
            <c:numRef>
              <c:f>'Flea 48h U'!$A$4:$A$37</c:f>
              <c:numCache>
                <c:formatCode>General</c:formatCode>
                <c:ptCount val="34"/>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pt idx="25">
                  <c:v>26</c:v>
                </c:pt>
                <c:pt idx="26">
                  <c:v>27</c:v>
                </c:pt>
                <c:pt idx="27">
                  <c:v>28</c:v>
                </c:pt>
                <c:pt idx="28">
                  <c:v>29</c:v>
                </c:pt>
                <c:pt idx="29">
                  <c:v>30</c:v>
                </c:pt>
                <c:pt idx="30">
                  <c:v>31</c:v>
                </c:pt>
                <c:pt idx="31">
                  <c:v>32</c:v>
                </c:pt>
                <c:pt idx="32">
                  <c:v>33</c:v>
                </c:pt>
                <c:pt idx="33">
                  <c:v>34</c:v>
                </c:pt>
              </c:numCache>
            </c:numRef>
          </c:yVal>
        </c:ser>
        <c:axId val="184365440"/>
        <c:axId val="184367360"/>
      </c:scatterChart>
      <c:valAx>
        <c:axId val="184365440"/>
        <c:scaling>
          <c:orientation val="minMax"/>
          <c:max val="32"/>
          <c:min val="0"/>
        </c:scaling>
        <c:axPos val="b"/>
        <c:title>
          <c:tx>
            <c:rich>
              <a:bodyPr/>
              <a:lstStyle/>
              <a:p>
                <a:pPr>
                  <a:defRPr sz="1050" b="1" i="0" u="none" strike="noStrike" baseline="0">
                    <a:solidFill>
                      <a:srgbClr val="000000"/>
                    </a:solidFill>
                    <a:latin typeface="Arial"/>
                    <a:ea typeface="Arial"/>
                    <a:cs typeface="Arial"/>
                  </a:defRPr>
                </a:pPr>
                <a:r>
                  <a:rPr lang="en-AU" sz="1050"/>
                  <a:t>Test number</a:t>
                </a:r>
              </a:p>
            </c:rich>
          </c:tx>
          <c:layout>
            <c:manualLayout>
              <c:xMode val="edge"/>
              <c:yMode val="edge"/>
              <c:x val="0.45923657116536482"/>
              <c:y val="0.93269950379167565"/>
            </c:manualLayout>
          </c:layout>
          <c:spPr>
            <a:noFill/>
            <a:ln w="25400">
              <a:noFill/>
            </a:ln>
          </c:spPr>
        </c:title>
        <c:numFmt formatCode="General" sourceLinked="1"/>
        <c:tickLblPos val="nextTo"/>
        <c:spPr>
          <a:ln w="3175">
            <a:solidFill>
              <a:srgbClr val="000000"/>
            </a:solidFill>
            <a:prstDash val="solid"/>
          </a:ln>
        </c:spPr>
        <c:txPr>
          <a:bodyPr rot="0" vert="horz"/>
          <a:lstStyle/>
          <a:p>
            <a:pPr>
              <a:defRPr sz="1200" b="0" i="0" u="none" strike="noStrike" baseline="0">
                <a:solidFill>
                  <a:srgbClr val="000000"/>
                </a:solidFill>
                <a:latin typeface="Arial"/>
                <a:ea typeface="Arial"/>
                <a:cs typeface="Arial"/>
              </a:defRPr>
            </a:pPr>
            <a:endParaRPr lang="en-US"/>
          </a:p>
        </c:txPr>
        <c:crossAx val="184367360"/>
        <c:crossesAt val="-200"/>
        <c:crossBetween val="midCat"/>
        <c:majorUnit val="2"/>
      </c:valAx>
      <c:valAx>
        <c:axId val="184367360"/>
        <c:scaling>
          <c:orientation val="minMax"/>
          <c:max val="400"/>
        </c:scaling>
        <c:axPos val="l"/>
        <c:title>
          <c:tx>
            <c:rich>
              <a:bodyPr/>
              <a:lstStyle/>
              <a:p>
                <a:pPr>
                  <a:defRPr sz="1050" b="1" i="0" u="none" strike="noStrike" baseline="0">
                    <a:solidFill>
                      <a:srgbClr val="000000"/>
                    </a:solidFill>
                    <a:latin typeface="Arial"/>
                    <a:ea typeface="Arial"/>
                    <a:cs typeface="Arial"/>
                  </a:defRPr>
                </a:pPr>
                <a:r>
                  <a:rPr lang="en-AU" sz="1050"/>
                  <a:t>EC50</a:t>
                </a:r>
              </a:p>
            </c:rich>
          </c:tx>
          <c:layout>
            <c:manualLayout>
              <c:xMode val="edge"/>
              <c:yMode val="edge"/>
              <c:x val="1.0081287479215779E-2"/>
              <c:y val="0.34284624168389088"/>
            </c:manualLayout>
          </c:layout>
          <c:spPr>
            <a:noFill/>
            <a:ln w="25400">
              <a:noFill/>
            </a:ln>
          </c:spPr>
        </c:title>
        <c:numFmt formatCode="General" sourceLinked="1"/>
        <c:tickLblPos val="nextTo"/>
        <c:spPr>
          <a:ln w="3175">
            <a:solidFill>
              <a:srgbClr val="000000"/>
            </a:solidFill>
            <a:prstDash val="solid"/>
          </a:ln>
        </c:spPr>
        <c:txPr>
          <a:bodyPr rot="0" vert="horz"/>
          <a:lstStyle/>
          <a:p>
            <a:pPr>
              <a:defRPr sz="1200" b="0" i="0" u="none" strike="noStrike" baseline="0">
                <a:solidFill>
                  <a:srgbClr val="000000"/>
                </a:solidFill>
                <a:latin typeface="Arial"/>
                <a:ea typeface="Arial"/>
                <a:cs typeface="Arial"/>
              </a:defRPr>
            </a:pPr>
            <a:endParaRPr lang="en-US"/>
          </a:p>
        </c:txPr>
        <c:crossAx val="184365440"/>
        <c:crossesAt val="-200"/>
        <c:crossBetween val="midCat"/>
        <c:majorUnit val="100"/>
      </c:valAx>
      <c:spPr>
        <a:noFill/>
        <a:ln w="3175">
          <a:solidFill>
            <a:srgbClr val="000000"/>
          </a:solidFill>
          <a:prstDash val="solid"/>
        </a:ln>
      </c:spPr>
    </c:plotArea>
    <c:plotVisOnly val="1"/>
    <c:dispBlanksAs val="gap"/>
  </c:chart>
  <c:spPr>
    <a:solidFill>
      <a:srgbClr val="FFFFFF"/>
    </a:solidFill>
    <a:ln w="9525">
      <a:noFill/>
    </a:ln>
  </c:spPr>
  <c:txPr>
    <a:bodyPr/>
    <a:lstStyle/>
    <a:p>
      <a:pPr>
        <a:defRPr sz="1425" b="0" i="0" u="none" strike="noStrike" baseline="0">
          <a:solidFill>
            <a:srgbClr val="000000"/>
          </a:solidFill>
          <a:latin typeface="Arial"/>
          <a:ea typeface="Arial"/>
          <a:cs typeface="Arial"/>
        </a:defRPr>
      </a:pPr>
      <a:endParaRPr lang="en-US"/>
    </a:p>
  </c:txPr>
  <c:externalData r:id="rId1"/>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en-AU"/>
  <c:chart>
    <c:plotArea>
      <c:layout>
        <c:manualLayout>
          <c:layoutTarget val="inner"/>
          <c:xMode val="edge"/>
          <c:yMode val="edge"/>
          <c:x val="0.13414440522654589"/>
          <c:y val="5.5972941386653825E-2"/>
          <c:w val="0.82307332622642204"/>
          <c:h val="0.78653123609465181"/>
        </c:manualLayout>
      </c:layout>
      <c:scatterChart>
        <c:scatterStyle val="lineMarker"/>
        <c:ser>
          <c:idx val="0"/>
          <c:order val="0"/>
          <c:tx>
            <c:v>IC50 (95% CL)</c:v>
          </c:tx>
          <c:spPr>
            <a:ln w="28575">
              <a:noFill/>
            </a:ln>
          </c:spPr>
          <c:marker>
            <c:symbol val="diamond"/>
            <c:size val="5"/>
            <c:spPr>
              <a:solidFill>
                <a:srgbClr val="000000"/>
              </a:solidFill>
              <a:ln>
                <a:solidFill>
                  <a:srgbClr val="000000"/>
                </a:solidFill>
                <a:prstDash val="solid"/>
              </a:ln>
            </c:spPr>
          </c:marker>
          <c:dPt>
            <c:idx val="33"/>
            <c:marker>
              <c:spPr>
                <a:solidFill>
                  <a:srgbClr val="FF0000"/>
                </a:solidFill>
                <a:ln>
                  <a:solidFill>
                    <a:srgbClr val="000000"/>
                  </a:solidFill>
                  <a:prstDash val="solid"/>
                </a:ln>
              </c:spPr>
            </c:marker>
          </c:dPt>
          <c:dPt>
            <c:idx val="34"/>
            <c:marker>
              <c:spPr>
                <a:solidFill>
                  <a:srgbClr val="FF0000"/>
                </a:solidFill>
                <a:ln>
                  <a:solidFill>
                    <a:srgbClr val="000000"/>
                  </a:solidFill>
                  <a:prstDash val="solid"/>
                </a:ln>
              </c:spPr>
            </c:marker>
          </c:dPt>
          <c:dPt>
            <c:idx val="35"/>
            <c:marker>
              <c:spPr>
                <a:solidFill>
                  <a:srgbClr val="FF0000"/>
                </a:solidFill>
                <a:ln>
                  <a:solidFill>
                    <a:srgbClr val="000000"/>
                  </a:solidFill>
                  <a:prstDash val="solid"/>
                </a:ln>
              </c:spPr>
            </c:marker>
          </c:dPt>
          <c:dPt>
            <c:idx val="36"/>
            <c:marker>
              <c:spPr>
                <a:solidFill>
                  <a:srgbClr val="FF0000"/>
                </a:solidFill>
                <a:ln>
                  <a:solidFill>
                    <a:srgbClr val="000000"/>
                  </a:solidFill>
                  <a:prstDash val="solid"/>
                </a:ln>
              </c:spPr>
            </c:marker>
          </c:dPt>
          <c:errBars>
            <c:errDir val="y"/>
            <c:errBarType val="both"/>
            <c:errValType val="cust"/>
            <c:plus>
              <c:numRef>
                <c:f>'Gudgeon U'!$H$4:$H$43</c:f>
                <c:numCache>
                  <c:formatCode>General</c:formatCode>
                  <c:ptCount val="40"/>
                  <c:pt idx="0">
                    <c:v>155</c:v>
                  </c:pt>
                  <c:pt idx="1">
                    <c:v>77</c:v>
                  </c:pt>
                  <c:pt idx="2">
                    <c:v>93</c:v>
                  </c:pt>
                  <c:pt idx="3">
                    <c:v>138</c:v>
                  </c:pt>
                  <c:pt idx="4">
                    <c:v>149</c:v>
                  </c:pt>
                  <c:pt idx="5">
                    <c:v>349</c:v>
                  </c:pt>
                  <c:pt idx="6">
                    <c:v>158</c:v>
                  </c:pt>
                  <c:pt idx="7">
                    <c:v>22</c:v>
                  </c:pt>
                  <c:pt idx="8">
                    <c:v>72</c:v>
                  </c:pt>
                  <c:pt idx="9">
                    <c:v>126</c:v>
                  </c:pt>
                  <c:pt idx="10">
                    <c:v>151</c:v>
                  </c:pt>
                  <c:pt idx="11">
                    <c:v>84</c:v>
                  </c:pt>
                  <c:pt idx="12">
                    <c:v>79</c:v>
                  </c:pt>
                  <c:pt idx="14">
                    <c:v>59</c:v>
                  </c:pt>
                  <c:pt idx="15">
                    <c:v>185</c:v>
                  </c:pt>
                  <c:pt idx="16">
                    <c:v>148</c:v>
                  </c:pt>
                  <c:pt idx="17">
                    <c:v>132</c:v>
                  </c:pt>
                  <c:pt idx="18">
                    <c:v>196</c:v>
                  </c:pt>
                  <c:pt idx="19">
                    <c:v>104</c:v>
                  </c:pt>
                  <c:pt idx="20">
                    <c:v>265</c:v>
                  </c:pt>
                  <c:pt idx="21">
                    <c:v>571</c:v>
                  </c:pt>
                  <c:pt idx="22">
                    <c:v>87</c:v>
                  </c:pt>
                  <c:pt idx="23">
                    <c:v>147</c:v>
                  </c:pt>
                  <c:pt idx="24">
                    <c:v>123</c:v>
                  </c:pt>
                  <c:pt idx="25">
                    <c:v>109</c:v>
                  </c:pt>
                  <c:pt idx="26">
                    <c:v>83</c:v>
                  </c:pt>
                  <c:pt idx="27">
                    <c:v>73</c:v>
                  </c:pt>
                  <c:pt idx="28">
                    <c:v>100</c:v>
                  </c:pt>
                  <c:pt idx="29">
                    <c:v>81</c:v>
                  </c:pt>
                  <c:pt idx="30">
                    <c:v>96</c:v>
                  </c:pt>
                  <c:pt idx="31">
                    <c:v>55</c:v>
                  </c:pt>
                  <c:pt idx="32">
                    <c:v>70</c:v>
                  </c:pt>
                  <c:pt idx="33">
                    <c:v>121</c:v>
                  </c:pt>
                  <c:pt idx="34">
                    <c:v>103</c:v>
                  </c:pt>
                  <c:pt idx="35">
                    <c:v>63</c:v>
                  </c:pt>
                  <c:pt idx="36">
                    <c:v>282</c:v>
                  </c:pt>
                  <c:pt idx="37">
                    <c:v>0</c:v>
                  </c:pt>
                  <c:pt idx="38">
                    <c:v>0</c:v>
                  </c:pt>
                  <c:pt idx="39">
                    <c:v>0</c:v>
                  </c:pt>
                </c:numCache>
              </c:numRef>
            </c:plus>
            <c:minus>
              <c:numRef>
                <c:f>'Gudgeon U'!$F$4:$F$43</c:f>
                <c:numCache>
                  <c:formatCode>General</c:formatCode>
                  <c:ptCount val="40"/>
                  <c:pt idx="0">
                    <c:v>140</c:v>
                  </c:pt>
                  <c:pt idx="1">
                    <c:v>75</c:v>
                  </c:pt>
                  <c:pt idx="2">
                    <c:v>88</c:v>
                  </c:pt>
                  <c:pt idx="3">
                    <c:v>125</c:v>
                  </c:pt>
                  <c:pt idx="4">
                    <c:v>139</c:v>
                  </c:pt>
                  <c:pt idx="5">
                    <c:v>300</c:v>
                  </c:pt>
                  <c:pt idx="6">
                    <c:v>181</c:v>
                  </c:pt>
                  <c:pt idx="7">
                    <c:v>26</c:v>
                  </c:pt>
                  <c:pt idx="8">
                    <c:v>60</c:v>
                  </c:pt>
                  <c:pt idx="9">
                    <c:v>172</c:v>
                  </c:pt>
                  <c:pt idx="10">
                    <c:v>86</c:v>
                  </c:pt>
                  <c:pt idx="11">
                    <c:v>96</c:v>
                  </c:pt>
                  <c:pt idx="12">
                    <c:v>75</c:v>
                  </c:pt>
                  <c:pt idx="14">
                    <c:v>57</c:v>
                  </c:pt>
                  <c:pt idx="15">
                    <c:v>168</c:v>
                  </c:pt>
                  <c:pt idx="16">
                    <c:v>371</c:v>
                  </c:pt>
                  <c:pt idx="17">
                    <c:v>120</c:v>
                  </c:pt>
                  <c:pt idx="18">
                    <c:v>169</c:v>
                  </c:pt>
                  <c:pt idx="19">
                    <c:v>131</c:v>
                  </c:pt>
                  <c:pt idx="20">
                    <c:v>217</c:v>
                  </c:pt>
                  <c:pt idx="21">
                    <c:v>427</c:v>
                  </c:pt>
                  <c:pt idx="22">
                    <c:v>80</c:v>
                  </c:pt>
                  <c:pt idx="23">
                    <c:v>159</c:v>
                  </c:pt>
                  <c:pt idx="24">
                    <c:v>112</c:v>
                  </c:pt>
                  <c:pt idx="25">
                    <c:v>121</c:v>
                  </c:pt>
                  <c:pt idx="26">
                    <c:v>78</c:v>
                  </c:pt>
                  <c:pt idx="27">
                    <c:v>71</c:v>
                  </c:pt>
                  <c:pt idx="28">
                    <c:v>92</c:v>
                  </c:pt>
                  <c:pt idx="29">
                    <c:v>77</c:v>
                  </c:pt>
                  <c:pt idx="30">
                    <c:v>90</c:v>
                  </c:pt>
                  <c:pt idx="31">
                    <c:v>56</c:v>
                  </c:pt>
                  <c:pt idx="32">
                    <c:v>66</c:v>
                  </c:pt>
                  <c:pt idx="33">
                    <c:v>311</c:v>
                  </c:pt>
                  <c:pt idx="34">
                    <c:v>92</c:v>
                  </c:pt>
                  <c:pt idx="35">
                    <c:v>76</c:v>
                  </c:pt>
                  <c:pt idx="36">
                    <c:v>660.7</c:v>
                  </c:pt>
                  <c:pt idx="37">
                    <c:v>0</c:v>
                  </c:pt>
                  <c:pt idx="38">
                    <c:v>0</c:v>
                  </c:pt>
                  <c:pt idx="39">
                    <c:v>0</c:v>
                  </c:pt>
                </c:numCache>
              </c:numRef>
            </c:minus>
            <c:spPr>
              <a:ln w="12700">
                <a:solidFill>
                  <a:srgbClr val="000000"/>
                </a:solidFill>
                <a:prstDash val="solid"/>
              </a:ln>
            </c:spPr>
          </c:errBars>
          <c:xVal>
            <c:strRef>
              <c:f>'Gudgeon U'!$C$4:$C$40</c:f>
              <c:strCache>
                <c:ptCount val="37"/>
                <c:pt idx="0">
                  <c:v>397E</c:v>
                </c:pt>
                <c:pt idx="1">
                  <c:v>400E</c:v>
                </c:pt>
                <c:pt idx="2">
                  <c:v>401E</c:v>
                </c:pt>
                <c:pt idx="3">
                  <c:v>491E</c:v>
                </c:pt>
                <c:pt idx="4">
                  <c:v>494E</c:v>
                </c:pt>
                <c:pt idx="5">
                  <c:v>495E</c:v>
                </c:pt>
                <c:pt idx="6">
                  <c:v>724E</c:v>
                </c:pt>
                <c:pt idx="7">
                  <c:v>768E</c:v>
                </c:pt>
                <c:pt idx="8">
                  <c:v>773E*</c:v>
                </c:pt>
                <c:pt idx="9">
                  <c:v>782E*</c:v>
                </c:pt>
                <c:pt idx="10">
                  <c:v>792E</c:v>
                </c:pt>
                <c:pt idx="11">
                  <c:v>798E</c:v>
                </c:pt>
                <c:pt idx="12">
                  <c:v>841E</c:v>
                </c:pt>
                <c:pt idx="13">
                  <c:v>859E</c:v>
                </c:pt>
                <c:pt idx="14">
                  <c:v>869E</c:v>
                </c:pt>
                <c:pt idx="15">
                  <c:v>872E</c:v>
                </c:pt>
                <c:pt idx="16">
                  <c:v>875E</c:v>
                </c:pt>
                <c:pt idx="17">
                  <c:v>880E</c:v>
                </c:pt>
                <c:pt idx="18">
                  <c:v>896E</c:v>
                </c:pt>
                <c:pt idx="19">
                  <c:v>928E</c:v>
                </c:pt>
                <c:pt idx="20">
                  <c:v>950E</c:v>
                </c:pt>
                <c:pt idx="21">
                  <c:v>984E</c:v>
                </c:pt>
                <c:pt idx="22">
                  <c:v>1006E</c:v>
                </c:pt>
                <c:pt idx="23">
                  <c:v>1060E</c:v>
                </c:pt>
                <c:pt idx="24">
                  <c:v>1098E</c:v>
                </c:pt>
                <c:pt idx="25">
                  <c:v>1123E</c:v>
                </c:pt>
                <c:pt idx="26">
                  <c:v>1157E</c:v>
                </c:pt>
                <c:pt idx="27">
                  <c:v>1175E</c:v>
                </c:pt>
                <c:pt idx="28">
                  <c:v>1255E</c:v>
                </c:pt>
                <c:pt idx="29">
                  <c:v>1283E</c:v>
                </c:pt>
                <c:pt idx="30">
                  <c:v>1308E</c:v>
                </c:pt>
                <c:pt idx="31">
                  <c:v>1326E</c:v>
                </c:pt>
                <c:pt idx="32">
                  <c:v>1350E</c:v>
                </c:pt>
                <c:pt idx="33">
                  <c:v>1374E</c:v>
                </c:pt>
                <c:pt idx="34">
                  <c:v>1386E</c:v>
                </c:pt>
                <c:pt idx="35">
                  <c:v>1409E</c:v>
                </c:pt>
                <c:pt idx="36">
                  <c:v>1422E</c:v>
                </c:pt>
              </c:strCache>
            </c:strRef>
          </c:xVal>
          <c:yVal>
            <c:numRef>
              <c:f>'Gudgeon U'!$D$4:$D$40</c:f>
              <c:numCache>
                <c:formatCode>General</c:formatCode>
                <c:ptCount val="37"/>
                <c:pt idx="0">
                  <c:v>1662</c:v>
                </c:pt>
                <c:pt idx="1">
                  <c:v>1743</c:v>
                </c:pt>
                <c:pt idx="2">
                  <c:v>1818</c:v>
                </c:pt>
                <c:pt idx="3">
                  <c:v>1389</c:v>
                </c:pt>
                <c:pt idx="4">
                  <c:v>2045</c:v>
                </c:pt>
                <c:pt idx="5">
                  <c:v>2134</c:v>
                </c:pt>
                <c:pt idx="6">
                  <c:v>1785</c:v>
                </c:pt>
                <c:pt idx="7">
                  <c:v>1175</c:v>
                </c:pt>
                <c:pt idx="8">
                  <c:v>1167</c:v>
                </c:pt>
                <c:pt idx="9">
                  <c:v>1790</c:v>
                </c:pt>
                <c:pt idx="10">
                  <c:v>1738</c:v>
                </c:pt>
                <c:pt idx="11">
                  <c:v>1690</c:v>
                </c:pt>
                <c:pt idx="12">
                  <c:v>1570</c:v>
                </c:pt>
                <c:pt idx="13">
                  <c:v>1383</c:v>
                </c:pt>
                <c:pt idx="14">
                  <c:v>1166</c:v>
                </c:pt>
                <c:pt idx="15">
                  <c:v>1777</c:v>
                </c:pt>
                <c:pt idx="16">
                  <c:v>1428</c:v>
                </c:pt>
                <c:pt idx="17">
                  <c:v>1458</c:v>
                </c:pt>
                <c:pt idx="18">
                  <c:v>1226</c:v>
                </c:pt>
                <c:pt idx="19">
                  <c:v>1262</c:v>
                </c:pt>
                <c:pt idx="20">
                  <c:v>1191</c:v>
                </c:pt>
                <c:pt idx="21">
                  <c:v>1685</c:v>
                </c:pt>
                <c:pt idx="22">
                  <c:v>1148</c:v>
                </c:pt>
                <c:pt idx="23">
                  <c:v>1202</c:v>
                </c:pt>
                <c:pt idx="24">
                  <c:v>1160</c:v>
                </c:pt>
                <c:pt idx="25">
                  <c:v>1612</c:v>
                </c:pt>
                <c:pt idx="26">
                  <c:v>1589</c:v>
                </c:pt>
                <c:pt idx="27">
                  <c:v>1595</c:v>
                </c:pt>
                <c:pt idx="28">
                  <c:v>1242</c:v>
                </c:pt>
                <c:pt idx="29">
                  <c:v>1359</c:v>
                </c:pt>
                <c:pt idx="30">
                  <c:v>1275</c:v>
                </c:pt>
                <c:pt idx="31">
                  <c:v>1672</c:v>
                </c:pt>
                <c:pt idx="32">
                  <c:v>1212</c:v>
                </c:pt>
                <c:pt idx="33">
                  <c:v>1548</c:v>
                </c:pt>
                <c:pt idx="34">
                  <c:v>1416</c:v>
                </c:pt>
                <c:pt idx="35">
                  <c:v>1061</c:v>
                </c:pt>
                <c:pt idx="36">
                  <c:v>1273</c:v>
                </c:pt>
              </c:numCache>
            </c:numRef>
          </c:yVal>
        </c:ser>
        <c:ser>
          <c:idx val="1"/>
          <c:order val="1"/>
          <c:tx>
            <c:v>Upper 99% confidence limit</c:v>
          </c:tx>
          <c:spPr>
            <a:ln w="25400">
              <a:solidFill>
                <a:srgbClr val="000000"/>
              </a:solidFill>
              <a:prstDash val="lgDash"/>
            </a:ln>
          </c:spPr>
          <c:marker>
            <c:symbol val="none"/>
          </c:marker>
          <c:xVal>
            <c:strRef>
              <c:f>'Gudgeon U'!$C$4:$C$42</c:f>
              <c:strCache>
                <c:ptCount val="37"/>
                <c:pt idx="0">
                  <c:v>397E</c:v>
                </c:pt>
                <c:pt idx="1">
                  <c:v>400E</c:v>
                </c:pt>
                <c:pt idx="2">
                  <c:v>401E</c:v>
                </c:pt>
                <c:pt idx="3">
                  <c:v>491E</c:v>
                </c:pt>
                <c:pt idx="4">
                  <c:v>494E</c:v>
                </c:pt>
                <c:pt idx="5">
                  <c:v>495E</c:v>
                </c:pt>
                <c:pt idx="6">
                  <c:v>724E</c:v>
                </c:pt>
                <c:pt idx="7">
                  <c:v>768E</c:v>
                </c:pt>
                <c:pt idx="8">
                  <c:v>773E*</c:v>
                </c:pt>
                <c:pt idx="9">
                  <c:v>782E*</c:v>
                </c:pt>
                <c:pt idx="10">
                  <c:v>792E</c:v>
                </c:pt>
                <c:pt idx="11">
                  <c:v>798E</c:v>
                </c:pt>
                <c:pt idx="12">
                  <c:v>841E</c:v>
                </c:pt>
                <c:pt idx="13">
                  <c:v>859E</c:v>
                </c:pt>
                <c:pt idx="14">
                  <c:v>869E</c:v>
                </c:pt>
                <c:pt idx="15">
                  <c:v>872E</c:v>
                </c:pt>
                <c:pt idx="16">
                  <c:v>875E</c:v>
                </c:pt>
                <c:pt idx="17">
                  <c:v>880E</c:v>
                </c:pt>
                <c:pt idx="18">
                  <c:v>896E</c:v>
                </c:pt>
                <c:pt idx="19">
                  <c:v>928E</c:v>
                </c:pt>
                <c:pt idx="20">
                  <c:v>950E</c:v>
                </c:pt>
                <c:pt idx="21">
                  <c:v>984E</c:v>
                </c:pt>
                <c:pt idx="22">
                  <c:v>1006E</c:v>
                </c:pt>
                <c:pt idx="23">
                  <c:v>1060E</c:v>
                </c:pt>
                <c:pt idx="24">
                  <c:v>1098E</c:v>
                </c:pt>
                <c:pt idx="25">
                  <c:v>1123E</c:v>
                </c:pt>
                <c:pt idx="26">
                  <c:v>1157E</c:v>
                </c:pt>
                <c:pt idx="27">
                  <c:v>1175E</c:v>
                </c:pt>
                <c:pt idx="28">
                  <c:v>1255E</c:v>
                </c:pt>
                <c:pt idx="29">
                  <c:v>1283E</c:v>
                </c:pt>
                <c:pt idx="30">
                  <c:v>1308E</c:v>
                </c:pt>
                <c:pt idx="31">
                  <c:v>1326E</c:v>
                </c:pt>
                <c:pt idx="32">
                  <c:v>1350E</c:v>
                </c:pt>
                <c:pt idx="33">
                  <c:v>1374E</c:v>
                </c:pt>
                <c:pt idx="34">
                  <c:v>1386E</c:v>
                </c:pt>
                <c:pt idx="35">
                  <c:v>1409E</c:v>
                </c:pt>
                <c:pt idx="36">
                  <c:v>1422E</c:v>
                </c:pt>
              </c:strCache>
            </c:strRef>
          </c:xVal>
          <c:yVal>
            <c:numRef>
              <c:f>'Gudgeon U'!$K$4:$K$42</c:f>
              <c:numCache>
                <c:formatCode>General</c:formatCode>
                <c:ptCount val="39"/>
                <c:pt idx="0">
                  <c:v>2296.8037822926012</c:v>
                </c:pt>
                <c:pt idx="1">
                  <c:v>2296.8037822926012</c:v>
                </c:pt>
                <c:pt idx="2">
                  <c:v>2296.8037822926012</c:v>
                </c:pt>
                <c:pt idx="3">
                  <c:v>2296.8037822926012</c:v>
                </c:pt>
                <c:pt idx="4">
                  <c:v>2296.8037822926012</c:v>
                </c:pt>
                <c:pt idx="5">
                  <c:v>2296.8037822926012</c:v>
                </c:pt>
                <c:pt idx="6">
                  <c:v>2296.8037822926012</c:v>
                </c:pt>
                <c:pt idx="7">
                  <c:v>2296.8037822926012</c:v>
                </c:pt>
                <c:pt idx="8">
                  <c:v>2296.8037822926012</c:v>
                </c:pt>
                <c:pt idx="9">
                  <c:v>2296.8037822926012</c:v>
                </c:pt>
                <c:pt idx="10">
                  <c:v>2296.8037822926012</c:v>
                </c:pt>
                <c:pt idx="11">
                  <c:v>2296.8037822926012</c:v>
                </c:pt>
                <c:pt idx="12">
                  <c:v>2296.8037822926012</c:v>
                </c:pt>
                <c:pt idx="13">
                  <c:v>2296.8037822926012</c:v>
                </c:pt>
                <c:pt idx="14">
                  <c:v>2296.8037822926012</c:v>
                </c:pt>
                <c:pt idx="15">
                  <c:v>2296.8037822926012</c:v>
                </c:pt>
                <c:pt idx="16">
                  <c:v>2296.8037822926012</c:v>
                </c:pt>
                <c:pt idx="17">
                  <c:v>2296.8037822926012</c:v>
                </c:pt>
                <c:pt idx="18">
                  <c:v>2296.8037822926012</c:v>
                </c:pt>
                <c:pt idx="19">
                  <c:v>2296.8037822926012</c:v>
                </c:pt>
                <c:pt idx="20">
                  <c:v>2296.8037822926012</c:v>
                </c:pt>
                <c:pt idx="21">
                  <c:v>2296.8037822926012</c:v>
                </c:pt>
                <c:pt idx="22">
                  <c:v>2296.8037822926012</c:v>
                </c:pt>
                <c:pt idx="23">
                  <c:v>2296.8037822926012</c:v>
                </c:pt>
                <c:pt idx="24">
                  <c:v>2296.8037822926012</c:v>
                </c:pt>
                <c:pt idx="25">
                  <c:v>2296.8037822926012</c:v>
                </c:pt>
                <c:pt idx="26">
                  <c:v>2296.8037822926012</c:v>
                </c:pt>
                <c:pt idx="27">
                  <c:v>2296.8037822926012</c:v>
                </c:pt>
                <c:pt idx="28">
                  <c:v>2296.8037822926012</c:v>
                </c:pt>
                <c:pt idx="29">
                  <c:v>2296.8037822926012</c:v>
                </c:pt>
                <c:pt idx="30">
                  <c:v>2296.8037822926012</c:v>
                </c:pt>
                <c:pt idx="31">
                  <c:v>2296.8037822926012</c:v>
                </c:pt>
                <c:pt idx="32">
                  <c:v>2296.8037822926012</c:v>
                </c:pt>
                <c:pt idx="33">
                  <c:v>2296.8037822926012</c:v>
                </c:pt>
                <c:pt idx="34">
                  <c:v>2296.8037822926012</c:v>
                </c:pt>
                <c:pt idx="35">
                  <c:v>2296.8037822926012</c:v>
                </c:pt>
                <c:pt idx="36">
                  <c:v>2296.8037822926012</c:v>
                </c:pt>
                <c:pt idx="37">
                  <c:v>2296.8037822926012</c:v>
                </c:pt>
                <c:pt idx="38">
                  <c:v>2296.8037822926012</c:v>
                </c:pt>
              </c:numCache>
            </c:numRef>
          </c:yVal>
        </c:ser>
        <c:ser>
          <c:idx val="2"/>
          <c:order val="2"/>
          <c:tx>
            <c:v>Lower 99% confidence limit</c:v>
          </c:tx>
          <c:spPr>
            <a:ln w="25400">
              <a:solidFill>
                <a:srgbClr val="000000"/>
              </a:solidFill>
              <a:prstDash val="lgDash"/>
            </a:ln>
          </c:spPr>
          <c:marker>
            <c:symbol val="none"/>
          </c:marker>
          <c:xVal>
            <c:strRef>
              <c:f>'Gudgeon U'!$C$4:$C$41</c:f>
              <c:strCache>
                <c:ptCount val="37"/>
                <c:pt idx="0">
                  <c:v>397E</c:v>
                </c:pt>
                <c:pt idx="1">
                  <c:v>400E</c:v>
                </c:pt>
                <c:pt idx="2">
                  <c:v>401E</c:v>
                </c:pt>
                <c:pt idx="3">
                  <c:v>491E</c:v>
                </c:pt>
                <c:pt idx="4">
                  <c:v>494E</c:v>
                </c:pt>
                <c:pt idx="5">
                  <c:v>495E</c:v>
                </c:pt>
                <c:pt idx="6">
                  <c:v>724E</c:v>
                </c:pt>
                <c:pt idx="7">
                  <c:v>768E</c:v>
                </c:pt>
                <c:pt idx="8">
                  <c:v>773E*</c:v>
                </c:pt>
                <c:pt idx="9">
                  <c:v>782E*</c:v>
                </c:pt>
                <c:pt idx="10">
                  <c:v>792E</c:v>
                </c:pt>
                <c:pt idx="11">
                  <c:v>798E</c:v>
                </c:pt>
                <c:pt idx="12">
                  <c:v>841E</c:v>
                </c:pt>
                <c:pt idx="13">
                  <c:v>859E</c:v>
                </c:pt>
                <c:pt idx="14">
                  <c:v>869E</c:v>
                </c:pt>
                <c:pt idx="15">
                  <c:v>872E</c:v>
                </c:pt>
                <c:pt idx="16">
                  <c:v>875E</c:v>
                </c:pt>
                <c:pt idx="17">
                  <c:v>880E</c:v>
                </c:pt>
                <c:pt idx="18">
                  <c:v>896E</c:v>
                </c:pt>
                <c:pt idx="19">
                  <c:v>928E</c:v>
                </c:pt>
                <c:pt idx="20">
                  <c:v>950E</c:v>
                </c:pt>
                <c:pt idx="21">
                  <c:v>984E</c:v>
                </c:pt>
                <c:pt idx="22">
                  <c:v>1006E</c:v>
                </c:pt>
                <c:pt idx="23">
                  <c:v>1060E</c:v>
                </c:pt>
                <c:pt idx="24">
                  <c:v>1098E</c:v>
                </c:pt>
                <c:pt idx="25">
                  <c:v>1123E</c:v>
                </c:pt>
                <c:pt idx="26">
                  <c:v>1157E</c:v>
                </c:pt>
                <c:pt idx="27">
                  <c:v>1175E</c:v>
                </c:pt>
                <c:pt idx="28">
                  <c:v>1255E</c:v>
                </c:pt>
                <c:pt idx="29">
                  <c:v>1283E</c:v>
                </c:pt>
                <c:pt idx="30">
                  <c:v>1308E</c:v>
                </c:pt>
                <c:pt idx="31">
                  <c:v>1326E</c:v>
                </c:pt>
                <c:pt idx="32">
                  <c:v>1350E</c:v>
                </c:pt>
                <c:pt idx="33">
                  <c:v>1374E</c:v>
                </c:pt>
                <c:pt idx="34">
                  <c:v>1386E</c:v>
                </c:pt>
                <c:pt idx="35">
                  <c:v>1409E</c:v>
                </c:pt>
                <c:pt idx="36">
                  <c:v>1422E</c:v>
                </c:pt>
              </c:strCache>
            </c:strRef>
          </c:xVal>
          <c:yVal>
            <c:numRef>
              <c:f>'Gudgeon U'!$O$4:$O$41</c:f>
              <c:numCache>
                <c:formatCode>General</c:formatCode>
                <c:ptCount val="38"/>
                <c:pt idx="0">
                  <c:v>657.03405554529377</c:v>
                </c:pt>
                <c:pt idx="1">
                  <c:v>657.03405554529377</c:v>
                </c:pt>
                <c:pt idx="2">
                  <c:v>657.03405554529377</c:v>
                </c:pt>
                <c:pt idx="3">
                  <c:v>657.03405554529377</c:v>
                </c:pt>
                <c:pt idx="4">
                  <c:v>657.03405554529377</c:v>
                </c:pt>
                <c:pt idx="5">
                  <c:v>657.03405554529377</c:v>
                </c:pt>
                <c:pt idx="6">
                  <c:v>657.03405554529377</c:v>
                </c:pt>
                <c:pt idx="7">
                  <c:v>657.03405554529377</c:v>
                </c:pt>
                <c:pt idx="8">
                  <c:v>657.03405554529377</c:v>
                </c:pt>
                <c:pt idx="9">
                  <c:v>657.03405554529377</c:v>
                </c:pt>
                <c:pt idx="10">
                  <c:v>657.03405554529377</c:v>
                </c:pt>
                <c:pt idx="11">
                  <c:v>657.03405554529377</c:v>
                </c:pt>
                <c:pt idx="12">
                  <c:v>657.03405554529377</c:v>
                </c:pt>
                <c:pt idx="13">
                  <c:v>657.03405554529377</c:v>
                </c:pt>
                <c:pt idx="14">
                  <c:v>657.03405554529377</c:v>
                </c:pt>
                <c:pt idx="15">
                  <c:v>657.03405554529377</c:v>
                </c:pt>
                <c:pt idx="16">
                  <c:v>657.03405554529377</c:v>
                </c:pt>
                <c:pt idx="17">
                  <c:v>657.03405554529377</c:v>
                </c:pt>
                <c:pt idx="18">
                  <c:v>657.03405554529377</c:v>
                </c:pt>
                <c:pt idx="19">
                  <c:v>657.03405554529377</c:v>
                </c:pt>
                <c:pt idx="20">
                  <c:v>657.03405554529377</c:v>
                </c:pt>
                <c:pt idx="21">
                  <c:v>657.03405554529377</c:v>
                </c:pt>
                <c:pt idx="22">
                  <c:v>657.03405554529377</c:v>
                </c:pt>
                <c:pt idx="23">
                  <c:v>657.03405554529377</c:v>
                </c:pt>
                <c:pt idx="24">
                  <c:v>657.03405554529377</c:v>
                </c:pt>
                <c:pt idx="25">
                  <c:v>657.03405554529377</c:v>
                </c:pt>
                <c:pt idx="26">
                  <c:v>657.03405554529377</c:v>
                </c:pt>
                <c:pt idx="27">
                  <c:v>657.03405554529377</c:v>
                </c:pt>
                <c:pt idx="28">
                  <c:v>657.03405554529377</c:v>
                </c:pt>
                <c:pt idx="29">
                  <c:v>657.03405554529377</c:v>
                </c:pt>
                <c:pt idx="30">
                  <c:v>657.03405554529377</c:v>
                </c:pt>
                <c:pt idx="31">
                  <c:v>657.03405554529377</c:v>
                </c:pt>
                <c:pt idx="32">
                  <c:v>657.03405554529377</c:v>
                </c:pt>
                <c:pt idx="33">
                  <c:v>657.03405554529377</c:v>
                </c:pt>
                <c:pt idx="34">
                  <c:v>657.03405554529377</c:v>
                </c:pt>
                <c:pt idx="35">
                  <c:v>657.03405554529377</c:v>
                </c:pt>
                <c:pt idx="36">
                  <c:v>657.03405554529377</c:v>
                </c:pt>
                <c:pt idx="37">
                  <c:v>657.03405554529377</c:v>
                </c:pt>
              </c:numCache>
            </c:numRef>
          </c:yVal>
        </c:ser>
        <c:ser>
          <c:idx val="3"/>
          <c:order val="3"/>
          <c:tx>
            <c:v>Upper warning limit</c:v>
          </c:tx>
          <c:spPr>
            <a:ln w="25400">
              <a:solidFill>
                <a:srgbClr val="000000"/>
              </a:solidFill>
              <a:prstDash val="sysDash"/>
            </a:ln>
          </c:spPr>
          <c:marker>
            <c:symbol val="none"/>
          </c:marker>
          <c:xVal>
            <c:strRef>
              <c:f>'Gudgeon U'!$C$4:$C$42</c:f>
              <c:strCache>
                <c:ptCount val="37"/>
                <c:pt idx="0">
                  <c:v>397E</c:v>
                </c:pt>
                <c:pt idx="1">
                  <c:v>400E</c:v>
                </c:pt>
                <c:pt idx="2">
                  <c:v>401E</c:v>
                </c:pt>
                <c:pt idx="3">
                  <c:v>491E</c:v>
                </c:pt>
                <c:pt idx="4">
                  <c:v>494E</c:v>
                </c:pt>
                <c:pt idx="5">
                  <c:v>495E</c:v>
                </c:pt>
                <c:pt idx="6">
                  <c:v>724E</c:v>
                </c:pt>
                <c:pt idx="7">
                  <c:v>768E</c:v>
                </c:pt>
                <c:pt idx="8">
                  <c:v>773E*</c:v>
                </c:pt>
                <c:pt idx="9">
                  <c:v>782E*</c:v>
                </c:pt>
                <c:pt idx="10">
                  <c:v>792E</c:v>
                </c:pt>
                <c:pt idx="11">
                  <c:v>798E</c:v>
                </c:pt>
                <c:pt idx="12">
                  <c:v>841E</c:v>
                </c:pt>
                <c:pt idx="13">
                  <c:v>859E</c:v>
                </c:pt>
                <c:pt idx="14">
                  <c:v>869E</c:v>
                </c:pt>
                <c:pt idx="15">
                  <c:v>872E</c:v>
                </c:pt>
                <c:pt idx="16">
                  <c:v>875E</c:v>
                </c:pt>
                <c:pt idx="17">
                  <c:v>880E</c:v>
                </c:pt>
                <c:pt idx="18">
                  <c:v>896E</c:v>
                </c:pt>
                <c:pt idx="19">
                  <c:v>928E</c:v>
                </c:pt>
                <c:pt idx="20">
                  <c:v>950E</c:v>
                </c:pt>
                <c:pt idx="21">
                  <c:v>984E</c:v>
                </c:pt>
                <c:pt idx="22">
                  <c:v>1006E</c:v>
                </c:pt>
                <c:pt idx="23">
                  <c:v>1060E</c:v>
                </c:pt>
                <c:pt idx="24">
                  <c:v>1098E</c:v>
                </c:pt>
                <c:pt idx="25">
                  <c:v>1123E</c:v>
                </c:pt>
                <c:pt idx="26">
                  <c:v>1157E</c:v>
                </c:pt>
                <c:pt idx="27">
                  <c:v>1175E</c:v>
                </c:pt>
                <c:pt idx="28">
                  <c:v>1255E</c:v>
                </c:pt>
                <c:pt idx="29">
                  <c:v>1283E</c:v>
                </c:pt>
                <c:pt idx="30">
                  <c:v>1308E</c:v>
                </c:pt>
                <c:pt idx="31">
                  <c:v>1326E</c:v>
                </c:pt>
                <c:pt idx="32">
                  <c:v>1350E</c:v>
                </c:pt>
                <c:pt idx="33">
                  <c:v>1374E</c:v>
                </c:pt>
                <c:pt idx="34">
                  <c:v>1386E</c:v>
                </c:pt>
                <c:pt idx="35">
                  <c:v>1409E</c:v>
                </c:pt>
                <c:pt idx="36">
                  <c:v>1422E</c:v>
                </c:pt>
              </c:strCache>
            </c:strRef>
          </c:xVal>
          <c:yVal>
            <c:numRef>
              <c:f>'Gudgeon U'!$L$4:$L$42</c:f>
              <c:numCache>
                <c:formatCode>General</c:formatCode>
                <c:ptCount val="39"/>
                <c:pt idx="1">
                  <c:v>2023.5088278346691</c:v>
                </c:pt>
                <c:pt idx="2">
                  <c:v>2023.5088278346691</c:v>
                </c:pt>
                <c:pt idx="3">
                  <c:v>2023.5088278346691</c:v>
                </c:pt>
                <c:pt idx="4">
                  <c:v>2023.5088278346691</c:v>
                </c:pt>
                <c:pt idx="5">
                  <c:v>2023.5088278346691</c:v>
                </c:pt>
                <c:pt idx="6">
                  <c:v>2023.5088278346691</c:v>
                </c:pt>
                <c:pt idx="7">
                  <c:v>2023.5088278346691</c:v>
                </c:pt>
                <c:pt idx="8">
                  <c:v>2023.5088278346691</c:v>
                </c:pt>
                <c:pt idx="9">
                  <c:v>2023.5088278346691</c:v>
                </c:pt>
                <c:pt idx="10">
                  <c:v>2023.5088278346691</c:v>
                </c:pt>
                <c:pt idx="11">
                  <c:v>2023.5088278346691</c:v>
                </c:pt>
                <c:pt idx="12">
                  <c:v>2023.5088278346691</c:v>
                </c:pt>
                <c:pt idx="13">
                  <c:v>2023.5088278346691</c:v>
                </c:pt>
                <c:pt idx="14">
                  <c:v>2023.5088278346691</c:v>
                </c:pt>
                <c:pt idx="15">
                  <c:v>2023.5088278346691</c:v>
                </c:pt>
                <c:pt idx="16">
                  <c:v>2023.5088278346691</c:v>
                </c:pt>
                <c:pt idx="17">
                  <c:v>2023.5088278346691</c:v>
                </c:pt>
                <c:pt idx="18">
                  <c:v>2023.5088278346691</c:v>
                </c:pt>
                <c:pt idx="19">
                  <c:v>2023.5088278346691</c:v>
                </c:pt>
                <c:pt idx="20">
                  <c:v>2023.5088278346691</c:v>
                </c:pt>
                <c:pt idx="21">
                  <c:v>2023.5088278346691</c:v>
                </c:pt>
                <c:pt idx="22">
                  <c:v>2023.5088278346691</c:v>
                </c:pt>
                <c:pt idx="23">
                  <c:v>2023.5088278346691</c:v>
                </c:pt>
                <c:pt idx="24">
                  <c:v>2023.5088278346691</c:v>
                </c:pt>
                <c:pt idx="25">
                  <c:v>2023.5088278346691</c:v>
                </c:pt>
                <c:pt idx="26">
                  <c:v>2023.5088278346691</c:v>
                </c:pt>
                <c:pt idx="27">
                  <c:v>2023.5088278346691</c:v>
                </c:pt>
                <c:pt idx="28">
                  <c:v>2023.5088278346691</c:v>
                </c:pt>
                <c:pt idx="29">
                  <c:v>2023.5088278346691</c:v>
                </c:pt>
                <c:pt idx="30">
                  <c:v>2023.5088278346691</c:v>
                </c:pt>
                <c:pt idx="31">
                  <c:v>2023.5088278346691</c:v>
                </c:pt>
                <c:pt idx="32">
                  <c:v>2023.5088278346691</c:v>
                </c:pt>
                <c:pt idx="33">
                  <c:v>2023.5088278346691</c:v>
                </c:pt>
                <c:pt idx="34">
                  <c:v>2023.5088278346691</c:v>
                </c:pt>
                <c:pt idx="35">
                  <c:v>2023.5088278346691</c:v>
                </c:pt>
                <c:pt idx="36">
                  <c:v>2023.5088278346691</c:v>
                </c:pt>
                <c:pt idx="37">
                  <c:v>2023.5088278346691</c:v>
                </c:pt>
                <c:pt idx="38">
                  <c:v>2023.5088278346691</c:v>
                </c:pt>
              </c:numCache>
            </c:numRef>
          </c:yVal>
        </c:ser>
        <c:ser>
          <c:idx val="4"/>
          <c:order val="4"/>
          <c:tx>
            <c:v>Lower warning limit</c:v>
          </c:tx>
          <c:spPr>
            <a:ln w="25400">
              <a:solidFill>
                <a:srgbClr val="000000"/>
              </a:solidFill>
              <a:prstDash val="sysDash"/>
            </a:ln>
          </c:spPr>
          <c:marker>
            <c:symbol val="none"/>
          </c:marker>
          <c:xVal>
            <c:strRef>
              <c:f>'Gudgeon U'!$C$4:$C$42</c:f>
              <c:strCache>
                <c:ptCount val="37"/>
                <c:pt idx="0">
                  <c:v>397E</c:v>
                </c:pt>
                <c:pt idx="1">
                  <c:v>400E</c:v>
                </c:pt>
                <c:pt idx="2">
                  <c:v>401E</c:v>
                </c:pt>
                <c:pt idx="3">
                  <c:v>491E</c:v>
                </c:pt>
                <c:pt idx="4">
                  <c:v>494E</c:v>
                </c:pt>
                <c:pt idx="5">
                  <c:v>495E</c:v>
                </c:pt>
                <c:pt idx="6">
                  <c:v>724E</c:v>
                </c:pt>
                <c:pt idx="7">
                  <c:v>768E</c:v>
                </c:pt>
                <c:pt idx="8">
                  <c:v>773E*</c:v>
                </c:pt>
                <c:pt idx="9">
                  <c:v>782E*</c:v>
                </c:pt>
                <c:pt idx="10">
                  <c:v>792E</c:v>
                </c:pt>
                <c:pt idx="11">
                  <c:v>798E</c:v>
                </c:pt>
                <c:pt idx="12">
                  <c:v>841E</c:v>
                </c:pt>
                <c:pt idx="13">
                  <c:v>859E</c:v>
                </c:pt>
                <c:pt idx="14">
                  <c:v>869E</c:v>
                </c:pt>
                <c:pt idx="15">
                  <c:v>872E</c:v>
                </c:pt>
                <c:pt idx="16">
                  <c:v>875E</c:v>
                </c:pt>
                <c:pt idx="17">
                  <c:v>880E</c:v>
                </c:pt>
                <c:pt idx="18">
                  <c:v>896E</c:v>
                </c:pt>
                <c:pt idx="19">
                  <c:v>928E</c:v>
                </c:pt>
                <c:pt idx="20">
                  <c:v>950E</c:v>
                </c:pt>
                <c:pt idx="21">
                  <c:v>984E</c:v>
                </c:pt>
                <c:pt idx="22">
                  <c:v>1006E</c:v>
                </c:pt>
                <c:pt idx="23">
                  <c:v>1060E</c:v>
                </c:pt>
                <c:pt idx="24">
                  <c:v>1098E</c:v>
                </c:pt>
                <c:pt idx="25">
                  <c:v>1123E</c:v>
                </c:pt>
                <c:pt idx="26">
                  <c:v>1157E</c:v>
                </c:pt>
                <c:pt idx="27">
                  <c:v>1175E</c:v>
                </c:pt>
                <c:pt idx="28">
                  <c:v>1255E</c:v>
                </c:pt>
                <c:pt idx="29">
                  <c:v>1283E</c:v>
                </c:pt>
                <c:pt idx="30">
                  <c:v>1308E</c:v>
                </c:pt>
                <c:pt idx="31">
                  <c:v>1326E</c:v>
                </c:pt>
                <c:pt idx="32">
                  <c:v>1350E</c:v>
                </c:pt>
                <c:pt idx="33">
                  <c:v>1374E</c:v>
                </c:pt>
                <c:pt idx="34">
                  <c:v>1386E</c:v>
                </c:pt>
                <c:pt idx="35">
                  <c:v>1409E</c:v>
                </c:pt>
                <c:pt idx="36">
                  <c:v>1422E</c:v>
                </c:pt>
              </c:strCache>
            </c:strRef>
          </c:xVal>
          <c:yVal>
            <c:numRef>
              <c:f>'Gudgeon U'!$N$4:$N$42</c:f>
              <c:numCache>
                <c:formatCode>General</c:formatCode>
                <c:ptCount val="39"/>
                <c:pt idx="0">
                  <c:v>930.32901000316849</c:v>
                </c:pt>
                <c:pt idx="1">
                  <c:v>930.32901000316849</c:v>
                </c:pt>
                <c:pt idx="2">
                  <c:v>930.32901000316849</c:v>
                </c:pt>
                <c:pt idx="3">
                  <c:v>930.32901000316849</c:v>
                </c:pt>
                <c:pt idx="4">
                  <c:v>930.32901000316849</c:v>
                </c:pt>
                <c:pt idx="5">
                  <c:v>930.32901000316849</c:v>
                </c:pt>
                <c:pt idx="6">
                  <c:v>930.32901000316849</c:v>
                </c:pt>
                <c:pt idx="7">
                  <c:v>930.32901000316849</c:v>
                </c:pt>
                <c:pt idx="8">
                  <c:v>930.32901000316849</c:v>
                </c:pt>
                <c:pt idx="9">
                  <c:v>930.32901000316849</c:v>
                </c:pt>
                <c:pt idx="10">
                  <c:v>930.32901000316849</c:v>
                </c:pt>
                <c:pt idx="11">
                  <c:v>930.32901000316849</c:v>
                </c:pt>
                <c:pt idx="12">
                  <c:v>930.32901000316849</c:v>
                </c:pt>
                <c:pt idx="13">
                  <c:v>930.32901000316849</c:v>
                </c:pt>
                <c:pt idx="14">
                  <c:v>930.32901000316849</c:v>
                </c:pt>
                <c:pt idx="15">
                  <c:v>930.32901000316849</c:v>
                </c:pt>
                <c:pt idx="16">
                  <c:v>930.32901000316849</c:v>
                </c:pt>
                <c:pt idx="17">
                  <c:v>930.32901000316849</c:v>
                </c:pt>
                <c:pt idx="18">
                  <c:v>930.32901000316849</c:v>
                </c:pt>
                <c:pt idx="19">
                  <c:v>930.32901000316849</c:v>
                </c:pt>
                <c:pt idx="20">
                  <c:v>930.32901000316849</c:v>
                </c:pt>
                <c:pt idx="21">
                  <c:v>930.32901000316849</c:v>
                </c:pt>
                <c:pt idx="22">
                  <c:v>930.32901000316849</c:v>
                </c:pt>
                <c:pt idx="23">
                  <c:v>930.32901000316849</c:v>
                </c:pt>
                <c:pt idx="24">
                  <c:v>930.32901000316849</c:v>
                </c:pt>
                <c:pt idx="25">
                  <c:v>930.32901000316849</c:v>
                </c:pt>
                <c:pt idx="26">
                  <c:v>930.32901000316849</c:v>
                </c:pt>
                <c:pt idx="27">
                  <c:v>930.32901000316849</c:v>
                </c:pt>
                <c:pt idx="28">
                  <c:v>930.32901000316849</c:v>
                </c:pt>
                <c:pt idx="29">
                  <c:v>930.32901000316849</c:v>
                </c:pt>
                <c:pt idx="30">
                  <c:v>930.32901000316849</c:v>
                </c:pt>
                <c:pt idx="31">
                  <c:v>930.32901000316849</c:v>
                </c:pt>
                <c:pt idx="32">
                  <c:v>930.32901000316849</c:v>
                </c:pt>
                <c:pt idx="33">
                  <c:v>930.32901000316849</c:v>
                </c:pt>
                <c:pt idx="34">
                  <c:v>930.32901000316849</c:v>
                </c:pt>
                <c:pt idx="35">
                  <c:v>930.32901000316849</c:v>
                </c:pt>
                <c:pt idx="36">
                  <c:v>930.32901000316849</c:v>
                </c:pt>
                <c:pt idx="37">
                  <c:v>930.32901000316849</c:v>
                </c:pt>
                <c:pt idx="38">
                  <c:v>930.32901000316849</c:v>
                </c:pt>
              </c:numCache>
            </c:numRef>
          </c:yVal>
        </c:ser>
        <c:ser>
          <c:idx val="5"/>
          <c:order val="5"/>
          <c:tx>
            <c:v>Mean IC50</c:v>
          </c:tx>
          <c:spPr>
            <a:ln w="12700">
              <a:solidFill>
                <a:srgbClr val="000000"/>
              </a:solidFill>
              <a:prstDash val="solid"/>
            </a:ln>
          </c:spPr>
          <c:marker>
            <c:symbol val="none"/>
          </c:marker>
          <c:xVal>
            <c:strRef>
              <c:f>'Gudgeon U'!$C$4:$C$37</c:f>
              <c:strCache>
                <c:ptCount val="34"/>
                <c:pt idx="0">
                  <c:v>397E</c:v>
                </c:pt>
                <c:pt idx="1">
                  <c:v>400E</c:v>
                </c:pt>
                <c:pt idx="2">
                  <c:v>401E</c:v>
                </c:pt>
                <c:pt idx="3">
                  <c:v>491E</c:v>
                </c:pt>
                <c:pt idx="4">
                  <c:v>494E</c:v>
                </c:pt>
                <c:pt idx="5">
                  <c:v>495E</c:v>
                </c:pt>
                <c:pt idx="6">
                  <c:v>724E</c:v>
                </c:pt>
                <c:pt idx="7">
                  <c:v>768E</c:v>
                </c:pt>
                <c:pt idx="8">
                  <c:v>773E*</c:v>
                </c:pt>
                <c:pt idx="9">
                  <c:v>782E*</c:v>
                </c:pt>
                <c:pt idx="10">
                  <c:v>792E</c:v>
                </c:pt>
                <c:pt idx="11">
                  <c:v>798E</c:v>
                </c:pt>
                <c:pt idx="12">
                  <c:v>841E</c:v>
                </c:pt>
                <c:pt idx="13">
                  <c:v>859E</c:v>
                </c:pt>
                <c:pt idx="14">
                  <c:v>869E</c:v>
                </c:pt>
                <c:pt idx="15">
                  <c:v>872E</c:v>
                </c:pt>
                <c:pt idx="16">
                  <c:v>875E</c:v>
                </c:pt>
                <c:pt idx="17">
                  <c:v>880E</c:v>
                </c:pt>
                <c:pt idx="18">
                  <c:v>896E</c:v>
                </c:pt>
                <c:pt idx="19">
                  <c:v>928E</c:v>
                </c:pt>
                <c:pt idx="20">
                  <c:v>950E</c:v>
                </c:pt>
                <c:pt idx="21">
                  <c:v>984E</c:v>
                </c:pt>
                <c:pt idx="22">
                  <c:v>1006E</c:v>
                </c:pt>
                <c:pt idx="23">
                  <c:v>1060E</c:v>
                </c:pt>
                <c:pt idx="24">
                  <c:v>1098E</c:v>
                </c:pt>
                <c:pt idx="25">
                  <c:v>1123E</c:v>
                </c:pt>
                <c:pt idx="26">
                  <c:v>1157E</c:v>
                </c:pt>
                <c:pt idx="27">
                  <c:v>1175E</c:v>
                </c:pt>
                <c:pt idx="28">
                  <c:v>1255E</c:v>
                </c:pt>
                <c:pt idx="29">
                  <c:v>1283E</c:v>
                </c:pt>
                <c:pt idx="30">
                  <c:v>1308E</c:v>
                </c:pt>
                <c:pt idx="31">
                  <c:v>1326E</c:v>
                </c:pt>
                <c:pt idx="32">
                  <c:v>1350E</c:v>
                </c:pt>
                <c:pt idx="33">
                  <c:v>1374E</c:v>
                </c:pt>
              </c:strCache>
            </c:strRef>
          </c:xVal>
          <c:yVal>
            <c:numRef>
              <c:f>'Gudgeon U'!$M$4:$M$40</c:f>
              <c:numCache>
                <c:formatCode>General</c:formatCode>
                <c:ptCount val="37"/>
                <c:pt idx="0">
                  <c:v>1476.918918918919</c:v>
                </c:pt>
                <c:pt idx="1">
                  <c:v>1476.918918918919</c:v>
                </c:pt>
                <c:pt idx="2">
                  <c:v>1476.918918918919</c:v>
                </c:pt>
                <c:pt idx="3">
                  <c:v>1476.918918918919</c:v>
                </c:pt>
                <c:pt idx="4">
                  <c:v>1476.918918918919</c:v>
                </c:pt>
                <c:pt idx="5">
                  <c:v>1476.918918918919</c:v>
                </c:pt>
                <c:pt idx="6">
                  <c:v>1476.918918918919</c:v>
                </c:pt>
                <c:pt idx="7">
                  <c:v>1476.918918918919</c:v>
                </c:pt>
                <c:pt idx="8">
                  <c:v>1476.918918918919</c:v>
                </c:pt>
                <c:pt idx="9">
                  <c:v>1476.918918918919</c:v>
                </c:pt>
                <c:pt idx="10">
                  <c:v>1476.918918918919</c:v>
                </c:pt>
                <c:pt idx="11">
                  <c:v>1476.918918918919</c:v>
                </c:pt>
                <c:pt idx="12">
                  <c:v>1476.918918918919</c:v>
                </c:pt>
                <c:pt idx="13">
                  <c:v>1476.918918918919</c:v>
                </c:pt>
                <c:pt idx="14">
                  <c:v>1476.918918918919</c:v>
                </c:pt>
                <c:pt idx="15">
                  <c:v>1476.918918918919</c:v>
                </c:pt>
                <c:pt idx="16">
                  <c:v>1476.918918918919</c:v>
                </c:pt>
                <c:pt idx="17">
                  <c:v>1476.918918918919</c:v>
                </c:pt>
                <c:pt idx="18">
                  <c:v>1476.918918918919</c:v>
                </c:pt>
                <c:pt idx="19">
                  <c:v>1476.918918918919</c:v>
                </c:pt>
                <c:pt idx="20">
                  <c:v>1476.918918918919</c:v>
                </c:pt>
                <c:pt idx="21">
                  <c:v>1476.918918918919</c:v>
                </c:pt>
                <c:pt idx="22">
                  <c:v>1476.918918918919</c:v>
                </c:pt>
                <c:pt idx="23">
                  <c:v>1476.918918918919</c:v>
                </c:pt>
                <c:pt idx="24">
                  <c:v>1476.918918918919</c:v>
                </c:pt>
                <c:pt idx="25">
                  <c:v>1476.918918918919</c:v>
                </c:pt>
                <c:pt idx="26">
                  <c:v>1476.918918918919</c:v>
                </c:pt>
                <c:pt idx="27">
                  <c:v>1476.918918918919</c:v>
                </c:pt>
                <c:pt idx="28">
                  <c:v>1476.918918918919</c:v>
                </c:pt>
                <c:pt idx="29">
                  <c:v>1476.918918918919</c:v>
                </c:pt>
                <c:pt idx="30">
                  <c:v>1476.918918918919</c:v>
                </c:pt>
                <c:pt idx="31">
                  <c:v>1476.918918918919</c:v>
                </c:pt>
                <c:pt idx="32">
                  <c:v>1476.918918918919</c:v>
                </c:pt>
                <c:pt idx="33">
                  <c:v>1476.918918918919</c:v>
                </c:pt>
                <c:pt idx="34">
                  <c:v>1476.918918918919</c:v>
                </c:pt>
                <c:pt idx="35">
                  <c:v>1476.918918918919</c:v>
                </c:pt>
                <c:pt idx="36">
                  <c:v>1476.918918918919</c:v>
                </c:pt>
              </c:numCache>
            </c:numRef>
          </c:yVal>
        </c:ser>
        <c:ser>
          <c:idx val="6"/>
          <c:order val="6"/>
          <c:tx>
            <c:v>Running mean IC50</c:v>
          </c:tx>
          <c:spPr>
            <a:ln w="12700">
              <a:solidFill>
                <a:srgbClr val="000000"/>
              </a:solidFill>
              <a:prstDash val="solid"/>
            </a:ln>
          </c:spPr>
          <c:marker>
            <c:symbol val="none"/>
          </c:marker>
          <c:xVal>
            <c:strRef>
              <c:f>'Gudgeon U'!$C$5:$C$41</c:f>
              <c:strCache>
                <c:ptCount val="36"/>
                <c:pt idx="0">
                  <c:v>400E</c:v>
                </c:pt>
                <c:pt idx="1">
                  <c:v>401E</c:v>
                </c:pt>
                <c:pt idx="2">
                  <c:v>491E</c:v>
                </c:pt>
                <c:pt idx="3">
                  <c:v>494E</c:v>
                </c:pt>
                <c:pt idx="4">
                  <c:v>495E</c:v>
                </c:pt>
                <c:pt idx="5">
                  <c:v>724E</c:v>
                </c:pt>
                <c:pt idx="6">
                  <c:v>768E</c:v>
                </c:pt>
                <c:pt idx="7">
                  <c:v>773E*</c:v>
                </c:pt>
                <c:pt idx="8">
                  <c:v>782E*</c:v>
                </c:pt>
                <c:pt idx="9">
                  <c:v>792E</c:v>
                </c:pt>
                <c:pt idx="10">
                  <c:v>798E</c:v>
                </c:pt>
                <c:pt idx="11">
                  <c:v>841E</c:v>
                </c:pt>
                <c:pt idx="12">
                  <c:v>859E</c:v>
                </c:pt>
                <c:pt idx="13">
                  <c:v>869E</c:v>
                </c:pt>
                <c:pt idx="14">
                  <c:v>872E</c:v>
                </c:pt>
                <c:pt idx="15">
                  <c:v>875E</c:v>
                </c:pt>
                <c:pt idx="16">
                  <c:v>880E</c:v>
                </c:pt>
                <c:pt idx="17">
                  <c:v>896E</c:v>
                </c:pt>
                <c:pt idx="18">
                  <c:v>928E</c:v>
                </c:pt>
                <c:pt idx="19">
                  <c:v>950E</c:v>
                </c:pt>
                <c:pt idx="20">
                  <c:v>984E</c:v>
                </c:pt>
                <c:pt idx="21">
                  <c:v>1006E</c:v>
                </c:pt>
                <c:pt idx="22">
                  <c:v>1060E</c:v>
                </c:pt>
                <c:pt idx="23">
                  <c:v>1098E</c:v>
                </c:pt>
                <c:pt idx="24">
                  <c:v>1123E</c:v>
                </c:pt>
                <c:pt idx="25">
                  <c:v>1157E</c:v>
                </c:pt>
                <c:pt idx="26">
                  <c:v>1175E</c:v>
                </c:pt>
                <c:pt idx="27">
                  <c:v>1255E</c:v>
                </c:pt>
                <c:pt idx="28">
                  <c:v>1283E</c:v>
                </c:pt>
                <c:pt idx="29">
                  <c:v>1308E</c:v>
                </c:pt>
                <c:pt idx="30">
                  <c:v>1326E</c:v>
                </c:pt>
                <c:pt idx="31">
                  <c:v>1350E</c:v>
                </c:pt>
                <c:pt idx="32">
                  <c:v>1374E</c:v>
                </c:pt>
                <c:pt idx="33">
                  <c:v>1386E</c:v>
                </c:pt>
                <c:pt idx="34">
                  <c:v>1409E</c:v>
                </c:pt>
                <c:pt idx="35">
                  <c:v>1422E</c:v>
                </c:pt>
              </c:strCache>
            </c:strRef>
          </c:xVal>
          <c:yVal>
            <c:numRef>
              <c:f>'Gudgeon U'!$P$4:$P$40</c:f>
              <c:numCache>
                <c:formatCode>General</c:formatCode>
                <c:ptCount val="37"/>
                <c:pt idx="1">
                  <c:v>1702.5</c:v>
                </c:pt>
                <c:pt idx="2">
                  <c:v>1741</c:v>
                </c:pt>
                <c:pt idx="3">
                  <c:v>1653</c:v>
                </c:pt>
                <c:pt idx="4">
                  <c:v>1731.4</c:v>
                </c:pt>
                <c:pt idx="5">
                  <c:v>1798.5</c:v>
                </c:pt>
                <c:pt idx="6">
                  <c:v>1796.5714285713943</c:v>
                </c:pt>
                <c:pt idx="7">
                  <c:v>1718.875</c:v>
                </c:pt>
                <c:pt idx="8">
                  <c:v>1657.5555555555561</c:v>
                </c:pt>
                <c:pt idx="9">
                  <c:v>1670.8</c:v>
                </c:pt>
                <c:pt idx="10">
                  <c:v>1676.909090909091</c:v>
                </c:pt>
                <c:pt idx="11">
                  <c:v>1678</c:v>
                </c:pt>
                <c:pt idx="12">
                  <c:v>1669.6923076922999</c:v>
                </c:pt>
                <c:pt idx="13">
                  <c:v>1649.214285714286</c:v>
                </c:pt>
                <c:pt idx="14">
                  <c:v>1617</c:v>
                </c:pt>
                <c:pt idx="15">
                  <c:v>1627</c:v>
                </c:pt>
                <c:pt idx="16">
                  <c:v>1615.2941176470588</c:v>
                </c:pt>
                <c:pt idx="17">
                  <c:v>1606.5555555555561</c:v>
                </c:pt>
                <c:pt idx="18">
                  <c:v>1586.5263157894751</c:v>
                </c:pt>
                <c:pt idx="19">
                  <c:v>1570.3</c:v>
                </c:pt>
                <c:pt idx="20">
                  <c:v>1552.2380952380952</c:v>
                </c:pt>
                <c:pt idx="21">
                  <c:v>1558.2727272727273</c:v>
                </c:pt>
                <c:pt idx="22">
                  <c:v>1540.4347826086957</c:v>
                </c:pt>
                <c:pt idx="23">
                  <c:v>1526.3333333333014</c:v>
                </c:pt>
                <c:pt idx="24">
                  <c:v>1511.6799999999998</c:v>
                </c:pt>
                <c:pt idx="25">
                  <c:v>1515.5384615384608</c:v>
                </c:pt>
                <c:pt idx="26">
                  <c:v>1518.25925925926</c:v>
                </c:pt>
                <c:pt idx="27">
                  <c:v>1521</c:v>
                </c:pt>
                <c:pt idx="28">
                  <c:v>1511.3793103448056</c:v>
                </c:pt>
                <c:pt idx="29">
                  <c:v>1506.3</c:v>
                </c:pt>
                <c:pt idx="30">
                  <c:v>1498.8387096774193</c:v>
                </c:pt>
                <c:pt idx="31">
                  <c:v>1504.25</c:v>
                </c:pt>
                <c:pt idx="32">
                  <c:v>1495.3939393939177</c:v>
                </c:pt>
                <c:pt idx="33">
                  <c:v>1496.9411764705883</c:v>
                </c:pt>
                <c:pt idx="34">
                  <c:v>1494.6285714285912</c:v>
                </c:pt>
                <c:pt idx="35">
                  <c:v>1482.5833333333014</c:v>
                </c:pt>
                <c:pt idx="36">
                  <c:v>1476.918918918919</c:v>
                </c:pt>
              </c:numCache>
            </c:numRef>
          </c:yVal>
        </c:ser>
        <c:axId val="184574336"/>
        <c:axId val="184576256"/>
      </c:scatterChart>
      <c:valAx>
        <c:axId val="184574336"/>
        <c:scaling>
          <c:orientation val="minMax"/>
          <c:max val="40"/>
          <c:min val="0"/>
        </c:scaling>
        <c:axPos val="b"/>
        <c:title>
          <c:tx>
            <c:rich>
              <a:bodyPr/>
              <a:lstStyle/>
              <a:p>
                <a:pPr>
                  <a:defRPr sz="1050" b="1" i="0" u="none" strike="noStrike" baseline="0">
                    <a:solidFill>
                      <a:srgbClr val="000000"/>
                    </a:solidFill>
                    <a:latin typeface="Arial"/>
                    <a:ea typeface="Arial"/>
                    <a:cs typeface="Arial"/>
                  </a:defRPr>
                </a:pPr>
                <a:r>
                  <a:rPr lang="en-AU" sz="1050"/>
                  <a:t>Test number</a:t>
                </a:r>
              </a:p>
            </c:rich>
          </c:tx>
          <c:layout>
            <c:manualLayout>
              <c:xMode val="edge"/>
              <c:yMode val="edge"/>
              <c:x val="0.44902634733255975"/>
              <c:y val="0.92519692323838365"/>
            </c:manualLayout>
          </c:layout>
          <c:spPr>
            <a:noFill/>
            <a:ln w="25400">
              <a:noFill/>
            </a:ln>
          </c:spPr>
        </c:title>
        <c:numFmt formatCode="General" sourceLinked="1"/>
        <c:tickLblPos val="nextTo"/>
        <c:spPr>
          <a:ln w="3175">
            <a:solidFill>
              <a:srgbClr val="000000"/>
            </a:solidFill>
            <a:prstDash val="solid"/>
          </a:ln>
        </c:spPr>
        <c:txPr>
          <a:bodyPr rot="0" vert="horz"/>
          <a:lstStyle/>
          <a:p>
            <a:pPr>
              <a:defRPr sz="1200" b="0" i="0" u="none" strike="noStrike" baseline="0">
                <a:solidFill>
                  <a:srgbClr val="000000"/>
                </a:solidFill>
                <a:latin typeface="Arial"/>
                <a:ea typeface="Arial"/>
                <a:cs typeface="Arial"/>
              </a:defRPr>
            </a:pPr>
            <a:endParaRPr lang="en-US"/>
          </a:p>
        </c:txPr>
        <c:crossAx val="184576256"/>
        <c:crosses val="autoZero"/>
        <c:crossBetween val="midCat"/>
        <c:majorUnit val="2"/>
      </c:valAx>
      <c:valAx>
        <c:axId val="184576256"/>
        <c:scaling>
          <c:orientation val="minMax"/>
          <c:max val="2500"/>
          <c:min val="500"/>
        </c:scaling>
        <c:axPos val="l"/>
        <c:title>
          <c:tx>
            <c:rich>
              <a:bodyPr/>
              <a:lstStyle/>
              <a:p>
                <a:pPr>
                  <a:defRPr sz="1050" b="1" i="0" u="none" strike="noStrike" baseline="0">
                    <a:solidFill>
                      <a:srgbClr val="000000"/>
                    </a:solidFill>
                    <a:latin typeface="Arial"/>
                    <a:ea typeface="Arial"/>
                    <a:cs typeface="Arial"/>
                  </a:defRPr>
                </a:pPr>
                <a:r>
                  <a:rPr lang="en-AU" sz="1050"/>
                  <a:t>EC50</a:t>
                </a:r>
              </a:p>
            </c:rich>
          </c:tx>
          <c:layout>
            <c:manualLayout>
              <c:xMode val="edge"/>
              <c:yMode val="edge"/>
              <c:x val="5.9311409603212701E-3"/>
              <c:y val="0.41864232879981417"/>
            </c:manualLayout>
          </c:layout>
          <c:spPr>
            <a:noFill/>
            <a:ln w="25400">
              <a:noFill/>
            </a:ln>
          </c:spPr>
        </c:title>
        <c:numFmt formatCode="General" sourceLinked="1"/>
        <c:tickLblPos val="nextTo"/>
        <c:spPr>
          <a:ln w="3175">
            <a:solidFill>
              <a:srgbClr val="000000"/>
            </a:solidFill>
            <a:prstDash val="solid"/>
          </a:ln>
        </c:spPr>
        <c:txPr>
          <a:bodyPr rot="0" vert="horz"/>
          <a:lstStyle/>
          <a:p>
            <a:pPr>
              <a:defRPr sz="1200" b="0" i="0" u="none" strike="noStrike" baseline="0">
                <a:solidFill>
                  <a:srgbClr val="000000"/>
                </a:solidFill>
                <a:latin typeface="Arial"/>
                <a:ea typeface="Arial"/>
                <a:cs typeface="Arial"/>
              </a:defRPr>
            </a:pPr>
            <a:endParaRPr lang="en-US"/>
          </a:p>
        </c:txPr>
        <c:crossAx val="184574336"/>
        <c:crosses val="autoZero"/>
        <c:crossBetween val="midCat"/>
        <c:majorUnit val="250"/>
      </c:valAx>
      <c:spPr>
        <a:noFill/>
        <a:ln w="12700">
          <a:solidFill>
            <a:srgbClr val="000000"/>
          </a:solidFill>
          <a:prstDash val="solid"/>
        </a:ln>
      </c:spPr>
    </c:plotArea>
    <c:plotVisOnly val="1"/>
    <c:dispBlanksAs val="gap"/>
  </c:chart>
  <c:spPr>
    <a:noFill/>
    <a:ln w="3175">
      <a:noFill/>
      <a:prstDash val="solid"/>
    </a:ln>
  </c:spPr>
  <c:txPr>
    <a:bodyPr/>
    <a:lstStyle/>
    <a:p>
      <a:pPr>
        <a:defRPr sz="1900" b="0" i="0" u="none" strike="noStrike" baseline="0">
          <a:solidFill>
            <a:srgbClr val="000000"/>
          </a:solidFill>
          <a:latin typeface="Arial"/>
          <a:ea typeface="Arial"/>
          <a:cs typeface="Arial"/>
        </a:defRPr>
      </a:pPr>
      <a:endParaRPr lang="en-US"/>
    </a:p>
  </c:txPr>
  <c:externalData r:id="rId1"/>
</c:chartSpace>
</file>

<file path=word/charts/chart7.xml><?xml version="1.0" encoding="utf-8"?>
<c:chartSpace xmlns:c="http://schemas.openxmlformats.org/drawingml/2006/chart" xmlns:a="http://schemas.openxmlformats.org/drawingml/2006/main" xmlns:r="http://schemas.openxmlformats.org/officeDocument/2006/relationships">
  <c:date1904 val="1"/>
  <c:lang val="en-AU"/>
  <c:chart>
    <c:plotArea>
      <c:layout>
        <c:manualLayout>
          <c:layoutTarget val="inner"/>
          <c:xMode val="edge"/>
          <c:yMode val="edge"/>
          <c:x val="9.2297143335700355E-2"/>
          <c:y val="5.1400554097404488E-2"/>
          <c:w val="0.87603005141752388"/>
          <c:h val="0.51834488445954563"/>
        </c:manualLayout>
      </c:layout>
      <c:barChart>
        <c:barDir val="col"/>
        <c:grouping val="clustered"/>
        <c:ser>
          <c:idx val="0"/>
          <c:order val="0"/>
          <c:tx>
            <c:v>Frond count</c:v>
          </c:tx>
          <c:errBars>
            <c:errBarType val="both"/>
            <c:errValType val="cust"/>
            <c:plus>
              <c:numRef>
                <c:f>(Sheet1!$H$3,Sheet1!$H$18,Sheet1!$H$39,Sheet1!$H$42,Sheet1!$H$27,Sheet1!$H$33,Sheet1!$H$12)</c:f>
                <c:numCache>
                  <c:formatCode>General</c:formatCode>
                  <c:ptCount val="7"/>
                  <c:pt idx="0">
                    <c:v>7.3977930757798101E-3</c:v>
                  </c:pt>
                  <c:pt idx="1">
                    <c:v>6.3561232019617034E-3</c:v>
                  </c:pt>
                  <c:pt idx="2">
                    <c:v>1.5770817825636215E-2</c:v>
                  </c:pt>
                  <c:pt idx="3">
                    <c:v>1.3821167900655427E-2</c:v>
                  </c:pt>
                  <c:pt idx="4">
                    <c:v>7.8543097941411819E-3</c:v>
                  </c:pt>
                  <c:pt idx="5">
                    <c:v>1.3622997350117481E-2</c:v>
                  </c:pt>
                  <c:pt idx="6">
                    <c:v>9.7036496257830746E-3</c:v>
                  </c:pt>
                </c:numCache>
              </c:numRef>
            </c:plus>
            <c:minus>
              <c:numRef>
                <c:f>(Sheet1!$H$3,Sheet1!$H$18,Sheet1!$H$39,Sheet1!$H$42,Sheet1!$H$27,Sheet1!$H$33,Sheet1!$H$12)</c:f>
                <c:numCache>
                  <c:formatCode>General</c:formatCode>
                  <c:ptCount val="7"/>
                  <c:pt idx="0">
                    <c:v>7.3977930757798101E-3</c:v>
                  </c:pt>
                  <c:pt idx="1">
                    <c:v>6.3561232019617034E-3</c:v>
                  </c:pt>
                  <c:pt idx="2">
                    <c:v>1.5770817825636215E-2</c:v>
                  </c:pt>
                  <c:pt idx="3">
                    <c:v>1.3821167900655427E-2</c:v>
                  </c:pt>
                  <c:pt idx="4">
                    <c:v>7.8543097941411819E-3</c:v>
                  </c:pt>
                  <c:pt idx="5">
                    <c:v>1.3622997350117481E-2</c:v>
                  </c:pt>
                  <c:pt idx="6">
                    <c:v>9.7036496257830746E-3</c:v>
                  </c:pt>
                </c:numCache>
              </c:numRef>
            </c:minus>
          </c:errBars>
          <c:cat>
            <c:strRef>
              <c:f>(Sheet1!$B$3,Sheet1!$B$12,Sheet1!$B$18,Sheet1!$B$28,Sheet1!$B$33,Sheet1!$B$39,Sheet1!$B$42)</c:f>
              <c:strCache>
                <c:ptCount val="7"/>
                <c:pt idx="0">
                  <c:v>1% CAAC</c:v>
                </c:pt>
                <c:pt idx="1">
                  <c:v>MCW control</c:v>
                </c:pt>
                <c:pt idx="2">
                  <c:v>MilliQ amended</c:v>
                </c:pt>
                <c:pt idx="3">
                  <c:v>MilliQ amended x 1.5 </c:v>
                </c:pt>
                <c:pt idx="4">
                  <c:v>MilliQ amended x 2</c:v>
                </c:pt>
                <c:pt idx="5">
                  <c:v>MilliQ amended + Mn </c:v>
                </c:pt>
                <c:pt idx="6">
                  <c:v>MilliQ amended + Mn, Cu, Zn, Pb</c:v>
                </c:pt>
              </c:strCache>
            </c:strRef>
          </c:cat>
          <c:val>
            <c:numRef>
              <c:f>(Sheet1!$E$3,Sheet1!$E$12,Sheet1!$E$18,Sheet1!$E$27,Sheet1!$E$33,Sheet1!$E$39,Sheet1!$E$42)</c:f>
              <c:numCache>
                <c:formatCode>General</c:formatCode>
                <c:ptCount val="7"/>
                <c:pt idx="0">
                  <c:v>0.45801359114501028</c:v>
                </c:pt>
                <c:pt idx="1">
                  <c:v>0.44468462248098767</c:v>
                </c:pt>
                <c:pt idx="2">
                  <c:v>0.42425904024827776</c:v>
                </c:pt>
                <c:pt idx="3">
                  <c:v>0.41721821165013484</c:v>
                </c:pt>
                <c:pt idx="4">
                  <c:v>0.40335854278427885</c:v>
                </c:pt>
                <c:pt idx="5">
                  <c:v>0.40550759180302781</c:v>
                </c:pt>
                <c:pt idx="6">
                  <c:v>0.41246435067607506</c:v>
                </c:pt>
              </c:numCache>
            </c:numRef>
          </c:val>
        </c:ser>
        <c:ser>
          <c:idx val="1"/>
          <c:order val="1"/>
          <c:tx>
            <c:v>Surface area</c:v>
          </c:tx>
          <c:errBars>
            <c:errBarType val="both"/>
            <c:errValType val="cust"/>
            <c:plus>
              <c:numRef>
                <c:f>(Sheet1!$L$3,Sheet1!$L$18,Sheet1!$L$39,Sheet1!$L$42,Sheet1!$L$27,Sheet1!$L$33,Sheet1!$L$12)</c:f>
                <c:numCache>
                  <c:formatCode>General</c:formatCode>
                  <c:ptCount val="7"/>
                  <c:pt idx="0">
                    <c:v>9.8605346915498562E-3</c:v>
                  </c:pt>
                  <c:pt idx="1">
                    <c:v>3.7250135901320323E-3</c:v>
                  </c:pt>
                  <c:pt idx="2">
                    <c:v>1.28012649167698E-2</c:v>
                  </c:pt>
                  <c:pt idx="3">
                    <c:v>1.474375352156628E-2</c:v>
                  </c:pt>
                  <c:pt idx="4">
                    <c:v>6.3083847088916114E-3</c:v>
                  </c:pt>
                  <c:pt idx="5">
                    <c:v>1.1413835601570367E-2</c:v>
                  </c:pt>
                  <c:pt idx="6">
                    <c:v>1.1124431808170741E-2</c:v>
                  </c:pt>
                </c:numCache>
              </c:numRef>
            </c:plus>
            <c:minus>
              <c:numRef>
                <c:f>(Sheet1!$L$3,Sheet1!$L$18,Sheet1!$L$39,Sheet1!$L$42,Sheet1!$L$27,Sheet1!$L$33,Sheet1!$L$12)</c:f>
                <c:numCache>
                  <c:formatCode>General</c:formatCode>
                  <c:ptCount val="7"/>
                  <c:pt idx="0">
                    <c:v>9.8605346915498562E-3</c:v>
                  </c:pt>
                  <c:pt idx="1">
                    <c:v>3.7250135901320323E-3</c:v>
                  </c:pt>
                  <c:pt idx="2">
                    <c:v>1.28012649167698E-2</c:v>
                  </c:pt>
                  <c:pt idx="3">
                    <c:v>1.474375352156628E-2</c:v>
                  </c:pt>
                  <c:pt idx="4">
                    <c:v>6.3083847088916114E-3</c:v>
                  </c:pt>
                  <c:pt idx="5">
                    <c:v>1.1413835601570367E-2</c:v>
                  </c:pt>
                  <c:pt idx="6">
                    <c:v>1.1124431808170741E-2</c:v>
                  </c:pt>
                </c:numCache>
              </c:numRef>
            </c:minus>
          </c:errBars>
          <c:cat>
            <c:strRef>
              <c:f>(Sheet1!$B$3,Sheet1!$B$12,Sheet1!$B$18,Sheet1!$B$28,Sheet1!$B$33,Sheet1!$B$39,Sheet1!$B$42)</c:f>
              <c:strCache>
                <c:ptCount val="7"/>
                <c:pt idx="0">
                  <c:v>1% CAAC</c:v>
                </c:pt>
                <c:pt idx="1">
                  <c:v>MCW control</c:v>
                </c:pt>
                <c:pt idx="2">
                  <c:v>MilliQ amended</c:v>
                </c:pt>
                <c:pt idx="3">
                  <c:v>MilliQ amended x 1.5 </c:v>
                </c:pt>
                <c:pt idx="4">
                  <c:v>MilliQ amended x 2</c:v>
                </c:pt>
                <c:pt idx="5">
                  <c:v>MilliQ amended + Mn </c:v>
                </c:pt>
                <c:pt idx="6">
                  <c:v>MilliQ amended + Mn, Cu, Zn, Pb</c:v>
                </c:pt>
              </c:strCache>
            </c:strRef>
          </c:cat>
          <c:val>
            <c:numRef>
              <c:f>(Sheet1!$I$3,Sheet1!$I$12,Sheet1!$I$18,Sheet1!$I$27,Sheet1!$I$33,Sheet1!$I$39,Sheet1!$I$42)</c:f>
              <c:numCache>
                <c:formatCode>General</c:formatCode>
                <c:ptCount val="7"/>
                <c:pt idx="0">
                  <c:v>0.4406098664066127</c:v>
                </c:pt>
                <c:pt idx="1">
                  <c:v>0.38365207000077484</c:v>
                </c:pt>
                <c:pt idx="2">
                  <c:v>0.38497124905239832</c:v>
                </c:pt>
                <c:pt idx="3">
                  <c:v>0.38665318770252832</c:v>
                </c:pt>
                <c:pt idx="4">
                  <c:v>0.37444873093011388</c:v>
                </c:pt>
                <c:pt idx="5">
                  <c:v>0.37503257901082315</c:v>
                </c:pt>
                <c:pt idx="6">
                  <c:v>0.39316031504846694</c:v>
                </c:pt>
              </c:numCache>
            </c:numRef>
          </c:val>
        </c:ser>
        <c:axId val="184605696"/>
        <c:axId val="184607872"/>
      </c:barChart>
      <c:catAx>
        <c:axId val="184605696"/>
        <c:scaling>
          <c:orientation val="minMax"/>
        </c:scaling>
        <c:axPos val="b"/>
        <c:title>
          <c:tx>
            <c:rich>
              <a:bodyPr/>
              <a:lstStyle/>
              <a:p>
                <a:pPr>
                  <a:defRPr>
                    <a:latin typeface="Arial" pitchFamily="34" charset="0"/>
                    <a:cs typeface="Arial" pitchFamily="34" charset="0"/>
                  </a:defRPr>
                </a:pPr>
                <a:r>
                  <a:rPr lang="en-AU">
                    <a:latin typeface="Arial" pitchFamily="34" charset="0"/>
                    <a:cs typeface="Arial" pitchFamily="34" charset="0"/>
                  </a:rPr>
                  <a:t>Treatment</a:t>
                </a:r>
              </a:p>
            </c:rich>
          </c:tx>
        </c:title>
        <c:tickLblPos val="nextTo"/>
        <c:txPr>
          <a:bodyPr rot="5400000" vert="horz"/>
          <a:lstStyle/>
          <a:p>
            <a:pPr>
              <a:defRPr>
                <a:latin typeface="Arial" pitchFamily="34" charset="0"/>
                <a:cs typeface="Arial" pitchFamily="34" charset="0"/>
              </a:defRPr>
            </a:pPr>
            <a:endParaRPr lang="en-US"/>
          </a:p>
        </c:txPr>
        <c:crossAx val="184607872"/>
        <c:crosses val="autoZero"/>
        <c:auto val="1"/>
        <c:lblAlgn val="ctr"/>
        <c:lblOffset val="100"/>
      </c:catAx>
      <c:valAx>
        <c:axId val="184607872"/>
        <c:scaling>
          <c:orientation val="minMax"/>
        </c:scaling>
        <c:axPos val="l"/>
        <c:title>
          <c:tx>
            <c:rich>
              <a:bodyPr rot="-5400000" vert="horz"/>
              <a:lstStyle/>
              <a:p>
                <a:pPr>
                  <a:defRPr/>
                </a:pPr>
                <a:r>
                  <a:rPr lang="en-AU"/>
                  <a:t>Growth rate</a:t>
                </a:r>
              </a:p>
            </c:rich>
          </c:tx>
        </c:title>
        <c:numFmt formatCode="General" sourceLinked="1"/>
        <c:tickLblPos val="nextTo"/>
        <c:txPr>
          <a:bodyPr/>
          <a:lstStyle/>
          <a:p>
            <a:pPr>
              <a:defRPr sz="1000">
                <a:latin typeface="Arial" pitchFamily="34" charset="0"/>
                <a:cs typeface="Arial" pitchFamily="34" charset="0"/>
              </a:defRPr>
            </a:pPr>
            <a:endParaRPr lang="en-US"/>
          </a:p>
        </c:txPr>
        <c:crossAx val="184605696"/>
        <c:crosses val="autoZero"/>
        <c:crossBetween val="between"/>
        <c:majorUnit val="0.1"/>
      </c:valAx>
      <c:spPr>
        <a:ln>
          <a:solidFill>
            <a:schemeClr val="tx1"/>
          </a:solidFill>
        </a:ln>
      </c:spPr>
    </c:plotArea>
    <c:legend>
      <c:legendPos val="r"/>
      <c:layout>
        <c:manualLayout>
          <c:xMode val="edge"/>
          <c:yMode val="edge"/>
          <c:x val="0.39351737864352582"/>
          <c:y val="6.5744222833700933E-2"/>
          <c:w val="0.56837867521655261"/>
          <c:h val="5.8951373859950223E-2"/>
        </c:manualLayout>
      </c:layout>
    </c:legend>
    <c:plotVisOnly val="1"/>
  </c:chart>
  <c:spPr>
    <a:noFill/>
    <a:ln>
      <a:noFill/>
    </a:ln>
  </c:spPr>
  <c:externalData r:id="rId1"/>
  <c:userShapes r:id="rId2"/>
</c:chartSpace>
</file>

<file path=word/charts/chart8.xml><?xml version="1.0" encoding="utf-8"?>
<c:chartSpace xmlns:c="http://schemas.openxmlformats.org/drawingml/2006/chart" xmlns:a="http://schemas.openxmlformats.org/drawingml/2006/main" xmlns:r="http://schemas.openxmlformats.org/officeDocument/2006/relationships">
  <c:date1904 val="1"/>
  <c:lang val="en-AU"/>
  <c:chart>
    <c:plotArea>
      <c:layout>
        <c:manualLayout>
          <c:layoutTarget val="inner"/>
          <c:xMode val="edge"/>
          <c:yMode val="edge"/>
          <c:x val="0.14669118609232645"/>
          <c:y val="5.0534599798095187E-2"/>
          <c:w val="0.82212523401339443"/>
          <c:h val="0.74188900994645202"/>
        </c:manualLayout>
      </c:layout>
      <c:scatterChart>
        <c:scatterStyle val="lineMarker"/>
        <c:ser>
          <c:idx val="0"/>
          <c:order val="0"/>
          <c:tx>
            <c:v>IC50 (95% CL)</c:v>
          </c:tx>
          <c:spPr>
            <a:ln w="28575">
              <a:noFill/>
            </a:ln>
          </c:spPr>
          <c:marker>
            <c:symbol val="diamond"/>
            <c:size val="5"/>
            <c:spPr>
              <a:solidFill>
                <a:srgbClr val="000000"/>
              </a:solidFill>
              <a:ln>
                <a:solidFill>
                  <a:srgbClr val="000000"/>
                </a:solidFill>
                <a:prstDash val="solid"/>
              </a:ln>
            </c:spPr>
          </c:marker>
          <c:dPt>
            <c:idx val="12"/>
            <c:marker>
              <c:spPr>
                <a:solidFill>
                  <a:srgbClr val="FF0000"/>
                </a:solidFill>
                <a:ln>
                  <a:solidFill>
                    <a:srgbClr val="000000"/>
                  </a:solidFill>
                  <a:prstDash val="solid"/>
                </a:ln>
              </c:spPr>
            </c:marker>
          </c:dPt>
          <c:errBars>
            <c:errDir val="y"/>
            <c:errBarType val="both"/>
            <c:errValType val="cust"/>
            <c:plus>
              <c:numRef>
                <c:f>'Lemna growth rate (Frond count)'!$H$4:$H$23</c:f>
                <c:numCache>
                  <c:formatCode>General</c:formatCode>
                  <c:ptCount val="20"/>
                  <c:pt idx="0">
                    <c:v>2120</c:v>
                  </c:pt>
                  <c:pt idx="1">
                    <c:v>1230</c:v>
                  </c:pt>
                  <c:pt idx="2">
                    <c:v>2150</c:v>
                  </c:pt>
                  <c:pt idx="3">
                    <c:v>270</c:v>
                  </c:pt>
                  <c:pt idx="4">
                    <c:v>2950</c:v>
                  </c:pt>
                  <c:pt idx="5">
                    <c:v>590</c:v>
                  </c:pt>
                  <c:pt idx="6">
                    <c:v>2350</c:v>
                  </c:pt>
                  <c:pt idx="7">
                    <c:v>6439</c:v>
                  </c:pt>
                  <c:pt idx="8">
                    <c:v>1128</c:v>
                  </c:pt>
                  <c:pt idx="9">
                    <c:v>2150</c:v>
                  </c:pt>
                  <c:pt idx="10">
                    <c:v>1126</c:v>
                  </c:pt>
                  <c:pt idx="11">
                    <c:v>3100</c:v>
                  </c:pt>
                  <c:pt idx="12">
                    <c:v>2830</c:v>
                  </c:pt>
                  <c:pt idx="13">
                    <c:v>0</c:v>
                  </c:pt>
                  <c:pt idx="14">
                    <c:v>0</c:v>
                  </c:pt>
                  <c:pt idx="15">
                    <c:v>0</c:v>
                  </c:pt>
                  <c:pt idx="16">
                    <c:v>0</c:v>
                  </c:pt>
                  <c:pt idx="17">
                    <c:v>0</c:v>
                  </c:pt>
                  <c:pt idx="18">
                    <c:v>0</c:v>
                  </c:pt>
                  <c:pt idx="19">
                    <c:v>0</c:v>
                  </c:pt>
                </c:numCache>
              </c:numRef>
            </c:plus>
            <c:minus>
              <c:numRef>
                <c:f>'Lemna growth rate (Frond count)'!$F$4:$F$23</c:f>
                <c:numCache>
                  <c:formatCode>General</c:formatCode>
                  <c:ptCount val="20"/>
                  <c:pt idx="0">
                    <c:v>2418</c:v>
                  </c:pt>
                  <c:pt idx="1">
                    <c:v>2320</c:v>
                  </c:pt>
                  <c:pt idx="2">
                    <c:v>1510</c:v>
                  </c:pt>
                  <c:pt idx="3">
                    <c:v>754</c:v>
                  </c:pt>
                  <c:pt idx="4">
                    <c:v>1540</c:v>
                  </c:pt>
                  <c:pt idx="5">
                    <c:v>600</c:v>
                  </c:pt>
                  <c:pt idx="6">
                    <c:v>1662</c:v>
                  </c:pt>
                  <c:pt idx="7">
                    <c:v>1950</c:v>
                  </c:pt>
                  <c:pt idx="8">
                    <c:v>1139</c:v>
                  </c:pt>
                  <c:pt idx="9">
                    <c:v>1770</c:v>
                  </c:pt>
                  <c:pt idx="10">
                    <c:v>1076</c:v>
                  </c:pt>
                  <c:pt idx="11">
                    <c:v>2833</c:v>
                  </c:pt>
                  <c:pt idx="12">
                    <c:v>3400</c:v>
                  </c:pt>
                  <c:pt idx="13">
                    <c:v>0</c:v>
                  </c:pt>
                  <c:pt idx="14">
                    <c:v>0</c:v>
                  </c:pt>
                  <c:pt idx="15">
                    <c:v>0</c:v>
                  </c:pt>
                  <c:pt idx="16">
                    <c:v>0</c:v>
                  </c:pt>
                  <c:pt idx="17">
                    <c:v>0</c:v>
                  </c:pt>
                  <c:pt idx="18">
                    <c:v>0</c:v>
                  </c:pt>
                  <c:pt idx="19">
                    <c:v>0</c:v>
                  </c:pt>
                </c:numCache>
              </c:numRef>
            </c:minus>
            <c:spPr>
              <a:ln w="12700">
                <a:solidFill>
                  <a:srgbClr val="000000"/>
                </a:solidFill>
                <a:prstDash val="solid"/>
              </a:ln>
            </c:spPr>
          </c:errBars>
          <c:xVal>
            <c:numRef>
              <c:f>'Lemna growth rate (Frond count)'!$A$4:$A$23</c:f>
              <c:numCache>
                <c:formatCode>General</c:formatCode>
                <c:ptCount val="20"/>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numCache>
            </c:numRef>
          </c:xVal>
          <c:yVal>
            <c:numRef>
              <c:f>'Lemna growth rate (Frond count)'!$D$4:$D$24</c:f>
              <c:numCache>
                <c:formatCode>General</c:formatCode>
                <c:ptCount val="21"/>
                <c:pt idx="0">
                  <c:v>10010</c:v>
                </c:pt>
                <c:pt idx="1">
                  <c:v>22110</c:v>
                </c:pt>
                <c:pt idx="2">
                  <c:v>8830</c:v>
                </c:pt>
                <c:pt idx="3">
                  <c:v>10300</c:v>
                </c:pt>
                <c:pt idx="4">
                  <c:v>13030</c:v>
                </c:pt>
                <c:pt idx="5">
                  <c:v>10540</c:v>
                </c:pt>
                <c:pt idx="6">
                  <c:v>9340</c:v>
                </c:pt>
                <c:pt idx="7" formatCode="0">
                  <c:v>8361</c:v>
                </c:pt>
                <c:pt idx="8">
                  <c:v>9822</c:v>
                </c:pt>
                <c:pt idx="9">
                  <c:v>11780</c:v>
                </c:pt>
                <c:pt idx="10">
                  <c:v>8146</c:v>
                </c:pt>
                <c:pt idx="11">
                  <c:v>11420</c:v>
                </c:pt>
                <c:pt idx="12">
                  <c:v>19800</c:v>
                </c:pt>
              </c:numCache>
            </c:numRef>
          </c:yVal>
        </c:ser>
        <c:ser>
          <c:idx val="1"/>
          <c:order val="1"/>
          <c:tx>
            <c:v>Upper 99% confidence limit</c:v>
          </c:tx>
          <c:spPr>
            <a:ln w="25400">
              <a:solidFill>
                <a:schemeClr val="tx1"/>
              </a:solidFill>
              <a:prstDash val="lgDash"/>
            </a:ln>
          </c:spPr>
          <c:marker>
            <c:symbol val="none"/>
          </c:marker>
          <c:xVal>
            <c:numRef>
              <c:f>'Lemna growth rate (Frond count)'!$A$4:$A$23</c:f>
              <c:numCache>
                <c:formatCode>General</c:formatCode>
                <c:ptCount val="20"/>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numCache>
            </c:numRef>
          </c:xVal>
          <c:yVal>
            <c:numRef>
              <c:f>'Lemna growth rate (Frond count)'!$K$4:$K$23</c:f>
              <c:numCache>
                <c:formatCode>General</c:formatCode>
                <c:ptCount val="20"/>
                <c:pt idx="0">
                  <c:v>24738.154431403796</c:v>
                </c:pt>
                <c:pt idx="1">
                  <c:v>24738.154431403796</c:v>
                </c:pt>
                <c:pt idx="2">
                  <c:v>24738.154431403796</c:v>
                </c:pt>
                <c:pt idx="3">
                  <c:v>24738.154431403796</c:v>
                </c:pt>
                <c:pt idx="4">
                  <c:v>24738.154431403796</c:v>
                </c:pt>
                <c:pt idx="5">
                  <c:v>24738.154431403796</c:v>
                </c:pt>
                <c:pt idx="6">
                  <c:v>24738.154431403796</c:v>
                </c:pt>
                <c:pt idx="7">
                  <c:v>24738.154431403796</c:v>
                </c:pt>
                <c:pt idx="8">
                  <c:v>24738.154431403796</c:v>
                </c:pt>
                <c:pt idx="9">
                  <c:v>24738.154431403796</c:v>
                </c:pt>
                <c:pt idx="10">
                  <c:v>24738.154431403796</c:v>
                </c:pt>
                <c:pt idx="11">
                  <c:v>24738.154431403796</c:v>
                </c:pt>
                <c:pt idx="12">
                  <c:v>24738.154431403796</c:v>
                </c:pt>
                <c:pt idx="13">
                  <c:v>24738.154431403796</c:v>
                </c:pt>
                <c:pt idx="14">
                  <c:v>24738.154431403796</c:v>
                </c:pt>
                <c:pt idx="15">
                  <c:v>24738.154431403796</c:v>
                </c:pt>
                <c:pt idx="16">
                  <c:v>24738.154431403796</c:v>
                </c:pt>
                <c:pt idx="17">
                  <c:v>24738.154431403796</c:v>
                </c:pt>
                <c:pt idx="18">
                  <c:v>24738.154431403796</c:v>
                </c:pt>
                <c:pt idx="19">
                  <c:v>24738.154431403796</c:v>
                </c:pt>
              </c:numCache>
            </c:numRef>
          </c:yVal>
        </c:ser>
        <c:ser>
          <c:idx val="2"/>
          <c:order val="2"/>
          <c:tx>
            <c:v>Lower 99% confidence limit</c:v>
          </c:tx>
          <c:spPr>
            <a:ln w="25400">
              <a:solidFill>
                <a:schemeClr val="tx1"/>
              </a:solidFill>
              <a:prstDash val="lgDash"/>
            </a:ln>
          </c:spPr>
          <c:marker>
            <c:symbol val="none"/>
          </c:marker>
          <c:xVal>
            <c:numRef>
              <c:f>'Lemna growth rate (Frond count)'!$A$4:$A$23</c:f>
              <c:numCache>
                <c:formatCode>General</c:formatCode>
                <c:ptCount val="20"/>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numCache>
            </c:numRef>
          </c:xVal>
          <c:yVal>
            <c:numRef>
              <c:f>'Lemna growth rate (Frond count)'!$O$4:$O$23</c:f>
              <c:numCache>
                <c:formatCode>General</c:formatCode>
                <c:ptCount val="20"/>
                <c:pt idx="0">
                  <c:v>-1124.4621237114879</c:v>
                </c:pt>
                <c:pt idx="1">
                  <c:v>-1124.4621237114879</c:v>
                </c:pt>
                <c:pt idx="2">
                  <c:v>-1124.4621237114879</c:v>
                </c:pt>
                <c:pt idx="3">
                  <c:v>-1124.4621237114879</c:v>
                </c:pt>
                <c:pt idx="4">
                  <c:v>-1124.4621237114879</c:v>
                </c:pt>
                <c:pt idx="5">
                  <c:v>-1124.4621237114879</c:v>
                </c:pt>
                <c:pt idx="6">
                  <c:v>-1124.4621237114879</c:v>
                </c:pt>
                <c:pt idx="7">
                  <c:v>-1124.4621237114879</c:v>
                </c:pt>
                <c:pt idx="8">
                  <c:v>-1124.4621237114879</c:v>
                </c:pt>
                <c:pt idx="9">
                  <c:v>-1124.4621237114879</c:v>
                </c:pt>
                <c:pt idx="10">
                  <c:v>-1124.4621237114879</c:v>
                </c:pt>
                <c:pt idx="11">
                  <c:v>-1124.4621237114879</c:v>
                </c:pt>
                <c:pt idx="12">
                  <c:v>-1124.4621237114879</c:v>
                </c:pt>
                <c:pt idx="13">
                  <c:v>-1124.4621237114879</c:v>
                </c:pt>
                <c:pt idx="14">
                  <c:v>-1124.4621237114879</c:v>
                </c:pt>
                <c:pt idx="15">
                  <c:v>-1124.4621237114879</c:v>
                </c:pt>
                <c:pt idx="16">
                  <c:v>-1124.4621237114879</c:v>
                </c:pt>
                <c:pt idx="17">
                  <c:v>-1124.4621237114879</c:v>
                </c:pt>
                <c:pt idx="18">
                  <c:v>-1124.4621237114879</c:v>
                </c:pt>
                <c:pt idx="19">
                  <c:v>-1124.4621237114879</c:v>
                </c:pt>
              </c:numCache>
            </c:numRef>
          </c:yVal>
        </c:ser>
        <c:ser>
          <c:idx val="3"/>
          <c:order val="3"/>
          <c:tx>
            <c:v>Upper warning limit</c:v>
          </c:tx>
          <c:spPr>
            <a:ln w="25400">
              <a:solidFill>
                <a:schemeClr val="tx1"/>
              </a:solidFill>
              <a:prstDash val="sysDash"/>
            </a:ln>
          </c:spPr>
          <c:marker>
            <c:symbol val="none"/>
          </c:marker>
          <c:xVal>
            <c:numRef>
              <c:f>'Lemna growth rate (Frond count)'!$A$4:$A$23</c:f>
              <c:numCache>
                <c:formatCode>General</c:formatCode>
                <c:ptCount val="20"/>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numCache>
            </c:numRef>
          </c:xVal>
          <c:yVal>
            <c:numRef>
              <c:f>'Lemna growth rate (Frond count)'!$L$4:$L$23</c:f>
              <c:numCache>
                <c:formatCode>General</c:formatCode>
                <c:ptCount val="20"/>
                <c:pt idx="0">
                  <c:v>20427.718338884497</c:v>
                </c:pt>
                <c:pt idx="1">
                  <c:v>20427.718338884497</c:v>
                </c:pt>
                <c:pt idx="2">
                  <c:v>20427.718338884497</c:v>
                </c:pt>
                <c:pt idx="3">
                  <c:v>20427.718338884497</c:v>
                </c:pt>
                <c:pt idx="4">
                  <c:v>20427.718338884497</c:v>
                </c:pt>
                <c:pt idx="5">
                  <c:v>20427.718338884497</c:v>
                </c:pt>
                <c:pt idx="6">
                  <c:v>20427.718338884497</c:v>
                </c:pt>
                <c:pt idx="7">
                  <c:v>20427.718338884497</c:v>
                </c:pt>
                <c:pt idx="8">
                  <c:v>20427.718338884497</c:v>
                </c:pt>
                <c:pt idx="9">
                  <c:v>20427.718338884497</c:v>
                </c:pt>
                <c:pt idx="10">
                  <c:v>20427.718338884497</c:v>
                </c:pt>
                <c:pt idx="11">
                  <c:v>20427.718338884497</c:v>
                </c:pt>
                <c:pt idx="12">
                  <c:v>20427.718338884497</c:v>
                </c:pt>
                <c:pt idx="13">
                  <c:v>20427.718338884497</c:v>
                </c:pt>
                <c:pt idx="14">
                  <c:v>20427.718338884497</c:v>
                </c:pt>
                <c:pt idx="15">
                  <c:v>20427.718338884497</c:v>
                </c:pt>
                <c:pt idx="16">
                  <c:v>20427.718338884497</c:v>
                </c:pt>
                <c:pt idx="17">
                  <c:v>20427.718338884497</c:v>
                </c:pt>
                <c:pt idx="18">
                  <c:v>20427.718338884497</c:v>
                </c:pt>
                <c:pt idx="19">
                  <c:v>20427.718338884497</c:v>
                </c:pt>
              </c:numCache>
            </c:numRef>
          </c:yVal>
        </c:ser>
        <c:ser>
          <c:idx val="4"/>
          <c:order val="4"/>
          <c:tx>
            <c:v>Lower warning limit</c:v>
          </c:tx>
          <c:spPr>
            <a:ln w="25400">
              <a:solidFill>
                <a:schemeClr val="tx1"/>
              </a:solidFill>
              <a:prstDash val="sysDash"/>
            </a:ln>
          </c:spPr>
          <c:marker>
            <c:symbol val="none"/>
          </c:marker>
          <c:xVal>
            <c:numRef>
              <c:f>'Lemna growth rate (Frond count)'!$A$4:$A$23</c:f>
              <c:numCache>
                <c:formatCode>General</c:formatCode>
                <c:ptCount val="20"/>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numCache>
            </c:numRef>
          </c:xVal>
          <c:yVal>
            <c:numRef>
              <c:f>'Lemna growth rate (Frond count)'!$N$4:$N$23</c:f>
              <c:numCache>
                <c:formatCode>General</c:formatCode>
                <c:ptCount val="20"/>
                <c:pt idx="0">
                  <c:v>3185.9739688077261</c:v>
                </c:pt>
                <c:pt idx="1">
                  <c:v>3185.9739688077261</c:v>
                </c:pt>
                <c:pt idx="2">
                  <c:v>3185.9739688077261</c:v>
                </c:pt>
                <c:pt idx="3">
                  <c:v>3185.9739688077261</c:v>
                </c:pt>
                <c:pt idx="4">
                  <c:v>3185.9739688077261</c:v>
                </c:pt>
                <c:pt idx="5">
                  <c:v>3185.9739688077261</c:v>
                </c:pt>
                <c:pt idx="6">
                  <c:v>3185.9739688077261</c:v>
                </c:pt>
                <c:pt idx="7">
                  <c:v>3185.9739688077261</c:v>
                </c:pt>
                <c:pt idx="8">
                  <c:v>3185.9739688077261</c:v>
                </c:pt>
                <c:pt idx="9">
                  <c:v>3185.9739688077261</c:v>
                </c:pt>
                <c:pt idx="10">
                  <c:v>3185.9739688077261</c:v>
                </c:pt>
                <c:pt idx="11">
                  <c:v>3185.9739688077261</c:v>
                </c:pt>
                <c:pt idx="12">
                  <c:v>3185.9739688077261</c:v>
                </c:pt>
                <c:pt idx="13">
                  <c:v>3185.9739688077261</c:v>
                </c:pt>
                <c:pt idx="14">
                  <c:v>3185.9739688077261</c:v>
                </c:pt>
                <c:pt idx="15">
                  <c:v>3185.9739688077261</c:v>
                </c:pt>
                <c:pt idx="16">
                  <c:v>3185.9739688077261</c:v>
                </c:pt>
                <c:pt idx="17">
                  <c:v>3185.9739688077261</c:v>
                </c:pt>
                <c:pt idx="18">
                  <c:v>3185.9739688077261</c:v>
                </c:pt>
                <c:pt idx="19">
                  <c:v>3185.9739688077261</c:v>
                </c:pt>
              </c:numCache>
            </c:numRef>
          </c:yVal>
        </c:ser>
        <c:ser>
          <c:idx val="5"/>
          <c:order val="5"/>
          <c:tx>
            <c:v>Mean IC50</c:v>
          </c:tx>
          <c:spPr>
            <a:ln w="12700">
              <a:solidFill>
                <a:schemeClr val="tx1"/>
              </a:solidFill>
              <a:prstDash val="solid"/>
            </a:ln>
          </c:spPr>
          <c:marker>
            <c:symbol val="none"/>
          </c:marker>
          <c:xVal>
            <c:numRef>
              <c:f>'Lemna growth rate (Frond count)'!$A$4:$A$28</c:f>
              <c:numCache>
                <c:formatCode>General</c:formatCode>
                <c:ptCount val="25"/>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numCache>
            </c:numRef>
          </c:xVal>
          <c:yVal>
            <c:numRef>
              <c:f>'Lemna growth rate (Frond count)'!$M$4:$M$28</c:f>
              <c:numCache>
                <c:formatCode>General</c:formatCode>
                <c:ptCount val="25"/>
                <c:pt idx="0">
                  <c:v>11806.846153846151</c:v>
                </c:pt>
                <c:pt idx="1">
                  <c:v>11806.846153846151</c:v>
                </c:pt>
                <c:pt idx="2">
                  <c:v>11806.846153846151</c:v>
                </c:pt>
                <c:pt idx="3">
                  <c:v>11806.846153846151</c:v>
                </c:pt>
                <c:pt idx="4">
                  <c:v>11806.846153846151</c:v>
                </c:pt>
                <c:pt idx="5">
                  <c:v>11806.846153846151</c:v>
                </c:pt>
                <c:pt idx="6">
                  <c:v>11806.846153846151</c:v>
                </c:pt>
                <c:pt idx="7">
                  <c:v>11806.846153846151</c:v>
                </c:pt>
                <c:pt idx="8">
                  <c:v>11806.846153846151</c:v>
                </c:pt>
                <c:pt idx="9">
                  <c:v>11806.846153846151</c:v>
                </c:pt>
                <c:pt idx="10">
                  <c:v>11806.846153846151</c:v>
                </c:pt>
                <c:pt idx="11">
                  <c:v>11806.846153846151</c:v>
                </c:pt>
                <c:pt idx="12">
                  <c:v>11806.846153846151</c:v>
                </c:pt>
                <c:pt idx="13">
                  <c:v>11806.846153846151</c:v>
                </c:pt>
                <c:pt idx="14">
                  <c:v>11806.846153846151</c:v>
                </c:pt>
                <c:pt idx="15">
                  <c:v>11806.846153846151</c:v>
                </c:pt>
                <c:pt idx="16">
                  <c:v>11806.846153846151</c:v>
                </c:pt>
                <c:pt idx="17">
                  <c:v>11806.846153846151</c:v>
                </c:pt>
                <c:pt idx="18">
                  <c:v>11806.846153846151</c:v>
                </c:pt>
                <c:pt idx="19">
                  <c:v>11806.846153846151</c:v>
                </c:pt>
                <c:pt idx="20">
                  <c:v>11806.846153846151</c:v>
                </c:pt>
                <c:pt idx="21">
                  <c:v>11806.846153846151</c:v>
                </c:pt>
                <c:pt idx="22">
                  <c:v>11806.846153846151</c:v>
                </c:pt>
                <c:pt idx="23">
                  <c:v>11806.846153846151</c:v>
                </c:pt>
              </c:numCache>
            </c:numRef>
          </c:yVal>
        </c:ser>
        <c:ser>
          <c:idx val="6"/>
          <c:order val="6"/>
          <c:tx>
            <c:v>Running mean IC50</c:v>
          </c:tx>
          <c:spPr>
            <a:ln w="12700">
              <a:solidFill>
                <a:schemeClr val="tx1"/>
              </a:solidFill>
              <a:prstDash val="solid"/>
            </a:ln>
          </c:spPr>
          <c:marker>
            <c:symbol val="none"/>
          </c:marker>
          <c:xVal>
            <c:numRef>
              <c:f>'Lemna growth rate (Frond count)'!$A$4:$A$23</c:f>
              <c:numCache>
                <c:formatCode>General</c:formatCode>
                <c:ptCount val="20"/>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numCache>
            </c:numRef>
          </c:xVal>
          <c:yVal>
            <c:numRef>
              <c:f>'Lemna growth rate (Frond count)'!$P$4:$P$23</c:f>
              <c:numCache>
                <c:formatCode>General</c:formatCode>
                <c:ptCount val="20"/>
                <c:pt idx="0">
                  <c:v>10010</c:v>
                </c:pt>
                <c:pt idx="1">
                  <c:v>16060</c:v>
                </c:pt>
                <c:pt idx="2">
                  <c:v>13650</c:v>
                </c:pt>
                <c:pt idx="3">
                  <c:v>12812.5</c:v>
                </c:pt>
                <c:pt idx="4">
                  <c:v>12856</c:v>
                </c:pt>
                <c:pt idx="5">
                  <c:v>12470</c:v>
                </c:pt>
                <c:pt idx="6">
                  <c:v>12022.857142857143</c:v>
                </c:pt>
                <c:pt idx="7">
                  <c:v>11565.125</c:v>
                </c:pt>
                <c:pt idx="8">
                  <c:v>11371.444444444454</c:v>
                </c:pt>
                <c:pt idx="9">
                  <c:v>11412.3</c:v>
                </c:pt>
                <c:pt idx="10">
                  <c:v>11115.363636363447</c:v>
                </c:pt>
                <c:pt idx="11" formatCode="0.0">
                  <c:v>9905.7999999999811</c:v>
                </c:pt>
                <c:pt idx="12">
                  <c:v>12786.5</c:v>
                </c:pt>
                <c:pt idx="13">
                  <c:v>12786.5</c:v>
                </c:pt>
                <c:pt idx="14">
                  <c:v>12786.5</c:v>
                </c:pt>
                <c:pt idx="15">
                  <c:v>12786.5</c:v>
                </c:pt>
                <c:pt idx="16">
                  <c:v>12786.5</c:v>
                </c:pt>
                <c:pt idx="17">
                  <c:v>12786.5</c:v>
                </c:pt>
                <c:pt idx="18">
                  <c:v>12786.5</c:v>
                </c:pt>
                <c:pt idx="19">
                  <c:v>12786.5</c:v>
                </c:pt>
              </c:numCache>
            </c:numRef>
          </c:yVal>
        </c:ser>
        <c:axId val="184679040"/>
        <c:axId val="184689408"/>
      </c:scatterChart>
      <c:valAx>
        <c:axId val="184679040"/>
        <c:scaling>
          <c:orientation val="minMax"/>
          <c:max val="14"/>
          <c:min val="0"/>
        </c:scaling>
        <c:axPos val="b"/>
        <c:title>
          <c:tx>
            <c:rich>
              <a:bodyPr/>
              <a:lstStyle/>
              <a:p>
                <a:pPr>
                  <a:defRPr sz="1050" b="1" i="0" u="none" strike="noStrike" baseline="0">
                    <a:solidFill>
                      <a:srgbClr val="000000"/>
                    </a:solidFill>
                    <a:latin typeface="Arial"/>
                    <a:ea typeface="Arial"/>
                    <a:cs typeface="Arial"/>
                  </a:defRPr>
                </a:pPr>
                <a:r>
                  <a:rPr lang="en-AU" sz="1050"/>
                  <a:t>Test number</a:t>
                </a:r>
              </a:p>
            </c:rich>
          </c:tx>
          <c:layout>
            <c:manualLayout>
              <c:xMode val="edge"/>
              <c:yMode val="edge"/>
              <c:x val="0.48269513618575211"/>
              <c:y val="0.89802646840958578"/>
            </c:manualLayout>
          </c:layout>
          <c:spPr>
            <a:noFill/>
            <a:ln w="25400">
              <a:noFill/>
            </a:ln>
          </c:spPr>
        </c:title>
        <c:numFmt formatCode="0" sourceLinked="0"/>
        <c:tickLblPos val="nextTo"/>
        <c:spPr>
          <a:ln w="3175">
            <a:solidFill>
              <a:srgbClr val="000000"/>
            </a:solidFill>
            <a:prstDash val="solid"/>
          </a:ln>
        </c:spPr>
        <c:txPr>
          <a:bodyPr rot="0" vert="horz"/>
          <a:lstStyle/>
          <a:p>
            <a:pPr>
              <a:defRPr sz="1200" b="0" i="0" u="none" strike="noStrike" baseline="0">
                <a:solidFill>
                  <a:srgbClr val="000000"/>
                </a:solidFill>
                <a:latin typeface="Arial"/>
                <a:ea typeface="Arial"/>
                <a:cs typeface="Arial"/>
              </a:defRPr>
            </a:pPr>
            <a:endParaRPr lang="en-US"/>
          </a:p>
        </c:txPr>
        <c:crossAx val="184689408"/>
        <c:crossesAt val="-10000"/>
        <c:crossBetween val="midCat"/>
        <c:majorUnit val="1"/>
      </c:valAx>
      <c:valAx>
        <c:axId val="184689408"/>
        <c:scaling>
          <c:orientation val="minMax"/>
        </c:scaling>
        <c:axPos val="l"/>
        <c:title>
          <c:tx>
            <c:rich>
              <a:bodyPr/>
              <a:lstStyle/>
              <a:p>
                <a:pPr>
                  <a:defRPr sz="1050" b="1" i="0" u="none" strike="noStrike" baseline="0">
                    <a:solidFill>
                      <a:srgbClr val="000000"/>
                    </a:solidFill>
                    <a:latin typeface="Arial"/>
                    <a:ea typeface="Arial"/>
                    <a:cs typeface="Arial"/>
                  </a:defRPr>
                </a:pPr>
                <a:r>
                  <a:rPr lang="en-AU" sz="1050"/>
                  <a:t>EC50</a:t>
                </a:r>
              </a:p>
            </c:rich>
          </c:tx>
          <c:layout>
            <c:manualLayout>
              <c:xMode val="edge"/>
              <c:yMode val="edge"/>
              <c:x val="1.0775345415082601E-2"/>
              <c:y val="0.36052768831785093"/>
            </c:manualLayout>
          </c:layout>
          <c:spPr>
            <a:noFill/>
            <a:ln w="25400">
              <a:noFill/>
            </a:ln>
          </c:spPr>
        </c:title>
        <c:numFmt formatCode="General" sourceLinked="1"/>
        <c:tickLblPos val="nextTo"/>
        <c:spPr>
          <a:ln w="3175">
            <a:solidFill>
              <a:srgbClr val="000000"/>
            </a:solidFill>
            <a:prstDash val="solid"/>
          </a:ln>
        </c:spPr>
        <c:txPr>
          <a:bodyPr rot="0" vert="horz"/>
          <a:lstStyle/>
          <a:p>
            <a:pPr>
              <a:defRPr sz="1200" b="0" i="0" u="none" strike="noStrike" baseline="0">
                <a:solidFill>
                  <a:srgbClr val="000000"/>
                </a:solidFill>
                <a:latin typeface="Arial"/>
                <a:ea typeface="Arial"/>
                <a:cs typeface="Arial"/>
              </a:defRPr>
            </a:pPr>
            <a:endParaRPr lang="en-US"/>
          </a:p>
        </c:txPr>
        <c:crossAx val="184679040"/>
        <c:crosses val="autoZero"/>
        <c:crossBetween val="midCat"/>
        <c:majorUnit val="10000"/>
      </c:valAx>
      <c:spPr>
        <a:noFill/>
        <a:ln w="12700">
          <a:solidFill>
            <a:srgbClr val="000000"/>
          </a:solidFill>
          <a:prstDash val="solid"/>
        </a:ln>
      </c:spPr>
    </c:plotArea>
    <c:plotVisOnly val="1"/>
    <c:dispBlanksAs val="gap"/>
  </c:chart>
  <c:spPr>
    <a:noFill/>
    <a:ln w="3175">
      <a:noFill/>
      <a:prstDash val="solid"/>
    </a:ln>
  </c:spPr>
  <c:txPr>
    <a:bodyPr/>
    <a:lstStyle/>
    <a:p>
      <a:pPr>
        <a:defRPr sz="1850" b="0" i="0" u="none" strike="noStrike" baseline="0">
          <a:solidFill>
            <a:srgbClr val="000000"/>
          </a:solidFill>
          <a:latin typeface="Arial"/>
          <a:ea typeface="Arial"/>
          <a:cs typeface="Arial"/>
        </a:defRPr>
      </a:pPr>
      <a:endParaRPr lang="en-US"/>
    </a:p>
  </c:txPr>
  <c:externalData r:id="rId1"/>
</c:chartSpace>
</file>

<file path=word/charts/chart9.xml><?xml version="1.0" encoding="utf-8"?>
<c:chartSpace xmlns:c="http://schemas.openxmlformats.org/drawingml/2006/chart" xmlns:a="http://schemas.openxmlformats.org/drawingml/2006/main" xmlns:r="http://schemas.openxmlformats.org/officeDocument/2006/relationships">
  <c:date1904 val="1"/>
  <c:lang val="en-AU"/>
  <c:chart>
    <c:plotArea>
      <c:layout>
        <c:manualLayout>
          <c:layoutTarget val="inner"/>
          <c:xMode val="edge"/>
          <c:yMode val="edge"/>
          <c:x val="0.15333864897732427"/>
          <c:y val="7.7771343932394293E-2"/>
          <c:w val="0.80210869386951422"/>
          <c:h val="0.72306617489709257"/>
        </c:manualLayout>
      </c:layout>
      <c:scatterChart>
        <c:scatterStyle val="lineMarker"/>
        <c:ser>
          <c:idx val="0"/>
          <c:order val="0"/>
          <c:tx>
            <c:v>IC 50 (95% CL)</c:v>
          </c:tx>
          <c:spPr>
            <a:ln w="28575">
              <a:noFill/>
            </a:ln>
          </c:spPr>
          <c:marker>
            <c:symbol val="diamond"/>
            <c:size val="5"/>
            <c:spPr>
              <a:solidFill>
                <a:srgbClr val="FF0000"/>
              </a:solidFill>
              <a:ln>
                <a:solidFill>
                  <a:srgbClr val="000000"/>
                </a:solidFill>
                <a:prstDash val="solid"/>
              </a:ln>
            </c:spPr>
          </c:marker>
          <c:dPt>
            <c:idx val="0"/>
            <c:marker>
              <c:spPr>
                <a:solidFill>
                  <a:schemeClr val="tx1"/>
                </a:solidFill>
                <a:ln>
                  <a:solidFill>
                    <a:srgbClr val="000000"/>
                  </a:solidFill>
                  <a:prstDash val="solid"/>
                </a:ln>
              </c:spPr>
            </c:marker>
          </c:dPt>
          <c:dPt>
            <c:idx val="1"/>
            <c:marker>
              <c:spPr>
                <a:solidFill>
                  <a:schemeClr val="tx1"/>
                </a:solidFill>
                <a:ln>
                  <a:solidFill>
                    <a:srgbClr val="000000"/>
                  </a:solidFill>
                  <a:prstDash val="solid"/>
                </a:ln>
              </c:spPr>
            </c:marker>
          </c:dPt>
          <c:dPt>
            <c:idx val="2"/>
            <c:marker>
              <c:spPr>
                <a:solidFill>
                  <a:schemeClr val="tx1"/>
                </a:solidFill>
                <a:ln>
                  <a:solidFill>
                    <a:srgbClr val="000000"/>
                  </a:solidFill>
                  <a:prstDash val="solid"/>
                </a:ln>
              </c:spPr>
            </c:marker>
          </c:dPt>
          <c:dPt>
            <c:idx val="3"/>
            <c:marker>
              <c:spPr>
                <a:solidFill>
                  <a:schemeClr val="tx1"/>
                </a:solidFill>
                <a:ln>
                  <a:solidFill>
                    <a:srgbClr val="000000"/>
                  </a:solidFill>
                  <a:prstDash val="solid"/>
                </a:ln>
              </c:spPr>
            </c:marker>
          </c:dPt>
          <c:dPt>
            <c:idx val="4"/>
            <c:marker>
              <c:spPr>
                <a:solidFill>
                  <a:schemeClr val="tx1"/>
                </a:solidFill>
                <a:ln>
                  <a:solidFill>
                    <a:srgbClr val="000000"/>
                  </a:solidFill>
                  <a:prstDash val="solid"/>
                </a:ln>
              </c:spPr>
            </c:marker>
          </c:dPt>
          <c:dPt>
            <c:idx val="5"/>
            <c:marker>
              <c:spPr>
                <a:solidFill>
                  <a:schemeClr val="tx1"/>
                </a:solidFill>
                <a:ln>
                  <a:solidFill>
                    <a:srgbClr val="000000"/>
                  </a:solidFill>
                  <a:prstDash val="solid"/>
                </a:ln>
              </c:spPr>
            </c:marker>
          </c:dPt>
          <c:dPt>
            <c:idx val="6"/>
            <c:marker>
              <c:spPr>
                <a:solidFill>
                  <a:schemeClr val="tx1"/>
                </a:solidFill>
                <a:ln>
                  <a:solidFill>
                    <a:srgbClr val="000000"/>
                  </a:solidFill>
                  <a:prstDash val="solid"/>
                </a:ln>
              </c:spPr>
            </c:marker>
          </c:dPt>
          <c:dPt>
            <c:idx val="7"/>
            <c:marker>
              <c:spPr>
                <a:solidFill>
                  <a:schemeClr val="tx1"/>
                </a:solidFill>
                <a:ln>
                  <a:solidFill>
                    <a:srgbClr val="000000"/>
                  </a:solidFill>
                  <a:prstDash val="solid"/>
                </a:ln>
              </c:spPr>
            </c:marker>
          </c:dPt>
          <c:errBars>
            <c:errDir val="y"/>
            <c:errBarType val="both"/>
            <c:errValType val="cust"/>
            <c:plus>
              <c:numRef>
                <c:f>'Lemna growth rate (Frond count)'!$H$4:$H$13</c:f>
                <c:numCache>
                  <c:formatCode>General</c:formatCode>
                  <c:ptCount val="10"/>
                  <c:pt idx="0">
                    <c:v>2120</c:v>
                  </c:pt>
                  <c:pt idx="1">
                    <c:v>1230</c:v>
                  </c:pt>
                  <c:pt idx="2">
                    <c:v>2150</c:v>
                  </c:pt>
                  <c:pt idx="3">
                    <c:v>270</c:v>
                  </c:pt>
                  <c:pt idx="4">
                    <c:v>2950</c:v>
                  </c:pt>
                  <c:pt idx="5">
                    <c:v>590</c:v>
                  </c:pt>
                  <c:pt idx="6">
                    <c:v>2350</c:v>
                  </c:pt>
                  <c:pt idx="7">
                    <c:v>6439</c:v>
                  </c:pt>
                  <c:pt idx="8">
                    <c:v>1128</c:v>
                  </c:pt>
                  <c:pt idx="9">
                    <c:v>2150</c:v>
                  </c:pt>
                </c:numCache>
              </c:numRef>
            </c:plus>
            <c:minus>
              <c:numRef>
                <c:f>'Lemna growth rate (Frond count)'!$F$4:$F$13</c:f>
                <c:numCache>
                  <c:formatCode>General</c:formatCode>
                  <c:ptCount val="10"/>
                  <c:pt idx="0">
                    <c:v>2418</c:v>
                  </c:pt>
                  <c:pt idx="1">
                    <c:v>2320</c:v>
                  </c:pt>
                  <c:pt idx="2">
                    <c:v>1510</c:v>
                  </c:pt>
                  <c:pt idx="3">
                    <c:v>754</c:v>
                  </c:pt>
                  <c:pt idx="4">
                    <c:v>1540</c:v>
                  </c:pt>
                  <c:pt idx="5">
                    <c:v>600</c:v>
                  </c:pt>
                  <c:pt idx="6">
                    <c:v>1662</c:v>
                  </c:pt>
                  <c:pt idx="7">
                    <c:v>1950</c:v>
                  </c:pt>
                  <c:pt idx="8">
                    <c:v>1139</c:v>
                  </c:pt>
                  <c:pt idx="9">
                    <c:v>1770</c:v>
                  </c:pt>
                </c:numCache>
              </c:numRef>
            </c:minus>
            <c:spPr>
              <a:ln w="12700">
                <a:solidFill>
                  <a:srgbClr val="000000"/>
                </a:solidFill>
                <a:prstDash val="solid"/>
              </a:ln>
            </c:spPr>
          </c:errBars>
          <c:xVal>
            <c:numRef>
              <c:f>'Lemna growth rate (SA)'!$A$3:$A$13</c:f>
              <c:numCache>
                <c:formatCode>General</c:formatCode>
                <c:ptCount val="11"/>
                <c:pt idx="0">
                  <c:v>1</c:v>
                </c:pt>
                <c:pt idx="1">
                  <c:v>2</c:v>
                </c:pt>
                <c:pt idx="2">
                  <c:v>3</c:v>
                </c:pt>
                <c:pt idx="3">
                  <c:v>4</c:v>
                </c:pt>
                <c:pt idx="4">
                  <c:v>5</c:v>
                </c:pt>
                <c:pt idx="5">
                  <c:v>6</c:v>
                </c:pt>
                <c:pt idx="6">
                  <c:v>7</c:v>
                </c:pt>
                <c:pt idx="7">
                  <c:v>8</c:v>
                </c:pt>
                <c:pt idx="8">
                  <c:v>9</c:v>
                </c:pt>
                <c:pt idx="9">
                  <c:v>10</c:v>
                </c:pt>
                <c:pt idx="10">
                  <c:v>11</c:v>
                </c:pt>
              </c:numCache>
            </c:numRef>
          </c:xVal>
          <c:yVal>
            <c:numRef>
              <c:f>'Lemna growth rate (SA)'!$D$3:$D$13</c:f>
              <c:numCache>
                <c:formatCode>General</c:formatCode>
                <c:ptCount val="11"/>
                <c:pt idx="0">
                  <c:v>8371</c:v>
                </c:pt>
                <c:pt idx="1">
                  <c:v>7503</c:v>
                </c:pt>
                <c:pt idx="2">
                  <c:v>7856</c:v>
                </c:pt>
                <c:pt idx="3" formatCode="0">
                  <c:v>6970</c:v>
                </c:pt>
                <c:pt idx="4">
                  <c:v>8731</c:v>
                </c:pt>
                <c:pt idx="5">
                  <c:v>10350</c:v>
                </c:pt>
                <c:pt idx="6">
                  <c:v>7360</c:v>
                </c:pt>
                <c:pt idx="7">
                  <c:v>10830</c:v>
                </c:pt>
                <c:pt idx="8">
                  <c:v>12690</c:v>
                </c:pt>
              </c:numCache>
            </c:numRef>
          </c:yVal>
        </c:ser>
        <c:ser>
          <c:idx val="1"/>
          <c:order val="1"/>
          <c:tx>
            <c:v>Upper 99% confidence limit</c:v>
          </c:tx>
          <c:spPr>
            <a:ln w="25400">
              <a:solidFill>
                <a:schemeClr val="tx1"/>
              </a:solidFill>
              <a:prstDash val="lgDash"/>
            </a:ln>
          </c:spPr>
          <c:marker>
            <c:symbol val="none"/>
          </c:marker>
          <c:xVal>
            <c:numRef>
              <c:f>'Lemna growth rate (SA)'!$A$3:$A$22</c:f>
              <c:numCache>
                <c:formatCode>General</c:formatCode>
                <c:ptCount val="20"/>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numCache>
            </c:numRef>
          </c:xVal>
          <c:yVal>
            <c:numRef>
              <c:f>'Lemna growth rate (SA)'!$K$3:$K$22</c:f>
              <c:numCache>
                <c:formatCode>General</c:formatCode>
                <c:ptCount val="20"/>
                <c:pt idx="0">
                  <c:v>14733.238829873717</c:v>
                </c:pt>
                <c:pt idx="1">
                  <c:v>14733.238829873717</c:v>
                </c:pt>
                <c:pt idx="2">
                  <c:v>14733.238829873717</c:v>
                </c:pt>
                <c:pt idx="3">
                  <c:v>14733.238829873717</c:v>
                </c:pt>
                <c:pt idx="4">
                  <c:v>14733.238829873717</c:v>
                </c:pt>
                <c:pt idx="5">
                  <c:v>14733.238829873717</c:v>
                </c:pt>
                <c:pt idx="6">
                  <c:v>14733.238829873717</c:v>
                </c:pt>
                <c:pt idx="7">
                  <c:v>14733.238829873717</c:v>
                </c:pt>
                <c:pt idx="8">
                  <c:v>14733.238829873717</c:v>
                </c:pt>
                <c:pt idx="9">
                  <c:v>14733.238829873717</c:v>
                </c:pt>
              </c:numCache>
            </c:numRef>
          </c:yVal>
        </c:ser>
        <c:ser>
          <c:idx val="2"/>
          <c:order val="2"/>
          <c:tx>
            <c:v>Lower 99% confidence limit</c:v>
          </c:tx>
          <c:spPr>
            <a:ln w="25400">
              <a:solidFill>
                <a:schemeClr val="tx1"/>
              </a:solidFill>
              <a:prstDash val="lgDash"/>
            </a:ln>
          </c:spPr>
          <c:marker>
            <c:symbol val="none"/>
          </c:marker>
          <c:xVal>
            <c:numRef>
              <c:f>'Lemna growth rate (SA)'!$A$3:$A$22</c:f>
              <c:numCache>
                <c:formatCode>General</c:formatCode>
                <c:ptCount val="20"/>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numCache>
            </c:numRef>
          </c:xVal>
          <c:yVal>
            <c:numRef>
              <c:f>'Lemna growth rate (SA)'!$O$3:$O$22</c:f>
              <c:numCache>
                <c:formatCode>General</c:formatCode>
                <c:ptCount val="20"/>
                <c:pt idx="0">
                  <c:v>3191.427836792951</c:v>
                </c:pt>
                <c:pt idx="1">
                  <c:v>3191.427836792951</c:v>
                </c:pt>
                <c:pt idx="2">
                  <c:v>3191.427836792951</c:v>
                </c:pt>
                <c:pt idx="3">
                  <c:v>3191.427836792951</c:v>
                </c:pt>
                <c:pt idx="4">
                  <c:v>3191.427836792951</c:v>
                </c:pt>
                <c:pt idx="5">
                  <c:v>3191.427836792951</c:v>
                </c:pt>
                <c:pt idx="6">
                  <c:v>3191.427836792951</c:v>
                </c:pt>
                <c:pt idx="7">
                  <c:v>3191.427836792951</c:v>
                </c:pt>
                <c:pt idx="8">
                  <c:v>3191.427836792951</c:v>
                </c:pt>
                <c:pt idx="9">
                  <c:v>3191.427836792951</c:v>
                </c:pt>
              </c:numCache>
            </c:numRef>
          </c:yVal>
        </c:ser>
        <c:ser>
          <c:idx val="3"/>
          <c:order val="3"/>
          <c:tx>
            <c:v>Upper warning limit</c:v>
          </c:tx>
          <c:spPr>
            <a:ln w="25400">
              <a:solidFill>
                <a:schemeClr val="tx1"/>
              </a:solidFill>
              <a:prstDash val="sysDash"/>
            </a:ln>
          </c:spPr>
          <c:marker>
            <c:symbol val="none"/>
          </c:marker>
          <c:xVal>
            <c:numRef>
              <c:f>'Lemna growth rate (SA)'!$A$3:$A$22</c:f>
              <c:numCache>
                <c:formatCode>General</c:formatCode>
                <c:ptCount val="20"/>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numCache>
            </c:numRef>
          </c:xVal>
          <c:yVal>
            <c:numRef>
              <c:f>'Lemna growth rate (SA)'!$L$3:$L$22</c:f>
              <c:numCache>
                <c:formatCode>General</c:formatCode>
                <c:ptCount val="20"/>
                <c:pt idx="0">
                  <c:v>12809.603664360257</c:v>
                </c:pt>
                <c:pt idx="1">
                  <c:v>12809.603664360257</c:v>
                </c:pt>
                <c:pt idx="2">
                  <c:v>12809.603664360257</c:v>
                </c:pt>
                <c:pt idx="3">
                  <c:v>12809.603664360257</c:v>
                </c:pt>
                <c:pt idx="4">
                  <c:v>12809.603664360257</c:v>
                </c:pt>
                <c:pt idx="5">
                  <c:v>12809.603664360257</c:v>
                </c:pt>
                <c:pt idx="6">
                  <c:v>12809.603664360257</c:v>
                </c:pt>
                <c:pt idx="7">
                  <c:v>12809.603664360257</c:v>
                </c:pt>
                <c:pt idx="8">
                  <c:v>12809.603664360257</c:v>
                </c:pt>
                <c:pt idx="9">
                  <c:v>12809.603664360257</c:v>
                </c:pt>
              </c:numCache>
            </c:numRef>
          </c:yVal>
        </c:ser>
        <c:ser>
          <c:idx val="4"/>
          <c:order val="4"/>
          <c:tx>
            <c:v>Lower warning limit</c:v>
          </c:tx>
          <c:spPr>
            <a:ln w="25400">
              <a:solidFill>
                <a:schemeClr val="tx1"/>
              </a:solidFill>
              <a:prstDash val="sysDash"/>
            </a:ln>
          </c:spPr>
          <c:marker>
            <c:symbol val="none"/>
          </c:marker>
          <c:xVal>
            <c:numRef>
              <c:f>'Lemna growth rate (SA)'!$A$3:$A$22</c:f>
              <c:numCache>
                <c:formatCode>General</c:formatCode>
                <c:ptCount val="20"/>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numCache>
            </c:numRef>
          </c:xVal>
          <c:yVal>
            <c:numRef>
              <c:f>'Lemna growth rate (SA)'!$N$3:$N$22</c:f>
              <c:numCache>
                <c:formatCode>General</c:formatCode>
                <c:ptCount val="20"/>
                <c:pt idx="0">
                  <c:v>5115.0630023064105</c:v>
                </c:pt>
                <c:pt idx="1">
                  <c:v>5115.0630023064105</c:v>
                </c:pt>
                <c:pt idx="2">
                  <c:v>5115.0630023064105</c:v>
                </c:pt>
                <c:pt idx="3">
                  <c:v>5115.0630023064105</c:v>
                </c:pt>
                <c:pt idx="4">
                  <c:v>5115.0630023064105</c:v>
                </c:pt>
                <c:pt idx="5">
                  <c:v>5115.0630023064105</c:v>
                </c:pt>
                <c:pt idx="6">
                  <c:v>5115.0630023064105</c:v>
                </c:pt>
                <c:pt idx="7">
                  <c:v>5115.0630023064105</c:v>
                </c:pt>
                <c:pt idx="8">
                  <c:v>5115.0630023064105</c:v>
                </c:pt>
                <c:pt idx="9">
                  <c:v>5115.0630023064105</c:v>
                </c:pt>
              </c:numCache>
            </c:numRef>
          </c:yVal>
        </c:ser>
        <c:ser>
          <c:idx val="5"/>
          <c:order val="5"/>
          <c:tx>
            <c:v>average</c:v>
          </c:tx>
          <c:spPr>
            <a:ln w="12700">
              <a:solidFill>
                <a:schemeClr val="tx1"/>
              </a:solidFill>
              <a:prstDash val="solid"/>
            </a:ln>
          </c:spPr>
          <c:marker>
            <c:symbol val="none"/>
          </c:marker>
          <c:xVal>
            <c:numRef>
              <c:f>'Lemna growth rate (SA)'!$A$3:$A$27</c:f>
              <c:numCache>
                <c:formatCode>General</c:formatCode>
                <c:ptCount val="25"/>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numCache>
            </c:numRef>
          </c:xVal>
          <c:yVal>
            <c:numRef>
              <c:f>'Lemna growth rate (SA)'!$M$3:$M$27</c:f>
              <c:numCache>
                <c:formatCode>General</c:formatCode>
                <c:ptCount val="25"/>
                <c:pt idx="0">
                  <c:v>8962.333333333323</c:v>
                </c:pt>
                <c:pt idx="1">
                  <c:v>8962.333333333323</c:v>
                </c:pt>
                <c:pt idx="2">
                  <c:v>8962.333333333323</c:v>
                </c:pt>
                <c:pt idx="3">
                  <c:v>8962.333333333323</c:v>
                </c:pt>
                <c:pt idx="4">
                  <c:v>8962.333333333323</c:v>
                </c:pt>
                <c:pt idx="5">
                  <c:v>8962.333333333323</c:v>
                </c:pt>
                <c:pt idx="6">
                  <c:v>8962.333333333323</c:v>
                </c:pt>
                <c:pt idx="7">
                  <c:v>8962.333333333323</c:v>
                </c:pt>
                <c:pt idx="8">
                  <c:v>8962.333333333323</c:v>
                </c:pt>
                <c:pt idx="9">
                  <c:v>8962.333333333323</c:v>
                </c:pt>
              </c:numCache>
            </c:numRef>
          </c:yVal>
        </c:ser>
        <c:ser>
          <c:idx val="6"/>
          <c:order val="6"/>
          <c:tx>
            <c:v>Running mean IC50</c:v>
          </c:tx>
          <c:spPr>
            <a:ln w="12700">
              <a:solidFill>
                <a:schemeClr val="tx1"/>
              </a:solidFill>
              <a:prstDash val="solid"/>
            </a:ln>
          </c:spPr>
          <c:marker>
            <c:symbol val="none"/>
          </c:marker>
          <c:xVal>
            <c:numRef>
              <c:f>'Lemna growth rate (SA)'!$A$3:$A$22</c:f>
              <c:numCache>
                <c:formatCode>General</c:formatCode>
                <c:ptCount val="20"/>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numCache>
            </c:numRef>
          </c:xVal>
          <c:yVal>
            <c:numRef>
              <c:f>'Lemna growth rate (SA)'!$P$3:$P$22</c:f>
              <c:numCache>
                <c:formatCode>General</c:formatCode>
                <c:ptCount val="20"/>
                <c:pt idx="0">
                  <c:v>7910</c:v>
                </c:pt>
                <c:pt idx="1">
                  <c:v>7910</c:v>
                </c:pt>
                <c:pt idx="2">
                  <c:v>7910</c:v>
                </c:pt>
                <c:pt idx="3">
                  <c:v>7675</c:v>
                </c:pt>
                <c:pt idx="4">
                  <c:v>7886.2</c:v>
                </c:pt>
                <c:pt idx="5">
                  <c:v>8296.833333333323</c:v>
                </c:pt>
                <c:pt idx="6">
                  <c:v>8163</c:v>
                </c:pt>
                <c:pt idx="7" formatCode="0.0">
                  <c:v>8848.2000000000007</c:v>
                </c:pt>
                <c:pt idx="8" formatCode="0.0">
                  <c:v>9992.2000000000007</c:v>
                </c:pt>
                <c:pt idx="9" formatCode="0.0">
                  <c:v>10307.5</c:v>
                </c:pt>
              </c:numCache>
            </c:numRef>
          </c:yVal>
        </c:ser>
        <c:axId val="184750080"/>
        <c:axId val="184752000"/>
      </c:scatterChart>
      <c:valAx>
        <c:axId val="184750080"/>
        <c:scaling>
          <c:orientation val="minMax"/>
          <c:max val="11"/>
          <c:min val="0"/>
        </c:scaling>
        <c:axPos val="b"/>
        <c:title>
          <c:tx>
            <c:rich>
              <a:bodyPr/>
              <a:lstStyle/>
              <a:p>
                <a:pPr>
                  <a:defRPr sz="1050" b="1" i="0" u="none" strike="noStrike" baseline="0">
                    <a:solidFill>
                      <a:srgbClr val="000000"/>
                    </a:solidFill>
                    <a:latin typeface="Arial"/>
                    <a:ea typeface="Arial"/>
                    <a:cs typeface="Arial"/>
                  </a:defRPr>
                </a:pPr>
                <a:r>
                  <a:rPr lang="en-AU" sz="1050"/>
                  <a:t>Test number</a:t>
                </a:r>
              </a:p>
            </c:rich>
          </c:tx>
          <c:layout>
            <c:manualLayout>
              <c:xMode val="edge"/>
              <c:yMode val="edge"/>
              <c:x val="0.46718438945409396"/>
              <c:y val="0.91966658694291603"/>
            </c:manualLayout>
          </c:layout>
          <c:spPr>
            <a:noFill/>
            <a:ln w="25400">
              <a:noFill/>
            </a:ln>
          </c:spPr>
        </c:title>
        <c:numFmt formatCode="0" sourceLinked="0"/>
        <c:tickLblPos val="nextTo"/>
        <c:spPr>
          <a:ln w="3175">
            <a:solidFill>
              <a:srgbClr val="000000"/>
            </a:solidFill>
            <a:prstDash val="solid"/>
          </a:ln>
        </c:spPr>
        <c:txPr>
          <a:bodyPr rot="0" vert="horz"/>
          <a:lstStyle/>
          <a:p>
            <a:pPr>
              <a:defRPr sz="1200" b="0" i="0" u="none" strike="noStrike" baseline="0">
                <a:solidFill>
                  <a:srgbClr val="000000"/>
                </a:solidFill>
                <a:latin typeface="Arial"/>
                <a:ea typeface="Arial"/>
                <a:cs typeface="Arial"/>
              </a:defRPr>
            </a:pPr>
            <a:endParaRPr lang="en-US"/>
          </a:p>
        </c:txPr>
        <c:crossAx val="184752000"/>
        <c:crossesAt val="-2000"/>
        <c:crossBetween val="midCat"/>
        <c:majorUnit val="1"/>
      </c:valAx>
      <c:valAx>
        <c:axId val="184752000"/>
        <c:scaling>
          <c:orientation val="minMax"/>
          <c:max val="18000"/>
        </c:scaling>
        <c:axPos val="l"/>
        <c:title>
          <c:tx>
            <c:rich>
              <a:bodyPr/>
              <a:lstStyle/>
              <a:p>
                <a:pPr>
                  <a:defRPr sz="1050" b="1" i="0" u="none" strike="noStrike" baseline="0">
                    <a:solidFill>
                      <a:srgbClr val="000000"/>
                    </a:solidFill>
                    <a:latin typeface="Arial"/>
                    <a:ea typeface="Arial"/>
                    <a:cs typeface="Arial"/>
                  </a:defRPr>
                </a:pPr>
                <a:r>
                  <a:rPr lang="en-AU" sz="1050"/>
                  <a:t>EC50</a:t>
                </a:r>
              </a:p>
            </c:rich>
          </c:tx>
          <c:layout>
            <c:manualLayout>
              <c:xMode val="edge"/>
              <c:yMode val="edge"/>
              <c:x val="1.0775345415082601E-2"/>
              <c:y val="0.36719703931219394"/>
            </c:manualLayout>
          </c:layout>
          <c:spPr>
            <a:noFill/>
            <a:ln w="25400">
              <a:noFill/>
            </a:ln>
          </c:spPr>
        </c:title>
        <c:numFmt formatCode="General" sourceLinked="1"/>
        <c:tickLblPos val="nextTo"/>
        <c:spPr>
          <a:ln w="3175">
            <a:solidFill>
              <a:srgbClr val="000000"/>
            </a:solidFill>
            <a:prstDash val="solid"/>
          </a:ln>
        </c:spPr>
        <c:txPr>
          <a:bodyPr rot="0" vert="horz"/>
          <a:lstStyle/>
          <a:p>
            <a:pPr>
              <a:defRPr sz="1200" b="0" i="0" u="none" strike="noStrike" baseline="0">
                <a:solidFill>
                  <a:srgbClr val="000000"/>
                </a:solidFill>
                <a:latin typeface="Arial"/>
                <a:ea typeface="Arial"/>
                <a:cs typeface="Arial"/>
              </a:defRPr>
            </a:pPr>
            <a:endParaRPr lang="en-US"/>
          </a:p>
        </c:txPr>
        <c:crossAx val="184750080"/>
        <c:crosses val="autoZero"/>
        <c:crossBetween val="midCat"/>
        <c:majorUnit val="4000"/>
      </c:valAx>
      <c:spPr>
        <a:noFill/>
        <a:ln w="12700">
          <a:solidFill>
            <a:srgbClr val="000000"/>
          </a:solidFill>
          <a:prstDash val="solid"/>
        </a:ln>
      </c:spPr>
    </c:plotArea>
    <c:plotVisOnly val="1"/>
    <c:dispBlanksAs val="gap"/>
  </c:chart>
  <c:spPr>
    <a:solidFill>
      <a:srgbClr val="FFFFFF"/>
    </a:solidFill>
    <a:ln w="3175">
      <a:noFill/>
      <a:prstDash val="solid"/>
    </a:ln>
  </c:spPr>
  <c:txPr>
    <a:bodyPr/>
    <a:lstStyle/>
    <a:p>
      <a:pPr>
        <a:defRPr sz="1850" b="0" i="0" u="none" strike="noStrike" baseline="0">
          <a:solidFill>
            <a:srgbClr val="000000"/>
          </a:solidFill>
          <a:latin typeface="Arial"/>
          <a:ea typeface="Arial"/>
          <a:cs typeface="Arial"/>
        </a:defRPr>
      </a:pPr>
      <a:endParaRPr lang="en-US"/>
    </a:p>
  </c:txPr>
  <c:externalData r:id="rId1"/>
</c:chartSpace>
</file>

<file path=word/drawings/drawing1.xml><?xml version="1.0" encoding="utf-8"?>
<c:userShapes xmlns:c="http://schemas.openxmlformats.org/drawingml/2006/chart">
  <cdr:relSizeAnchor xmlns:cdr="http://schemas.openxmlformats.org/drawingml/2006/chartDrawing">
    <cdr:from>
      <cdr:x>0.09207</cdr:x>
      <cdr:y>0.15465</cdr:y>
    </cdr:from>
    <cdr:to>
      <cdr:x>0.96861</cdr:x>
      <cdr:y>0.15675</cdr:y>
    </cdr:to>
    <cdr:sp macro="" textlink="">
      <cdr:nvSpPr>
        <cdr:cNvPr id="3" name="Straight Connector 2"/>
        <cdr:cNvSpPr/>
      </cdr:nvSpPr>
      <cdr:spPr>
        <a:xfrm xmlns:a="http://schemas.openxmlformats.org/drawingml/2006/main">
          <a:off x="490968" y="538603"/>
          <a:ext cx="4674412" cy="7315"/>
        </a:xfrm>
        <a:prstGeom xmlns:a="http://schemas.openxmlformats.org/drawingml/2006/main" prst="line">
          <a:avLst/>
        </a:prstGeom>
        <a:ln xmlns:a="http://schemas.openxmlformats.org/drawingml/2006/main">
          <a:solidFill>
            <a:schemeClr val="tx1"/>
          </a:solidFill>
          <a:prstDash val="dash"/>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vertOverflow="clip"/>
        <a:lstStyle xmlns:a="http://schemas.openxmlformats.org/drawingml/2006/main"/>
        <a:p xmlns:a="http://schemas.openxmlformats.org/drawingml/2006/main">
          <a:endParaRPr lang="en-US"/>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docProps/app.xml><?xml version="1.0" encoding="utf-8"?>
<Properties xmlns="http://schemas.openxmlformats.org/officeDocument/2006/extended-properties" xmlns:vt="http://schemas.openxmlformats.org/officeDocument/2006/docPropsVTypes">
  <Template>Normal.dotm</Template>
  <TotalTime>0</TotalTime>
  <Pages>288</Pages>
  <Words>88995</Words>
  <Characters>515658</Characters>
  <Application>Microsoft Office Word</Application>
  <DocSecurity>0</DocSecurity>
  <Lines>4297</Lines>
  <Paragraphs>1206</Paragraphs>
  <ScaleCrop>false</ScaleCrop>
  <LinksUpToDate>false</LinksUpToDate>
  <CharactersWithSpaces>603447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eriss research summary 2013-2014</dc:title>
  <dc:creator/>
  <cp:lastModifiedBy/>
  <cp:revision>1</cp:revision>
  <dcterms:created xsi:type="dcterms:W3CDTF">2015-06-24T06:20:00Z</dcterms:created>
  <dcterms:modified xsi:type="dcterms:W3CDTF">2015-06-24T06:20:00Z</dcterms:modified>
</cp:coreProperties>
</file>