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5805F39" w14:textId="1752F2C6" w:rsidR="009E542B" w:rsidRDefault="009E542B" w:rsidP="009E542B">
      <w:pPr>
        <w:pStyle w:val="Heading1"/>
      </w:pPr>
      <w:r>
        <w:t xml:space="preserve">Import risk analysis </w:t>
      </w:r>
      <w:r w:rsidR="00C6110B">
        <w:t>and trade implementation</w:t>
      </w:r>
    </w:p>
    <w:p w14:paraId="2458D9E1" w14:textId="77777777" w:rsidR="000E1DAE" w:rsidRDefault="009E542B" w:rsidP="009E542B">
      <w:pPr>
        <w:rPr>
          <w:lang w:eastAsia="ja-JP"/>
        </w:rPr>
      </w:pPr>
      <w:r>
        <w:rPr>
          <w:lang w:eastAsia="ja-JP"/>
        </w:rPr>
        <w:t xml:space="preserve">An import risk analysis </w:t>
      </w:r>
      <w:r w:rsidR="008C6AEA">
        <w:rPr>
          <w:lang w:eastAsia="ja-JP"/>
        </w:rPr>
        <w:t>(IRA) for a plant or animal good</w:t>
      </w:r>
      <w:r>
        <w:rPr>
          <w:lang w:eastAsia="ja-JP"/>
        </w:rPr>
        <w:t xml:space="preserve"> is undertaken when the criteria for a Biosecurity Import Risk Analysis are not met. </w:t>
      </w:r>
    </w:p>
    <w:p w14:paraId="34EC7738" w14:textId="4D2BCCB3" w:rsidR="009E542B" w:rsidRDefault="009E542B" w:rsidP="009E542B">
      <w:pPr>
        <w:rPr>
          <w:lang w:eastAsia="ja-JP"/>
        </w:rPr>
      </w:pPr>
      <w:r>
        <w:rPr>
          <w:lang w:eastAsia="ja-JP"/>
        </w:rPr>
        <w:t>IRAs may include:</w:t>
      </w:r>
    </w:p>
    <w:p w14:paraId="6EA65E95" w14:textId="67E80E5B" w:rsidR="009E542B" w:rsidRDefault="009E542B" w:rsidP="000E1DAE">
      <w:pPr>
        <w:pStyle w:val="ListParagraph"/>
        <w:numPr>
          <w:ilvl w:val="0"/>
          <w:numId w:val="18"/>
        </w:numPr>
        <w:rPr>
          <w:lang w:eastAsia="ja-JP"/>
        </w:rPr>
      </w:pPr>
      <w:r>
        <w:rPr>
          <w:lang w:eastAsia="ja-JP"/>
        </w:rPr>
        <w:t>scientific reviews of existing policy or import conditions</w:t>
      </w:r>
    </w:p>
    <w:p w14:paraId="7F875FA7" w14:textId="410096B4" w:rsidR="009E542B" w:rsidRDefault="009E542B" w:rsidP="000E1DAE">
      <w:pPr>
        <w:pStyle w:val="ListParagraph"/>
        <w:numPr>
          <w:ilvl w:val="0"/>
          <w:numId w:val="18"/>
        </w:numPr>
        <w:rPr>
          <w:lang w:eastAsia="ja-JP"/>
        </w:rPr>
      </w:pPr>
      <w:r>
        <w:rPr>
          <w:lang w:eastAsia="ja-JP"/>
        </w:rPr>
        <w:t xml:space="preserve">reviews of biosecurity measures </w:t>
      </w:r>
      <w:proofErr w:type="gramStart"/>
      <w:r>
        <w:rPr>
          <w:lang w:eastAsia="ja-JP"/>
        </w:rPr>
        <w:t>in light of</w:t>
      </w:r>
      <w:proofErr w:type="gramEnd"/>
      <w:r>
        <w:rPr>
          <w:lang w:eastAsia="ja-JP"/>
        </w:rPr>
        <w:t xml:space="preserve"> new scientific information.</w:t>
      </w:r>
    </w:p>
    <w:p w14:paraId="076D8EAB" w14:textId="77777777" w:rsidR="009E542B" w:rsidRDefault="009E542B" w:rsidP="009E542B">
      <w:pPr>
        <w:rPr>
          <w:lang w:eastAsia="ja-JP"/>
        </w:rPr>
      </w:pPr>
      <w:r>
        <w:rPr>
          <w:lang w:eastAsia="ja-JP"/>
        </w:rPr>
        <w:t>The process is as follows:</w:t>
      </w:r>
    </w:p>
    <w:p w14:paraId="1106F97C" w14:textId="6DCBE5B1" w:rsidR="009E542B" w:rsidRDefault="00327CF9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Receive i</w:t>
      </w:r>
      <w:r w:rsidR="009E542B">
        <w:rPr>
          <w:lang w:eastAsia="ja-JP"/>
        </w:rPr>
        <w:t>mport market access request.</w:t>
      </w:r>
    </w:p>
    <w:p w14:paraId="539DC8D6" w14:textId="7FDB357D" w:rsidR="009E542B" w:rsidRDefault="009E542B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Announce commencement of risk analysis. Stakeholders are notified.</w:t>
      </w:r>
    </w:p>
    <w:p w14:paraId="76CEF107" w14:textId="2093F6E8" w:rsidR="00B433F7" w:rsidRDefault="00B433F7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Issues paper published for comment. This step is optional – depending on IRA sensitivity.</w:t>
      </w:r>
    </w:p>
    <w:p w14:paraId="672E9BD2" w14:textId="00F825D7" w:rsidR="009E542B" w:rsidRDefault="009E542B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Prepar</w:t>
      </w:r>
      <w:r w:rsidR="00327CF9">
        <w:rPr>
          <w:lang w:eastAsia="ja-JP"/>
        </w:rPr>
        <w:t>e</w:t>
      </w:r>
      <w:r>
        <w:rPr>
          <w:lang w:eastAsia="ja-JP"/>
        </w:rPr>
        <w:t xml:space="preserve"> draft report. </w:t>
      </w:r>
    </w:p>
    <w:p w14:paraId="021CBE94" w14:textId="66BBAAFE" w:rsidR="009E542B" w:rsidRDefault="00327CF9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Publish</w:t>
      </w:r>
      <w:r w:rsidR="009E542B">
        <w:rPr>
          <w:lang w:eastAsia="ja-JP"/>
        </w:rPr>
        <w:t xml:space="preserve"> draft report. Stakeholders are notified and consulted. </w:t>
      </w:r>
      <w:r>
        <w:rPr>
          <w:lang w:eastAsia="ja-JP"/>
        </w:rPr>
        <w:t xml:space="preserve">60 calendar day public consultation period. All stakeholders are encouraged to comment. </w:t>
      </w:r>
    </w:p>
    <w:p w14:paraId="23C7EDD6" w14:textId="6531084F" w:rsidR="009E542B" w:rsidRDefault="009E542B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 xml:space="preserve">Consider comments. </w:t>
      </w:r>
    </w:p>
    <w:p w14:paraId="47FBFBD1" w14:textId="0823A3A7" w:rsidR="009E542B" w:rsidRDefault="009E542B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Prepar</w:t>
      </w:r>
      <w:r w:rsidR="00327CF9">
        <w:rPr>
          <w:lang w:eastAsia="ja-JP"/>
        </w:rPr>
        <w:t>e</w:t>
      </w:r>
      <w:r>
        <w:rPr>
          <w:lang w:eastAsia="ja-JP"/>
        </w:rPr>
        <w:t xml:space="preserve"> final report.</w:t>
      </w:r>
    </w:p>
    <w:p w14:paraId="28F85FF0" w14:textId="69DA8C59" w:rsidR="009E542B" w:rsidRDefault="00327CF9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Publish</w:t>
      </w:r>
      <w:r w:rsidR="009E542B">
        <w:rPr>
          <w:lang w:eastAsia="ja-JP"/>
        </w:rPr>
        <w:t xml:space="preserve"> final report. Stakeholders are notified.</w:t>
      </w:r>
    </w:p>
    <w:p w14:paraId="18F588EB" w14:textId="31896283" w:rsidR="00327CF9" w:rsidRDefault="00327CF9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Confirm exporting country can implement measures.</w:t>
      </w:r>
    </w:p>
    <w:p w14:paraId="17CD966B" w14:textId="11B38003" w:rsidR="00327CF9" w:rsidRDefault="00327CF9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Agree on government-to-government work plan (if required).</w:t>
      </w:r>
    </w:p>
    <w:p w14:paraId="07513A63" w14:textId="066E7A12" w:rsidR="00327CF9" w:rsidRDefault="00327CF9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 xml:space="preserve">Develop import conditions and include the commodity as permitted goods under the </w:t>
      </w:r>
      <w:r w:rsidRPr="000E1DAE">
        <w:rPr>
          <w:i/>
          <w:iCs/>
          <w:lang w:eastAsia="ja-JP"/>
        </w:rPr>
        <w:t>Biosecurity Act 2015</w:t>
      </w:r>
      <w:r>
        <w:rPr>
          <w:lang w:eastAsia="ja-JP"/>
        </w:rPr>
        <w:t xml:space="preserve">. </w:t>
      </w:r>
    </w:p>
    <w:p w14:paraId="67D2108B" w14:textId="72C0D3D8" w:rsidR="00327CF9" w:rsidRDefault="00327CF9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Publish import conditions in the Biosecurity Import Conditions system (BICON). Stakeholders are notified.</w:t>
      </w:r>
    </w:p>
    <w:p w14:paraId="185F304C" w14:textId="27873EB5" w:rsidR="00327CF9" w:rsidRDefault="00327CF9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Submit and assess import permit application (where required).</w:t>
      </w:r>
    </w:p>
    <w:p w14:paraId="7BD0DEC1" w14:textId="378C6C49" w:rsidR="00327CF9" w:rsidRDefault="00327CF9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Trade can commence.</w:t>
      </w:r>
    </w:p>
    <w:p w14:paraId="46DF83A4" w14:textId="6295C7CB" w:rsidR="00327CF9" w:rsidRDefault="00327CF9" w:rsidP="000E1DA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 xml:space="preserve">Monitor imports and manage non-compliance. </w:t>
      </w:r>
    </w:p>
    <w:p w14:paraId="2D34FB67" w14:textId="77777777" w:rsidR="000E1DAE" w:rsidRDefault="000E1DAE" w:rsidP="009E542B">
      <w:pPr>
        <w:rPr>
          <w:lang w:eastAsia="ja-JP"/>
        </w:rPr>
      </w:pPr>
    </w:p>
    <w:p w14:paraId="0D0DBF6C" w14:textId="78A6AC82" w:rsidR="009E542B" w:rsidRDefault="009E542B" w:rsidP="009E542B">
      <w:pPr>
        <w:rPr>
          <w:lang w:eastAsia="ja-JP"/>
        </w:rPr>
      </w:pPr>
      <w:r>
        <w:rPr>
          <w:lang w:eastAsia="ja-JP"/>
        </w:rPr>
        <w:t>Note:</w:t>
      </w:r>
    </w:p>
    <w:p w14:paraId="6375512C" w14:textId="20F53E0B" w:rsidR="009E542B" w:rsidRDefault="009E542B" w:rsidP="000E1DAE">
      <w:pPr>
        <w:pStyle w:val="ListParagraph"/>
        <w:numPr>
          <w:ilvl w:val="0"/>
          <w:numId w:val="22"/>
        </w:numPr>
        <w:rPr>
          <w:lang w:eastAsia="ja-JP"/>
        </w:rPr>
      </w:pPr>
      <w:r>
        <w:rPr>
          <w:lang w:eastAsia="ja-JP"/>
        </w:rPr>
        <w:t xml:space="preserve">If required, an in-country visit/s is conducted between steps 2 and </w:t>
      </w:r>
      <w:r w:rsidR="00855297">
        <w:rPr>
          <w:lang w:eastAsia="ja-JP"/>
        </w:rPr>
        <w:t>9</w:t>
      </w:r>
      <w:r>
        <w:rPr>
          <w:lang w:eastAsia="ja-JP"/>
        </w:rPr>
        <w:t xml:space="preserve">. </w:t>
      </w:r>
    </w:p>
    <w:p w14:paraId="26B7F501" w14:textId="7B57A025" w:rsidR="009E542B" w:rsidRDefault="009E542B" w:rsidP="000E1DAE">
      <w:pPr>
        <w:pStyle w:val="ListParagraph"/>
        <w:numPr>
          <w:ilvl w:val="0"/>
          <w:numId w:val="22"/>
        </w:numPr>
        <w:rPr>
          <w:lang w:eastAsia="ja-JP"/>
        </w:rPr>
      </w:pPr>
      <w:r>
        <w:rPr>
          <w:lang w:eastAsia="ja-JP"/>
        </w:rPr>
        <w:t xml:space="preserve">The timeframe of the risk analysis process </w:t>
      </w:r>
      <w:r w:rsidR="00327CF9">
        <w:rPr>
          <w:lang w:eastAsia="ja-JP"/>
        </w:rPr>
        <w:t xml:space="preserve">is approximately 24 months </w:t>
      </w:r>
      <w:proofErr w:type="gramStart"/>
      <w:r w:rsidR="00327CF9">
        <w:rPr>
          <w:lang w:eastAsia="ja-JP"/>
        </w:rPr>
        <w:t>however,</w:t>
      </w:r>
      <w:proofErr w:type="gramEnd"/>
      <w:r w:rsidR="006A14C5">
        <w:rPr>
          <w:lang w:eastAsia="ja-JP"/>
        </w:rPr>
        <w:t xml:space="preserve"> timeframe</w:t>
      </w:r>
      <w:r w:rsidR="00327CF9">
        <w:rPr>
          <w:lang w:eastAsia="ja-JP"/>
        </w:rPr>
        <w:t xml:space="preserve"> may </w:t>
      </w:r>
      <w:r>
        <w:rPr>
          <w:lang w:eastAsia="ja-JP"/>
        </w:rPr>
        <w:t>var</w:t>
      </w:r>
      <w:r w:rsidR="00327CF9">
        <w:rPr>
          <w:lang w:eastAsia="ja-JP"/>
        </w:rPr>
        <w:t>y</w:t>
      </w:r>
      <w:r>
        <w:rPr>
          <w:lang w:eastAsia="ja-JP"/>
        </w:rPr>
        <w:t xml:space="preserve"> depending on complexity of the assessment</w:t>
      </w:r>
      <w:r w:rsidR="00327CF9">
        <w:rPr>
          <w:lang w:eastAsia="ja-JP"/>
        </w:rPr>
        <w:t xml:space="preserve"> and implementation</w:t>
      </w:r>
      <w:r>
        <w:rPr>
          <w:lang w:eastAsia="ja-JP"/>
        </w:rPr>
        <w:t>.</w:t>
      </w:r>
    </w:p>
    <w:p w14:paraId="624F8AD3" w14:textId="1DC0FE0C" w:rsidR="00905F94" w:rsidRDefault="00905F94" w:rsidP="009E542B">
      <w:pPr>
        <w:rPr>
          <w:lang w:eastAsia="ja-JP"/>
        </w:rPr>
      </w:pPr>
    </w:p>
    <w:sectPr w:rsidR="00905F94" w:rsidSect="00EB5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4A9E" w14:textId="77777777" w:rsidR="006D6E8A" w:rsidRDefault="006D6E8A">
      <w:r>
        <w:separator/>
      </w:r>
    </w:p>
  </w:endnote>
  <w:endnote w:type="continuationSeparator" w:id="0">
    <w:p w14:paraId="0867B86F" w14:textId="77777777" w:rsidR="006D6E8A" w:rsidRDefault="006D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A252" w14:textId="4B580E13" w:rsidR="00562F04" w:rsidRDefault="00562F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C20D2EF" wp14:editId="4AB943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7440045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A32E3" w14:textId="040F0E01" w:rsidR="00562F04" w:rsidRPr="00562F04" w:rsidRDefault="00562F04" w:rsidP="00562F0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2F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0D2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5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CCA32E3" w14:textId="040F0E01" w:rsidR="00562F04" w:rsidRPr="00562F04" w:rsidRDefault="00562F04" w:rsidP="00562F0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62F0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8ADB" w14:textId="17BFD9E6" w:rsidR="00C6669A" w:rsidRPr="009E542B" w:rsidRDefault="00562F04" w:rsidP="009E54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617074D" wp14:editId="6B30E5FE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207074832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8DF6E" w14:textId="52102805" w:rsidR="00562F04" w:rsidRPr="00562F04" w:rsidRDefault="00562F04" w:rsidP="00562F0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2F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707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5.6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Dv7UDwwCAAAcBAAA&#10;DgAAAAAAAAAAAAAAAAAuAgAAZHJzL2Uyb0RvYy54bWxQSwECLQAUAAYACAAAACEApl/Ed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328DF6E" w14:textId="52102805" w:rsidR="00562F04" w:rsidRPr="00562F04" w:rsidRDefault="00562F04" w:rsidP="00562F0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62F0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42B" w:rsidRPr="009E542B">
      <w:t xml:space="preserve">Department of Agriculture, </w:t>
    </w:r>
    <w:r w:rsidR="00327CF9">
      <w:t>Fisheries</w:t>
    </w:r>
    <w:r w:rsidR="009E542B" w:rsidRPr="009E542B">
      <w:t xml:space="preserve"> and </w:t>
    </w:r>
    <w:r w:rsidR="00327CF9">
      <w:t>Forestry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72FA" w14:textId="550CA742" w:rsidR="00562F04" w:rsidRDefault="00562F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1798091" wp14:editId="439AE2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0614145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DFF5" w14:textId="5D69A84C" w:rsidR="00562F04" w:rsidRPr="00562F04" w:rsidRDefault="00562F04" w:rsidP="00562F0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2F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980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5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D31DFF5" w14:textId="5D69A84C" w:rsidR="00562F04" w:rsidRPr="00562F04" w:rsidRDefault="00562F04" w:rsidP="00562F0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62F0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E414" w14:textId="77777777" w:rsidR="006D6E8A" w:rsidRDefault="006D6E8A">
      <w:r>
        <w:separator/>
      </w:r>
    </w:p>
  </w:footnote>
  <w:footnote w:type="continuationSeparator" w:id="0">
    <w:p w14:paraId="4BA57A3F" w14:textId="77777777" w:rsidR="006D6E8A" w:rsidRDefault="006D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BEBB" w14:textId="42CF3284" w:rsidR="00562F04" w:rsidRDefault="00562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D1D144" wp14:editId="353B1B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350993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0AD5E" w14:textId="7057C65D" w:rsidR="00562F04" w:rsidRPr="00562F04" w:rsidRDefault="00562F04" w:rsidP="00562F0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2F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1D1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9N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5390AD5E" w14:textId="7057C65D" w:rsidR="00562F04" w:rsidRPr="00562F04" w:rsidRDefault="00562F04" w:rsidP="00562F0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62F0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8ADA" w14:textId="0D6F8F3D" w:rsidR="00626E31" w:rsidRDefault="00562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828A6" wp14:editId="06A64DB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6284548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944D5" w14:textId="4E52710D" w:rsidR="00562F04" w:rsidRPr="00562F04" w:rsidRDefault="00562F04" w:rsidP="00562F0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2F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828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LDQIAABw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37944D5" w14:textId="4E52710D" w:rsidR="00562F04" w:rsidRPr="00562F04" w:rsidRDefault="00562F04" w:rsidP="00562F0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62F0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42B">
      <w:t xml:space="preserve">Infographic – </w:t>
    </w:r>
    <w:r w:rsidR="006A14C5">
      <w:t>Standard i</w:t>
    </w:r>
    <w:r w:rsidR="009E542B">
      <w:t>mport risk analysis steps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1A93" w14:textId="355A6816" w:rsidR="00562F04" w:rsidRDefault="00562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857E92F" wp14:editId="1A7D77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9399121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6DC30" w14:textId="32FA03B7" w:rsidR="00562F04" w:rsidRPr="00562F04" w:rsidRDefault="00562F04" w:rsidP="00562F0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2F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7E9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5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7C6DC30" w14:textId="32FA03B7" w:rsidR="00562F04" w:rsidRPr="00562F04" w:rsidRDefault="00562F04" w:rsidP="00562F0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62F0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FF5A12"/>
    <w:multiLevelType w:val="hybridMultilevel"/>
    <w:tmpl w:val="69C2D6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2A913599"/>
    <w:multiLevelType w:val="multilevel"/>
    <w:tmpl w:val="02AA8FA0"/>
    <w:numStyleLink w:val="ListBullets"/>
  </w:abstractNum>
  <w:abstractNum w:abstractNumId="10" w15:restartNumberingAfterBreak="0">
    <w:nsid w:val="2F2425AB"/>
    <w:multiLevelType w:val="multilevel"/>
    <w:tmpl w:val="BC8603C0"/>
    <w:numStyleLink w:val="ListNumbers"/>
  </w:abstractNum>
  <w:abstractNum w:abstractNumId="11" w15:restartNumberingAfterBreak="0">
    <w:nsid w:val="3F706A56"/>
    <w:multiLevelType w:val="hybridMultilevel"/>
    <w:tmpl w:val="8416CA70"/>
    <w:lvl w:ilvl="0" w:tplc="1E1456E8">
      <w:start w:val="14"/>
      <w:numFmt w:val="bullet"/>
      <w:lvlText w:val="•"/>
      <w:lvlJc w:val="left"/>
      <w:pPr>
        <w:ind w:left="930" w:hanging="570"/>
      </w:pPr>
      <w:rPr>
        <w:rFonts w:ascii="Cambria" w:eastAsia="Calibri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B5ED6"/>
    <w:multiLevelType w:val="hybridMultilevel"/>
    <w:tmpl w:val="10D6507E"/>
    <w:lvl w:ilvl="0" w:tplc="08284B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5C12"/>
    <w:multiLevelType w:val="multilevel"/>
    <w:tmpl w:val="20F2356A"/>
    <w:numStyleLink w:val="Appendix"/>
  </w:abstractNum>
  <w:abstractNum w:abstractNumId="14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6787D"/>
    <w:multiLevelType w:val="hybridMultilevel"/>
    <w:tmpl w:val="4C48F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C665D"/>
    <w:multiLevelType w:val="hybridMultilevel"/>
    <w:tmpl w:val="B5564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07439187">
    <w:abstractNumId w:val="17"/>
  </w:num>
  <w:num w:numId="2" w16cid:durableId="1596665556">
    <w:abstractNumId w:val="14"/>
  </w:num>
  <w:num w:numId="3" w16cid:durableId="654338448">
    <w:abstractNumId w:val="6"/>
  </w:num>
  <w:num w:numId="4" w16cid:durableId="801003077">
    <w:abstractNumId w:val="7"/>
  </w:num>
  <w:num w:numId="5" w16cid:durableId="1330058092">
    <w:abstractNumId w:val="3"/>
  </w:num>
  <w:num w:numId="6" w16cid:durableId="2118597396">
    <w:abstractNumId w:val="9"/>
  </w:num>
  <w:num w:numId="7" w16cid:durableId="622927837">
    <w:abstractNumId w:val="20"/>
  </w:num>
  <w:num w:numId="8" w16cid:durableId="1775321644">
    <w:abstractNumId w:val="10"/>
  </w:num>
  <w:num w:numId="9" w16cid:durableId="1761219340">
    <w:abstractNumId w:val="18"/>
  </w:num>
  <w:num w:numId="10" w16cid:durableId="1526409536">
    <w:abstractNumId w:val="8"/>
  </w:num>
  <w:num w:numId="11" w16cid:durableId="3645258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9278071">
    <w:abstractNumId w:val="13"/>
  </w:num>
  <w:num w:numId="13" w16cid:durableId="1404109979">
    <w:abstractNumId w:val="19"/>
  </w:num>
  <w:num w:numId="14" w16cid:durableId="228882002">
    <w:abstractNumId w:val="2"/>
  </w:num>
  <w:num w:numId="15" w16cid:durableId="1619991026">
    <w:abstractNumId w:val="1"/>
  </w:num>
  <w:num w:numId="16" w16cid:durableId="379474676">
    <w:abstractNumId w:val="0"/>
  </w:num>
  <w:num w:numId="17" w16cid:durableId="1090153333">
    <w:abstractNumId w:val="4"/>
  </w:num>
  <w:num w:numId="18" w16cid:durableId="1347097933">
    <w:abstractNumId w:val="15"/>
  </w:num>
  <w:num w:numId="19" w16cid:durableId="789476062">
    <w:abstractNumId w:val="5"/>
  </w:num>
  <w:num w:numId="20" w16cid:durableId="1951400275">
    <w:abstractNumId w:val="12"/>
  </w:num>
  <w:num w:numId="21" w16cid:durableId="871500992">
    <w:abstractNumId w:val="16"/>
  </w:num>
  <w:num w:numId="22" w16cid:durableId="165999117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FF"/>
    <w:rsid w:val="0005735C"/>
    <w:rsid w:val="000A7C1A"/>
    <w:rsid w:val="000E1DAE"/>
    <w:rsid w:val="00192A1B"/>
    <w:rsid w:val="00327CF9"/>
    <w:rsid w:val="00387658"/>
    <w:rsid w:val="00487B13"/>
    <w:rsid w:val="00562F04"/>
    <w:rsid w:val="00596111"/>
    <w:rsid w:val="005A003C"/>
    <w:rsid w:val="005F0A16"/>
    <w:rsid w:val="00612229"/>
    <w:rsid w:val="00626E31"/>
    <w:rsid w:val="006A14C5"/>
    <w:rsid w:val="006D6E8A"/>
    <w:rsid w:val="00855297"/>
    <w:rsid w:val="008B5453"/>
    <w:rsid w:val="008C6AEA"/>
    <w:rsid w:val="008D0708"/>
    <w:rsid w:val="00905F94"/>
    <w:rsid w:val="009E542B"/>
    <w:rsid w:val="00AA4B88"/>
    <w:rsid w:val="00B230FF"/>
    <w:rsid w:val="00B433F7"/>
    <w:rsid w:val="00B57188"/>
    <w:rsid w:val="00B75616"/>
    <w:rsid w:val="00C6110B"/>
    <w:rsid w:val="00C6669A"/>
    <w:rsid w:val="00CB7E7A"/>
    <w:rsid w:val="00DC0598"/>
    <w:rsid w:val="00DE402A"/>
    <w:rsid w:val="00E3214D"/>
    <w:rsid w:val="00EB5521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624F8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21"/>
    <w:pPr>
      <w:spacing w:before="120"/>
    </w:pPr>
    <w:rPr>
      <w:rFonts w:eastAsia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EB5521"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rsid w:val="00EB5521"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EB5521"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6D6E8A"/>
    <w:pPr>
      <w:spacing w:before="120"/>
      <w:outlineLvl w:val="3"/>
    </w:pPr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paragraph" w:styleId="Heading5">
    <w:name w:val="heading 5"/>
    <w:next w:val="Normal"/>
    <w:link w:val="Heading5Char"/>
    <w:uiPriority w:val="9"/>
    <w:unhideWhenUsed/>
    <w:rsid w:val="006D6E8A"/>
    <w:pPr>
      <w:keepNext/>
      <w:keepLines/>
      <w:spacing w:before="200"/>
      <w:outlineLvl w:val="4"/>
    </w:pPr>
    <w:rPr>
      <w:rFonts w:eastAsiaTheme="majorEastAsia" w:cstheme="majorBidi"/>
      <w:b/>
      <w:i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rsid w:val="00EB552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B552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EB5521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EB5521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6D6E8A"/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D6E8A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EB5521"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EB5521"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EB5521"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rsid w:val="00EB5521"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rsid w:val="00EB5521"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rsid w:val="00EB5521"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rsid w:val="00EB5521"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rsid w:val="00EB5521"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rsid w:val="00EB5521"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rsid w:val="00EB5521"/>
    <w:pPr>
      <w:tabs>
        <w:tab w:val="center" w:pos="4820"/>
      </w:tabs>
      <w:jc w:val="center"/>
    </w:pPr>
    <w:rPr>
      <w:rFonts w:ascii="Calibri" w:eastAsia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sid w:val="00EB5521"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sid w:val="00EB5521"/>
    <w:rPr>
      <w:b/>
      <w:bCs/>
    </w:rPr>
  </w:style>
  <w:style w:type="character" w:styleId="Emphasis">
    <w:name w:val="Emphasis"/>
    <w:basedOn w:val="DefaultParagraphFont"/>
    <w:uiPriority w:val="99"/>
    <w:qFormat/>
    <w:rsid w:val="00EB5521"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rsid w:val="00EB5521"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sid w:val="00EB5521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rsid w:val="00EB5521"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rsid w:val="00EB5521"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EB5521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EB5521"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rsid w:val="00EB5521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rsid w:val="00EB5521"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rsid w:val="00EB5521"/>
    <w:pPr>
      <w:keepNext/>
    </w:pPr>
    <w:rPr>
      <w:b/>
    </w:rPr>
  </w:style>
  <w:style w:type="numbering" w:customStyle="1" w:styleId="Headings">
    <w:name w:val="Headings"/>
    <w:uiPriority w:val="99"/>
    <w:rsid w:val="00EB5521"/>
    <w:pPr>
      <w:numPr>
        <w:numId w:val="9"/>
      </w:numPr>
    </w:pPr>
  </w:style>
  <w:style w:type="paragraph" w:customStyle="1" w:styleId="BoxTextBullet">
    <w:name w:val="Box Text Bullet"/>
    <w:basedOn w:val="BoxText"/>
    <w:uiPriority w:val="21"/>
    <w:qFormat/>
    <w:rsid w:val="00EB5521"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rsid w:val="00EB5521"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sid w:val="00EB5521"/>
    <w:rPr>
      <w:b/>
    </w:rPr>
  </w:style>
  <w:style w:type="paragraph" w:customStyle="1" w:styleId="Securityclassification">
    <w:name w:val="Security classification"/>
    <w:basedOn w:val="Normal"/>
    <w:uiPriority w:val="26"/>
    <w:qFormat/>
    <w:rsid w:val="00EB5521"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rsid w:val="00EB5521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rsid w:val="00EB5521"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21"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EB5521"/>
  </w:style>
  <w:style w:type="numbering" w:customStyle="1" w:styleId="Appendix">
    <w:name w:val="Appendix"/>
    <w:uiPriority w:val="99"/>
    <w:rsid w:val="00EB5521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5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521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521"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5521"/>
    <w:rPr>
      <w:color w:val="800080" w:themeColor="followedHyperlink"/>
      <w:u w:val="single"/>
    </w:rPr>
  </w:style>
  <w:style w:type="numbering" w:customStyle="1" w:styleId="ListBullets">
    <w:name w:val="ListBullets"/>
    <w:uiPriority w:val="99"/>
    <w:rsid w:val="00EB5521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rsid w:val="00EB552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EB5521"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rsid w:val="00EB5521"/>
    <w:pPr>
      <w:numPr>
        <w:numId w:val="7"/>
      </w:numPr>
    </w:pPr>
  </w:style>
  <w:style w:type="paragraph" w:customStyle="1" w:styleId="Picture">
    <w:name w:val="Picture"/>
    <w:qFormat/>
    <w:rsid w:val="00EB5521"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rsid w:val="00EB5521"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sid w:val="00EB5521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EB5521"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EB5521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rsid w:val="00EB5521"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rsid w:val="00EB5521"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rsid w:val="00EB5521"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styleId="Revision">
    <w:name w:val="Revision"/>
    <w:hidden/>
    <w:uiPriority w:val="99"/>
    <w:semiHidden/>
    <w:rsid w:val="00EB5521"/>
    <w:rPr>
      <w:rFonts w:eastAsia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E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986458A3CB84599A71B6AC9687E2E" ma:contentTypeVersion="18" ma:contentTypeDescription="Create a new document." ma:contentTypeScope="" ma:versionID="043b3a7117069ece032a8ef915ea222c">
  <xsd:schema xmlns:xsd="http://www.w3.org/2001/XMLSchema" xmlns:xs="http://www.w3.org/2001/XMLSchema" xmlns:p="http://schemas.microsoft.com/office/2006/metadata/properties" xmlns:ns2="30cbef77-f6d8-4dfe-89c8-c9451ce6f5f5" xmlns:ns3="33cc31bb-d520-4822-af33-15f07349a5ff" xmlns:ns4="81c01dc6-2c49-4730-b140-874c95cac377" targetNamespace="http://schemas.microsoft.com/office/2006/metadata/properties" ma:root="true" ma:fieldsID="e5b78d713f41532139fedb3d256946f6" ns2:_="" ns3:_="" ns4:_="">
    <xsd:import namespace="30cbef77-f6d8-4dfe-89c8-c9451ce6f5f5"/>
    <xsd:import namespace="33cc31bb-d520-4822-af33-15f07349a5ff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bef77-f6d8-4dfe-89c8-c9451ce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31bb-d520-4822-af33-15f07349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dcb545-6635-4a45-a053-5ef2ad3a1a1e}" ma:internalName="TaxCatchAll" ma:showField="CatchAllData" ma:web="33cc31bb-d520-4822-af33-15f07349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bef77-f6d8-4dfe-89c8-c9451ce6f5f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86E65ABE-16D0-4809-8D37-386F325C8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1A193-CFFB-4F6D-99AF-352A2AAF3281}"/>
</file>

<file path=customXml/itemProps3.xml><?xml version="1.0" encoding="utf-8"?>
<ds:datastoreItem xmlns:ds="http://schemas.openxmlformats.org/officeDocument/2006/customXml" ds:itemID="{9F9B6205-9118-4835-956B-B0559E3816DE}"/>
</file>

<file path=customXml/itemProps4.xml><?xml version="1.0" encoding="utf-8"?>
<ds:datastoreItem xmlns:ds="http://schemas.openxmlformats.org/officeDocument/2006/customXml" ds:itemID="{EBD0424F-C57E-4659-AAF0-F87BEC769535}"/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2026-01-30T02:20:00Z</dcterms:created>
  <dcterms:modified xsi:type="dcterms:W3CDTF">2026-01-30T02:20:00Z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ClassificationContentMarkingHeaderText">
    <vt:lpwstr>OFFICIAL</vt:lpwstr>
  </property>
  <property fmtid="{D5CDD505-2E9C-101B-9397-08002B2CF9AE}" pid="4" name="MediaServiceImageTags">
    <vt:lpwstr/>
  </property>
  <property fmtid="{D5CDD505-2E9C-101B-9397-08002B2CF9AE}" pid="5" name="ContentTypeId">
    <vt:lpwstr>0x0101004C2986458A3CB84599A71B6AC9687E2E</vt:lpwstr>
  </property>
  <property fmtid="{D5CDD505-2E9C-101B-9397-08002B2CF9AE}" pid="6" name="ClassificationContentMarkingHeaderFontProps">
    <vt:lpwstr>#ff0000,12,Aptos</vt:lpwstr>
  </property>
  <property fmtid="{D5CDD505-2E9C-101B-9397-08002B2CF9AE}" pid="7" name="Display as">
    <vt:lpwstr>;#Template;#</vt:lpwstr>
  </property>
  <property fmtid="{D5CDD505-2E9C-101B-9397-08002B2CF9AE}" pid="8" name="ClassificationContentMarkingFooterShapeIds">
    <vt:lpwstr>3f43e67c,2c589baf,7b6d1ca2</vt:lpwstr>
  </property>
  <property fmtid="{D5CDD505-2E9C-101B-9397-08002B2CF9AE}" pid="9" name="ClassificationContentMarkingHeaderShapeIds">
    <vt:lpwstr>3805ebf2,21792f3,61103fba</vt:lpwstr>
  </property>
  <property fmtid="{D5CDD505-2E9C-101B-9397-08002B2CF9AE}" pid="10" name="ClassificationContentMarkingFooterFontProps">
    <vt:lpwstr>#ff0000,12,Aptos</vt:lpwstr>
  </property>
</Properties>
</file>